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03/08/2026 à 07:25</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46 ACHAT  |  1 NEUTRE  |  0 VENTE  (sur 47 sociétés)</w:t>
      </w:r>
    </w:p>
    <w:p>
      <w:pPr>
        <w:spacing w:before="20" w:after="20"/>
        <w:ind w:left="360" w:right="360"/>
        <w:shd w:val="clear" w:color="auto" w:fill="EBF5FB"/>
      </w:pPr>
      <w:r>
        <w:rPr>
          <w:b/>
          <w:sz w:val="19"/>
        </w:rPr>
        <w:t xml:space="preserve">Top opportunité :  </w:t>
      </w:r>
      <w:r>
        <w:rPr>
          <w:color w:val="008000"/>
          <w:sz w:val="19"/>
        </w:rPr>
        <w:t>TTLS  (score 77/100)</w:t>
      </w:r>
    </w:p>
    <w:p>
      <w:pPr>
        <w:spacing w:before="20" w:after="20"/>
        <w:ind w:left="360" w:right="360"/>
        <w:shd w:val="clear" w:color="auto" w:fill="EBF5FB"/>
      </w:pPr>
      <w:r>
        <w:rPr>
          <w:b/>
          <w:sz w:val="19"/>
        </w:rPr>
        <w:t xml:space="preserve">Secteur surperformant :  </w:t>
      </w:r>
      <w:r>
        <w:rPr>
          <w:color w:val="008000"/>
          <w:sz w:val="19"/>
        </w:rPr>
        <w:t>SERVICES PUBLICS  (+47.1%)</w:t>
      </w:r>
    </w:p>
    <w:p>
      <w:pPr>
        <w:spacing w:before="20" w:after="20"/>
        <w:ind w:left="360" w:right="360"/>
        <w:shd w:val="clear" w:color="auto" w:fill="EBF5FB"/>
      </w:pPr>
      <w:r>
        <w:rPr>
          <w:b/>
          <w:sz w:val="19"/>
        </w:rPr>
        <w:t xml:space="preserve">Secteur sous-performant :  </w:t>
      </w:r>
      <w:r>
        <w:rPr>
          <w:color w:val="A03C00"/>
          <w:sz w:val="19"/>
        </w:rPr>
        <w:t>ENERGIE</w:t>
      </w:r>
    </w:p>
    <w:p>
      <w:pPr>
        <w:spacing w:before="20" w:after="20"/>
        <w:ind w:left="360" w:right="360"/>
        <w:shd w:val="clear" w:color="auto" w:fill="EBF5FB"/>
      </w:pPr>
      <w:r>
        <w:rPr>
          <w:b/>
          <w:sz w:val="19"/>
        </w:rPr>
        <w:t xml:space="preserve">Divergences tech/fond :  </w:t>
      </w:r>
      <w:r>
        <w:rPr>
          <w:color w:val="A06400"/>
          <w:sz w:val="19"/>
        </w:rPr>
        <w:t>15 sociétés — vérifier avant d'investir</w:t>
      </w:r>
    </w:p>
    <w:p>
      <w:pPr>
        <w:spacing w:before="20" w:after="20"/>
        <w:ind w:left="360" w:right="360"/>
        <w:shd w:val="clear" w:color="auto" w:fill="EBF5FB"/>
      </w:pPr>
      <w:r>
        <w:rPr>
          <w:b/>
          <w:sz w:val="19"/>
        </w:rPr>
        <w:t xml:space="preserve">⚠️ Liquidité réduite :  </w:t>
      </w:r>
      <w:r>
        <w:rPr>
          <w:color w:val="C00000"/>
          <w:sz w:val="19"/>
        </w:rPr>
        <w:t>10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482.65 points </w:t>
      </w:r>
      <w:r>
        <w:rPr>
          <w:color w:val="008000"/>
        </w:rPr>
        <w:t>(+0.24%)</w:t>
      </w:r>
      <w:r>
        <w:t xml:space="preserve"> sur la séance. </w:t>
      </w:r>
      <w:r>
        <w:t>La capitalisation globale du marché atteint 18 593,354 milliards FCFA.</w:t>
      </w:r>
    </w:p>
    <w:p/>
    <w:p>
      <w:pPr>
        <w:pStyle w:val="Heading3"/>
      </w:pPr>
      <w:r>
        <w:t>📊 Évolution de l'indice BRVM Composite (100 derniers jours)</w:t>
      </w:r>
    </w:p>
    <w:p>
      <w:r>
        <w:rPr>
          <w:b/>
        </w:rPr>
        <w:t xml:space="preserve">BRVM Composite — </w:t>
      </w:r>
      <w:r>
        <w:t xml:space="preserve">Sur les 98 derniers jours de cotation (2026-03-06 au 2026-07-31), l'indice BRVM Composite a évolué de </w:t>
      </w:r>
      <w:r>
        <w:rPr>
          <w:b/>
          <w:color w:val="008000"/>
        </w:rPr>
        <w:t>+17.31%</w:t>
      </w:r>
      <w:r>
        <w:t>, passant de 411.44 pts à 482.65 pts. Le plus haut atteint est 484.32 pts et le plus bas 397.33 pts. Sur l'ensemble de la période, la moyenne de l'indice s'établit à 430.76 pts, la médiane à 420.67 pts et le mode à 403.36 pts</w:t>
      </w:r>
      <w:r>
        <w:t xml:space="preserve"> — l'écart entre moyenne et médiane (10.08 pts) révèle une distribution asymétrique (asymétrie positive — plus de jours sous la moyenne). </w:t>
      </w:r>
      <w:r>
        <w:t xml:space="preserve">L'écart-type de 28.31 pts (CV=6.6%) traduit une faible dispersion des cotations. Le kurtosis de -1.01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+17.21%</w:t>
      </w:r>
      <w:r>
        <w:t xml:space="preserve"> sur la période, passant de 15 863,334 Mds FCFA à 18 593,354 Mds FCFA. Le pic de capitalisation observé est de 18 657,524 Mds FCFA et le plancher de 15 319,235 Mds FCFA. La moyenne de la capitalisation sur la période s'établit à 16 601,545 Mds FCFA, la médiane à 16 216,630 Mds FCFA et le mode à 15 319,235 Mds FCFA</w:t>
      </w:r>
      <w:r>
        <w:t xml:space="preserve"> — l'écart moyenne/médiane (384,915 Mds) signale une distribution asymétrie positive. </w:t>
      </w:r>
      <w:r>
        <w:t>L'écart-type de 1 085,259 Mds FCFA (CV=6.5%) reflète une faible variabilité de la valorisation du marché. Le kurtosis de -1.01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CABC - CABC - SICABLE COTE D'IVOIRE</w:t>
      </w:r>
      <w:r>
        <w:t xml:space="preserve"> | Prix: 3500 FCFA | </w:t>
      </w:r>
      <w:r>
        <w:rPr>
          <w:b/>
          <w:color w:val="008000"/>
        </w:rPr>
        <w:t>ACHAT FORT</w:t>
      </w:r>
      <w:r>
        <w:t xml:space="preserve"> | Confiance: Faible | Risque: Moyen</w:t>
      </w:r>
    </w:p>
    <w:p>
      <w:pPr>
        <w:pStyle w:val="ListNumber"/>
      </w:pPr>
      <w:r>
        <w:rPr>
          <w:b/>
        </w:rPr>
        <w:t>ABJC - ABJC - SERVAIR ABIDJAN CI</w:t>
      </w:r>
      <w:r>
        <w:t xml:space="preserve"> | Prix: 3000 FCFA | </w:t>
      </w:r>
      <w:r>
        <w:rPr>
          <w:b/>
          <w:color w:val="008000"/>
        </w:rPr>
        <w:t>ACHAT</w:t>
      </w:r>
      <w:r>
        <w:t xml:space="preserve"> | Confiance: Faible | Risque: Moyen</w:t>
      </w:r>
    </w:p>
    <w:p>
      <w:pPr>
        <w:pStyle w:val="ListNumber"/>
      </w:pPr>
      <w:r>
        <w:rPr>
          <w:b/>
        </w:rPr>
        <w:t>BICB - BIIC BN - Banque internationale pour le commerce du benin</w:t>
      </w:r>
      <w:r>
        <w:t xml:space="preserve"> | Prix: 7585 FCFA | </w:t>
      </w:r>
      <w:r>
        <w:rPr>
          <w:b/>
          <w:color w:val="008000"/>
        </w:rPr>
        <w:t>ACHAT</w:t>
      </w:r>
      <w:r>
        <w:t xml:space="preserve"> | Confiance: Moyen | Risque: Faible</w:t>
      </w:r>
    </w:p>
    <w:p>
      <w:pPr>
        <w:pStyle w:val="ListNumber"/>
      </w:pPr>
      <w:r>
        <w:rPr>
          <w:b/>
        </w:rPr>
        <w:t>BICC - BICI CI - Banque internationale pour le commerce et l'industrie de la Côte d'Ivoire</w:t>
      </w:r>
      <w:r>
        <w:t xml:space="preserve"> | Prix: 28670 FCFA | </w:t>
      </w:r>
      <w:r>
        <w:rPr>
          <w:b/>
          <w:color w:val="008000"/>
        </w:rPr>
        <w:t>ACHAT</w:t>
      </w:r>
      <w:r>
        <w:t xml:space="preserve"> | Confiance: Moyen | Risque: Moyen</w:t>
      </w:r>
    </w:p>
    <w:p>
      <w:pPr>
        <w:pStyle w:val="ListNumber"/>
      </w:pPr>
      <w:r>
        <w:rPr>
          <w:b/>
        </w:rPr>
        <w:t>BNBC - BNBC - BERNABE CI</w:t>
      </w:r>
      <w:r>
        <w:t xml:space="preserve"> | Prix: 1890 FCFA | </w:t>
      </w:r>
      <w:r>
        <w:rPr>
          <w:b/>
          <w:color w:val="008000"/>
        </w:rPr>
        <w:t>ACHAT</w:t>
      </w:r>
      <w:r>
        <w:t xml:space="preserve"> | Confiance: Moyen | Risque: Moyen</w:t>
      </w:r>
    </w:p>
    <w:p>
      <w:pPr>
        <w:pStyle w:val="ListNumber"/>
      </w:pPr>
      <w:r>
        <w:rPr>
          <w:b/>
        </w:rPr>
        <w:t>BOAB - BANK OF AFRICA BENIN</w:t>
      </w:r>
      <w:r>
        <w:t xml:space="preserve"> | Prix: 8700 FCFA | </w:t>
      </w:r>
      <w:r>
        <w:rPr>
          <w:b/>
          <w:color w:val="008000"/>
        </w:rPr>
        <w:t>ACHAT</w:t>
      </w:r>
      <w:r>
        <w:t xml:space="preserve"> | Confiance: Moyen | Risque: Faible</w:t>
      </w:r>
    </w:p>
    <w:p>
      <w:pPr>
        <w:pStyle w:val="ListNumber"/>
      </w:pPr>
      <w:r>
        <w:rPr>
          <w:b/>
        </w:rPr>
        <w:t>BOABF - BANK OF AFRICA BURKINA FASO</w:t>
      </w:r>
      <w:r>
        <w:t xml:space="preserve"> | Prix: 7100 FCFA | </w:t>
      </w:r>
      <w:r>
        <w:rPr>
          <w:b/>
          <w:color w:val="008000"/>
        </w:rPr>
        <w:t>ACHAT</w:t>
      </w:r>
      <w:r>
        <w:t xml:space="preserve"> | Confiance: Faible | Risque: Faible</w:t>
      </w:r>
    </w:p>
    <w:p>
      <w:pPr>
        <w:pStyle w:val="ListNumber"/>
      </w:pPr>
      <w:r>
        <w:rPr>
          <w:b/>
        </w:rPr>
        <w:t>BOAC - BANK OF AFRICA COTE D'IVOIRE</w:t>
      </w:r>
      <w:r>
        <w:t xml:space="preserve"> | Prix: 10815 FCFA | </w:t>
      </w:r>
      <w:r>
        <w:rPr>
          <w:b/>
          <w:color w:val="008000"/>
        </w:rPr>
        <w:t>ACHAT</w:t>
      </w:r>
      <w:r>
        <w:t xml:space="preserve"> | Confiance: Élevée | Risque: Faible</w:t>
      </w:r>
    </w:p>
    <w:p>
      <w:pPr>
        <w:pStyle w:val="ListNumber"/>
      </w:pPr>
      <w:r>
        <w:rPr>
          <w:b/>
        </w:rPr>
        <w:t>BOAM - BANK OF AFRICA MALI</w:t>
      </w:r>
      <w:r>
        <w:t xml:space="preserve"> | Prix: 5665 FCFA | </w:t>
      </w:r>
      <w:r>
        <w:rPr>
          <w:b/>
          <w:color w:val="008000"/>
        </w:rPr>
        <w:t>ACHAT</w:t>
      </w:r>
      <w:r>
        <w:t xml:space="preserve"> | Confiance: Moyen | Risque: Faible</w:t>
      </w:r>
    </w:p>
    <w:p>
      <w:pPr>
        <w:pStyle w:val="ListNumber"/>
      </w:pPr>
      <w:r>
        <w:rPr>
          <w:b/>
        </w:rPr>
        <w:t>BOAN - BANK OF AFRICA NIGER</w:t>
      </w:r>
      <w:r>
        <w:t xml:space="preserve"> | Prix: 5290 FCFA | </w:t>
      </w:r>
      <w:r>
        <w:rPr>
          <w:b/>
          <w:color w:val="008000"/>
        </w:rPr>
        <w:t>ACHAT</w:t>
      </w:r>
      <w:r>
        <w:t xml:space="preserve"> | Confiance: Faible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SPHC - SPHC - Société Africaine de Plantation d'Hévéas de Côte d'Ivoire</w:t>
      </w:r>
      <w:r>
        <w:t xml:space="preserve"> | Prix: 7565 FCFA | </w:t>
      </w:r>
      <w:r>
        <w:rPr>
          <w:b/>
          <w:color w:val="C00000"/>
        </w:rPr>
        <w:t>CONSERVER ⚠️</w:t>
      </w:r>
      <w:r>
        <w:t xml:space="preserve"> | Confiance: Moyen | Risque: Moyen</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47.11%</w:t>
      </w:r>
      <w:r>
        <w:t xml:space="preserve">  |  </w:t>
      </w:r>
      <w:r>
        <w:rPr>
          <w:b/>
        </w:rPr>
        <w:t xml:space="preserve">vs BRVM Composite: </w:t>
      </w:r>
      <w:r>
        <w:rPr>
          <w:b/>
          <w:color w:val="008000"/>
        </w:rPr>
        <w:t>+29.81%  🟢 Surperformance</w:t>
      </w:r>
      <w:r>
        <w:br/>
      </w:r>
      <w:r>
        <w:rPr>
          <w:b/>
        </w:rPr>
        <w:t xml:space="preserve">Sentiment général: </w:t>
      </w:r>
      <w:r>
        <w:t xml:space="preserve">ACHAT  |  </w:t>
      </w:r>
      <w:r>
        <w:rPr>
          <w:b/>
        </w:rPr>
        <w:t xml:space="preserve">Risque moyen: </w:t>
      </w:r>
      <w:r>
        <w:t xml:space="preserve">Moyen  |  </w:t>
      </w:r>
      <w:r>
        <w:rPr>
          <w:b/>
        </w:rPr>
        <w:t xml:space="preserve">Prix moyen: </w:t>
      </w:r>
      <w:r>
        <w:t>8450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38.76%</w:t>
      </w:r>
      <w:r>
        <w:t xml:space="preserve">  |  </w:t>
      </w:r>
      <w:r>
        <w:rPr>
          <w:b/>
        </w:rPr>
        <w:t xml:space="preserve">vs BRVM Composite: </w:t>
      </w:r>
      <w:r>
        <w:rPr>
          <w:b/>
          <w:color w:val="008000"/>
        </w:rPr>
        <w:t>+21.45%  🟢 Surperformance</w:t>
      </w:r>
      <w:r>
        <w:br/>
      </w:r>
      <w:r>
        <w:rPr>
          <w:b/>
        </w:rPr>
        <w:t xml:space="preserve">Sentiment général: </w:t>
      </w:r>
      <w:r>
        <w:t xml:space="preserve">ACHAT  |  </w:t>
      </w:r>
      <w:r>
        <w:rPr>
          <w:b/>
        </w:rPr>
        <w:t xml:space="preserve">Risque moyen: </w:t>
      </w:r>
      <w:r>
        <w:t xml:space="preserve">Faible  |  </w:t>
      </w:r>
      <w:r>
        <w:rPr>
          <w:b/>
        </w:rPr>
        <w:t xml:space="preserve">Prix moyen: </w:t>
      </w:r>
      <w:r>
        <w:t>12782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18.73%</w:t>
      </w:r>
      <w:r>
        <w:t xml:space="preserve">  |  </w:t>
      </w:r>
      <w:r>
        <w:rPr>
          <w:b/>
        </w:rPr>
        <w:t xml:space="preserve">vs BRVM Composite: </w:t>
      </w:r>
      <w:r>
        <w:rPr>
          <w:b/>
          <w:color w:val="008000"/>
        </w:rPr>
        <w:t>+1.43%  🟢 Surperformance</w:t>
      </w:r>
      <w:r>
        <w:br/>
      </w:r>
      <w:r>
        <w:rPr>
          <w:b/>
        </w:rPr>
        <w:t xml:space="preserve">Sentiment général: </w:t>
      </w:r>
      <w:r>
        <w:t xml:space="preserve">ACHAT  |  </w:t>
      </w:r>
      <w:r>
        <w:rPr>
          <w:b/>
        </w:rPr>
        <w:t xml:space="preserve">Risque moyen: </w:t>
      </w:r>
      <w:r>
        <w:t xml:space="preserve">Moyen  |  </w:t>
      </w:r>
      <w:r>
        <w:rPr>
          <w:b/>
        </w:rPr>
        <w:t xml:space="preserve">Prix moyen: </w:t>
      </w:r>
      <w:r>
        <w:t>18152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9.78%</w:t>
      </w:r>
      <w:r>
        <w:t xml:space="preserve">  |  </w:t>
      </w:r>
      <w:r>
        <w:rPr>
          <w:b/>
        </w:rPr>
        <w:t xml:space="preserve">vs BRVM Composite: </w:t>
      </w:r>
      <w:r>
        <w:rPr>
          <w:b/>
          <w:color w:val="C00000"/>
        </w:rPr>
        <w:t>-7.53%  🔴 Sous-performance</w:t>
      </w:r>
      <w:r>
        <w:br/>
      </w:r>
      <w:r>
        <w:rPr>
          <w:b/>
        </w:rPr>
        <w:t xml:space="preserve">Sentiment général: </w:t>
      </w:r>
      <w:r>
        <w:t xml:space="preserve">ACHAT  |  </w:t>
      </w:r>
      <w:r>
        <w:rPr>
          <w:b/>
        </w:rPr>
        <w:t xml:space="preserve">Risque moyen: </w:t>
      </w:r>
      <w:r>
        <w:t xml:space="preserve">Moyen  |  </w:t>
      </w:r>
      <w:r>
        <w:rPr>
          <w:b/>
        </w:rPr>
        <w:t xml:space="preserve">Prix moyen: </w:t>
      </w:r>
      <w:r>
        <w:t>2828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7.30%</w:t>
      </w:r>
      <w:r>
        <w:t xml:space="preserve">  |  </w:t>
      </w:r>
      <w:r>
        <w:rPr>
          <w:b/>
        </w:rPr>
        <w:t xml:space="preserve">vs BRVM Composite: </w:t>
      </w:r>
      <w:r>
        <w:rPr>
          <w:b/>
          <w:color w:val="C00000"/>
        </w:rPr>
        <w:t>-10.01%  🔴 Sous-performance</w:t>
      </w:r>
      <w:r>
        <w:br/>
      </w:r>
      <w:r>
        <w:rPr>
          <w:b/>
        </w:rPr>
        <w:t xml:space="preserve">Sentiment général: </w:t>
      </w:r>
      <w:r>
        <w:t xml:space="preserve">ACHAT  |  </w:t>
      </w:r>
      <w:r>
        <w:rPr>
          <w:b/>
        </w:rPr>
        <w:t xml:space="preserve">Risque moyen: </w:t>
      </w:r>
      <w:r>
        <w:t xml:space="preserve">Faible  |  </w:t>
      </w:r>
      <w:r>
        <w:rPr>
          <w:b/>
        </w:rPr>
        <w:t xml:space="preserve">Prix moyen: </w:t>
      </w:r>
      <w:r>
        <w:t>16997 FCFA</w:t>
        <w:br/>
      </w:r>
      <w:r>
        <w:rPr>
          <w:b/>
        </w:rPr>
        <w:br/>
        <w:t xml:space="preserve">Sociétés: </w:t>
      </w:r>
      <w:r>
        <w:t>ONTBF (ONTBF - ONATEL BURKINA FASO), ORAC (ORAC - ORANGE COTE D'IVOIRE), SNTS (SNTS - SONATEL SN)</w:t>
      </w:r>
    </w:p>
    <w:p/>
    <w:p>
      <w:pPr>
        <w:pStyle w:val="Heading3"/>
      </w:pPr>
      <w:r>
        <w:t>Secteur: INDUSTRIELS</w:t>
      </w:r>
    </w:p>
    <w:p>
      <w:r>
        <w:rPr>
          <w:b/>
        </w:rPr>
        <w:t xml:space="preserve">Nombre de sociétés: </w:t>
      </w:r>
      <w:r>
        <w:t xml:space="preserve">6  |  </w:t>
      </w:r>
      <w:r>
        <w:rPr>
          <w:b/>
        </w:rPr>
        <w:t xml:space="preserve">Performance moyenne (100j): </w:t>
      </w:r>
      <w:r>
        <w:rPr>
          <w:color w:val="008000"/>
        </w:rPr>
        <w:t>0.99%</w:t>
      </w:r>
      <w:r>
        <w:t xml:space="preserve">  |  </w:t>
      </w:r>
      <w:r>
        <w:rPr>
          <w:b/>
        </w:rPr>
        <w:t xml:space="preserve">vs BRVM Composite: </w:t>
      </w:r>
      <w:r>
        <w:rPr>
          <w:b/>
          <w:color w:val="C00000"/>
        </w:rPr>
        <w:t>-16.31%  🔴 Sous-performance</w:t>
      </w:r>
      <w:r>
        <w:br/>
      </w:r>
      <w:r>
        <w:rPr>
          <w:b/>
        </w:rPr>
        <w:t xml:space="preserve">Sentiment général: </w:t>
      </w:r>
      <w:r>
        <w:t xml:space="preserve">ACHAT  |  </w:t>
      </w:r>
      <w:r>
        <w:rPr>
          <w:b/>
        </w:rPr>
        <w:t xml:space="preserve">Risque moyen: </w:t>
      </w:r>
      <w:r>
        <w:t xml:space="preserve">Moyen  |  </w:t>
      </w:r>
      <w:r>
        <w:rPr>
          <w:b/>
        </w:rPr>
        <w:t xml:space="preserve">Prix moyen: </w:t>
      </w:r>
      <w:r>
        <w:t>2421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0.92%</w:t>
      </w:r>
      <w:r>
        <w:t xml:space="preserve">  |  </w:t>
      </w:r>
      <w:r>
        <w:rPr>
          <w:b/>
        </w:rPr>
        <w:t xml:space="preserve">vs BRVM Composite: </w:t>
      </w:r>
      <w:r>
        <w:rPr>
          <w:b/>
          <w:color w:val="C00000"/>
        </w:rPr>
        <w:t>-16.39%  🔴 Sous-performance</w:t>
      </w:r>
      <w:r>
        <w:br/>
      </w:r>
      <w:r>
        <w:rPr>
          <w:b/>
        </w:rPr>
        <w:t xml:space="preserve">Sentiment général: </w:t>
      </w:r>
      <w:r>
        <w:t xml:space="preserve">ACHAT  |  </w:t>
      </w:r>
      <w:r>
        <w:rPr>
          <w:b/>
        </w:rPr>
        <w:t xml:space="preserve">Risque moyen: </w:t>
      </w:r>
      <w:r>
        <w:t xml:space="preserve">Moyen  |  </w:t>
      </w:r>
      <w:r>
        <w:rPr>
          <w:b/>
        </w:rPr>
        <w:t xml:space="preserve">Prix moyen: </w:t>
      </w:r>
      <w:r>
        <w:t>6081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BOAC, BOAS, CFAC, CIEC, LNBB, NEIC, PALC, SAFC, SGBC, SIVC, SLBC, SMBC, SNTS, TTLS, UNLC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BICC, BNBC, BOAB, BOAM, CBIBF, ECOC, ETIT, FTSC, ORAC, PRSC, SCRC, SEMC, SIBC, SICC, STAC, STBC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BOABF, BOAN, CABC, NSBC, NTLC, ONTBF, ORGT, SDCC, SDSC, SHEC, SOGC, TTLC, UNXC</w:t>
            </w:r>
          </w:p>
        </w:tc>
        <w:tc>
          <w:tcPr>
            <w:tcW w:type="dxa" w:w="2160"/>
            <w:shd w:fill="FFC7CE" w:val="clear"/>
          </w:tcPr>
          <w:p>
            <w:pPr>
              <w:spacing w:before="40" w:after="40"/>
            </w:pPr>
            <w:r/>
            <w:r>
              <w:rPr>
                <w:b w:val="0"/>
                <w:sz w:val="16"/>
              </w:rPr>
              <w:t>SPHC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2749502</w:t>
            </w:r>
          </w:p>
        </w:tc>
        <w:tc>
          <w:tcPr>
            <w:tcW w:type="dxa" w:w="1728"/>
          </w:tcPr>
          <w:p>
            <w:r>
              <w:t>184219997 FCFA</w:t>
            </w:r>
          </w:p>
        </w:tc>
        <w:tc>
          <w:tcPr>
            <w:tcW w:type="dxa" w:w="1728"/>
          </w:tcPr>
          <w:p>
            <w:r>
              <w:t>112.90%</w:t>
            </w:r>
          </w:p>
        </w:tc>
        <w:tc>
          <w:tcPr>
            <w:tcW w:type="dxa" w:w="1728"/>
          </w:tcPr>
          <w:p>
            <w:r>
              <w:t>ACHAT</w:t>
            </w:r>
          </w:p>
        </w:tc>
      </w:tr>
      <w:tr>
        <w:tc>
          <w:tcPr>
            <w:tcW w:type="dxa" w:w="1728"/>
          </w:tcPr>
          <w:p>
            <w:r>
              <w:t>UNXC (UNXC - UNIWAX COTE D'IVOIRE)</w:t>
            </w:r>
          </w:p>
        </w:tc>
        <w:tc>
          <w:tcPr>
            <w:tcW w:type="dxa" w:w="1728"/>
          </w:tcPr>
          <w:p>
            <w:r>
              <w:t>17685</w:t>
            </w:r>
          </w:p>
        </w:tc>
        <w:tc>
          <w:tcPr>
            <w:tcW w:type="dxa" w:w="1728"/>
          </w:tcPr>
          <w:p>
            <w:r>
              <w:t>28473408 FCFA</w:t>
            </w:r>
          </w:p>
        </w:tc>
        <w:tc>
          <w:tcPr>
            <w:tcW w:type="dxa" w:w="1728"/>
          </w:tcPr>
          <w:p>
            <w:r>
              <w:t>-2.51%</w:t>
            </w:r>
          </w:p>
        </w:tc>
        <w:tc>
          <w:tcPr>
            <w:tcW w:type="dxa" w:w="1728"/>
          </w:tcPr>
          <w:p>
            <w:r>
              <w:t>ACHAT</w:t>
            </w:r>
          </w:p>
        </w:tc>
      </w:tr>
      <w:tr>
        <w:tc>
          <w:tcPr>
            <w:tcW w:type="dxa" w:w="1728"/>
          </w:tcPr>
          <w:p>
            <w:r>
              <w:t>SDSC (SDSC - AFRICA GLOBAL LOGISTICS CI)</w:t>
            </w:r>
          </w:p>
        </w:tc>
        <w:tc>
          <w:tcPr>
            <w:tcW w:type="dxa" w:w="1728"/>
          </w:tcPr>
          <w:p>
            <w:r>
              <w:t>14632</w:t>
            </w:r>
          </w:p>
        </w:tc>
        <w:tc>
          <w:tcPr>
            <w:tcW w:type="dxa" w:w="1728"/>
          </w:tcPr>
          <w:p>
            <w:r>
              <w:t>37328318 FCFA</w:t>
            </w:r>
          </w:p>
        </w:tc>
        <w:tc>
          <w:tcPr>
            <w:tcW w:type="dxa" w:w="1728"/>
          </w:tcPr>
          <w:p>
            <w:r>
              <w:t>34.50%</w:t>
            </w:r>
          </w:p>
        </w:tc>
        <w:tc>
          <w:tcPr>
            <w:tcW w:type="dxa" w:w="1728"/>
          </w:tcPr>
          <w:p>
            <w:r>
              <w:t>ACHAT</w:t>
            </w:r>
          </w:p>
        </w:tc>
      </w:tr>
      <w:tr>
        <w:tc>
          <w:tcPr>
            <w:tcW w:type="dxa" w:w="1728"/>
          </w:tcPr>
          <w:p>
            <w:r>
              <w:t>BOAN (BANK OF AFRICA NIGER)</w:t>
            </w:r>
          </w:p>
        </w:tc>
        <w:tc>
          <w:tcPr>
            <w:tcW w:type="dxa" w:w="1728"/>
          </w:tcPr>
          <w:p>
            <w:r>
              <w:t>11247</w:t>
            </w:r>
          </w:p>
        </w:tc>
        <w:tc>
          <w:tcPr>
            <w:tcW w:type="dxa" w:w="1728"/>
          </w:tcPr>
          <w:p>
            <w:r>
              <w:t>53119196 FCFA</w:t>
            </w:r>
          </w:p>
        </w:tc>
        <w:tc>
          <w:tcPr>
            <w:tcW w:type="dxa" w:w="1728"/>
          </w:tcPr>
          <w:p>
            <w:r>
              <w:t>94.49%</w:t>
            </w:r>
          </w:p>
        </w:tc>
        <w:tc>
          <w:tcPr>
            <w:tcW w:type="dxa" w:w="1728"/>
          </w:tcPr>
          <w:p>
            <w:r>
              <w:t>ACHAT</w:t>
            </w:r>
          </w:p>
        </w:tc>
      </w:tr>
      <w:tr>
        <w:tc>
          <w:tcPr>
            <w:tcW w:type="dxa" w:w="1728"/>
          </w:tcPr>
          <w:p>
            <w:r>
              <w:t>BOAS (BANK OF AFRICA SENEGAL)</w:t>
            </w:r>
          </w:p>
        </w:tc>
        <w:tc>
          <w:tcPr>
            <w:tcW w:type="dxa" w:w="1728"/>
          </w:tcPr>
          <w:p>
            <w:r>
              <w:t>10270</w:t>
            </w:r>
          </w:p>
        </w:tc>
        <w:tc>
          <w:tcPr>
            <w:tcW w:type="dxa" w:w="1728"/>
          </w:tcPr>
          <w:p>
            <w:r>
              <w:t>75931718 FCFA</w:t>
            </w:r>
          </w:p>
        </w:tc>
        <w:tc>
          <w:tcPr>
            <w:tcW w:type="dxa" w:w="1728"/>
          </w:tcPr>
          <w:p>
            <w:r>
              <w:t>13.89%</w:t>
            </w:r>
          </w:p>
        </w:tc>
        <w:tc>
          <w:tcPr>
            <w:tcW w:type="dxa" w:w="1728"/>
          </w:tcPr>
          <w:p>
            <w:r>
              <w:t>ACHAT</w:t>
            </w:r>
          </w:p>
        </w:tc>
      </w:tr>
      <w:tr>
        <w:tc>
          <w:tcPr>
            <w:tcW w:type="dxa" w:w="1728"/>
          </w:tcPr>
          <w:p>
            <w:r>
              <w:t>SIBC (SIBC - SOCIETE IVOIRIENNE DE BANQUE)</w:t>
            </w:r>
          </w:p>
        </w:tc>
        <w:tc>
          <w:tcPr>
            <w:tcW w:type="dxa" w:w="1728"/>
          </w:tcPr>
          <w:p>
            <w:r>
              <w:t>9684</w:t>
            </w:r>
          </w:p>
        </w:tc>
        <w:tc>
          <w:tcPr>
            <w:tcW w:type="dxa" w:w="1728"/>
          </w:tcPr>
          <w:p>
            <w:r>
              <w:t>85871206 FCFA</w:t>
            </w:r>
          </w:p>
        </w:tc>
        <w:tc>
          <w:tcPr>
            <w:tcW w:type="dxa" w:w="1728"/>
          </w:tcPr>
          <w:p>
            <w:r>
              <w:t>32.35%</w:t>
            </w:r>
          </w:p>
        </w:tc>
        <w:tc>
          <w:tcPr>
            <w:tcW w:type="dxa" w:w="1728"/>
          </w:tcPr>
          <w:p>
            <w:r>
              <w:t>ACHAT</w:t>
            </w:r>
          </w:p>
        </w:tc>
      </w:tr>
      <w:tr>
        <w:tc>
          <w:tcPr>
            <w:tcW w:type="dxa" w:w="1728"/>
          </w:tcPr>
          <w:p>
            <w:r>
              <w:t>SNTS (SNTS - SONATEL SN)</w:t>
            </w:r>
          </w:p>
        </w:tc>
        <w:tc>
          <w:tcPr>
            <w:tcW w:type="dxa" w:w="1728"/>
          </w:tcPr>
          <w:p>
            <w:r>
              <w:t>9451</w:t>
            </w:r>
          </w:p>
        </w:tc>
        <w:tc>
          <w:tcPr>
            <w:tcW w:type="dxa" w:w="1728"/>
          </w:tcPr>
          <w:p>
            <w:r>
              <w:t>295671367 FCFA</w:t>
            </w:r>
          </w:p>
        </w:tc>
        <w:tc>
          <w:tcPr>
            <w:tcW w:type="dxa" w:w="1728"/>
          </w:tcPr>
          <w:p>
            <w:r>
              <w:t>9.93%</w:t>
            </w:r>
          </w:p>
        </w:tc>
        <w:tc>
          <w:tcPr>
            <w:tcW w:type="dxa" w:w="1728"/>
          </w:tcPr>
          <w:p>
            <w:r>
              <w:t>ACHAT</w:t>
            </w:r>
          </w:p>
        </w:tc>
      </w:tr>
      <w:tr>
        <w:tc>
          <w:tcPr>
            <w:tcW w:type="dxa" w:w="1728"/>
          </w:tcPr>
          <w:p>
            <w:r>
              <w:t>ONTBF (ONTBF - ONATEL BURKINA FASO)</w:t>
            </w:r>
          </w:p>
        </w:tc>
        <w:tc>
          <w:tcPr>
            <w:tcW w:type="dxa" w:w="1728"/>
          </w:tcPr>
          <w:p>
            <w:r>
              <w:t>8975</w:t>
            </w:r>
          </w:p>
        </w:tc>
        <w:tc>
          <w:tcPr>
            <w:tcW w:type="dxa" w:w="1728"/>
          </w:tcPr>
          <w:p>
            <w:r>
              <w:t>24507662 FCFA</w:t>
            </w:r>
          </w:p>
        </w:tc>
        <w:tc>
          <w:tcPr>
            <w:tcW w:type="dxa" w:w="1728"/>
          </w:tcPr>
          <w:p>
            <w:r>
              <w:t>5.09%</w:t>
            </w:r>
          </w:p>
        </w:tc>
        <w:tc>
          <w:tcPr>
            <w:tcW w:type="dxa" w:w="1728"/>
          </w:tcPr>
          <w:p>
            <w:r>
              <w:t>ACHAT</w:t>
            </w:r>
          </w:p>
        </w:tc>
      </w:tr>
      <w:tr>
        <w:tc>
          <w:tcPr>
            <w:tcW w:type="dxa" w:w="1728"/>
          </w:tcPr>
          <w:p>
            <w:r>
              <w:t>SCRC (SCRC - SUCRIVOIRE)</w:t>
            </w:r>
          </w:p>
        </w:tc>
        <w:tc>
          <w:tcPr>
            <w:tcW w:type="dxa" w:w="1728"/>
          </w:tcPr>
          <w:p>
            <w:r>
              <w:t>8583</w:t>
            </w:r>
          </w:p>
        </w:tc>
        <w:tc>
          <w:tcPr>
            <w:tcW w:type="dxa" w:w="1728"/>
          </w:tcPr>
          <w:p>
            <w:r>
              <w:t>30914660 FCFA</w:t>
            </w:r>
          </w:p>
        </w:tc>
        <w:tc>
          <w:tcPr>
            <w:tcW w:type="dxa" w:w="1728"/>
          </w:tcPr>
          <w:p>
            <w:r>
              <w:t>132.17%</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ABJC (ABJC - SERVAIR ABIDJAN CI)</w:t>
            </w:r>
          </w:p>
        </w:tc>
        <w:tc>
          <w:tcPr>
            <w:tcW w:type="dxa" w:w="1728"/>
          </w:tcPr>
          <w:p>
            <w:r>
              <w:t>3486</w:t>
            </w:r>
          </w:p>
        </w:tc>
        <w:tc>
          <w:tcPr>
            <w:tcW w:type="dxa" w:w="1728"/>
          </w:tcPr>
          <w:p>
            <w:r>
              <w:t>10577095 FCFA</w:t>
            </w:r>
          </w:p>
        </w:tc>
        <w:tc>
          <w:tcPr>
            <w:tcW w:type="dxa" w:w="1728"/>
          </w:tcPr>
          <w:p>
            <w:r>
              <w:t>-4.76%</w:t>
            </w:r>
          </w:p>
        </w:tc>
        <w:tc>
          <w:tcPr>
            <w:tcW w:type="dxa" w:w="1728"/>
          </w:tcPr>
          <w:p>
            <w:r>
              <w:t>ACHAT</w:t>
            </w:r>
          </w:p>
        </w:tc>
      </w:tr>
      <w:tr>
        <w:tc>
          <w:tcPr>
            <w:tcW w:type="dxa" w:w="1728"/>
          </w:tcPr>
          <w:p>
            <w:r>
              <w:t>SOGC (SOGC - Société des caoutchoucs de Grand-Béréby)</w:t>
            </w:r>
          </w:p>
        </w:tc>
        <w:tc>
          <w:tcPr>
            <w:tcW w:type="dxa" w:w="1728"/>
          </w:tcPr>
          <w:p>
            <w:r>
              <w:t>3447</w:t>
            </w:r>
          </w:p>
        </w:tc>
        <w:tc>
          <w:tcPr>
            <w:tcW w:type="dxa" w:w="1728"/>
          </w:tcPr>
          <w:p>
            <w:r>
              <w:t>28275613 FCFA</w:t>
            </w:r>
          </w:p>
        </w:tc>
        <w:tc>
          <w:tcPr>
            <w:tcW w:type="dxa" w:w="1728"/>
          </w:tcPr>
          <w:p>
            <w:r>
              <w:t>-6.58%</w:t>
            </w:r>
          </w:p>
        </w:tc>
        <w:tc>
          <w:tcPr>
            <w:tcW w:type="dxa" w:w="1728"/>
          </w:tcPr>
          <w:p>
            <w:r>
              <w:t>ACHAT</w:t>
            </w:r>
          </w:p>
        </w:tc>
      </w:tr>
      <w:tr>
        <w:tc>
          <w:tcPr>
            <w:tcW w:type="dxa" w:w="1728"/>
          </w:tcPr>
          <w:p>
            <w:r>
              <w:t>STBC (STBC - SITAB COTE D'IVOIRE)</w:t>
            </w:r>
          </w:p>
        </w:tc>
        <w:tc>
          <w:tcPr>
            <w:tcW w:type="dxa" w:w="1728"/>
          </w:tcPr>
          <w:p>
            <w:r>
              <w:t>3294</w:t>
            </w:r>
          </w:p>
        </w:tc>
        <w:tc>
          <w:tcPr>
            <w:tcW w:type="dxa" w:w="1728"/>
          </w:tcPr>
          <w:p>
            <w:r>
              <w:t>77574502 FCFA</w:t>
            </w:r>
          </w:p>
        </w:tc>
        <w:tc>
          <w:tcPr>
            <w:tcW w:type="dxa" w:w="1728"/>
          </w:tcPr>
          <w:p>
            <w:r>
              <w:t>8.36%</w:t>
            </w:r>
          </w:p>
        </w:tc>
        <w:tc>
          <w:tcPr>
            <w:tcW w:type="dxa" w:w="1728"/>
          </w:tcPr>
          <w:p>
            <w:r>
              <w:t>ACHAT</w:t>
            </w:r>
          </w:p>
        </w:tc>
      </w:tr>
      <w:tr>
        <w:tc>
          <w:tcPr>
            <w:tcW w:type="dxa" w:w="1728"/>
          </w:tcPr>
          <w:p>
            <w:r>
              <w:t>SGBC (SGBC - SOCIETE GENERALE COTE D'IVOIRE)</w:t>
            </w:r>
          </w:p>
        </w:tc>
        <w:tc>
          <w:tcPr>
            <w:tcW w:type="dxa" w:w="1728"/>
          </w:tcPr>
          <w:p>
            <w:r>
              <w:t>3275</w:t>
            </w:r>
          </w:p>
        </w:tc>
        <w:tc>
          <w:tcPr>
            <w:tcW w:type="dxa" w:w="1728"/>
          </w:tcPr>
          <w:p>
            <w:r>
              <w:t>125140562 FCFA</w:t>
            </w:r>
          </w:p>
        </w:tc>
        <w:tc>
          <w:tcPr>
            <w:tcW w:type="dxa" w:w="1728"/>
          </w:tcPr>
          <w:p>
            <w:r>
              <w:t>5.57%</w:t>
            </w:r>
          </w:p>
        </w:tc>
        <w:tc>
          <w:tcPr>
            <w:tcW w:type="dxa" w:w="1728"/>
          </w:tcPr>
          <w:p>
            <w:r>
              <w:t>ACHAT</w:t>
            </w:r>
          </w:p>
        </w:tc>
      </w:tr>
      <w:tr>
        <w:tc>
          <w:tcPr>
            <w:tcW w:type="dxa" w:w="1728"/>
          </w:tcPr>
          <w:p>
            <w:r>
              <w:t>CABC (CABC - SICABLE COTE D'IVOIRE)</w:t>
            </w:r>
          </w:p>
        </w:tc>
        <w:tc>
          <w:tcPr>
            <w:tcW w:type="dxa" w:w="1728"/>
          </w:tcPr>
          <w:p>
            <w:r>
              <w:t>2881</w:t>
            </w:r>
          </w:p>
        </w:tc>
        <w:tc>
          <w:tcPr>
            <w:tcW w:type="dxa" w:w="1728"/>
          </w:tcPr>
          <w:p>
            <w:r>
              <w:t>10856595 FCFA</w:t>
            </w:r>
          </w:p>
        </w:tc>
        <w:tc>
          <w:tcPr>
            <w:tcW w:type="dxa" w:w="1728"/>
          </w:tcPr>
          <w:p>
            <w:r>
              <w:t>-12.28%</w:t>
            </w:r>
          </w:p>
        </w:tc>
        <w:tc>
          <w:tcPr>
            <w:tcW w:type="dxa" w:w="1728"/>
          </w:tcPr>
          <w:p>
            <w:r>
              <w:t>ACHAT FORT</w:t>
            </w:r>
          </w:p>
        </w:tc>
      </w:tr>
      <w:tr>
        <w:tc>
          <w:tcPr>
            <w:tcW w:type="dxa" w:w="1728"/>
          </w:tcPr>
          <w:p>
            <w:r>
              <w:t>SLBC (SLBC - SOLIBRA COTE D'IVOIRE)</w:t>
            </w:r>
          </w:p>
        </w:tc>
        <w:tc>
          <w:tcPr>
            <w:tcW w:type="dxa" w:w="1728"/>
          </w:tcPr>
          <w:p>
            <w:r>
              <w:t>2753</w:t>
            </w:r>
          </w:p>
        </w:tc>
        <w:tc>
          <w:tcPr>
            <w:tcW w:type="dxa" w:w="1728"/>
          </w:tcPr>
          <w:p>
            <w:r>
              <w:t>108645233 FCFA</w:t>
            </w:r>
          </w:p>
        </w:tc>
        <w:tc>
          <w:tcPr>
            <w:tcW w:type="dxa" w:w="1728"/>
          </w:tcPr>
          <w:p>
            <w:r>
              <w:t>-7.57%</w:t>
            </w:r>
          </w:p>
        </w:tc>
        <w:tc>
          <w:tcPr>
            <w:tcW w:type="dxa" w:w="1728"/>
          </w:tcPr>
          <w:p>
            <w:r>
              <w:t>ACHAT</w:t>
            </w:r>
          </w:p>
        </w:tc>
      </w:tr>
      <w:tr>
        <w:tc>
          <w:tcPr>
            <w:tcW w:type="dxa" w:w="1728"/>
          </w:tcPr>
          <w:p>
            <w:r>
              <w:t>LNBB (LNBB - LOTERIE NATIONALE DU BENIN)</w:t>
            </w:r>
          </w:p>
        </w:tc>
        <w:tc>
          <w:tcPr>
            <w:tcW w:type="dxa" w:w="1728"/>
          </w:tcPr>
          <w:p>
            <w:r>
              <w:t>2569</w:t>
            </w:r>
          </w:p>
        </w:tc>
        <w:tc>
          <w:tcPr>
            <w:tcW w:type="dxa" w:w="1728"/>
          </w:tcPr>
          <w:p>
            <w:r>
              <w:t>10924797 FCFA</w:t>
            </w:r>
          </w:p>
        </w:tc>
        <w:tc>
          <w:tcPr>
            <w:tcW w:type="dxa" w:w="1728"/>
          </w:tcPr>
          <w:p>
            <w:r>
              <w:t>15.53%</w:t>
            </w:r>
          </w:p>
        </w:tc>
        <w:tc>
          <w:tcPr>
            <w:tcW w:type="dxa" w:w="1728"/>
          </w:tcPr>
          <w:p>
            <w:r>
              <w:t>ACHAT</w:t>
            </w:r>
          </w:p>
        </w:tc>
      </w:tr>
      <w:tr>
        <w:tc>
          <w:tcPr>
            <w:tcW w:type="dxa" w:w="1728"/>
          </w:tcPr>
          <w:p>
            <w:r>
              <w:t>NEIC (NEIC - NEI-CEDA CI)</w:t>
            </w:r>
          </w:p>
        </w:tc>
        <w:tc>
          <w:tcPr>
            <w:tcW w:type="dxa" w:w="1728"/>
          </w:tcPr>
          <w:p>
            <w:r>
              <w:t>2158</w:t>
            </w:r>
          </w:p>
        </w:tc>
        <w:tc>
          <w:tcPr>
            <w:tcW w:type="dxa" w:w="1728"/>
          </w:tcPr>
          <w:p>
            <w:r>
              <w:t>4720023 FCFA</w:t>
            </w:r>
          </w:p>
        </w:tc>
        <w:tc>
          <w:tcPr>
            <w:tcW w:type="dxa" w:w="1728"/>
          </w:tcPr>
          <w:p>
            <w:r>
              <w:t>62.86%</w:t>
            </w:r>
          </w:p>
        </w:tc>
        <w:tc>
          <w:tcPr>
            <w:tcW w:type="dxa" w:w="1728"/>
          </w:tcPr>
          <w:p>
            <w:r>
              <w:t>ACHAT</w:t>
            </w:r>
          </w:p>
        </w:tc>
      </w:tr>
      <w:tr>
        <w:tc>
          <w:tcPr>
            <w:tcW w:type="dxa" w:w="1728"/>
          </w:tcPr>
          <w:p>
            <w:r>
              <w:t>SMBC (SMBC - Société Multinationale de Bitumes COTE D'IVOIRE)</w:t>
            </w:r>
          </w:p>
        </w:tc>
        <w:tc>
          <w:tcPr>
            <w:tcW w:type="dxa" w:w="1728"/>
          </w:tcPr>
          <w:p>
            <w:r>
              <w:t>1998</w:t>
            </w:r>
          </w:p>
        </w:tc>
        <w:tc>
          <w:tcPr>
            <w:tcW w:type="dxa" w:w="1728"/>
          </w:tcPr>
          <w:p>
            <w:r>
              <w:t>32831338 FCFA</w:t>
            </w:r>
          </w:p>
        </w:tc>
        <w:tc>
          <w:tcPr>
            <w:tcW w:type="dxa" w:w="1728"/>
          </w:tcPr>
          <w:p>
            <w:r>
              <w:t>15.63%</w:t>
            </w:r>
          </w:p>
        </w:tc>
        <w:tc>
          <w:tcPr>
            <w:tcW w:type="dxa" w:w="1728"/>
          </w:tcPr>
          <w:p>
            <w:r>
              <w:t>ACHAT</w:t>
            </w:r>
          </w:p>
        </w:tc>
      </w:tr>
      <w:tr>
        <w:tc>
          <w:tcPr>
            <w:tcW w:type="dxa" w:w="1728"/>
          </w:tcPr>
          <w:p>
            <w:r>
              <w:t>SPHC (SPHC - Société Africaine de Plantation d'Hévéas de Côte d'Ivoire)</w:t>
            </w:r>
          </w:p>
        </w:tc>
        <w:tc>
          <w:tcPr>
            <w:tcW w:type="dxa" w:w="1728"/>
          </w:tcPr>
          <w:p>
            <w:r>
              <w:t>1786</w:t>
            </w:r>
          </w:p>
        </w:tc>
        <w:tc>
          <w:tcPr>
            <w:tcW w:type="dxa" w:w="1728"/>
          </w:tcPr>
          <w:p>
            <w:r>
              <w:t>13299142 FCFA</w:t>
            </w:r>
          </w:p>
        </w:tc>
        <w:tc>
          <w:tcPr>
            <w:tcW w:type="dxa" w:w="1728"/>
          </w:tcPr>
          <w:p>
            <w:r>
              <w:t>-8.08%</w:t>
            </w:r>
          </w:p>
        </w:tc>
        <w:tc>
          <w:tcPr>
            <w:tcW w:type="dxa" w:w="1728"/>
          </w:tcPr>
          <w:p>
            <w:r>
              <w:t>CONSERVER ⚠️</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ONTBF - ONTBF - ONATEL BURKINA FASO</w:t>
      </w:r>
    </w:p>
    <w:p>
      <w:r>
        <w:rPr>
          <w:b/>
        </w:rPr>
        <w:t xml:space="preserve">Score de divergence: </w:t>
      </w:r>
      <w:r>
        <w:t>6/8</w:t>
        <w:br/>
      </w:r>
      <w:r>
        <w:rPr>
          <w:b/>
        </w:rPr>
        <w:t xml:space="preserve">Description: </w:t>
      </w:r>
      <w:r>
        <w:t>Signaux d'achat: MACD | Signaux de vente: MM, Bollinger, RSI, Stochastique | Recommandation finale: ACHAT</w:t>
        <w:br/>
      </w:r>
    </w:p>
    <w:p/>
    <w:p>
      <w:pPr>
        <w:pStyle w:val="Heading3"/>
      </w:pPr>
      <w:r>
        <w:t>2. ABJC - ABJC - SERVAIR ABIDJAN CI</w:t>
      </w:r>
    </w:p>
    <w:p>
      <w:r>
        <w:rPr>
          <w:b/>
        </w:rPr>
        <w:t xml:space="preserve">Score de divergence: </w:t>
      </w:r>
      <w:r>
        <w:t>5/8</w:t>
        <w:br/>
      </w:r>
      <w:r>
        <w:rPr>
          <w:b/>
        </w:rPr>
        <w:t xml:space="preserve">Description: </w:t>
      </w:r>
      <w:r>
        <w:t>Signaux de vente: MM, MACD | Recommandation finale: ACHAT</w:t>
        <w:br/>
      </w:r>
    </w:p>
    <w:p/>
    <w:p>
      <w:pPr>
        <w:pStyle w:val="Heading3"/>
      </w:pPr>
      <w:r>
        <w:t>3. BOABF - BANK OF AFRICA BURKINA FASO</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4. NTLC - NTLC - NESTLE COTE D'IVOIRE</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5. UNXC - UNXC - UNIWAX COTE D'IVOIRE</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6. BOAN - BANK OF AFRICA NIGER</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7. CABC - CABC - SICABLE COTE D'IVOIRE</w:t>
      </w:r>
    </w:p>
    <w:p>
      <w:r>
        <w:rPr>
          <w:b/>
        </w:rPr>
        <w:t xml:space="preserve">Score de divergence: </w:t>
      </w:r>
      <w:r>
        <w:t>4/8</w:t>
        <w:br/>
      </w:r>
      <w:r>
        <w:rPr>
          <w:b/>
        </w:rPr>
        <w:t xml:space="preserve">Description: </w:t>
      </w:r>
      <w:r>
        <w:t>Signaux d'achat: Stochastique | Signaux de vente: MM, MACD | Recommandation finale: ACHAT FORT</w:t>
        <w:br/>
      </w:r>
    </w:p>
    <w:p/>
    <w:p>
      <w:pPr>
        <w:pStyle w:val="Heading3"/>
      </w:pPr>
      <w:r>
        <w:t>8. NSBC - NSBC - NSIA BANQUE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ORGT - ORGT - ORAGROUP TOGO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10. SDCC - SDCC - Société de Distribution d'Eau de Côte d'Ivoire</w:t>
      </w:r>
    </w:p>
    <w:p>
      <w:r>
        <w:rPr>
          <w:b/>
        </w:rPr>
        <w:t xml:space="preserve">Score de divergence: </w:t>
      </w:r>
      <w:r>
        <w:t>4/8</w:t>
        <w:br/>
      </w:r>
      <w:r>
        <w:rPr>
          <w:b/>
        </w:rPr>
        <w:t xml:space="preserve">Description: </w:t>
      </w:r>
      <w:r>
        <w:t>Signaux d'achat: MM | Signaux de vente: MACD,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25</w:t>
            </w:r>
          </w:p>
        </w:tc>
        <w:tc>
          <w:tcPr>
            <w:tcW w:type="dxa" w:w="2160"/>
          </w:tcPr>
          <w:p>
            <w:r>
              <w:t>0</w:t>
            </w:r>
          </w:p>
        </w:tc>
      </w:tr>
      <w:tr>
        <w:tc>
          <w:tcPr>
            <w:tcW w:type="dxa" w:w="2160"/>
          </w:tcPr>
          <w:p>
            <w:r>
              <w:t>Risque Moyen</w:t>
            </w:r>
          </w:p>
        </w:tc>
        <w:tc>
          <w:tcPr>
            <w:tcW w:type="dxa" w:w="2160"/>
          </w:tcPr>
          <w:p>
            <w:r>
              <w:t>0</w:t>
            </w:r>
          </w:p>
        </w:tc>
        <w:tc>
          <w:tcPr>
            <w:tcW w:type="dxa" w:w="2160"/>
          </w:tcPr>
          <w:p>
            <w:r>
              <w:t>22</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BICB (BIIC BN - Banque internationale pour le commerce du benin)</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SNTS (SNTS - SONATEL SN)</w:t>
      </w:r>
    </w:p>
    <w:p>
      <w:pPr>
        <w:pStyle w:val="ListBullet"/>
      </w:pPr>
      <w:r>
        <w:t>• SOGC (SOGC - Société des caoutchoucs de Grand-Béréby)</w:t>
      </w:r>
    </w:p>
    <w:p>
      <w:pPr>
        <w:pStyle w:val="ListBullet"/>
      </w:pPr>
      <w:r>
        <w:t>• STBC (STBC - SITAB COTE D'IVOIRE)</w:t>
      </w:r>
    </w:p>
    <w:p>
      <w:pPr>
        <w:pStyle w:val="ListBullet"/>
      </w:pPr>
      <w:r>
        <w:t>• TTLC (TTLC - TOTAL ENERGIES MARKETING COTE D'IVOIRE)</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BICC (BICI CI - Banque internationale pour le commerce et l'industrie de la Côte d'Ivoire)</w:t>
      </w:r>
    </w:p>
    <w:p>
      <w:pPr>
        <w:pStyle w:val="ListBullet"/>
      </w:pPr>
      <w:r>
        <w:t>• BNBC (BNBC - BERNABE CI)</w:t>
      </w:r>
    </w:p>
    <w:p>
      <w:pPr>
        <w:pStyle w:val="ListBullet"/>
      </w:pPr>
      <w:r>
        <w:t>• BOAN (BANK OF AFRICA NIGER)</w:t>
      </w:r>
    </w:p>
    <w:p>
      <w:pPr>
        <w:pStyle w:val="ListBullet"/>
      </w:pPr>
      <w:r>
        <w:t>• CABC (CABC - SICABLE COTE D'IVOIRE)</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SICC (SICC - SICOR COTE D'IVOIRE)</w:t>
      </w:r>
    </w:p>
    <w:p>
      <w:pPr>
        <w:pStyle w:val="ListBullet"/>
      </w:pPr>
      <w:r>
        <w:t>• SMBC (SMBC - Société Multinationale de Bitumes COTE D'IVOIRE)</w:t>
      </w:r>
    </w:p>
    <w:p>
      <w:pPr>
        <w:pStyle w:val="ListBullet"/>
      </w:pPr>
      <w:r>
        <w:t>• SPHC (SPHC - Société Africaine de Plantation d'Hévéas de Côte d'Ivoire)</w:t>
      </w:r>
    </w:p>
    <w:p>
      <w:pPr>
        <w:pStyle w:val="ListBullet"/>
      </w:pPr>
      <w:r>
        <w:t>• STAC (STAC - SETAO COTE D'IVOIRE)</w:t>
      </w:r>
    </w:p>
    <w:p>
      <w:pPr>
        <w:pStyle w:val="ListBullet"/>
      </w:pPr>
      <w:r>
        <w:t>• TTLS (TTLS - TOTAL ENERGIES MARKETING SENEGAL)</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spacing w:before="20" w:after="40"/>
        <w:ind w:left="0"/>
      </w:pPr>
      <w:r>
        <w:rPr>
          <w:sz w:val="18"/>
        </w:rPr>
        <w:t>**RAPPORT D'ANALYSE MACRO-FINANCIÈRE – BRVM**</w:t>
      </w:r>
    </w:p>
    <w:p>
      <w:pPr>
        <w:spacing w:before="20" w:after="40"/>
        <w:ind w:left="0"/>
      </w:pPr>
      <w:r>
        <w:rPr>
          <w:sz w:val="18"/>
        </w:rPr>
        <w:t>**Date du rapport : 02 Août 2026**</w:t>
      </w:r>
    </w:p>
    <w:p>
      <w:pPr>
        <w:spacing w:before="20" w:after="40"/>
        <w:ind w:left="0"/>
      </w:pPr>
      <w:r>
        <w:rPr>
          <w:sz w:val="18"/>
        </w:rPr>
        <w:t>**Indice BRVM Composite : 482.65 pts**</w:t>
      </w:r>
    </w:p>
    <w:p>
      <w:pPr>
        <w:spacing w:before="20" w:after="40"/>
        <w:ind w:left="0"/>
      </w:pPr>
      <w:r>
        <w:rPr>
          <w:sz w:val="18"/>
        </w:rPr>
        <w:t>---</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marchés mondiaux sont sous tension. On note un retour de la pression vendeuse sur les matières premières, avec une chute marquée des prix du pétrole. Parallèlement, les capitaux se dirigent vers les valeurs refuges, signe d'une aversion au risque accrue. Enfin, Wall Street traverse une période d'instabilité, les investisseurs attendant avec prudence les chiffres de l'emploi américain pour jauger la trajectoire de la Fed.</w:t>
      </w:r>
    </w:p>
    <w:p>
      <w:pPr>
        <w:pStyle w:val="Heading3"/>
      </w:pPr>
      <w:r>
        <w:rPr>
          <w:color w:val="500050"/>
        </w:rPr>
        <w:t>⚡ Impact estimé sur la BRVM</w:t>
      </w:r>
    </w:p>
    <w:p>
      <w:pPr>
        <w:spacing w:before="20" w:after="40"/>
        <w:ind w:left="280"/>
      </w:pPr>
      <w:r>
        <w:rPr>
          <w:i/>
          <w:sz w:val="18"/>
        </w:rPr>
        <w:t>La baisse des prix du pétrole est un facteur négatif pour le secteur de l'ÉNERGIE, impactant potentiellement les marges de **TTLS** et **SMBC**. L'aversion au risque mondiale pourrait réduire l'appétit des investisseurs étrangers pour les actifs émergents, dont la BRVM, limitant les flux entrants à court terme.</w:t>
      </w:r>
    </w:p>
    <w:p>
      <w:pPr>
        <w:pStyle w:val="Heading2"/>
      </w:pPr>
      <w:r>
        <w:rPr>
          <w:color w:val="006E32"/>
        </w:rPr>
        <w:t>🌍 Plan Africain</w:t>
      </w:r>
    </w:p>
    <w:p>
      <w:pPr>
        <w:spacing w:before="20" w:after="40"/>
        <w:ind w:left="0"/>
      </w:pPr>
      <w:r>
        <w:rPr>
          <w:sz w:val="18"/>
        </w:rPr>
        <w:t>Sur le continent, l'accent est mis sur les investissements structurels. L'OMS recommande l'investissement privé dans la santé en Mauritanie, tandis qu'un officiel sénégalais souligne le potentiel de l'économie des soins comme levier de croissance stratégique. La Senelec a par ailleurs émis 108 milliards de FCFA de dette verte sur la place de Luxembourg.</w:t>
      </w:r>
    </w:p>
    <w:p>
      <w:pPr>
        <w:pStyle w:val="Heading3"/>
      </w:pPr>
      <w:r>
        <w:rPr>
          <w:color w:val="500050"/>
        </w:rPr>
        <w:t>⚡ Impact estimé sur la BRVM</w:t>
      </w:r>
    </w:p>
    <w:p>
      <w:pPr>
        <w:spacing w:before="20" w:after="40"/>
        <w:ind w:left="280"/>
      </w:pPr>
      <w:r>
        <w:rPr>
          <w:i/>
          <w:sz w:val="18"/>
        </w:rPr>
        <w:t>Ces nouvelles sont positives pour les perspectives de croissance à long terme de la région. L'émission de dette verte par la Senelec démontre la vitalité du marché obligataire ouest-africain. Cela pourrait indirectement soutenir les banques cotées comme **BOAC** et **BOAS** qui participent au montage de ces financements, sans impact direct immédiat sur les cours.</w:t>
      </w:r>
    </w:p>
    <w:p>
      <w:pPr>
        <w:pStyle w:val="Heading2"/>
      </w:pPr>
      <w:r>
        <w:rPr>
          <w:color w:val="145A28"/>
        </w:rPr>
        <w:t>🌍 Plan Afrique de l'Ouest</w:t>
      </w:r>
    </w:p>
    <w:p>
      <w:pPr>
        <w:spacing w:before="20" w:after="40"/>
        <w:ind w:left="0"/>
      </w:pPr>
      <w:r>
        <w:rPr>
          <w:sz w:val="18"/>
        </w:rPr>
        <w:t>Le débat sur la monnaie unique de la CEDEAO, l'Eco, reste central. La Guinée a officiellement renoncé à l'adopter, préférant conserver son franc national. Les critiques comparent ce projet à un "copier-coller" de la zone euro, soulignant les défis économiques et institutionnels à relever pour une convergence réussie.</w:t>
      </w:r>
    </w:p>
    <w:p>
      <w:pPr>
        <w:pStyle w:val="Heading3"/>
      </w:pPr>
      <w:r>
        <w:rPr>
          <w:color w:val="500050"/>
        </w:rPr>
        <w:t>⚡ Impact estimé sur la BRVM</w:t>
      </w:r>
    </w:p>
    <w:p>
      <w:pPr>
        <w:spacing w:before="20" w:after="40"/>
        <w:ind w:left="280"/>
      </w:pPr>
      <w:r>
        <w:rPr>
          <w:i/>
          <w:sz w:val="18"/>
        </w:rPr>
        <w:t>Le retrait de la Guinée et les doutes sur l'Eco renforcent le statut du FCFA et de l'UEMOA comme zone de stabilité monétaire. Cela rassure les investisseurs de la BRVM, qui voient le risque de change et d'instabilité monétaire rester contenu pour les sociétés cotées opérant dans la zone franc.</w:t>
      </w:r>
    </w:p>
    <w:p>
      <w:pPr>
        <w:pStyle w:val="Heading2"/>
      </w:pPr>
      <w:r>
        <w:rPr>
          <w:color w:val="8C4600"/>
        </w:rPr>
        <w:t>🏦 Plan UEMOA / Zone Franc</w:t>
      </w:r>
    </w:p>
    <w:p>
      <w:pPr>
        <w:spacing w:before="20" w:after="40"/>
        <w:ind w:left="0"/>
      </w:pPr>
      <w:r>
        <w:rPr>
          <w:sz w:val="18"/>
        </w:rPr>
        <w:t>Données insuffisantes concernant les décisions de politique monétaire de la BCEAO, l'inflation dans la zone ou la liquidité bancaire pour cette période. Les actualités se concentrent principalement sur la politique nationale des États membres.</w:t>
      </w:r>
    </w:p>
    <w:p>
      <w:pPr>
        <w:pStyle w:val="Heading3"/>
      </w:pPr>
      <w:r>
        <w:rPr>
          <w:color w:val="500050"/>
        </w:rPr>
        <w:t>⚡ Impact estimé sur la BRVM</w:t>
      </w:r>
    </w:p>
    <w:p>
      <w:pPr>
        <w:spacing w:before="20" w:after="40"/>
        <w:ind w:left="280"/>
      </w:pPr>
      <w:r>
        <w:rPr>
          <w:i/>
          <w:sz w:val="18"/>
        </w:rPr>
        <w:t>En l'absence de données macroéconomiques spécifiques à l'UEMOA, l'impact direct sur les secteurs de la cote (banques, agro-industrie, distribution) ne peut être évalué avec précision. L'attention se portera sur les publications de résultats semestriels des sociétés.</w:t>
      </w:r>
    </w:p>
    <w:p>
      <w:pPr>
        <w:pStyle w:val="Heading2"/>
      </w:pPr>
      <w:r>
        <w:rPr>
          <w:color w:val="003366"/>
        </w:rPr>
        <w:t>📈 Plan BRVM</w:t>
      </w:r>
    </w:p>
    <w:p>
      <w:pPr>
        <w:spacing w:before="20" w:after="40"/>
        <w:ind w:left="0"/>
      </w:pPr>
      <w:r>
        <w:rPr>
          <w:sz w:val="18"/>
        </w:rPr>
        <w:t>Les résultats encourageants des sociétés cotées ivoiriennes, rapportés en juin, ont créé un sentiment positif persistant sur le marché. L'indice composite se maintient à un niveau stable de 482.65 points.</w:t>
      </w:r>
    </w:p>
    <w:p>
      <w:pPr>
        <w:pStyle w:val="Heading3"/>
      </w:pPr>
      <w:r>
        <w:rPr>
          <w:color w:val="500050"/>
        </w:rPr>
        <w:t>⚡ Impact estimé sur la BRVM</w:t>
      </w:r>
    </w:p>
    <w:p>
      <w:pPr>
        <w:spacing w:before="20" w:after="40"/>
        <w:ind w:left="280"/>
      </w:pPr>
      <w:r>
        <w:rPr>
          <w:i/>
          <w:sz w:val="18"/>
        </w:rPr>
        <w:t>La dynamique positive des résultats devrait continuer de soutenir les valeurs bancaires et industrielles. Les investisseurs resteront attentifs aux prochains rendez-vous, notamment les assemblées générales et le versement des dividendes, qui pourraient soutenir des titres comme **SGBC**, **BICB** et **PALC**.</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Aucune actualité géopolitique majeure (conflits, sanctions, élections) n'a été rapportée dans les flux d'informations fournis pour cette période.</w:t>
      </w:r>
    </w:p>
    <w:p>
      <w:pPr>
        <w:pStyle w:val="Heading3"/>
      </w:pPr>
      <w:r>
        <w:rPr>
          <w:color w:val="500050"/>
        </w:rPr>
        <w:t>⚡ Impact estimé sur la BRVM</w:t>
      </w:r>
    </w:p>
    <w:p>
      <w:pPr>
        <w:spacing w:before="20" w:after="40"/>
        <w:ind w:left="280"/>
      </w:pPr>
      <w:r>
        <w:rPr>
          <w:i/>
          <w:sz w:val="18"/>
        </w:rPr>
        <w:t>Données insuffisantes. L'absence de chocs géopolitiques majeurs est un facteur neutre, permettant au marché de se concentrer sur les fondamentaux économiques régionaux.</w:t>
      </w:r>
    </w:p>
    <w:p>
      <w:pPr>
        <w:pStyle w:val="Heading2"/>
      </w:pPr>
      <w:r>
        <w:rPr>
          <w:color w:val="006E32"/>
        </w:rPr>
        <w:t>🌍 Plan Africain</w:t>
      </w:r>
    </w:p>
    <w:p>
      <w:pPr>
        <w:spacing w:before="20" w:after="40"/>
        <w:ind w:left="0"/>
      </w:pPr>
      <w:r>
        <w:rPr>
          <w:sz w:val="18"/>
        </w:rPr>
        <w:t>La stabilité politique relative prévaut, avec des signaux contrastés. La libération de l'ancien Premier ministre malien, Moussa Mara, après un an de détention, est un événement notable. Il déclare ne pas avoir de projet politique, ce qui pourrait apaiser les tensions dans le pays.</w:t>
      </w:r>
    </w:p>
    <w:p>
      <w:pPr>
        <w:pStyle w:val="Heading3"/>
      </w:pPr>
      <w:r>
        <w:rPr>
          <w:color w:val="500050"/>
        </w:rPr>
        <w:t>⚡ Impact estimé sur la BRVM</w:t>
      </w:r>
    </w:p>
    <w:p>
      <w:pPr>
        <w:spacing w:before="20" w:after="40"/>
        <w:ind w:left="280"/>
      </w:pPr>
      <w:r>
        <w:rPr>
          <w:i/>
          <w:sz w:val="18"/>
        </w:rPr>
        <w:t>La normalisation de la situation politique au Mali, un pays membre de l'UEMOA, est un signal positif pour la confiance des investisseurs régionaux. Cela réduit le risque politique perçu pour les groupes cotés ayant des activités dans le pays, comme **SNTS** ou **ORAC**, et favorise un climat des affaires plus serein.</w:t>
      </w:r>
    </w:p>
    <w:p>
      <w:pPr>
        <w:pStyle w:val="Heading2"/>
      </w:pPr>
      <w:r>
        <w:rPr>
          <w:color w:val="145A28"/>
        </w:rPr>
        <w:t>🌍 Plan Afrique de l'Ouest</w:t>
      </w:r>
    </w:p>
    <w:p>
      <w:pPr>
        <w:spacing w:before="20" w:after="40"/>
        <w:ind w:left="0"/>
      </w:pPr>
      <w:r>
        <w:rPr>
          <w:sz w:val="18"/>
        </w:rPr>
        <w:t>Les dynamiques politiques sont marquées par des décisions souveraines et des apaisements diplomatiques. La Guinée confirme son retrait du projet de monnaie unique, tandis que le Sénégal et la Gambie signent un accord définitif sur leur frontière sud, mettant fin à un différend de longue date.</w:t>
      </w:r>
    </w:p>
    <w:p>
      <w:pPr>
        <w:pStyle w:val="Heading3"/>
      </w:pPr>
      <w:r>
        <w:rPr>
          <w:color w:val="500050"/>
        </w:rPr>
        <w:t>⚡ Impact estimé sur la BRVM</w:t>
      </w:r>
    </w:p>
    <w:p>
      <w:pPr>
        <w:spacing w:before="20" w:after="40"/>
        <w:ind w:left="280"/>
      </w:pPr>
      <w:r>
        <w:rPr>
          <w:i/>
          <w:sz w:val="18"/>
        </w:rPr>
        <w:t>L'accord Sénégal-Gambie est un facteur de stabilité régionale qui sécurise les échanges transfrontaliers. Cela est bénéfique pour les sociétés de distribution et de logistique opérant dans la sous-région. La décision guinéenne, bien que neutre pour la BRVM, souligne les défis de l'intégration économique.</w:t>
      </w:r>
    </w:p>
    <w:p>
      <w:pPr>
        <w:pStyle w:val="Heading2"/>
      </w:pPr>
      <w:r>
        <w:rPr>
          <w:color w:val="8C4600"/>
        </w:rPr>
        <w:t>🏦 Plan UEMOA / Zone Franc</w:t>
      </w:r>
    </w:p>
    <w:p>
      <w:pPr>
        <w:spacing w:before="20" w:after="40"/>
        <w:ind w:left="0"/>
      </w:pPr>
      <w:r>
        <w:rPr>
          <w:sz w:val="18"/>
        </w:rPr>
        <w:t>Les actualités politiques sont dominées par les débats nationaux. Au Sénégal, la question du retour au septennat présidentiel est close par la figure politique Aminata Touré. Au Mali, la libération de Moussa Mara marque un apaisement.</w:t>
      </w:r>
    </w:p>
    <w:p>
      <w:pPr>
        <w:pStyle w:val="Heading3"/>
      </w:pPr>
      <w:r>
        <w:rPr>
          <w:color w:val="500050"/>
        </w:rPr>
        <w:t>⚡ Impact estimé sur la BRVM</w:t>
      </w:r>
    </w:p>
    <w:p>
      <w:pPr>
        <w:spacing w:before="20" w:after="40"/>
        <w:ind w:left="280"/>
      </w:pPr>
      <w:r>
        <w:rPr>
          <w:i/>
          <w:sz w:val="18"/>
        </w:rPr>
        <w:t>La clarification du calendrier et des règles politiques au Sénégal, un poids lourd économique de l'UEMOA, est un facteur de stabilité pour les investisseurs. Cela réduit l'incertitude réglementaire et politique pour les filiales des groupes cotés présents dans le pays.</w:t>
      </w:r>
    </w:p>
    <w:p>
      <w:pPr>
        <w:pStyle w:val="Heading2"/>
      </w:pPr>
      <w:r>
        <w:rPr>
          <w:color w:val="003366"/>
        </w:rPr>
        <w:t>📈 Plan BRVM</w:t>
      </w:r>
    </w:p>
    <w:p>
      <w:pPr>
        <w:spacing w:before="20" w:after="40"/>
        <w:ind w:left="0"/>
      </w:pPr>
      <w:r>
        <w:rPr>
          <w:sz w:val="18"/>
        </w:rPr>
        <w:t>Aucune actualité spécifique concernant la réglementation CREPMF, de nouvelles cotations ou des changements de gouvernance au sein des sociétés cotées n'a été rapportée.</w:t>
      </w:r>
    </w:p>
    <w:p>
      <w:pPr>
        <w:pStyle w:val="Heading3"/>
      </w:pPr>
      <w:r>
        <w:rPr>
          <w:color w:val="500050"/>
        </w:rPr>
        <w:t>⚡ Impact estimé sur la BRVM</w:t>
      </w:r>
    </w:p>
    <w:p>
      <w:pPr>
        <w:spacing w:before="20" w:after="40"/>
        <w:ind w:left="280"/>
      </w:pPr>
      <w:r>
        <w:rPr>
          <w:i/>
          <w:sz w:val="18"/>
        </w:rPr>
        <w:t>Données insuffisantes. L'absence de nouvelles réglementaires majeures laisse le marché se concentrer sur les fondamentaux et les tendances de liquidité.</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Les marchés financiers mondiaux sont dans l'attente, avec une instabilité notable à Wall Street. Le pétrole est en forte baisse, ce qui pèse sur les indices de matières premières.</w:t>
      </w:r>
    </w:p>
    <w:p>
      <w:pPr>
        <w:pStyle w:val="Heading3"/>
      </w:pPr>
      <w:r>
        <w:rPr>
          <w:color w:val="500050"/>
        </w:rPr>
        <w:t>⚡ Impact estimé sur la BRVM</w:t>
      </w:r>
    </w:p>
    <w:p>
      <w:pPr>
        <w:spacing w:before="20" w:after="40"/>
        <w:ind w:left="280"/>
      </w:pPr>
      <w:r>
        <w:rPr>
          <w:i/>
          <w:sz w:val="18"/>
        </w:rPr>
        <w:t>La corrélation avec les marchés émergents suggère une prudence de la part des investisseurs internationaux. La baisse du pétrole, si elle se confirme, pourrait réduire les coûts d'exploitation pour les industries locales, mais pénalisera les valeurs du secteur de l'énergie comme **SMBC**.</w:t>
      </w:r>
    </w:p>
    <w:p>
      <w:pPr>
        <w:pStyle w:val="Heading2"/>
      </w:pPr>
      <w:r>
        <w:rPr>
          <w:color w:val="006E32"/>
        </w:rPr>
        <w:t>🌍 Plan Africain</w:t>
      </w:r>
    </w:p>
    <w:p>
      <w:pPr>
        <w:spacing w:before="20" w:after="40"/>
        <w:ind w:left="0"/>
      </w:pPr>
      <w:r>
        <w:rPr>
          <w:sz w:val="18"/>
        </w:rPr>
        <w:t>L'actualité financière africaine est dominée par l'émission de dette verte de la Senelec à Luxembourg, un signal fort pour l'accès des entreprises africaines aux marchés de capitaux internationaux.</w:t>
      </w:r>
    </w:p>
    <w:p>
      <w:pPr>
        <w:pStyle w:val="Heading3"/>
      </w:pPr>
      <w:r>
        <w:rPr>
          <w:color w:val="500050"/>
        </w:rPr>
        <w:t>⚡ Impact estimé sur la BRVM</w:t>
      </w:r>
    </w:p>
    <w:p>
      <w:pPr>
        <w:spacing w:before="20" w:after="40"/>
        <w:ind w:left="280"/>
      </w:pPr>
      <w:r>
        <w:rPr>
          <w:i/>
          <w:sz w:val="18"/>
        </w:rPr>
        <w:t>Cette opération démontre la crédibilité des émetteurs ouest-africains. Elle pourrait attirer l'attention sur la région et indirectement profiter à la BRVM en augmentant la visibilité des actifs de la zone, notamment pour les grandes banques comme **BOAS** et **BOAC**.</w:t>
      </w:r>
    </w:p>
    <w:p>
      <w:pPr>
        <w:pStyle w:val="Heading2"/>
      </w:pPr>
      <w:r>
        <w:rPr>
          <w:color w:val="145A28"/>
        </w:rPr>
        <w:t>🌍 Plan Afrique de l'Ouest</w:t>
      </w:r>
    </w:p>
    <w:p>
      <w:pPr>
        <w:spacing w:before="20" w:after="40"/>
        <w:ind w:left="0"/>
      </w:pPr>
      <w:r>
        <w:rPr>
          <w:sz w:val="18"/>
        </w:rPr>
        <w:t>Aucune actualité spécifique concernant les bourses régionales concurrentes (GSE, NSE) ou les flux de capitaux sous-régionaux n'a été rapportée.</w:t>
      </w:r>
    </w:p>
    <w:p>
      <w:pPr>
        <w:pStyle w:val="Heading3"/>
      </w:pPr>
      <w:r>
        <w:rPr>
          <w:color w:val="500050"/>
        </w:rPr>
        <w:t>⚡ Impact estimé sur la BRVM</w:t>
      </w:r>
    </w:p>
    <w:p>
      <w:pPr>
        <w:spacing w:before="20" w:after="40"/>
        <w:ind w:left="280"/>
      </w:pPr>
      <w:r>
        <w:rPr>
          <w:i/>
          <w:sz w:val="18"/>
        </w:rPr>
        <w:t>Données insuffisantes. La BRVM conserve son rôle central dans le financement des économies de l'UEMOA, sans pression concurrentielle directe identifiée dans les actualités.</w:t>
      </w:r>
    </w:p>
    <w:p>
      <w:pPr>
        <w:pStyle w:val="Heading2"/>
      </w:pPr>
      <w:r>
        <w:rPr>
          <w:color w:val="8C4600"/>
        </w:rPr>
        <w:t>🏦 Plan UEMOA / Zone Franc</w:t>
      </w:r>
    </w:p>
    <w:p>
      <w:pPr>
        <w:spacing w:before="20" w:after="40"/>
        <w:ind w:left="0"/>
      </w:pPr>
      <w:r>
        <w:rPr>
          <w:sz w:val="18"/>
        </w:rPr>
        <w:t>Le marché des titres publics est actif, comme en témoigne l'émission de la Senelec, bien que réalisée à Luxembourg. Aucune donnée sur le taux interbancaire ou la liquidité bancaire n'est disponible.</w:t>
      </w:r>
    </w:p>
    <w:p>
      <w:pPr>
        <w:pStyle w:val="Heading3"/>
      </w:pPr>
      <w:r>
        <w:rPr>
          <w:color w:val="500050"/>
        </w:rPr>
        <w:t>⚡ Impact estimé sur la BRVM</w:t>
      </w:r>
    </w:p>
    <w:p>
      <w:pPr>
        <w:spacing w:before="20" w:after="40"/>
        <w:ind w:left="280"/>
      </w:pPr>
      <w:r>
        <w:rPr>
          <w:i/>
          <w:sz w:val="18"/>
        </w:rPr>
        <w:t>L'appétit pour les titres de dette de la zone reste fort. Cela peut créer un arbitrage pour les investisseurs entre le rendement obligataire et le rendement action. Les banques cotées, qui sont de gros détenteurs de titres publics, voient leurs revenus d'intérêts soutenus, ce qui est positif pour leurs résultats.</w:t>
      </w:r>
    </w:p>
    <w:p>
      <w:pPr>
        <w:pStyle w:val="Heading2"/>
      </w:pPr>
      <w:r>
        <w:rPr>
          <w:color w:val="003366"/>
        </w:rPr>
        <w:t>📈 Plan BRVM</w:t>
      </w:r>
    </w:p>
    <w:p>
      <w:pPr>
        <w:spacing w:before="20" w:after="40"/>
        <w:ind w:left="0"/>
      </w:pPr>
      <w:r>
        <w:rPr>
          <w:sz w:val="18"/>
        </w:rPr>
        <w:t>L'indice BRVM Composite se stabilise à 482.65 points. Le marché est soutenu par les bons résultats des sociétés ivoiriennes publiés en juin dernier.</w:t>
      </w:r>
    </w:p>
    <w:p>
      <w:pPr>
        <w:pStyle w:val="Heading3"/>
      </w:pPr>
      <w:r>
        <w:rPr>
          <w:color w:val="500050"/>
        </w:rPr>
        <w:t>⚡ Impact estimé sur la BRVM</w:t>
      </w:r>
    </w:p>
    <w:p>
      <w:pPr>
        <w:spacing w:before="20" w:after="40"/>
        <w:ind w:left="280"/>
      </w:pPr>
      <w:r>
        <w:rPr>
          <w:i/>
          <w:sz w:val="18"/>
        </w:rPr>
        <w:t>Nous recommandons une approche sélective. Les valeurs financières (**SGBC**, **BICB**, **BOAC**) restent des valeurs de rendement solides. Les valeurs industrielles (**SIVC**, **STAC**) pourraient bénéficier de la baisse des coûts de l'énergie. Les valeurs télécoms (**SNTS**, **ORAC**) et de consommation (**PALC**, **CFAC**, **NEIC**) devraient continuer à performer grâce à la solidité de la demande intérieure.</w:t>
      </w:r>
    </w:p>
    <w:p>
      <w:pPr>
        <w:spacing w:before="20" w:after="40"/>
        <w:ind w:left="280"/>
      </w:pPr>
      <w:r>
        <w:rPr>
          <w:i/>
          <w:sz w:val="18"/>
        </w:rPr>
        <w:t>---</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et politique pour la BRVM est globalement stable et porteur. Les incertitudes mondiales (baisse du pétrole, instabilité à Wall Street) sont compensées par une dynamique régionale positive : résultats d'entreprises encourageants, stabilité politique relative en UEMOA et apaisement des tensions régionales. Le principal risque reste l'aversion au risque mondiale qui pourrait freiner les flux de capitaux étrangers. Nous recommandons une stratégie d'investissement constructive, en privilégiant les titres de qualité offrant de bons rendements, notamment dans les secteurs financiers et de la consommation de base.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2026-07-31</w:t>
            </w:r>
          </w:p>
        </w:tc>
        <w:tc>
          <w:tcPr>
            <w:tcW w:type="dxa" w:w="1728"/>
          </w:tcPr>
          <w:p>
            <w:r>
              <w:rPr>
                <w:sz w:val="14"/>
              </w:rPr>
              <w:t>La pression à la vente est revenue sur le marché des matières première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2026-07-31</w:t>
            </w:r>
          </w:p>
        </w:tc>
        <w:tc>
          <w:tcPr>
            <w:tcW w:type="dxa" w:w="1728"/>
          </w:tcPr>
          <w:p>
            <w:r>
              <w:rPr>
                <w:sz w:val="14"/>
              </w:rPr>
              <w:t>La semaine à venir à Wall Street-Le marché boursier américain, en plei</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2026-07-29</w:t>
            </w:r>
          </w:p>
        </w:tc>
        <w:tc>
          <w:tcPr>
            <w:tcW w:type="dxa" w:w="1728"/>
          </w:tcPr>
          <w:p>
            <w:r>
              <w:rPr>
                <w:sz w:val="14"/>
              </w:rPr>
              <w:t xml:space="preserve">Les prix du pétrole ont chuté fortement et l'indice MXV a continué de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2026-07-31</w:t>
            </w:r>
          </w:p>
        </w:tc>
        <w:tc>
          <w:tcPr>
            <w:tcW w:type="dxa" w:w="1728"/>
          </w:tcPr>
          <w:p>
            <w:r>
              <w:rPr>
                <w:sz w:val="14"/>
              </w:rPr>
              <w:t>« Si vous attendiez une opportunité particulièrement propice pour inve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2026-07-31</w:t>
            </w:r>
          </w:p>
        </w:tc>
        <w:tc>
          <w:tcPr>
            <w:tcW w:type="dxa" w:w="1728"/>
          </w:tcPr>
          <w:p>
            <w:r>
              <w:rPr>
                <w:sz w:val="14"/>
              </w:rPr>
              <w:t>VIDEO - Bourse : et si le Dow Jones ne servait… à rien ? - Les Echos</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2026-07-30</w:t>
            </w:r>
          </w:p>
        </w:tc>
        <w:tc>
          <w:tcPr>
            <w:tcW w:type="dxa" w:w="1728"/>
          </w:tcPr>
          <w:p>
            <w:r>
              <w:rPr>
                <w:sz w:val="14"/>
              </w:rPr>
              <w:t>Taux immobilier août 2026 : la BCE souffle, l'OAT surveillée - Pretto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2026-08-02</w:t>
            </w:r>
          </w:p>
        </w:tc>
        <w:tc>
          <w:tcPr>
            <w:tcW w:type="dxa" w:w="1728"/>
          </w:tcPr>
          <w:p>
            <w:r>
              <w:rPr>
                <w:sz w:val="14"/>
              </w:rPr>
              <w:t>Guinée : le franc national préféré à l'éco, la future monnaie unique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2026-07-30</w:t>
            </w:r>
          </w:p>
        </w:tc>
        <w:tc>
          <w:tcPr>
            <w:tcW w:type="dxa" w:w="1728"/>
          </w:tcPr>
          <w:p>
            <w:r>
              <w:rPr>
                <w:sz w:val="14"/>
              </w:rPr>
              <w:t>L'Eco de la Cédéao, un "copier-coller" de la zone euro ? - dw.com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2026-08-02</w:t>
            </w:r>
          </w:p>
        </w:tc>
        <w:tc>
          <w:tcPr>
            <w:tcW w:type="dxa" w:w="1728"/>
          </w:tcPr>
          <w:p>
            <w:r>
              <w:rPr>
                <w:sz w:val="14"/>
              </w:rPr>
              <w:t>La Guinée renonce à l’eco et conserve son franc guinéen - Africtelegra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2026-07-31</w:t>
            </w:r>
          </w:p>
        </w:tc>
        <w:tc>
          <w:tcPr>
            <w:tcW w:type="dxa" w:w="1728"/>
          </w:tcPr>
          <w:p>
            <w:r>
              <w:rPr>
                <w:sz w:val="14"/>
              </w:rPr>
              <w:t xml:space="preserve">Monnaie unique de la CEDEAO : la Guinée entre dans la Task Force mais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2026-07-31</w:t>
            </w:r>
          </w:p>
        </w:tc>
        <w:tc>
          <w:tcPr>
            <w:tcW w:type="dxa" w:w="1728"/>
          </w:tcPr>
          <w:p>
            <w:r>
              <w:rPr>
                <w:sz w:val="14"/>
              </w:rPr>
              <w:t xml:space="preserve">Convention 193 de l’OIT : l'Afrique à l'heure de son propre modèle du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2026-07-31</w:t>
            </w:r>
          </w:p>
        </w:tc>
        <w:tc>
          <w:tcPr>
            <w:tcW w:type="dxa" w:w="1728"/>
          </w:tcPr>
          <w:p>
            <w:r>
              <w:rPr>
                <w:sz w:val="14"/>
              </w:rPr>
              <w:t>L’eco a l’horizon 2027 : entre ambitions, defis et attentes - Matin Li</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2026-08-02</w:t>
            </w:r>
          </w:p>
        </w:tc>
        <w:tc>
          <w:tcPr>
            <w:tcW w:type="dxa" w:w="1728"/>
          </w:tcPr>
          <w:p>
            <w:r>
              <w:rPr>
                <w:sz w:val="14"/>
              </w:rPr>
              <w:t xml:space="preserve">Septennat présidentiel au Sénégal : Aminata Touré clos le débat lancé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l'ancien Premier ministre Moussa Mara sort de prison après un 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 xml:space="preserve">Le Sénégal et la Gambie concluent un accord définitif sur le tracé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 libération de l’ancien Premier ministre Moussa Mara après 12 mo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Moussa Mara libéré - mondafrique.com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2026-08-01</w:t>
            </w:r>
          </w:p>
        </w:tc>
        <w:tc>
          <w:tcPr>
            <w:tcW w:type="dxa" w:w="1728"/>
          </w:tcPr>
          <w:p>
            <w:r>
              <w:rPr>
                <w:sz w:val="14"/>
              </w:rPr>
              <w:t>Mali : Moussa Mara retrouve la liberté après un an de prison - APAnews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2026-07-30</w:t>
            </w:r>
          </w:p>
        </w:tc>
        <w:tc>
          <w:tcPr>
            <w:tcW w:type="dxa" w:w="1728"/>
          </w:tcPr>
          <w:p>
            <w:r>
              <w:rPr>
                <w:sz w:val="14"/>
              </w:rPr>
              <w:t>L'Eco de la Cédéao, un "copier-coller" de la zone euro ? - dw.com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2026-08-02</w:t>
            </w:r>
          </w:p>
        </w:tc>
        <w:tc>
          <w:tcPr>
            <w:tcW w:type="dxa" w:w="1728"/>
          </w:tcPr>
          <w:p>
            <w:r>
              <w:rPr>
                <w:sz w:val="14"/>
              </w:rPr>
              <w:t xml:space="preserve">Septennat présidentiel au Sénégal : Aminata Touré clos le débat lancé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l'ancien Premier ministre Moussa Mara sort de prison après un 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 xml:space="preserve">Le Sénégal et la Gambie concluent un accord définitif sur le tracé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 libération de l’ancien Premier ministre Moussa Mara après 12 mo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2026-08-02</w:t>
            </w:r>
          </w:p>
        </w:tc>
        <w:tc>
          <w:tcPr>
            <w:tcW w:type="dxa" w:w="1728"/>
          </w:tcPr>
          <w:p>
            <w:r>
              <w:rPr>
                <w:sz w:val="14"/>
              </w:rPr>
              <w:t>Guinée : le franc national préféré à l'éco, la future monnaie unique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2026-07-30</w:t>
            </w:r>
          </w:p>
        </w:tc>
        <w:tc>
          <w:tcPr>
            <w:tcW w:type="dxa" w:w="1728"/>
          </w:tcPr>
          <w:p>
            <w:r>
              <w:rPr>
                <w:sz w:val="14"/>
              </w:rPr>
              <w:t>L'Eco de la Cédéao, un "copier-coller" de la zone euro ? - dw.com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2026-08-02</w:t>
            </w:r>
          </w:p>
        </w:tc>
        <w:tc>
          <w:tcPr>
            <w:tcW w:type="dxa" w:w="1728"/>
          </w:tcPr>
          <w:p>
            <w:r>
              <w:rPr>
                <w:sz w:val="14"/>
              </w:rPr>
              <w:t xml:space="preserve">Septennat présidentiel au Sénégal : Aminata Touré clos le débat lancé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l'ancien Premier ministre Moussa Mara sort de prison après un 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 xml:space="preserve">Le Sénégal et la Gambie concluent un accord définitif sur le tracé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2026-08-02</w:t>
            </w:r>
          </w:p>
        </w:tc>
        <w:tc>
          <w:tcPr>
            <w:tcW w:type="dxa" w:w="1728"/>
          </w:tcPr>
          <w:p>
            <w:r>
              <w:rPr>
                <w:sz w:val="14"/>
              </w:rPr>
              <w:t>Guinée : le franc national préféré à l'éco, la future monnaie unique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2026-07-30</w:t>
            </w:r>
          </w:p>
        </w:tc>
        <w:tc>
          <w:tcPr>
            <w:tcW w:type="dxa" w:w="1728"/>
          </w:tcPr>
          <w:p>
            <w:r>
              <w:rPr>
                <w:sz w:val="14"/>
              </w:rPr>
              <w:t>L'Eco de la Cédéao, un "copier-coller" de la zone euro ? - dw.com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2026-08-02</w:t>
            </w:r>
          </w:p>
        </w:tc>
        <w:tc>
          <w:tcPr>
            <w:tcW w:type="dxa" w:w="1728"/>
          </w:tcPr>
          <w:p>
            <w:r>
              <w:rPr>
                <w:sz w:val="14"/>
              </w:rPr>
              <w:t xml:space="preserve">Septennat présidentiel au Sénégal : Aminata Touré clos le débat lancé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l'ancien Premier ministre Moussa Mara sort de prison après un 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 xml:space="preserve">Le Sénégal et la Gambie concluent un accord définitif sur le tracé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2026-08-02</w:t>
            </w:r>
          </w:p>
        </w:tc>
        <w:tc>
          <w:tcPr>
            <w:tcW w:type="dxa" w:w="1728"/>
          </w:tcPr>
          <w:p>
            <w:r>
              <w:rPr>
                <w:sz w:val="14"/>
              </w:rPr>
              <w:t xml:space="preserve">Septennat présidentiel au Sénégal : Aminata Touré clos le débat lancé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l'ancien Premier ministre Moussa Mara sort de prison après un 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 xml:space="preserve">Le Sénégal et la Gambie concluent un accord définitif sur le tracé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 libération de l’ancien Premier ministre Moussa Mara après 12 mo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Moussa Mara libéré - mondafrique.com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2026-08-02</w:t>
            </w:r>
          </w:p>
        </w:tc>
        <w:tc>
          <w:tcPr>
            <w:tcW w:type="dxa" w:w="1728"/>
          </w:tcPr>
          <w:p>
            <w:r>
              <w:rPr>
                <w:sz w:val="14"/>
              </w:rPr>
              <w:t xml:space="preserve">Septennat présidentiel au Sénégal : Aminata Touré clos le débat lancé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l'ancien Premier ministre Moussa Mara sort de prison après un 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 xml:space="preserve">Le Sénégal et la Gambie concluent un accord définitif sur le tracé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 libération de l’ancien Premier ministre Moussa Mara après 12 mo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Moussa Mara libéré - mondafrique.com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2026-07-30</w:t>
            </w:r>
          </w:p>
        </w:tc>
        <w:tc>
          <w:tcPr>
            <w:tcW w:type="dxa" w:w="1728"/>
          </w:tcPr>
          <w:p>
            <w:r>
              <w:rPr>
                <w:sz w:val="14"/>
              </w:rPr>
              <w:t>L'Eco de la Cédéao, un "copier-coller" de la zone euro ? - dw.com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2026-08-02</w:t>
            </w:r>
          </w:p>
        </w:tc>
        <w:tc>
          <w:tcPr>
            <w:tcW w:type="dxa" w:w="1728"/>
          </w:tcPr>
          <w:p>
            <w:r>
              <w:rPr>
                <w:sz w:val="14"/>
              </w:rPr>
              <w:t xml:space="preserve">Le Sénégal et la Gambie concluent un accord définitif sur le tracé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Moussa Mara libéré - mondafrique.com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2026-07-31</w:t>
            </w:r>
          </w:p>
        </w:tc>
        <w:tc>
          <w:tcPr>
            <w:tcW w:type="dxa" w:w="1728"/>
          </w:tcPr>
          <w:p>
            <w:r>
              <w:rPr>
                <w:sz w:val="14"/>
              </w:rPr>
              <w:t>La semaine à venir à Wall Street-Le marché boursier américain, en plei</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2026-07-29</w:t>
            </w:r>
          </w:p>
        </w:tc>
        <w:tc>
          <w:tcPr>
            <w:tcW w:type="dxa" w:w="1728"/>
          </w:tcPr>
          <w:p>
            <w:r>
              <w:rPr>
                <w:sz w:val="14"/>
              </w:rPr>
              <w:t xml:space="preserve">Les prix du pétrole ont chuté fortement et l'indice MXV a continué de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2026-08-02</w:t>
            </w:r>
          </w:p>
        </w:tc>
        <w:tc>
          <w:tcPr>
            <w:tcW w:type="dxa" w:w="1728"/>
          </w:tcPr>
          <w:p>
            <w:r>
              <w:rPr>
                <w:sz w:val="14"/>
              </w:rPr>
              <w:t>Guinée : le franc national préféré à l'éco, la future monnaie unique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2026-07-30</w:t>
            </w:r>
          </w:p>
        </w:tc>
        <w:tc>
          <w:tcPr>
            <w:tcW w:type="dxa" w:w="1728"/>
          </w:tcPr>
          <w:p>
            <w:r>
              <w:rPr>
                <w:sz w:val="14"/>
              </w:rPr>
              <w:t>L'Eco de la Cédéao, un "copier-coller" de la zone euro ? - dw.com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2026-08-02</w:t>
            </w:r>
          </w:p>
        </w:tc>
        <w:tc>
          <w:tcPr>
            <w:tcW w:type="dxa" w:w="1728"/>
          </w:tcPr>
          <w:p>
            <w:r>
              <w:rPr>
                <w:sz w:val="14"/>
              </w:rPr>
              <w:t xml:space="preserve">Septennat présidentiel au Sénégal : Aminata Touré clos le débat lancé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 xml:space="preserve">Le Sénégal et la Gambie concluent un accord définitif sur le tracé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 libération de l’ancien Premier ministre Moussa Mara après 12 mo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2026-08-02</w:t>
            </w:r>
          </w:p>
        </w:tc>
        <w:tc>
          <w:tcPr>
            <w:tcW w:type="dxa" w:w="1728"/>
          </w:tcPr>
          <w:p>
            <w:r>
              <w:rPr>
                <w:sz w:val="14"/>
              </w:rPr>
              <w:t>Guinée : le franc national préféré à l'éco, la future monnaie unique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2026-07-30</w:t>
            </w:r>
          </w:p>
        </w:tc>
        <w:tc>
          <w:tcPr>
            <w:tcW w:type="dxa" w:w="1728"/>
          </w:tcPr>
          <w:p>
            <w:r>
              <w:rPr>
                <w:sz w:val="14"/>
              </w:rPr>
              <w:t>L'Eco de la Cédéao, un "copier-coller" de la zone euro ? - dw.com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2026-08-02</w:t>
            </w:r>
          </w:p>
        </w:tc>
        <w:tc>
          <w:tcPr>
            <w:tcW w:type="dxa" w:w="1728"/>
          </w:tcPr>
          <w:p>
            <w:r>
              <w:rPr>
                <w:sz w:val="14"/>
              </w:rPr>
              <w:t xml:space="preserve">Le Sénégal et la Gambie concluent un accord définitif sur le tracé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Moussa Mara libéré - mondafrique.com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2026-07-29</w:t>
            </w:r>
          </w:p>
        </w:tc>
        <w:tc>
          <w:tcPr>
            <w:tcW w:type="dxa" w:w="1728"/>
          </w:tcPr>
          <w:p>
            <w:r>
              <w:rPr>
                <w:sz w:val="14"/>
              </w:rPr>
              <w:t xml:space="preserve">Les prix du pétrole ont chuté fortement et l'indice MXV a continué de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2026-07-30</w:t>
            </w:r>
          </w:p>
        </w:tc>
        <w:tc>
          <w:tcPr>
            <w:tcW w:type="dxa" w:w="1728"/>
          </w:tcPr>
          <w:p>
            <w:r>
              <w:rPr>
                <w:sz w:val="14"/>
              </w:rPr>
              <w:t>L'Eco de la Cédéao, un "copier-coller" de la zone euro ? - dw.com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2026-08-02</w:t>
            </w:r>
          </w:p>
        </w:tc>
        <w:tc>
          <w:tcPr>
            <w:tcW w:type="dxa" w:w="1728"/>
          </w:tcPr>
          <w:p>
            <w:r>
              <w:rPr>
                <w:sz w:val="14"/>
              </w:rPr>
              <w:t xml:space="preserve">Septennat présidentiel au Sénégal : Aminata Touré clos le débat lancé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l'ancien Premier ministre Moussa Mara sort de prison après un 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 xml:space="preserve">Le Sénégal et la Gambie concluent un accord définitif sur le tracé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 libération de l’ancien Premier ministre Moussa Mara après 12 mo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2026-07-30</w:t>
            </w:r>
          </w:p>
        </w:tc>
        <w:tc>
          <w:tcPr>
            <w:tcW w:type="dxa" w:w="1728"/>
          </w:tcPr>
          <w:p>
            <w:r>
              <w:rPr>
                <w:sz w:val="14"/>
              </w:rPr>
              <w:t>L'Eco de la Cédéao, un "copier-coller" de la zone euro ? - dw.com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2026-08-02</w:t>
            </w:r>
          </w:p>
        </w:tc>
        <w:tc>
          <w:tcPr>
            <w:tcW w:type="dxa" w:w="1728"/>
          </w:tcPr>
          <w:p>
            <w:r>
              <w:rPr>
                <w:sz w:val="14"/>
              </w:rPr>
              <w:t xml:space="preserve">Le Sénégal et la Gambie concluent un accord définitif sur le tracé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Moussa Mara libéré - mondafrique.com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2026-07-29</w:t>
            </w:r>
          </w:p>
        </w:tc>
        <w:tc>
          <w:tcPr>
            <w:tcW w:type="dxa" w:w="1728"/>
          </w:tcPr>
          <w:p>
            <w:r>
              <w:rPr>
                <w:sz w:val="14"/>
              </w:rPr>
              <w:t xml:space="preserve">Les prix du pétrole ont chuté fortement et l'indice MXV a continué de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2026-08-01</w:t>
            </w:r>
          </w:p>
        </w:tc>
        <w:tc>
          <w:tcPr>
            <w:tcW w:type="dxa" w:w="1728"/>
          </w:tcPr>
          <w:p>
            <w:r>
              <w:rPr>
                <w:sz w:val="14"/>
              </w:rPr>
              <w:t>Mali : Moussa Mara retrouve la liberté après un an de prison - APAnews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(8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r>
        <w:tc>
          <w:tcPr>
            <w:tcW w:type="dxa" w:w="1728"/>
          </w:tcPr>
          <w:p>
            <w:r>
              <w:rPr>
                <w:sz w:val="15"/>
              </w:rPr>
              <w:t>25/03/2026</w:t>
            </w:r>
          </w:p>
        </w:tc>
        <w:tc>
          <w:tcPr>
            <w:tcW w:type="dxa" w:w="1728"/>
          </w:tcPr>
          <w:p>
            <w:r>
              <w:rPr>
                <w:sz w:val="15"/>
              </w:rPr>
              <w:t>PALMCI</w:t>
            </w:r>
          </w:p>
        </w:tc>
        <w:tc>
          <w:tcPr>
            <w:tcW w:type="dxa" w:w="1728"/>
          </w:tcPr>
          <w:p>
            <w:r>
              <w:rPr>
                <w:sz w:val="15"/>
              </w:rPr>
              <w:t>20260325   avis de convocation   assemblee general</w:t>
            </w:r>
          </w:p>
        </w:tc>
        <w:tc>
          <w:tcPr>
            <w:tcW w:type="dxa" w:w="1728"/>
          </w:tcPr>
          <w:p>
            <w:r>
              <w:rPr>
                <w:b/>
                <w:color w:val="008000"/>
                <w:sz w:val="15"/>
              </w:rPr>
              <w:t>🟢 +</w:t>
            </w:r>
          </w:p>
        </w:tc>
        <w:tc>
          <w:tcPr>
            <w:tcW w:type="dxa" w:w="1728"/>
          </w:tcPr>
          <w:p>
            <w:r>
              <w:rPr>
                <w:sz w:val="15"/>
              </w:rPr>
              <w:t>PALMCI convoque son Assemblée Générale Ordinaire le 14 avril 2026 à Abidjan pour approuver les comptes 2025. L'entrepris</w:t>
            </w:r>
          </w:p>
        </w:tc>
      </w:tr>
      <w:tr>
        <w:tc>
          <w:tcPr>
            <w:tcW w:type="dxa" w:w="8640"/>
            <w:gridSpan w:val="5"/>
          </w:tcPr>
          <w:p>
            <w:r>
              <w:rPr>
                <w:color w:val="505050"/>
                <w:sz w:val="14"/>
              </w:rPr>
              <w:t xml:space="preserve">  → Assemblée Générale Ordinaire prévue le 14 avril 2026 en présentiel et visioconférence | Résultat net bénéficiaire de 15 508 654 739 FCFA selon SYSCOHADA pour l'exercice 2025 | Proposition de dividendes de 7 754 327 370 FCFA soit 502 FCFA brut par action</w:t>
            </w:r>
          </w:p>
        </w:tc>
      </w:tr>
      <w:tr>
        <w:tc>
          <w:tcPr>
            <w:tcW w:type="dxa" w:w="1728"/>
          </w:tcPr>
          <w:p>
            <w:r>
              <w:rPr>
                <w:sz w:val="15"/>
              </w:rPr>
              <w:t>25/03/2026</w:t>
            </w:r>
          </w:p>
        </w:tc>
        <w:tc>
          <w:tcPr>
            <w:tcW w:type="dxa" w:w="1728"/>
          </w:tcPr>
          <w:p>
            <w:r>
              <w:rPr>
                <w:sz w:val="15"/>
              </w:rPr>
              <w:t>SOCIÉTÉ AFRI</w:t>
            </w:r>
          </w:p>
        </w:tc>
        <w:tc>
          <w:tcPr>
            <w:tcW w:type="dxa" w:w="1728"/>
          </w:tcPr>
          <w:p>
            <w:r>
              <w:rPr>
                <w:sz w:val="15"/>
              </w:rPr>
              <w:t>20260325   avis de convocation   assemblee general</w:t>
            </w:r>
          </w:p>
        </w:tc>
        <w:tc>
          <w:tcPr>
            <w:tcW w:type="dxa" w:w="1728"/>
          </w:tcPr>
          <w:p>
            <w:r>
              <w:rPr>
                <w:b/>
                <w:color w:val="008000"/>
                <w:sz w:val="15"/>
              </w:rPr>
              <w:t>🟢 +</w:t>
            </w:r>
          </w:p>
        </w:tc>
        <w:tc>
          <w:tcPr>
            <w:tcW w:type="dxa" w:w="1728"/>
          </w:tcPr>
          <w:p>
            <w:r>
              <w:rPr>
                <w:sz w:val="15"/>
              </w:rPr>
              <w:t>SAPH convoque ses actionnaires en Assemblée Générale Ordinaire le 09 avril 2026 pour approuver les comptes 2025 et délib</w:t>
            </w:r>
          </w:p>
        </w:tc>
      </w:tr>
      <w:tr>
        <w:tc>
          <w:tcPr>
            <w:tcW w:type="dxa" w:w="8640"/>
            <w:gridSpan w:val="5"/>
          </w:tcPr>
          <w:p>
            <w:r>
              <w:rPr>
                <w:color w:val="505050"/>
                <w:sz w:val="14"/>
              </w:rPr>
              <w:t xml:space="preserve">  → Assemblée Générale Ordinaire convoquée le 09 avril 2026 à 09h00 GMT | Bénéfice net 2025 de 24,97 milliards FCFA selon SYSCOHADA et 27,34 milliards selon IFRS | Distribution de dividende proposée de 489 FCFA brut par action (12,50 milliards FCFA total)</w:t>
            </w:r>
          </w:p>
        </w:tc>
      </w:tr>
      <w:tr>
        <w:tc>
          <w:tcPr>
            <w:tcW w:type="dxa" w:w="1728"/>
          </w:tcPr>
          <w:p>
            <w:r>
              <w:rPr>
                <w:sz w:val="15"/>
              </w:rPr>
              <w:t>24/05/2026</w:t>
            </w:r>
          </w:p>
        </w:tc>
        <w:tc>
          <w:tcPr>
            <w:tcW w:type="dxa" w:w="1728"/>
          </w:tcPr>
          <w:p>
            <w:r>
              <w:rPr>
                <w:sz w:val="15"/>
              </w:rPr>
              <w:t xml:space="preserve">NESTLÉ CÔTE </w:t>
            </w:r>
          </w:p>
        </w:tc>
        <w:tc>
          <w:tcPr>
            <w:tcW w:type="dxa" w:w="1728"/>
          </w:tcPr>
          <w:p>
            <w:r>
              <w:rPr>
                <w:sz w:val="15"/>
              </w:rPr>
              <w:t>20260522   avis de convocation   assemblee general</w:t>
            </w:r>
          </w:p>
        </w:tc>
        <w:tc>
          <w:tcPr>
            <w:tcW w:type="dxa" w:w="1728"/>
          </w:tcPr>
          <w:p>
            <w:r>
              <w:rPr>
                <w:b/>
                <w:sz w:val="15"/>
              </w:rPr>
              <w:t>⚪ =</w:t>
            </w:r>
          </w:p>
        </w:tc>
        <w:tc>
          <w:tcPr>
            <w:tcW w:type="dxa" w:w="1728"/>
          </w:tcPr>
          <w:p>
            <w:r>
              <w:rPr>
                <w:sz w:val="15"/>
              </w:rPr>
              <w:t>Nestlé Côte d'Ivoire convoque ses actionnaires à une Assemblée Générale Ordinaire le 11 juin 2026 à 10h00 à l'Espace Lat</w:t>
            </w:r>
          </w:p>
        </w:tc>
      </w:tr>
      <w:tr>
        <w:tc>
          <w:tcPr>
            <w:tcW w:type="dxa" w:w="8640"/>
            <w:gridSpan w:val="5"/>
          </w:tcPr>
          <w:p>
            <w:r>
              <w:rPr>
                <w:color w:val="505050"/>
                <w:sz w:val="14"/>
              </w:rPr>
              <w:t xml:space="preserve">  → Assemblée Générale Ordinaire programmée le 11 juin 2026 à 10h00 à Abidjan | Examen des états financiers SYSCOHADA et IFRS arrêtés au 31 décembre 2025 | Proposition d'affectation du résultat de l'exercice 2025</w:t>
            </w:r>
          </w:p>
        </w:tc>
      </w:tr>
      <w:tr>
        <w:tc>
          <w:tcPr>
            <w:tcW w:type="dxa" w:w="1728"/>
          </w:tcPr>
          <w:p>
            <w:r>
              <w:rPr>
                <w:sz w:val="15"/>
              </w:rPr>
              <w:t>24/04/2026</w:t>
            </w:r>
          </w:p>
        </w:tc>
        <w:tc>
          <w:tcPr>
            <w:tcW w:type="dxa" w:w="1728"/>
          </w:tcPr>
          <w:p>
            <w:r>
              <w:rPr>
                <w:sz w:val="15"/>
              </w:rPr>
              <w:t>Société Ivoi</w:t>
            </w:r>
          </w:p>
        </w:tc>
        <w:tc>
          <w:tcPr>
            <w:tcW w:type="dxa" w:w="1728"/>
          </w:tcPr>
          <w:p>
            <w:r>
              <w:rPr>
                <w:sz w:val="15"/>
              </w:rPr>
              <w:t>20260423   avis de convocation   assemblee general</w:t>
            </w:r>
          </w:p>
        </w:tc>
        <w:tc>
          <w:tcPr>
            <w:tcW w:type="dxa" w:w="1728"/>
          </w:tcPr>
          <w:p>
            <w:r>
              <w:rPr>
                <w:b/>
                <w:sz w:val="15"/>
              </w:rPr>
              <w:t>⚪ =</w:t>
            </w:r>
          </w:p>
        </w:tc>
        <w:tc>
          <w:tcPr>
            <w:tcW w:type="dxa" w:w="1728"/>
          </w:tcPr>
          <w:p>
            <w:r>
              <w:rPr>
                <w:sz w:val="15"/>
              </w:rPr>
              <w:t xml:space="preserve">La Société Ivoirienne de Banque convoque ses actionnaires en Assemblée Générale Ordinaire Annuelle le mardi 12 mai 2026 </w:t>
            </w:r>
          </w:p>
        </w:tc>
      </w:tr>
      <w:tr>
        <w:tc>
          <w:tcPr>
            <w:tcW w:type="dxa" w:w="8640"/>
            <w:gridSpan w:val="5"/>
          </w:tcPr>
          <w:p>
            <w:r>
              <w:rPr>
                <w:color w:val="505050"/>
                <w:sz w:val="14"/>
              </w:rPr>
              <w:t xml:space="preserve">  → Assemblée Générale Ordinaire Annuelle prévue le mardi 12 mai 2026 à 10 heures | Présentation et approbation des rapports de gestion et des comptes de l'exercice social clos au 31 décembre 2025 | Évaluation du Conseil d'Administration, des Comités Spécialisés et des Administrateurs</w:t>
            </w:r>
          </w:p>
        </w:tc>
      </w:tr>
    </w:tbl>
    <w:p/>
    <w:p>
      <w:pPr>
        <w:pStyle w:val="Heading3"/>
      </w:pPr>
      <w:r>
        <w:t>📌 Autre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r>
        <w:tc>
          <w:tcPr>
            <w:tcW w:type="dxa" w:w="1728"/>
          </w:tcPr>
          <w:p>
            <w:r>
              <w:rPr>
                <w:sz w:val="15"/>
              </w:rPr>
              <w:t>24/04/2026</w:t>
            </w:r>
          </w:p>
        </w:tc>
        <w:tc>
          <w:tcPr>
            <w:tcW w:type="dxa" w:w="1728"/>
          </w:tcPr>
          <w:p>
            <w:r>
              <w:rPr>
                <w:sz w:val="15"/>
              </w:rPr>
              <w:t>SENELEC</w:t>
            </w:r>
          </w:p>
        </w:tc>
        <w:tc>
          <w:tcPr>
            <w:tcW w:type="dxa" w:w="1728"/>
          </w:tcPr>
          <w:p>
            <w:r>
              <w:rPr>
                <w:sz w:val="15"/>
              </w:rPr>
              <w:t>20260423   avis ndeg106 brvmdg   premiere cotation</w:t>
            </w:r>
          </w:p>
        </w:tc>
        <w:tc>
          <w:tcPr>
            <w:tcW w:type="dxa" w:w="1728"/>
          </w:tcPr>
          <w:p>
            <w:r>
              <w:rPr>
                <w:b/>
                <w:color w:val="008000"/>
                <w:sz w:val="15"/>
              </w:rPr>
              <w:t>🟢 +</w:t>
            </w:r>
          </w:p>
        </w:tc>
        <w:tc>
          <w:tcPr>
            <w:tcW w:type="dxa" w:w="1728"/>
          </w:tcPr>
          <w:p>
            <w:r>
              <w:rPr>
                <w:sz w:val="15"/>
              </w:rPr>
              <w:t>La BRVM annonce la première cotation des obligations SENELEC (FCTC SENELEC SENIOR 8,15% 2025-2030 et FCTC SENELEC MEZZAN</w:t>
            </w:r>
          </w:p>
        </w:tc>
      </w:tr>
      <w:tr>
        <w:tc>
          <w:tcPr>
            <w:tcW w:type="dxa" w:w="8640"/>
            <w:gridSpan w:val="5"/>
          </w:tcPr>
          <w:p>
            <w:r>
              <w:rPr>
                <w:color w:val="505050"/>
                <w:sz w:val="14"/>
              </w:rPr>
              <w:t xml:space="preserve">  → Première cotation des obligations SENELEC prévue le 06 mai 2026 | Deux tranches : SENIOR 8,15% et MEZZANINE 10,00% échéance 2025-2030 | Montant total de l'émission : 108 milliards FCFA</w:t>
            </w:r>
          </w:p>
        </w:tc>
      </w:tr>
      <w:tr>
        <w:tc>
          <w:tcPr>
            <w:tcW w:type="dxa" w:w="1728"/>
          </w:tcPr>
          <w:p>
            <w:r>
              <w:rPr>
                <w:sz w:val="15"/>
              </w:rPr>
              <w:t>23/04/2026</w:t>
            </w:r>
          </w:p>
        </w:tc>
        <w:tc>
          <w:tcPr>
            <w:tcW w:type="dxa" w:w="1728"/>
          </w:tcPr>
          <w:p>
            <w:r>
              <w:rPr>
                <w:sz w:val="15"/>
              </w:rPr>
              <w:t>SENELEC</w:t>
            </w:r>
          </w:p>
        </w:tc>
        <w:tc>
          <w:tcPr>
            <w:tcW w:type="dxa" w:w="1728"/>
          </w:tcPr>
          <w:p>
            <w:r>
              <w:rPr>
                <w:sz w:val="15"/>
              </w:rPr>
              <w:t>20260422   avis ndeg105 brvmdg   premiere cotation</w:t>
            </w:r>
          </w:p>
        </w:tc>
        <w:tc>
          <w:tcPr>
            <w:tcW w:type="dxa" w:w="1728"/>
          </w:tcPr>
          <w:p>
            <w:r>
              <w:rPr>
                <w:b/>
                <w:color w:val="008000"/>
                <w:sz w:val="15"/>
              </w:rPr>
              <w:t>🟢 +</w:t>
            </w:r>
          </w:p>
        </w:tc>
        <w:tc>
          <w:tcPr>
            <w:tcW w:type="dxa" w:w="1728"/>
          </w:tcPr>
          <w:p>
            <w:r>
              <w:rPr>
                <w:sz w:val="15"/>
              </w:rPr>
              <w:t>La BRVM annonce la première cotation des obligations FCTC SENELEC SENIOR 8,15% 2025-2030 et FCTC SENELEC MEZZANINE 10,00</w:t>
            </w:r>
          </w:p>
        </w:tc>
      </w:tr>
      <w:tr>
        <w:tc>
          <w:tcPr>
            <w:tcW w:type="dxa" w:w="8640"/>
            <w:gridSpan w:val="5"/>
          </w:tcPr>
          <w:p>
            <w:r>
              <w:rPr>
                <w:color w:val="505050"/>
                <w:sz w:val="14"/>
              </w:rPr>
              <w:t xml:space="preserve">  → Première cotation de deux emprunts obligataires FCTC SENELEC prévue le 06 mai 2026 | Émission de 8,3 millions d'obligations senior à 8,15% et 2,5 millions d'obligations mezzanine à 10% | Montant total de l'opération : 108 milliards FCFA sur le Marché Financier Régional de l'UEMOA</w:t>
            </w:r>
          </w:p>
        </w:tc>
      </w:tr>
    </w:tbl>
    <w:p/>
    <w:p>
      <w:pPr>
        <w:pStyle w:val="Heading3"/>
      </w:pPr>
      <w:r>
        <w:t>ℹ️ Avis &amp; informations (10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EPT</w:t>
            </w:r>
          </w:p>
        </w:tc>
        <w:tc>
          <w:tcPr>
            <w:tcW w:type="dxa" w:w="1728"/>
          </w:tcPr>
          <w:p>
            <w:r>
              <w:rPr>
                <w:sz w:val="15"/>
              </w:rPr>
              <w:t>20260423   avis ndeg109 brvmdg   resultats de prem</w:t>
            </w:r>
          </w:p>
        </w:tc>
        <w:tc>
          <w:tcPr>
            <w:tcW w:type="dxa" w:w="1728"/>
          </w:tcPr>
          <w:p>
            <w:r>
              <w:rPr>
                <w:b/>
                <w:color w:val="008000"/>
                <w:sz w:val="15"/>
              </w:rPr>
              <w:t>🟢 +</w:t>
            </w:r>
          </w:p>
        </w:tc>
        <w:tc>
          <w:tcPr>
            <w:tcW w:type="dxa" w:w="1728"/>
          </w:tcPr>
          <w:p>
            <w:r>
              <w:rPr>
                <w:sz w:val="15"/>
              </w:rPr>
              <w:t>La BRVM annonce les résultats de première cotation de trois emprunts obligataires FCTC EPT avec des taux de 7,50%, 8,00%</w:t>
            </w:r>
          </w:p>
        </w:tc>
      </w:tr>
      <w:tr>
        <w:tc>
          <w:tcPr>
            <w:tcW w:type="dxa" w:w="8640"/>
            <w:gridSpan w:val="5"/>
          </w:tcPr>
          <w:p>
            <w:r>
              <w:rPr>
                <w:color w:val="505050"/>
                <w:sz w:val="14"/>
              </w:rPr>
              <w:t xml:space="preserve">  → Première cotation de trois emprunts obligataires FCTC EPT avec des taux de 7,50%, 8,00% et 8,50% | Prix de cotation fixé à 10 000 FCFA par obligation avec 500 titres échangés | Capitalisation boursière totale de 60 milliards de FCFA pour les trois émissions</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r>
        <w:tc>
          <w:tcPr>
            <w:tcW w:type="dxa" w:w="1728"/>
          </w:tcPr>
          <w:p>
            <w:r>
              <w:rPr>
                <w:sz w:val="15"/>
              </w:rPr>
              <w:t>23/04/2026</w:t>
            </w:r>
          </w:p>
        </w:tc>
        <w:tc>
          <w:tcPr>
            <w:tcW w:type="dxa" w:w="1728"/>
          </w:tcPr>
          <w:p>
            <w:r>
              <w:rPr>
                <w:sz w:val="15"/>
              </w:rPr>
              <w:t>ETAT DU MALI</w:t>
            </w:r>
          </w:p>
        </w:tc>
        <w:tc>
          <w:tcPr>
            <w:tcW w:type="dxa" w:w="1728"/>
          </w:tcPr>
          <w:p>
            <w:r>
              <w:rPr>
                <w:sz w:val="15"/>
              </w:rPr>
              <w:t>20260422   avis ndeg104 brvmdg   premiere cotation</w:t>
            </w:r>
          </w:p>
        </w:tc>
        <w:tc>
          <w:tcPr>
            <w:tcW w:type="dxa" w:w="1728"/>
          </w:tcPr>
          <w:p>
            <w:r>
              <w:rPr>
                <w:b/>
                <w:color w:val="008000"/>
                <w:sz w:val="15"/>
              </w:rPr>
              <w:t>🟢 +</w:t>
            </w:r>
          </w:p>
        </w:tc>
        <w:tc>
          <w:tcPr>
            <w:tcW w:type="dxa" w:w="1728"/>
          </w:tcPr>
          <w:p>
            <w:r>
              <w:rPr>
                <w:sz w:val="15"/>
              </w:rPr>
              <w:t>La BRVM annonce la première cotation de deux emprunts obligataires de l'État du Mali : 6,55% 2026-2036 et 6,35% 2026-203</w:t>
            </w:r>
          </w:p>
        </w:tc>
      </w:tr>
      <w:tr>
        <w:tc>
          <w:tcPr>
            <w:tcW w:type="dxa" w:w="8640"/>
            <w:gridSpan w:val="5"/>
          </w:tcPr>
          <w:p>
            <w:r>
              <w:rPr>
                <w:color w:val="505050"/>
                <w:sz w:val="14"/>
              </w:rPr>
              <w:t xml:space="preserve">  → Émission de deux emprunts obligataires : État du Mali 6,55% 2026-2036 et État du Mali 6,35% 2026-2033 | Montant total de l'opération : 107,7 milliards FCFA | Date de jouissance des obligations : 6 mars 2026</w:t>
            </w:r>
          </w:p>
        </w:tc>
      </w:tr>
      <w:tr>
        <w:tc>
          <w:tcPr>
            <w:tcW w:type="dxa" w:w="1728"/>
          </w:tcPr>
          <w:p>
            <w:r>
              <w:rPr>
                <w:sz w:val="15"/>
              </w:rPr>
              <w:t>22/11/2025</w:t>
            </w:r>
          </w:p>
        </w:tc>
        <w:tc>
          <w:tcPr>
            <w:tcW w:type="dxa" w:w="1728"/>
          </w:tcPr>
          <w:p>
            <w:r>
              <w:rPr>
                <w:sz w:val="15"/>
              </w:rPr>
              <w:t xml:space="preserve">AIR LIQUIDE </w:t>
            </w:r>
          </w:p>
        </w:tc>
        <w:tc>
          <w:tcPr>
            <w:tcW w:type="dxa" w:w="1728"/>
          </w:tcPr>
          <w:p>
            <w:r>
              <w:rPr>
                <w:sz w:val="15"/>
              </w:rPr>
              <w:t>20251121   communique   franchissement de seuil pa</w:t>
            </w:r>
          </w:p>
        </w:tc>
        <w:tc>
          <w:tcPr>
            <w:tcW w:type="dxa" w:w="1728"/>
          </w:tcPr>
          <w:p>
            <w:r>
              <w:rPr>
                <w:b/>
                <w:sz w:val="15"/>
              </w:rPr>
              <w:t>⚪ =</w:t>
            </w:r>
          </w:p>
        </w:tc>
        <w:tc>
          <w:tcPr>
            <w:tcW w:type="dxa" w:w="1728"/>
          </w:tcPr>
          <w:p>
            <w:r>
              <w:rPr>
                <w:sz w:val="15"/>
              </w:rPr>
              <w:t>Air Liquide International déclare un franchissement de seuil à la baisse dans le capital d'Air Liquide Côte d'Ivoire, pa</w:t>
            </w:r>
          </w:p>
        </w:tc>
      </w:tr>
      <w:tr>
        <w:tc>
          <w:tcPr>
            <w:tcW w:type="dxa" w:w="8640"/>
            <w:gridSpan w:val="5"/>
          </w:tcPr>
          <w:p>
            <w:r>
              <w:rPr>
                <w:color w:val="505050"/>
                <w:sz w:val="14"/>
              </w:rPr>
              <w:t xml:space="preserve">  → Franchissement de seuil à la baisse de 66,66% par Air Liquide International | Cession complète de la participation : de 72,08% (6 295 350 actions) à 0% | Acheteur identifié : ERIUM LTD au cours de 230 FCFA par action</w:t>
            </w:r>
          </w:p>
        </w:tc>
      </w:tr>
      <w:tr>
        <w:tc>
          <w:tcPr>
            <w:tcW w:type="dxa" w:w="1728"/>
          </w:tcPr>
          <w:p>
            <w:r>
              <w:rPr>
                <w:sz w:val="15"/>
              </w:rPr>
              <w:t>21/05/2026</w:t>
            </w:r>
          </w:p>
        </w:tc>
        <w:tc>
          <w:tcPr>
            <w:tcW w:type="dxa" w:w="1728"/>
          </w:tcPr>
          <w:p>
            <w:r>
              <w:rPr>
                <w:sz w:val="15"/>
              </w:rPr>
              <w:t>BRVM</w:t>
            </w:r>
          </w:p>
        </w:tc>
        <w:tc>
          <w:tcPr>
            <w:tcW w:type="dxa" w:w="1728"/>
          </w:tcPr>
          <w:p>
            <w:r>
              <w:rPr>
                <w:sz w:val="15"/>
              </w:rPr>
              <w:t>20260520   avis ndeg140 brvmdg   horaires de cotat</w:t>
            </w:r>
          </w:p>
        </w:tc>
        <w:tc>
          <w:tcPr>
            <w:tcW w:type="dxa" w:w="1728"/>
          </w:tcPr>
          <w:p>
            <w:r>
              <w:rPr>
                <w:b/>
                <w:sz w:val="15"/>
              </w:rPr>
              <w:t>⚪ =</w:t>
            </w:r>
          </w:p>
        </w:tc>
        <w:tc>
          <w:tcPr>
            <w:tcW w:type="dxa" w:w="1728"/>
          </w:tcPr>
          <w:p>
            <w:r>
              <w:rPr>
                <w:sz w:val="15"/>
              </w:rPr>
              <w:t>La BRVM informe du changement des horaires de cotation du mardi 26 mai 2026 en raison de l'Aïd-el-Kébir. Les horaires so</w:t>
            </w:r>
          </w:p>
        </w:tc>
      </w:tr>
      <w:tr>
        <w:tc>
          <w:tcPr>
            <w:tcW w:type="dxa" w:w="8640"/>
            <w:gridSpan w:val="5"/>
          </w:tcPr>
          <w:p>
            <w:r>
              <w:rPr>
                <w:color w:val="505050"/>
                <w:sz w:val="14"/>
              </w:rPr>
              <w:t xml:space="preserve">  → Modification des horaires de cotation du 26 mai 2026 | Raison : célébration de l'Aïd-el-Kébir (Tabaski) | Pré-ouverture de 9h00 à 9h30 (UTC)</w:t>
            </w:r>
          </w:p>
        </w:tc>
      </w:tr>
    </w:tbl>
    <w:p/>
    <w:p>
      <w:pPr>
        <w:pStyle w:val="Heading3"/>
      </w:pPr>
      <w:r>
        <w:t>📢 Communiqués de presse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r>
        <w:tc>
          <w:tcPr>
            <w:tcW w:type="dxa" w:w="1728"/>
          </w:tcPr>
          <w:p>
            <w:r>
              <w:rPr>
                <w:sz w:val="15"/>
              </w:rPr>
              <w:t>22/02/2026</w:t>
            </w:r>
          </w:p>
        </w:tc>
        <w:tc>
          <w:tcPr>
            <w:tcW w:type="dxa" w:w="1728"/>
          </w:tcPr>
          <w:p>
            <w:r>
              <w:rPr>
                <w:sz w:val="15"/>
              </w:rPr>
              <w:t>Fidelis Fina</w:t>
            </w:r>
          </w:p>
        </w:tc>
        <w:tc>
          <w:tcPr>
            <w:tcW w:type="dxa" w:w="1728"/>
          </w:tcPr>
          <w:p>
            <w:r>
              <w:rPr>
                <w:sz w:val="15"/>
              </w:rPr>
              <w:t>20260220   communique   fidelis finance</w:t>
            </w:r>
          </w:p>
        </w:tc>
        <w:tc>
          <w:tcPr>
            <w:tcW w:type="dxa" w:w="1728"/>
          </w:tcPr>
          <w:p>
            <w:r>
              <w:rPr>
                <w:b/>
                <w:sz w:val="15"/>
              </w:rPr>
              <w:t>⚪ =</w:t>
            </w:r>
          </w:p>
        </w:tc>
        <w:tc>
          <w:tcPr>
            <w:tcW w:type="dxa" w:w="1728"/>
          </w:tcPr>
          <w:p>
            <w:r>
              <w:rPr>
                <w:sz w:val="15"/>
              </w:rPr>
              <w:t>Fidelis Finance informe le marché qu'une procédure judiciaire est en cours devant les juridictions ivoiriennes suite à u</w:t>
            </w:r>
          </w:p>
        </w:tc>
      </w:tr>
      <w:tr>
        <w:tc>
          <w:tcPr>
            <w:tcW w:type="dxa" w:w="8640"/>
            <w:gridSpan w:val="5"/>
          </w:tcPr>
          <w:p>
            <w:r>
              <w:rPr>
                <w:color w:val="505050"/>
                <w:sz w:val="14"/>
              </w:rPr>
              <w:t xml:space="preserve">  → Procédure judiciaire en cours devant les juridictions ivoiriennes suite à un différend commercial | Ordonnance de renvoi partiel rendue le 15 janvier 2026 par le Tribunal correctionnel d'Abidjan | Aucune condamnation, sanction financière ou mesure conservatoire prononcée à ce stade</w:t>
            </w:r>
          </w:p>
        </w:tc>
      </w:tr>
    </w:tbl>
    <w:p/>
    <w:p>
      <w:pPr>
        <w:pStyle w:val="Heading3"/>
      </w:pPr>
      <w:r>
        <w:t>💰 Dividendes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23/12/2025</w:t>
            </w:r>
          </w:p>
        </w:tc>
        <w:tc>
          <w:tcPr>
            <w:tcW w:type="dxa" w:w="1728"/>
          </w:tcPr>
          <w:p>
            <w:r>
              <w:rPr>
                <w:sz w:val="15"/>
              </w:rPr>
              <w:t>BANK OF AFRI</w:t>
            </w:r>
          </w:p>
        </w:tc>
        <w:tc>
          <w:tcPr>
            <w:tcW w:type="dxa" w:w="1728"/>
          </w:tcPr>
          <w:p>
            <w:r>
              <w:rPr>
                <w:sz w:val="15"/>
              </w:rPr>
              <w:t>20251223   communique   alerte sur resultats   boa</w:t>
            </w:r>
          </w:p>
        </w:tc>
        <w:tc>
          <w:tcPr>
            <w:tcW w:type="dxa" w:w="1728"/>
          </w:tcPr>
          <w:p>
            <w:r>
              <w:rPr>
                <w:b/>
                <w:sz w:val="15"/>
              </w:rPr>
              <w:t>⚪ =</w:t>
            </w:r>
          </w:p>
        </w:tc>
        <w:tc>
          <w:tcPr>
            <w:tcW w:type="dxa" w:w="1728"/>
          </w:tcPr>
          <w:p>
            <w:r>
              <w:rPr>
                <w:sz w:val="15"/>
              </w:rPr>
              <w:t>Bank of Africa-Niger annonce une baisse significative de plus de 50% de son résultat net pour l'exercice 2025. Cette chu</w:t>
            </w:r>
          </w:p>
        </w:tc>
      </w:tr>
      <w:tr>
        <w:tc>
          <w:tcPr>
            <w:tcW w:type="dxa" w:w="8640"/>
            <w:gridSpan w:val="5"/>
          </w:tcPr>
          <w:p>
            <w:r>
              <w:rPr>
                <w:color w:val="505050"/>
                <w:sz w:val="14"/>
              </w:rPr>
              <w:t xml:space="preserve">  → Baisse du résultat net supérieure à 50% par rapport à l'exercice précédent | Recul de 20% des encours de crédits dû à la conjoncture économique difficile | Important effort de provisionnement impactant la capacité bénéficiaire</w:t>
            </w:r>
          </w:p>
        </w:tc>
      </w:tr>
    </w:tbl>
    <w:p/>
    <w:p/>
    <w:p>
      <w:pPr>
        <w:pStyle w:val="Heading2"/>
      </w:pPr>
      <w:r>
        <w:t>🔔 B — Alertes Google &amp; actualités financières</w:t>
      </w:r>
    </w:p>
    <w:p>
      <w:pPr>
        <w:spacing w:before="120" w:after="40"/>
      </w:pPr>
      <w:r>
        <w:rPr>
          <w:b/>
          <w:color w:val="00467F"/>
          <w:sz w:val="20"/>
        </w:rPr>
        <w:t>🔑 politique  (13 alerte(s))</w:t>
      </w:r>
    </w:p>
    <w:p>
      <w:pPr>
        <w:spacing w:before="40" w:after="40"/>
        <w:ind w:left="360"/>
      </w:pPr>
      <w:r>
        <w:rPr>
          <w:color w:val="646464"/>
          <w:sz w:val="17"/>
        </w:rPr>
        <w:t xml:space="preserve">[02/08/2026] ⚪  </w:t>
      </w:r>
      <w:r>
        <w:rPr>
          <w:b/>
          <w:color w:val="505050"/>
          <w:sz w:val="18"/>
        </w:rPr>
        <w:t>Mali : libération de l’ancien Premier ministre Moussa Mara après 12 mois de prison - Africa24 TV</w:t>
      </w:r>
      <w:r>
        <w:rPr>
          <w:color w:val="787878"/>
          <w:sz w:val="15"/>
        </w:rPr>
        <w:t xml:space="preserve">  [politique]</w:t>
      </w:r>
      <w:r>
        <w:rPr>
          <w:color w:val="B47800"/>
          <w:sz w:val="16"/>
        </w:rPr>
        <w:t xml:space="preserve">  ★ 50/10</w:t>
      </w:r>
    </w:p>
    <w:p>
      <w:pPr>
        <w:spacing w:before="0" w:after="20"/>
        <w:ind w:left="600"/>
      </w:pPr>
      <w:r>
        <w:rPr>
          <w:color w:val="323232"/>
          <w:sz w:val="17"/>
        </w:rPr>
        <w:t>L'ancien Premier ministre malien Moussa Mara a été libéré après 12 mois de détention, selon Africa24 TV. Cet événement politique intervient dans un contexte de tensions au Mali, mais n'a pas de lien direct avec les marchés financiers de l'UEMOA. La libération pourrait être perçue comme un signe d'apaisement politique, mais son impact économique res</w:t>
      </w:r>
    </w:p>
    <w:p>
      <w:pPr>
        <w:spacing w:before="0" w:after="40"/>
        <w:ind w:left="600"/>
      </w:pPr>
      <w:r>
        <w:rPr>
          <w:color w:val="00643C"/>
          <w:sz w:val="16"/>
        </w:rPr>
        <w:t>Points clés : Libération de Moussa Mara après 12 mois de prison  •  Événement politique au Mali, sans effet direct sur la BRVM</w:t>
      </w:r>
    </w:p>
    <w:p>
      <w:pPr>
        <w:spacing w:before="0" w:after="60"/>
        <w:ind w:left="600"/>
      </w:pPr>
      <w:r>
        <w:rPr>
          <w:color w:val="0064B4"/>
          <w:sz w:val="15"/>
        </w:rPr>
        <w:t>Source : https://news.google.com/rss/articles/CBMiqAFBVV95cUxOcXdueGcyUm9pdkM2Nk0yNTFJZmZ</w:t>
      </w:r>
    </w:p>
    <w:p>
      <w:pPr>
        <w:spacing w:before="40" w:after="40"/>
        <w:ind w:left="360"/>
      </w:pPr>
      <w:r>
        <w:rPr>
          <w:color w:val="646464"/>
          <w:sz w:val="17"/>
        </w:rPr>
        <w:t xml:space="preserve">[02/08/2026] 🟢  </w:t>
      </w:r>
      <w:r>
        <w:rPr>
          <w:b/>
          <w:color w:val="008000"/>
          <w:sz w:val="18"/>
        </w:rPr>
        <w:t>Le Sénégal et la Gambie concluent un accord définitif sur le tracé de leur frontière sud - aa.com.tr</w:t>
      </w:r>
      <w:r>
        <w:rPr>
          <w:color w:val="787878"/>
          <w:sz w:val="15"/>
        </w:rPr>
        <w:t xml:space="preserve">  [politique]</w:t>
      </w:r>
      <w:r>
        <w:rPr>
          <w:color w:val="B47800"/>
          <w:sz w:val="16"/>
        </w:rPr>
        <w:t xml:space="preserve">  ★ 50/10</w:t>
      </w:r>
    </w:p>
    <w:p>
      <w:pPr>
        <w:spacing w:before="0" w:after="20"/>
        <w:ind w:left="600"/>
      </w:pPr>
      <w:r>
        <w:rPr>
          <w:color w:val="323232"/>
          <w:sz w:val="17"/>
        </w:rPr>
        <w:t>Le Sénégal et la Gambie ont signé un accord définitif sur le tracé de leur frontière sud, mettant fin à un différend de longue date. Cet accord renforce la stabilité politique et la coopération bilatérale dans la région de l'UEMOA. Il pourrait faciliter les échanges commerciaux et les investissements transfrontaliers, notamment dans les zones écono</w:t>
      </w:r>
    </w:p>
    <w:p>
      <w:pPr>
        <w:spacing w:before="0" w:after="40"/>
        <w:ind w:left="600"/>
      </w:pPr>
      <w:r>
        <w:rPr>
          <w:color w:val="00643C"/>
          <w:sz w:val="16"/>
        </w:rPr>
        <w:t>Points clés : Accord définitif sur le tracé de la frontière sud entre le Sénégal et la Gambie.  •  Renforcement de la stabilité politique et de la coopération bilatérale en Afrique de l'Ouest.  •  Potentiel de stimulation des échanges commerciaux et des investissements dans la région UEMOA.</w:t>
      </w:r>
    </w:p>
    <w:p>
      <w:pPr>
        <w:spacing w:before="0" w:after="60"/>
        <w:ind w:left="600"/>
      </w:pPr>
      <w:r>
        <w:rPr>
          <w:color w:val="0064B4"/>
          <w:sz w:val="15"/>
        </w:rPr>
        <w:t>Source : https://news.google.com/rss/articles/CBMi7AFBVV95cUxNWnNVZF9JbjEzalFRZzN4eU50REZ</w:t>
      </w:r>
    </w:p>
    <w:p>
      <w:pPr>
        <w:spacing w:before="40" w:after="40"/>
        <w:ind w:left="360"/>
      </w:pPr>
      <w:r>
        <w:rPr>
          <w:color w:val="646464"/>
          <w:sz w:val="17"/>
        </w:rPr>
        <w:t xml:space="preserve">[02/08/2026] ⚪  </w:t>
      </w:r>
      <w:r>
        <w:rPr>
          <w:b/>
          <w:color w:val="505050"/>
          <w:sz w:val="18"/>
        </w:rPr>
        <w:t>Septennat présidentiel au Sénégal : Aminata Touré clos le débat lancé par son camp politique - pressafrik.com</w:t>
      </w:r>
      <w:r>
        <w:rPr>
          <w:color w:val="787878"/>
          <w:sz w:val="15"/>
        </w:rPr>
        <w:t xml:space="preserve">  [politique]</w:t>
      </w:r>
      <w:r>
        <w:rPr>
          <w:color w:val="B47800"/>
          <w:sz w:val="16"/>
        </w:rPr>
        <w:t xml:space="preserve">  ★ 50/10</w:t>
      </w:r>
    </w:p>
    <w:p>
      <w:pPr>
        <w:spacing w:before="0" w:after="20"/>
        <w:ind w:left="600"/>
      </w:pPr>
      <w:r>
        <w:rPr>
          <w:color w:val="323232"/>
          <w:sz w:val="17"/>
        </w:rPr>
        <w:t>L'article relate la prise de position d'Aminata Touré, figure politique sénégalaise, qui met fin au débat sur le retour au septennat présidentiel initié par son propre camp. Elle clarifie la position du camp présidentiel, écartant toute révision constitutionnelle en ce sens. Cette clarification intervient dans un contexte politique ouest-africain o</w:t>
      </w:r>
    </w:p>
    <w:p>
      <w:pPr>
        <w:spacing w:before="0" w:after="40"/>
        <w:ind w:left="600"/>
      </w:pPr>
      <w:r>
        <w:rPr>
          <w:color w:val="00643C"/>
          <w:sz w:val="16"/>
        </w:rPr>
        <w:t>Points clés : Aminata Touré clôt le débat sur le septennat présidentiel au Sénégal.  •  La position du camp présidentiel est clarifiée, écartant une révision constitutionnelle.  •  L'information est d'ordre politique et n'a pas de lien direct avec les fondamentaux économiques de la BRVM.</w:t>
      </w:r>
    </w:p>
    <w:p>
      <w:pPr>
        <w:spacing w:before="0" w:after="60"/>
        <w:ind w:left="600"/>
      </w:pPr>
      <w:r>
        <w:rPr>
          <w:color w:val="0064B4"/>
          <w:sz w:val="15"/>
        </w:rPr>
        <w:t>Source : https://news.google.com/rss/articles/CBMiygFBVV95cUxPLUY2VjlxU0pWbTM5czB3M3ROdEl</w:t>
      </w:r>
    </w:p>
    <w:p>
      <w:pPr>
        <w:spacing w:before="40" w:after="40"/>
        <w:ind w:left="360"/>
      </w:pPr>
      <w:r>
        <w:rPr>
          <w:color w:val="646464"/>
          <w:sz w:val="17"/>
        </w:rPr>
        <w:t xml:space="preserve">[02/08/2026] 🟢  </w:t>
      </w:r>
      <w:r>
        <w:rPr>
          <w:b/>
          <w:color w:val="008000"/>
          <w:sz w:val="18"/>
        </w:rPr>
        <w:t>Mali. Moussa Mara libéré - mondafrique.com</w:t>
      </w:r>
      <w:r>
        <w:rPr>
          <w:color w:val="787878"/>
          <w:sz w:val="15"/>
        </w:rPr>
        <w:t xml:space="preserve">  [politique]</w:t>
      </w:r>
      <w:r>
        <w:rPr>
          <w:color w:val="B47800"/>
          <w:sz w:val="16"/>
        </w:rPr>
        <w:t xml:space="preserve">  ★ 50/10</w:t>
      </w:r>
    </w:p>
    <w:p>
      <w:pPr>
        <w:spacing w:before="0" w:after="20"/>
        <w:ind w:left="600"/>
      </w:pPr>
      <w:r>
        <w:rPr>
          <w:color w:val="323232"/>
          <w:sz w:val="17"/>
        </w:rPr>
        <w:t>L'article rapporte la libération de Moussa Mara, ancien Premier ministre malien, qui avait été arrêté. Cet événement politique au Mali, pays membre de l'UEMOA, pourrait avoir des répercussions sur la stabilité régionale. Bien que la nouvelle soit positive pour la démocratie, son impact direct sur les marchés financiers de la BRVM reste limité.</w:t>
      </w:r>
    </w:p>
    <w:p>
      <w:pPr>
        <w:spacing w:before="0" w:after="40"/>
        <w:ind w:left="600"/>
      </w:pPr>
      <w:r>
        <w:rPr>
          <w:color w:val="00643C"/>
          <w:sz w:val="16"/>
        </w:rPr>
        <w:t>Points clés : Libération de Moussa Mara, figure politique malienne  •  Événement politique dans un pays de l'UEMOA</w:t>
      </w:r>
    </w:p>
    <w:p>
      <w:pPr>
        <w:spacing w:before="0" w:after="60"/>
        <w:ind w:left="600"/>
      </w:pPr>
      <w:r>
        <w:rPr>
          <w:color w:val="0064B4"/>
          <w:sz w:val="15"/>
        </w:rPr>
        <w:t>Source : https://news.google.com/rss/articles/CBMib0FVX3lxTE5FeGxrYXJEQnB1WV9ON0lGNXBXMml</w:t>
      </w:r>
    </w:p>
    <w:p>
      <w:pPr>
        <w:spacing w:before="40" w:after="40"/>
        <w:ind w:left="360"/>
      </w:pPr>
      <w:r>
        <w:rPr>
          <w:color w:val="646464"/>
          <w:sz w:val="17"/>
        </w:rPr>
        <w:t xml:space="preserve">[02/08/2026] ⚪  </w:t>
      </w:r>
      <w:r>
        <w:rPr>
          <w:b/>
          <w:color w:val="505050"/>
          <w:sz w:val="18"/>
        </w:rPr>
        <w:t>Mali: l'ancien Premier ministre Moussa Mara sort de prison après un an, sans "projet politique" au vu du "contexte actue</w:t>
      </w:r>
      <w:r>
        <w:rPr>
          <w:color w:val="787878"/>
          <w:sz w:val="15"/>
        </w:rPr>
        <w:t xml:space="preserve">  [politique]</w:t>
      </w:r>
      <w:r>
        <w:rPr>
          <w:color w:val="B47800"/>
          <w:sz w:val="16"/>
        </w:rPr>
        <w:t xml:space="preserve">  ★ 50/10</w:t>
      </w:r>
    </w:p>
    <w:p>
      <w:pPr>
        <w:spacing w:before="0" w:after="20"/>
        <w:ind w:left="600"/>
      </w:pPr>
      <w:r>
        <w:rPr>
          <w:color w:val="323232"/>
          <w:sz w:val="17"/>
        </w:rPr>
        <w:t>L'ancien Premier ministre malien Moussa Mara a été libéré après un an de détention. Il déclare ne pas avoir de projet politique compte tenu du contexte actuel du pays. Cette nouvelle intervient dans un climat politique tendu au Mali, membre de l'UEMOA.</w:t>
      </w:r>
    </w:p>
    <w:p>
      <w:pPr>
        <w:spacing w:before="0" w:after="40"/>
        <w:ind w:left="600"/>
      </w:pPr>
      <w:r>
        <w:rPr>
          <w:color w:val="00643C"/>
          <w:sz w:val="16"/>
        </w:rPr>
        <w:t>Points clés : Libération de Moussa Mara après un an de prison  •  Absence de projet politique déclaré  •  Contexte politique malien toujours instable</w:t>
      </w:r>
    </w:p>
    <w:p>
      <w:pPr>
        <w:spacing w:before="0" w:after="60"/>
        <w:ind w:left="600"/>
      </w:pPr>
      <w:r>
        <w:rPr>
          <w:color w:val="0064B4"/>
          <w:sz w:val="15"/>
        </w:rPr>
        <w:t>Source : https://news.google.com/rss/articles/CBMi8wFBVV95cUxQejVPMnFkdEZvazRIWDkzeVBNTUx</w:t>
      </w:r>
    </w:p>
    <w:p>
      <w:pPr>
        <w:spacing w:before="120" w:after="40"/>
      </w:pPr>
      <w:r>
        <w:rPr>
          <w:b/>
          <w:color w:val="00467F"/>
          <w:sz w:val="20"/>
        </w:rPr>
        <w:t>🔑 économique  (4 alerte(s))</w:t>
      </w:r>
    </w:p>
    <w:p>
      <w:pPr>
        <w:spacing w:before="40" w:after="40"/>
        <w:ind w:left="360"/>
      </w:pPr>
      <w:r>
        <w:rPr>
          <w:color w:val="646464"/>
          <w:sz w:val="17"/>
        </w:rPr>
        <w:t xml:space="preserve">[02/08/2026] ⚪  </w:t>
      </w:r>
      <w:r>
        <w:rPr>
          <w:b/>
          <w:color w:val="505050"/>
          <w:sz w:val="18"/>
        </w:rPr>
        <w:t>Guinée : le franc national préféré à l'éco, la future monnaie unique de la cédéao - fr.africanews.com</w:t>
      </w:r>
      <w:r>
        <w:rPr>
          <w:color w:val="787878"/>
          <w:sz w:val="15"/>
        </w:rPr>
        <w:t xml:space="preserve">  [économique]</w:t>
      </w:r>
      <w:r>
        <w:rPr>
          <w:color w:val="B47800"/>
          <w:sz w:val="16"/>
        </w:rPr>
        <w:t xml:space="preserve">  ★ 50/10</w:t>
      </w:r>
    </w:p>
    <w:p>
      <w:pPr>
        <w:spacing w:before="0" w:after="20"/>
        <w:ind w:left="600"/>
      </w:pPr>
      <w:r>
        <w:rPr>
          <w:color w:val="323232"/>
          <w:sz w:val="17"/>
        </w:rPr>
        <w:t>La Guinée a décidé de privilégier le maintien de son franc national plutôt que d'adopter l'éco, la future monnaie unique de la CEDEAO. Cette décision reflète une prudence économique face aux risques de perte de souveraineté monétaire et de convergence insuffisante des économies de la région. Le pays préfère ainsi sécuriser sa stabilité financière i</w:t>
      </w:r>
    </w:p>
    <w:p>
      <w:pPr>
        <w:spacing w:before="0" w:after="40"/>
        <w:ind w:left="600"/>
      </w:pPr>
      <w:r>
        <w:rPr>
          <w:color w:val="00643C"/>
          <w:sz w:val="16"/>
        </w:rPr>
        <w:t>Points clés : La Guinée renonce à l'éco pour conserver le franc guinéen.  •  La décision est motivée par des préoccupations de souveraineté et de stabilité économique.  •  Ce choix pourrait influencer d'autres pays de la CEDEAO dans leurs réflexions sur la monnaie unique.</w:t>
      </w:r>
    </w:p>
    <w:p>
      <w:pPr>
        <w:spacing w:before="0" w:after="60"/>
        <w:ind w:left="600"/>
      </w:pPr>
      <w:r>
        <w:rPr>
          <w:color w:val="0064B4"/>
          <w:sz w:val="15"/>
        </w:rPr>
        <w:t>Source : https://news.google.com/rss/articles/CBMitgFBVV95cUxPZjF5Zk4wSEFrUTNodjlwNjBKeG5</w:t>
      </w:r>
    </w:p>
    <w:p>
      <w:pPr>
        <w:spacing w:before="40" w:after="40"/>
        <w:ind w:left="360"/>
      </w:pPr>
      <w:r>
        <w:rPr>
          <w:color w:val="646464"/>
          <w:sz w:val="17"/>
        </w:rPr>
        <w:t xml:space="preserve">[02/08/2026] ⚪  </w:t>
      </w:r>
      <w:r>
        <w:rPr>
          <w:b/>
          <w:color w:val="505050"/>
          <w:sz w:val="18"/>
        </w:rPr>
        <w:t>La Guinée renonce à l’eco et conserve son franc guinéen - Africtelegraph</w:t>
      </w:r>
      <w:r>
        <w:rPr>
          <w:color w:val="787878"/>
          <w:sz w:val="15"/>
        </w:rPr>
        <w:t xml:space="preserve">  [économique]</w:t>
      </w:r>
      <w:r>
        <w:rPr>
          <w:color w:val="B47800"/>
          <w:sz w:val="16"/>
        </w:rPr>
        <w:t xml:space="preserve">  ★ 50/10</w:t>
      </w:r>
    </w:p>
    <w:p>
      <w:pPr>
        <w:spacing w:before="0" w:after="20"/>
        <w:ind w:left="600"/>
      </w:pPr>
      <w:r>
        <w:rPr>
          <w:color w:val="323232"/>
          <w:sz w:val="17"/>
        </w:rPr>
        <w:t>La Guinée a officiellement renoncé à adopter l'eco, la monnaie unique de la CEDEAO, et conservera son franc guinéen. Cette décision marque un retrait du processus d'intégration monétaire régionale, avec des implications pour la convergence économique en Afrique de l'Ouest. Le pays justifie ce choix par des considérations de souveraineté monétaire e</w:t>
      </w:r>
    </w:p>
    <w:p>
      <w:pPr>
        <w:spacing w:before="0" w:after="40"/>
        <w:ind w:left="600"/>
      </w:pPr>
      <w:r>
        <w:rPr>
          <w:color w:val="00643C"/>
          <w:sz w:val="16"/>
        </w:rPr>
        <w:t>Points clés : La Guinée maintient le franc guinéen comme monnaie nationale.  •  Abandon du projet d'adoption de l'eco, monnaie unique de la CEDEAO.</w:t>
      </w:r>
    </w:p>
    <w:p>
      <w:pPr>
        <w:spacing w:before="0" w:after="60"/>
        <w:ind w:left="600"/>
      </w:pPr>
      <w:r>
        <w:rPr>
          <w:color w:val="0064B4"/>
          <w:sz w:val="15"/>
        </w:rPr>
        <w:t>Source : https://news.google.com/rss/articles/CBMikAFBVV95cUxQOVQtNjBxUV8yb0plS2Y3VzkzRVd</w:t>
      </w:r>
    </w:p>
    <w:p>
      <w:pPr>
        <w:spacing w:before="40" w:after="40"/>
        <w:ind w:left="360"/>
      </w:pPr>
      <w:r>
        <w:rPr>
          <w:color w:val="646464"/>
          <w:sz w:val="17"/>
        </w:rPr>
        <w:t xml:space="preserve">[31/07/2026] ⚪  </w:t>
      </w:r>
      <w:r>
        <w:rPr>
          <w:b/>
          <w:color w:val="505050"/>
          <w:sz w:val="18"/>
        </w:rPr>
        <w:t>Monnaie unique de la CEDEAO : la Guinée entre dans la Task Force mais défend le franc guinéen - Guinéenews</w:t>
      </w:r>
      <w:r>
        <w:rPr>
          <w:color w:val="787878"/>
          <w:sz w:val="15"/>
        </w:rPr>
        <w:t xml:space="preserve">  [économique]</w:t>
      </w:r>
      <w:r>
        <w:rPr>
          <w:color w:val="B47800"/>
          <w:sz w:val="16"/>
        </w:rPr>
        <w:t xml:space="preserve">  ★ 50/10</w:t>
      </w:r>
    </w:p>
    <w:p>
      <w:pPr>
        <w:spacing w:before="0" w:after="20"/>
        <w:ind w:left="600"/>
      </w:pPr>
      <w:r>
        <w:rPr>
          <w:color w:val="323232"/>
          <w:sz w:val="17"/>
        </w:rPr>
        <w:t>La Guinée a rejoint la Task Force de la CEDEAO sur la monnaie unique, mais maintient sa position en faveur du franc guinéen. Cette décision reflète une volonté de participer aux discussions régionales tout en préservant sa souveraineté monétaire. L'adhésion pourrait faciliter la coordination économique, mais les divergences sur le calendrier et les</w:t>
      </w:r>
    </w:p>
    <w:p>
      <w:pPr>
        <w:spacing w:before="0" w:after="40"/>
        <w:ind w:left="600"/>
      </w:pPr>
      <w:r>
        <w:rPr>
          <w:color w:val="00643C"/>
          <w:sz w:val="16"/>
        </w:rPr>
        <w:t>Points clés : La Guinée intègre la Task Force de la CEDEAO sur la monnaie unique.  •  La Guinée défend le maintien du franc guinéen face au projet d'éco.  •  La participation vise à influencer les négociations sans abandonner sa monnaie nationale.</w:t>
      </w:r>
    </w:p>
    <w:p>
      <w:pPr>
        <w:spacing w:before="0" w:after="60"/>
        <w:ind w:left="600"/>
      </w:pPr>
      <w:r>
        <w:rPr>
          <w:color w:val="0064B4"/>
          <w:sz w:val="15"/>
        </w:rPr>
        <w:t>Source : https://news.google.com/rss/articles/CBMixAFBVV95cUxPZmRYNkQ2X2lzS2cwa2xoVVptWmp</w:t>
      </w:r>
    </w:p>
    <w:p>
      <w:pPr>
        <w:spacing w:before="40" w:after="40"/>
        <w:ind w:left="360"/>
      </w:pPr>
      <w:r>
        <w:rPr>
          <w:color w:val="646464"/>
          <w:sz w:val="17"/>
        </w:rPr>
        <w:t xml:space="preserve">[31/07/2026] ⚪  </w:t>
      </w:r>
      <w:r>
        <w:rPr>
          <w:b/>
          <w:color w:val="505050"/>
          <w:sz w:val="18"/>
        </w:rPr>
        <w:t>Convention 193 de l’OIT : l'Afrique à l'heure de son propre modèle du travail de plateforme (Tribune) - We are Tech</w:t>
      </w:r>
      <w:r>
        <w:rPr>
          <w:color w:val="787878"/>
          <w:sz w:val="15"/>
        </w:rPr>
        <w:t xml:space="preserve">  [économique]</w:t>
      </w:r>
      <w:r>
        <w:rPr>
          <w:color w:val="B47800"/>
          <w:sz w:val="16"/>
        </w:rPr>
        <w:t xml:space="preserve">  ★ 50/10</w:t>
      </w:r>
    </w:p>
    <w:p>
      <w:pPr>
        <w:spacing w:before="0" w:after="20"/>
        <w:ind w:left="600"/>
      </w:pPr>
      <w:r>
        <w:rPr>
          <w:color w:val="323232"/>
          <w:sz w:val="17"/>
        </w:rPr>
        <w:t>La tribune de We are Tech aborde la Convention 193 de l'OIT et son application au travail de plateforme en Afrique, plaidant pour un modèle propre au continent. Elle souligne la nécessité d'adapter les normes internationales aux réalités locales, notamment en matière de protection sociale et de droits des travailleurs. L'article met en avant les op</w:t>
      </w:r>
    </w:p>
    <w:p>
      <w:pPr>
        <w:spacing w:before="0" w:after="40"/>
        <w:ind w:left="600"/>
      </w:pPr>
      <w:r>
        <w:rPr>
          <w:color w:val="00643C"/>
          <w:sz w:val="16"/>
        </w:rPr>
        <w:t>Points clés : La Convention 193 de l'OIT sert de cadre pour repenser le travail de plateforme en Afrique.  •  L'Afrique doit développer un modèle de travail de plateforme adapté à ses spécificités socio-économiques.  •  La protection sociale et les droits des travailleurs sont au cœur des préoccupations.  •  Les plateformes numériques représentent une opportunité de croissance économique pour la région.</w:t>
      </w:r>
    </w:p>
    <w:p>
      <w:pPr>
        <w:spacing w:before="0" w:after="60"/>
        <w:ind w:left="600"/>
      </w:pPr>
      <w:r>
        <w:rPr>
          <w:color w:val="0064B4"/>
          <w:sz w:val="15"/>
        </w:rPr>
        <w:t>Source : https://news.google.com/rss/articles/CBMi8gFBVV95cUxNaXQ4Z29DVEZjNFZNdXhqbEJLb2N</w:t>
      </w:r>
    </w:p>
    <w:p>
      <w:pPr>
        <w:spacing w:before="120" w:after="40"/>
      </w:pPr>
      <w:r>
        <w:rPr>
          <w:b/>
          <w:color w:val="00467F"/>
          <w:sz w:val="20"/>
        </w:rPr>
        <w:t>🔑 marche_financier  (3 alerte(s))</w:t>
      </w:r>
    </w:p>
    <w:p>
      <w:pPr>
        <w:spacing w:before="40" w:after="40"/>
        <w:ind w:left="360"/>
      </w:pPr>
      <w:r>
        <w:rPr>
          <w:color w:val="646464"/>
          <w:sz w:val="17"/>
        </w:rPr>
        <w:t xml:space="preserve">[31/07/2026] ⚪  </w:t>
      </w:r>
      <w:r>
        <w:rPr>
          <w:b/>
          <w:color w:val="505050"/>
          <w:sz w:val="18"/>
        </w:rPr>
        <w:t>La semaine à venir à Wall Street-Le marché boursier américain, en pleine instabilité, attend le rapport sur l' - Boursor</w:t>
      </w:r>
      <w:r>
        <w:rPr>
          <w:color w:val="787878"/>
          <w:sz w:val="15"/>
        </w:rPr>
        <w:t xml:space="preserve">  [marche_financier]</w:t>
      </w:r>
      <w:r>
        <w:rPr>
          <w:color w:val="B47800"/>
          <w:sz w:val="16"/>
        </w:rPr>
        <w:t xml:space="preserve">  ★ 50/10</w:t>
      </w:r>
    </w:p>
    <w:p>
      <w:pPr>
        <w:spacing w:before="0" w:after="20"/>
        <w:ind w:left="600"/>
      </w:pPr>
      <w:r>
        <w:rPr>
          <w:color w:val="323232"/>
          <w:sz w:val="17"/>
        </w:rPr>
        <w:t>Le marché boursier américain traverse une période d'instabilité, les investisseurs attendant avec attention la publication du rapport sur l'emploi américain. Ce rapport est crucial pour évaluer la santé économique et anticiper les décisions de la Réserve fédérale. Les marchés restent volatils, avec des inquiétudes persistantes sur l'inflation et le</w:t>
      </w:r>
    </w:p>
    <w:p>
      <w:pPr>
        <w:spacing w:before="0" w:after="40"/>
        <w:ind w:left="600"/>
      </w:pPr>
      <w:r>
        <w:rPr>
          <w:color w:val="00643C"/>
          <w:sz w:val="16"/>
        </w:rPr>
        <w:t>Points clés : Publication prochaine du rapport sur l'emploi américain, indicateur clé pour la Fed.  •  Instabilité et volatilité persistantes sur les marchés actions américains.  •  Les investisseurs surveillent les signaux d'inflation et de politique monétaire.</w:t>
      </w:r>
    </w:p>
    <w:p>
      <w:pPr>
        <w:spacing w:before="0" w:after="60"/>
        <w:ind w:left="600"/>
      </w:pPr>
      <w:r>
        <w:rPr>
          <w:color w:val="0064B4"/>
          <w:sz w:val="15"/>
        </w:rPr>
        <w:t>Source : https://news.google.com/rss/articles/CBMi2AJBVV95cUxQMGZoUDc5VTVZQlVKbHVTcmhIVTd</w:t>
      </w:r>
    </w:p>
    <w:p>
      <w:pPr>
        <w:spacing w:before="40" w:after="40"/>
        <w:ind w:left="360"/>
      </w:pPr>
      <w:r>
        <w:rPr>
          <w:color w:val="646464"/>
          <w:sz w:val="17"/>
        </w:rPr>
        <w:t xml:space="preserve">[31/07/2026] ⚪  </w:t>
      </w:r>
      <w:r>
        <w:rPr>
          <w:b/>
          <w:color w:val="505050"/>
          <w:sz w:val="18"/>
        </w:rPr>
        <w:t>VIDEO - Bourse : et si le Dow Jones ne servait… à rien ? - Les Echos</w:t>
      </w:r>
      <w:r>
        <w:rPr>
          <w:color w:val="787878"/>
          <w:sz w:val="15"/>
        </w:rPr>
        <w:t xml:space="preserve">  [marche_financier]</w:t>
      </w:r>
      <w:r>
        <w:rPr>
          <w:color w:val="B47800"/>
          <w:sz w:val="16"/>
        </w:rPr>
        <w:t xml:space="preserve">  ★ 50/10</w:t>
      </w:r>
    </w:p>
    <w:p>
      <w:pPr>
        <w:spacing w:before="0" w:after="20"/>
        <w:ind w:left="600"/>
      </w:pPr>
      <w:r>
        <w:rPr>
          <w:color w:val="323232"/>
          <w:sz w:val="17"/>
        </w:rPr>
        <w:t>L'article des Echos remet en question l'utilité du Dow Jones, un indice boursier américain, en soulignant ses limites méthodologiques et sa représentativité réduite de l'économie. Il suggère que cet indice, bien que médiatique, n'est pas un indicateur fiable pour les investisseurs. La vidéo explore les alternatives plus pertinentes comme le S&amp;P 500</w:t>
      </w:r>
    </w:p>
    <w:p>
      <w:pPr>
        <w:spacing w:before="0" w:after="40"/>
        <w:ind w:left="600"/>
      </w:pPr>
      <w:r>
        <w:rPr>
          <w:color w:val="00643C"/>
          <w:sz w:val="16"/>
        </w:rPr>
        <w:t>Points clés : Le Dow Jones est critiqué pour sa méthodologie obsolète (pondération par prix, faible nombre de valeurs).  •  L'indice ne reflète pas correctement la diversité de l'économie américaine.  •  Des indices comme le S&amp;P 500 sont présentés comme plus représentatifs.  •  La pertinence des indices boursiers pour les investisseurs est remise en question.</w:t>
      </w:r>
    </w:p>
    <w:p>
      <w:pPr>
        <w:spacing w:before="0" w:after="60"/>
        <w:ind w:left="600"/>
      </w:pPr>
      <w:r>
        <w:rPr>
          <w:color w:val="0064B4"/>
          <w:sz w:val="15"/>
        </w:rPr>
        <w:t>Source : https://news.google.com/rss/articles/CBMitwFBVV95cUxNWWNabFhJbEgwNzRhYXItZV9Cdld</w:t>
      </w:r>
    </w:p>
    <w:p>
      <w:pPr>
        <w:spacing w:before="40" w:after="40"/>
        <w:ind w:left="360"/>
      </w:pPr>
      <w:r>
        <w:rPr>
          <w:color w:val="646464"/>
          <w:sz w:val="17"/>
        </w:rPr>
        <w:t xml:space="preserve">[31/07/2026] 🟢  </w:t>
      </w:r>
      <w:r>
        <w:rPr>
          <w:b/>
          <w:color w:val="008000"/>
          <w:sz w:val="18"/>
        </w:rPr>
        <w:t>« Si vous attendiez une opportunité particulièrement propice pour investir, c'en est une » : jusqu'à la dernière minute,</w:t>
      </w:r>
      <w:r>
        <w:rPr>
          <w:color w:val="787878"/>
          <w:sz w:val="15"/>
        </w:rPr>
        <w:t xml:space="preserve">  [marche_financier]</w:t>
      </w:r>
      <w:r>
        <w:rPr>
          <w:color w:val="B47800"/>
          <w:sz w:val="16"/>
        </w:rPr>
        <w:t xml:space="preserve">  ★ 50/10</w:t>
      </w:r>
    </w:p>
    <w:p>
      <w:pPr>
        <w:spacing w:before="0" w:after="20"/>
        <w:ind w:left="600"/>
      </w:pPr>
      <w:r>
        <w:rPr>
          <w:color w:val="323232"/>
          <w:sz w:val="17"/>
        </w:rPr>
        <w:t xml:space="preserve">L'article des Echos rapporte que le 'Nostradamus de l'IA' de Wall Street, un analyste réputé, a tenté de rassurer ses clients jusqu'à la dernière minute en affirmant que le moment était propice pour investir. Il s'agit d'une incitation à saisir une opportunité d'achat, probablement dans un contexte de volatilité ou de baisse des marchés. L'article </w:t>
      </w:r>
    </w:p>
    <w:p>
      <w:pPr>
        <w:spacing w:before="0" w:after="40"/>
        <w:ind w:left="600"/>
      </w:pPr>
      <w:r>
        <w:rPr>
          <w:color w:val="00643C"/>
          <w:sz w:val="16"/>
        </w:rPr>
        <w:t>Points clés : Un analyste influent de Wall Street recommande d'investir, qualifiant le moment d'opportunité propice.  •  La démarche vise à rassurer les clients face à des conditions de marché difficiles.  •  L'article met en avant une perspective haussière à court terme malgré les risques.</w:t>
      </w:r>
    </w:p>
    <w:p>
      <w:pPr>
        <w:spacing w:before="0" w:after="60"/>
        <w:ind w:left="600"/>
      </w:pPr>
      <w:r>
        <w:rPr>
          <w:color w:val="0064B4"/>
          <w:sz w:val="15"/>
        </w:rPr>
        <w:t>Source : https://news.google.com/rss/articles/CBMi5AJBVV95cUxNZ084M2lHUE5HdWFBNTFobjNtemU</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3,655</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10,815</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4,500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7,790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31,000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7,585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1,665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16,995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3,140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9,000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2,200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15,495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5,000</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2,680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2,280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5,130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3,500</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18</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1,945</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5,290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16,230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2,995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3,645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37,750</w:t>
            </w:r>
          </w:p>
        </w:tc>
        <w:tc>
          <w:tcPr>
            <w:tcW w:type="dxa" w:w="1080"/>
            <w:shd w:fill="EBF5FB" w:val="clear"/>
          </w:tcPr>
          <w:p>
            <w:r>
              <w:rPr>
                <w:b/>
                <w:sz w:val="16"/>
              </w:rPr>
              <w:t>68/100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8,700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7,100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5,665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16,500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2,690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9,000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23,200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2,975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1,890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66</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1,970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4,515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SHEC</w:t>
            </w:r>
          </w:p>
        </w:tc>
        <w:tc>
          <w:tcPr>
            <w:tcW w:type="dxa" w:w="1080"/>
            <w:shd w:fill="EBF5FB" w:val="clear"/>
          </w:tcPr>
          <w:p>
            <w:r>
              <w:rPr>
                <w:sz w:val="16"/>
              </w:rPr>
              <w:t>ENERGIE</w:t>
            </w:r>
          </w:p>
        </w:tc>
        <w:tc>
          <w:tcPr>
            <w:tcW w:type="dxa" w:w="1080"/>
            <w:shd w:fill="EBF5FB" w:val="clear"/>
          </w:tcPr>
          <w:p>
            <w:r>
              <w:rPr>
                <w:sz w:val="16"/>
              </w:rPr>
              <w:t>2,200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8,305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28,000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11,900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23,325</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28,670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1,485</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3,000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6,400</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51,000</w:t>
            </w:r>
          </w:p>
        </w:tc>
        <w:tc>
          <w:tcPr>
            <w:tcW w:type="dxa" w:w="1080"/>
            <w:shd w:fill="EBF5FB" w:val="clear"/>
          </w:tcPr>
          <w:p>
            <w:r>
              <w:rPr>
                <w:b/>
                <w:sz w:val="16"/>
              </w:rPr>
              <w:t>59/100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SPHC</w:t>
            </w:r>
          </w:p>
        </w:tc>
        <w:tc>
          <w:tcPr>
            <w:tcW w:type="dxa" w:w="1080"/>
            <w:shd w:fill="FEFEFE" w:val="clear"/>
          </w:tcPr>
          <w:p>
            <w:r>
              <w:rPr>
                <w:sz w:val="16"/>
              </w:rPr>
              <w:t>CONSOMMATION DE BA</w:t>
            </w:r>
          </w:p>
        </w:tc>
        <w:tc>
          <w:tcPr>
            <w:tcW w:type="dxa" w:w="1080"/>
            <w:shd w:fill="FEFEFE" w:val="clear"/>
          </w:tcPr>
          <w:p>
            <w:r>
              <w:rPr>
                <w:sz w:val="16"/>
              </w:rPr>
              <w:t>7,565</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10,815</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4,500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7,790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SNTS</w:t>
            </w:r>
          </w:p>
        </w:tc>
        <w:tc>
          <w:tcPr>
            <w:tcW w:type="dxa" w:w="1728"/>
            <w:shd w:fill="DEEAF1" w:val="clear"/>
          </w:tcPr>
          <w:p>
            <w:r>
              <w:rPr>
                <w:sz w:val="17"/>
              </w:rPr>
              <w:t>SNTS - SONATEL SN</w:t>
            </w:r>
          </w:p>
        </w:tc>
        <w:tc>
          <w:tcPr>
            <w:tcW w:type="dxa" w:w="1728"/>
            <w:shd w:fill="DEEAF1" w:val="clear"/>
          </w:tcPr>
          <w:p>
            <w:r>
              <w:rPr>
                <w:sz w:val="17"/>
              </w:rPr>
              <w:t>31,000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BICB</w:t>
            </w:r>
          </w:p>
        </w:tc>
        <w:tc>
          <w:tcPr>
            <w:tcW w:type="dxa" w:w="1728"/>
            <w:shd w:fill="DEEAF1" w:val="clear"/>
          </w:tcPr>
          <w:p>
            <w:r>
              <w:rPr>
                <w:sz w:val="17"/>
              </w:rPr>
              <w:t>BIIC BN - Banque internation</w:t>
            </w:r>
          </w:p>
        </w:tc>
        <w:tc>
          <w:tcPr>
            <w:tcW w:type="dxa" w:w="1728"/>
            <w:shd w:fill="DEEAF1" w:val="clear"/>
          </w:tcPr>
          <w:p>
            <w:r>
              <w:rPr>
                <w:sz w:val="17"/>
              </w:rPr>
              <w:t>7,585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CFAC</w:t>
            </w:r>
          </w:p>
        </w:tc>
        <w:tc>
          <w:tcPr>
            <w:tcW w:type="dxa" w:w="1728"/>
            <w:shd w:fill="DEEAF1" w:val="clear"/>
          </w:tcPr>
          <w:p>
            <w:r>
              <w:rPr>
                <w:sz w:val="17"/>
              </w:rPr>
              <w:t>CFAC - CFAO MOTORS CI</w:t>
            </w:r>
          </w:p>
        </w:tc>
        <w:tc>
          <w:tcPr>
            <w:tcW w:type="dxa" w:w="1728"/>
            <w:shd w:fill="DEEAF1" w:val="clear"/>
          </w:tcPr>
          <w:p>
            <w:r>
              <w:rPr>
                <w:sz w:val="17"/>
              </w:rPr>
              <w:t>1,665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ORAC</w:t>
            </w:r>
          </w:p>
        </w:tc>
        <w:tc>
          <w:tcPr>
            <w:tcW w:type="dxa" w:w="1728"/>
            <w:shd w:fill="DEEAF1" w:val="clear"/>
          </w:tcPr>
          <w:p>
            <w:r>
              <w:rPr>
                <w:sz w:val="17"/>
              </w:rPr>
              <w:t>ORAC - ORANGE COTE D'IVOIRE</w:t>
            </w:r>
          </w:p>
        </w:tc>
        <w:tc>
          <w:tcPr>
            <w:tcW w:type="dxa" w:w="1728"/>
            <w:shd w:fill="DEEAF1" w:val="clear"/>
          </w:tcPr>
          <w:p>
            <w:r>
              <w:rPr>
                <w:sz w:val="17"/>
              </w:rPr>
              <w:t>16,995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3,140</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TTLS</w:t>
            </w:r>
          </w:p>
        </w:tc>
        <w:tc>
          <w:tcPr>
            <w:tcW w:type="dxa" w:w="1728"/>
            <w:shd w:fill="E2EFDA" w:val="clear"/>
          </w:tcPr>
          <w:p>
            <w:r>
              <w:rPr>
                <w:sz w:val="17"/>
              </w:rPr>
              <w:t>TTLS - TOTAL ENERGIES MARKET</w:t>
            </w:r>
          </w:p>
        </w:tc>
        <w:tc>
          <w:tcPr>
            <w:tcW w:type="dxa" w:w="1728"/>
            <w:shd w:fill="E2EFDA" w:val="clear"/>
          </w:tcPr>
          <w:p>
            <w:r>
              <w:rPr>
                <w:sz w:val="17"/>
              </w:rPr>
              <w:t>3,655</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10,815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LNBB</w:t>
            </w:r>
          </w:p>
        </w:tc>
        <w:tc>
          <w:tcPr>
            <w:tcW w:type="dxa" w:w="1728"/>
            <w:shd w:fill="E2EFDA" w:val="clear"/>
          </w:tcPr>
          <w:p>
            <w:r>
              <w:rPr>
                <w:sz w:val="17"/>
              </w:rPr>
              <w:t xml:space="preserve">LNBB - LOTERIE NATIONALE DU </w:t>
            </w:r>
          </w:p>
        </w:tc>
        <w:tc>
          <w:tcPr>
            <w:tcW w:type="dxa" w:w="1728"/>
            <w:shd w:fill="E2EFDA" w:val="clear"/>
          </w:tcPr>
          <w:p>
            <w:r>
              <w:rPr>
                <w:sz w:val="17"/>
              </w:rPr>
              <w:t>4,500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7,790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31,000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7,585</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CFAC</w:t>
            </w:r>
          </w:p>
        </w:tc>
        <w:tc>
          <w:tcPr>
            <w:tcW w:type="dxa" w:w="1728"/>
            <w:shd w:fill="E2EFDA" w:val="clear"/>
          </w:tcPr>
          <w:p>
            <w:r>
              <w:rPr>
                <w:sz w:val="17"/>
              </w:rPr>
              <w:t>CFAC - CFAO MOTORS CI</w:t>
            </w:r>
          </w:p>
        </w:tc>
        <w:tc>
          <w:tcPr>
            <w:tcW w:type="dxa" w:w="1728"/>
            <w:shd w:fill="E2EFDA" w:val="clear"/>
          </w:tcPr>
          <w:p>
            <w:r>
              <w:rPr>
                <w:sz w:val="17"/>
              </w:rPr>
              <w:t>1,665</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ORAC</w:t>
            </w:r>
          </w:p>
        </w:tc>
        <w:tc>
          <w:tcPr>
            <w:tcW w:type="dxa" w:w="1728"/>
            <w:shd w:fill="E2EFDA" w:val="clear"/>
          </w:tcPr>
          <w:p>
            <w:r>
              <w:rPr>
                <w:sz w:val="17"/>
              </w:rPr>
              <w:t>ORAC - ORANGE COTE D'IVOIRE</w:t>
            </w:r>
          </w:p>
        </w:tc>
        <w:tc>
          <w:tcPr>
            <w:tcW w:type="dxa" w:w="1728"/>
            <w:shd w:fill="E2EFDA" w:val="clear"/>
          </w:tcPr>
          <w:p>
            <w:r>
              <w:rPr>
                <w:sz w:val="17"/>
              </w:rPr>
              <w:t>16,995</w:t>
            </w:r>
          </w:p>
        </w:tc>
        <w:tc>
          <w:tcPr>
            <w:tcW w:type="dxa" w:w="1728"/>
            <w:shd w:fill="E2EFDA" w:val="clear"/>
          </w:tcPr>
          <w:p>
            <w:r>
              <w:rPr>
                <w:sz w:val="17"/>
              </w:rPr>
              <w:t>72/100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TTLS</w:t>
            </w:r>
          </w:p>
        </w:tc>
        <w:tc>
          <w:tcPr>
            <w:tcW w:type="dxa" w:w="1728"/>
            <w:shd w:fill="FCE4D6" w:val="clear"/>
          </w:tcPr>
          <w:p>
            <w:r>
              <w:rPr>
                <w:sz w:val="17"/>
              </w:rPr>
              <w:t>TTLS - TOTAL ENERGIES MARKET</w:t>
            </w:r>
          </w:p>
        </w:tc>
        <w:tc>
          <w:tcPr>
            <w:tcW w:type="dxa" w:w="1728"/>
            <w:shd w:fill="FCE4D6" w:val="clear"/>
          </w:tcPr>
          <w:p>
            <w:r>
              <w:rPr>
                <w:sz w:val="17"/>
              </w:rPr>
              <w:t>3,655</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10,815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LNBB</w:t>
            </w:r>
          </w:p>
        </w:tc>
        <w:tc>
          <w:tcPr>
            <w:tcW w:type="dxa" w:w="1728"/>
            <w:shd w:fill="FCE4D6" w:val="clear"/>
          </w:tcPr>
          <w:p>
            <w:r>
              <w:rPr>
                <w:sz w:val="17"/>
              </w:rPr>
              <w:t xml:space="preserve">LNBB - LOTERIE NATIONALE DU </w:t>
            </w:r>
          </w:p>
        </w:tc>
        <w:tc>
          <w:tcPr>
            <w:tcW w:type="dxa" w:w="1728"/>
            <w:shd w:fill="FCE4D6" w:val="clear"/>
          </w:tcPr>
          <w:p>
            <w:r>
              <w:rPr>
                <w:sz w:val="17"/>
              </w:rPr>
              <w:t>4,500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7,790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31,000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7,585</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CFAC</w:t>
            </w:r>
          </w:p>
        </w:tc>
        <w:tc>
          <w:tcPr>
            <w:tcW w:type="dxa" w:w="1728"/>
            <w:shd w:fill="FCE4D6" w:val="clear"/>
          </w:tcPr>
          <w:p>
            <w:r>
              <w:rPr>
                <w:sz w:val="17"/>
              </w:rPr>
              <w:t>CFAC - CFAO MOTORS CI</w:t>
            </w:r>
          </w:p>
        </w:tc>
        <w:tc>
          <w:tcPr>
            <w:tcW w:type="dxa" w:w="1728"/>
            <w:shd w:fill="FCE4D6" w:val="clear"/>
          </w:tcPr>
          <w:p>
            <w:r>
              <w:rPr>
                <w:sz w:val="17"/>
              </w:rPr>
              <w:t>1,665</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ORAC</w:t>
            </w:r>
          </w:p>
        </w:tc>
        <w:tc>
          <w:tcPr>
            <w:tcW w:type="dxa" w:w="1728"/>
            <w:shd w:fill="FCE4D6" w:val="clear"/>
          </w:tcPr>
          <w:p>
            <w:r>
              <w:rPr>
                <w:sz w:val="17"/>
              </w:rPr>
              <w:t>ORAC - ORANGE COTE D'IVOIRE</w:t>
            </w:r>
          </w:p>
        </w:tc>
        <w:tc>
          <w:tcPr>
            <w:tcW w:type="dxa" w:w="1728"/>
            <w:shd w:fill="FCE4D6" w:val="clear"/>
          </w:tcPr>
          <w:p>
            <w:r>
              <w:rPr>
                <w:sz w:val="17"/>
              </w:rPr>
              <w:t>16,995</w:t>
            </w:r>
          </w:p>
        </w:tc>
        <w:tc>
          <w:tcPr>
            <w:tcW w:type="dxa" w:w="1728"/>
            <w:shd w:fill="FCE4D6" w:val="clear"/>
          </w:tcPr>
          <w:p>
            <w:r>
              <w:rPr>
                <w:sz w:val="17"/>
              </w:rPr>
              <w:t>72/100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BOABF — BANK OF AFRICA BURKINA FASO</w:t>
      </w:r>
    </w:p>
    <w:p>
      <w:pPr>
        <w:pStyle w:val="ListBullet"/>
        <w:spacing w:before="20"/>
        <w:ind w:left="400"/>
      </w:pPr>
      <w:r>
        <w:rPr>
          <w:sz w:val="18"/>
        </w:rPr>
        <w:t>🔴 RSI surachat (71.7 &gt; 70) — risque de correction</w:t>
      </w:r>
    </w:p>
    <w:p>
      <w:pPr>
        <w:pStyle w:val="ListBullet"/>
        <w:spacing w:before="20"/>
        <w:ind w:left="400"/>
      </w:pPr>
      <w:r>
        <w:rPr>
          <w:sz w:val="18"/>
        </w:rPr>
        <w:t>⚠️ Cours à 2.1% du plus haut 100j (7,255 FCFA)</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RSI surachat (71.7 &gt; 70) — risque de correction</w:t>
      </w:r>
    </w:p>
    <w:p>
      <w:pPr>
        <w:pStyle w:val="ListBullet"/>
        <w:spacing w:before="20"/>
        <w:ind w:left="400"/>
      </w:pPr>
      <w:r>
        <w:rPr>
          <w:sz w:val="18"/>
        </w:rPr>
        <w:t>⚠️ Cours à 0.3% du plus haut 100j (16,550 FCFA)</w:t>
      </w:r>
    </w:p>
    <w:p>
      <w:pPr>
        <w:pStyle w:val="ListBullet"/>
        <w:spacing w:before="20"/>
        <w:ind w:left="400"/>
      </w:pPr>
      <w:r>
        <w:rPr>
          <w:sz w:val="18"/>
        </w:rPr>
        <w:t>🟠 Divergence tech(VENTE) / fond(ACHAT) — recommandation ajustée à ACHAT</w:t>
      </w:r>
    </w:p>
    <w:p>
      <w:pPr>
        <w:spacing w:before="120"/>
      </w:pPr>
      <w:r>
        <w:rPr>
          <w:b/>
          <w:color w:val="0050A0"/>
          <w:sz w:val="20"/>
        </w:rPr>
        <w:t>BOAN — BANK OF AFRICA NIGER</w:t>
      </w:r>
    </w:p>
    <w:p>
      <w:pPr>
        <w:pStyle w:val="ListBullet"/>
        <w:spacing w:before="20"/>
        <w:ind w:left="400"/>
      </w:pPr>
      <w:r>
        <w:rPr>
          <w:sz w:val="18"/>
        </w:rPr>
        <w:t>⚠️ Cours à 2.0% du plus haut 100j (5,400 FCFA)</w:t>
      </w:r>
    </w:p>
    <w:p>
      <w:pPr>
        <w:pStyle w:val="ListBullet"/>
        <w:spacing w:before="20"/>
        <w:ind w:left="400"/>
      </w:pPr>
      <w:r>
        <w:rPr>
          <w:sz w:val="18"/>
        </w:rPr>
        <w:t>🟠 Divergence tech(VENTE) / fond(ACHAT) — recommandation ajustée à ACHAT</w:t>
      </w:r>
    </w:p>
    <w:p>
      <w:pPr>
        <w:spacing w:before="120"/>
      </w:pPr>
      <w:r>
        <w:rPr>
          <w:b/>
          <w:color w:val="0050A0"/>
          <w:sz w:val="20"/>
        </w:rPr>
        <w:t>NSBC — NSBC - NSIA BANQUE COTE D'IVOIRE</w:t>
      </w:r>
    </w:p>
    <w:p>
      <w:pPr>
        <w:pStyle w:val="ListBullet"/>
        <w:spacing w:before="20"/>
        <w:ind w:left="400"/>
      </w:pPr>
      <w:r>
        <w:rPr>
          <w:sz w:val="18"/>
        </w:rPr>
        <w:t>⚠️ Cours à 1.4% du plus haut 100j (23,650 FCFA)</w:t>
      </w:r>
    </w:p>
    <w:p>
      <w:pPr>
        <w:pStyle w:val="ListBullet"/>
        <w:spacing w:before="20"/>
        <w:ind w:left="400"/>
      </w:pPr>
      <w:r>
        <w:rPr>
          <w:sz w:val="18"/>
        </w:rPr>
        <w:t>🟠 Divergence tech(VENTE) / fond(ACHAT) — recommandation ajustée à ACHAT</w:t>
      </w:r>
    </w:p>
    <w:p>
      <w:pPr>
        <w:spacing w:before="120"/>
      </w:pPr>
      <w:r>
        <w:rPr>
          <w:b/>
          <w:color w:val="0050A0"/>
          <w:sz w:val="20"/>
        </w:rPr>
        <w:t>ONTBF — ONTBF - ONATEL BURKINA FASO</w:t>
      </w:r>
    </w:p>
    <w:p>
      <w:pPr>
        <w:pStyle w:val="ListBullet"/>
        <w:spacing w:before="20"/>
        <w:ind w:left="400"/>
      </w:pPr>
      <w:r>
        <w:rPr>
          <w:sz w:val="18"/>
        </w:rPr>
        <w:t>🔴 RSI surachat (77.1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(74.3 &gt; 70) — risque de correction</w:t>
      </w:r>
    </w:p>
    <w:p>
      <w:pPr>
        <w:pStyle w:val="ListBullet"/>
        <w:spacing w:before="20"/>
        <w:ind w:left="400"/>
      </w:pPr>
      <w:r>
        <w:rPr>
          <w:sz w:val="18"/>
        </w:rPr>
        <w:t>⚠️ Cours à 0.0% du plus haut 100j (16,995 FCFA)</w:t>
      </w:r>
    </w:p>
    <w:p>
      <w:pPr>
        <w:spacing w:before="120"/>
      </w:pPr>
      <w:r>
        <w:rPr>
          <w:b/>
          <w:color w:val="0050A0"/>
          <w:sz w:val="20"/>
        </w:rPr>
        <w:t>ORGT — ORGT - ORAGROUP TOGO</w:t>
      </w:r>
    </w:p>
    <w:p>
      <w:pPr>
        <w:pStyle w:val="ListBullet"/>
        <w:spacing w:before="20"/>
        <w:ind w:left="400"/>
      </w:pPr>
      <w:r>
        <w:rPr>
          <w:sz w:val="18"/>
        </w:rPr>
        <w:t>🔴 RSI surachat (89.5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Cours à 2.4% du plus haut 100j (12,195 FCFA)</w:t>
      </w:r>
    </w:p>
    <w:p>
      <w:pPr>
        <w:pStyle w:val="ListBullet"/>
        <w:spacing w:before="20"/>
        <w:ind w:left="400"/>
      </w:pPr>
      <w:r>
        <w:rPr>
          <w:sz w:val="18"/>
        </w:rPr>
        <w:t>🟠 Divergence tech(VENTE) / fond(ACHAT) — recommandation ajustée à ACHAT</w:t>
      </w:r>
    </w:p>
    <w:p>
      <w:pPr>
        <w:spacing w:before="120"/>
      </w:pPr>
      <w:r>
        <w:rPr>
          <w:b/>
          <w:color w:val="0050A0"/>
          <w:sz w:val="20"/>
        </w:rPr>
        <w:t>SDSC — SDSC - AFRICA GLOBAL LOGISTICS CI</w:t>
      </w:r>
    </w:p>
    <w:p>
      <w:pPr>
        <w:pStyle w:val="ListBullet"/>
        <w:spacing w:before="20"/>
        <w:ind w:left="400"/>
      </w:pPr>
      <w:r>
        <w:rPr>
          <w:sz w:val="18"/>
        </w:rPr>
        <w:t>🔴 RSI surachat (78.4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RSI surachat (83.0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RSI surachat (72.6 &gt; 70) — risque de correction</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2.8% du plus haut 100j (29,490 FCFA)</w:t>
      </w:r>
    </w:p>
    <w:p>
      <w:pPr>
        <w:spacing w:before="120"/>
      </w:pPr>
      <w:r>
        <w:rPr>
          <w:b/>
          <w:color w:val="0050A0"/>
          <w:sz w:val="20"/>
        </w:rPr>
        <w:t>BOAC — BANK OF AFRICA COTE D'IVOIRE</w:t>
      </w:r>
    </w:p>
    <w:p>
      <w:pPr>
        <w:pStyle w:val="ListBullet"/>
        <w:spacing w:before="20"/>
        <w:ind w:left="400"/>
      </w:pPr>
      <w:r>
        <w:rPr>
          <w:sz w:val="18"/>
        </w:rPr>
        <w:t>🔴 RSI surachat (77.1 &gt; 70) — risque de correction</w:t>
      </w:r>
    </w:p>
    <w:p>
      <w:pPr>
        <w:spacing w:before="120"/>
      </w:pPr>
      <w:r>
        <w:rPr>
          <w:b/>
          <w:color w:val="0050A0"/>
          <w:sz w:val="20"/>
        </w:rPr>
        <w:t>BOAM — BANK OF AFRICA MALI</w:t>
      </w:r>
    </w:p>
    <w:p>
      <w:pPr>
        <w:pStyle w:val="ListBullet"/>
        <w:spacing w:before="20"/>
        <w:ind w:left="400"/>
      </w:pPr>
      <w:r>
        <w:rPr>
          <w:sz w:val="18"/>
        </w:rPr>
        <w:t>⚠️ Cours à 1.8% du plus haut 100j (5,770 FCFA)</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 FORT</w:t>
      </w:r>
    </w:p>
    <w:p>
      <w:pPr>
        <w:spacing w:before="120"/>
      </w:pPr>
      <w:r>
        <w:rPr>
          <w:b/>
          <w:color w:val="0050A0"/>
          <w:sz w:val="20"/>
        </w:rPr>
        <w:t>LNBB — LNBB - LOTERIE NATIONALE DU BENIN</w:t>
      </w:r>
    </w:p>
    <w:p>
      <w:pPr>
        <w:pStyle w:val="ListBullet"/>
        <w:spacing w:before="20"/>
        <w:ind w:left="400"/>
      </w:pPr>
      <w:r>
        <w:rPr>
          <w:sz w:val="18"/>
        </w:rPr>
        <w:t>⚠️ Cours à 0.0% du plus haut 100j (4,500 FCFA)</w:t>
      </w:r>
    </w:p>
    <w:p>
      <w:pPr>
        <w:spacing w:before="120"/>
      </w:pPr>
      <w:r>
        <w:rPr>
          <w:b/>
          <w:color w:val="0050A0"/>
          <w:sz w:val="20"/>
        </w:rPr>
        <w:t>SGBC — SGBC - SOCIETE GENERALE COTE D'IVOIRE</w:t>
      </w:r>
    </w:p>
    <w:p>
      <w:pPr>
        <w:pStyle w:val="ListBullet"/>
        <w:spacing w:before="20"/>
        <w:ind w:left="400"/>
      </w:pPr>
      <w:r>
        <w:rPr>
          <w:sz w:val="18"/>
        </w:rPr>
        <w:t>🟢 RSI survente (13.2 &lt; 30) — opportunité potentielle</w:t>
      </w:r>
    </w:p>
    <w:p>
      <w:pPr>
        <w:spacing w:before="120"/>
      </w:pPr>
      <w:r>
        <w:rPr>
          <w:b/>
          <w:color w:val="0050A0"/>
          <w:sz w:val="20"/>
        </w:rPr>
        <w:t>SHEC — SHEC - VIVO ENERGY COTE D'IVOIRE</w:t>
      </w:r>
    </w:p>
    <w:p>
      <w:pPr>
        <w:pStyle w:val="ListBullet"/>
        <w:spacing w:before="20"/>
        <w:ind w:left="400"/>
      </w:pPr>
      <w:r>
        <w:rPr>
          <w:sz w:val="18"/>
        </w:rPr>
        <w:t>🟠 Divergence tech(VENTE) / fond(ACHAT) — recommandation ajustée à ACHAT</w:t>
      </w:r>
    </w:p>
    <w:p>
      <w:pPr>
        <w:spacing w:before="120"/>
      </w:pPr>
      <w:r>
        <w:rPr>
          <w:b/>
          <w:color w:val="0050A0"/>
          <w:sz w:val="20"/>
        </w:rPr>
        <w:t>SIBC — SIBC - SOCIETE IVOIRIENNE DE BANQUE</w:t>
      </w:r>
    </w:p>
    <w:p>
      <w:pPr>
        <w:pStyle w:val="ListBullet"/>
        <w:spacing w:before="20"/>
        <w:ind w:left="400"/>
      </w:pPr>
      <w:r>
        <w:rPr>
          <w:sz w:val="18"/>
        </w:rPr>
        <w:t>⚠️ Cours à 1.1% du plus haut 100j (9,100 FCFA)</w:t>
      </w:r>
    </w:p>
    <w:p>
      <w:pPr>
        <w:spacing w:before="120"/>
      </w:pPr>
      <w:r>
        <w:rPr>
          <w:b/>
          <w:color w:val="0050A0"/>
          <w:sz w:val="20"/>
        </w:rPr>
        <w:t>SICC — SICC - SICOR COTE D'IVOIRE</w:t>
      </w:r>
    </w:p>
    <w:p>
      <w:pPr>
        <w:pStyle w:val="ListBullet"/>
        <w:spacing w:before="20"/>
        <w:ind w:left="400"/>
      </w:pPr>
      <w:r>
        <w:rPr>
          <w:sz w:val="18"/>
        </w:rPr>
        <w:t>⚠️ Cours à 0.0% du plus haut 100j (6,400 FCFA)</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fond(NEUTRE) — recommandation ajustée à CONSERVER ⚠️</w:t>
      </w:r>
    </w:p>
    <w:p>
      <w:pPr>
        <w:spacing w:before="120"/>
      </w:pPr>
      <w:r>
        <w:rPr>
          <w:b/>
          <w:color w:val="0050A0"/>
          <w:sz w:val="20"/>
        </w:rPr>
        <w:t>STAC — STAC - SETAO COTE D'IVOIRE</w:t>
      </w:r>
    </w:p>
    <w:p>
      <w:pPr>
        <w:pStyle w:val="ListBullet"/>
        <w:spacing w:before="20"/>
        <w:ind w:left="400"/>
      </w:pPr>
      <w:r>
        <w:rPr>
          <w:sz w:val="18"/>
        </w:rPr>
        <w:t>🟢 RSI survente (26.3 &lt; 30) — opportunité potentielle</w:t>
      </w:r>
    </w:p>
    <w:p>
      <w:pPr>
        <w:spacing w:before="120"/>
      </w:pPr>
      <w:r>
        <w:rPr>
          <w:b/>
          <w:color w:val="0050A0"/>
          <w:sz w:val="20"/>
        </w:rPr>
        <w:t>TTLC — TTLC - TOTAL ENERGIES MARKETING COTE D'IVOIRE</w:t>
      </w:r>
    </w:p>
    <w:p>
      <w:pPr>
        <w:pStyle w:val="ListBullet"/>
        <w:spacing w:before="20"/>
        <w:ind w:left="400"/>
      </w:pPr>
      <w:r>
        <w:rPr>
          <w:sz w:val="18"/>
        </w:rPr>
        <w:t>🟠 Divergence tech(VENTE) / fond(ACHAT) — recommandation ajustée à ACHAT</w:t>
      </w:r>
    </w:p>
    <w:p>
      <w:pPr>
        <w:spacing w:before="120"/>
      </w:pPr>
      <w:r>
        <w:rPr>
          <w:b/>
          <w:color w:val="0050A0"/>
          <w:sz w:val="20"/>
        </w:rPr>
        <w:t>TTLS — TTLS - TOTAL ENERGIES MARKETING SENEGAL</w:t>
      </w:r>
    </w:p>
    <w:p>
      <w:pPr>
        <w:pStyle w:val="ListBullet"/>
        <w:spacing w:before="20"/>
        <w:ind w:left="400"/>
      </w:pPr>
      <w:r>
        <w:rPr>
          <w:sz w:val="18"/>
        </w:rPr>
        <w:t>🟢 RSI survente (28.5 &lt; 30) — opportunité potentielle</w:t>
      </w:r>
    </w:p>
    <w:p>
      <w:pPr>
        <w:spacing w:before="120"/>
      </w:pPr>
      <w:r>
        <w:rPr>
          <w:b/>
          <w:color w:val="0050A0"/>
          <w:sz w:val="20"/>
        </w:rPr>
        <w:t>UNLC — UNLC - UNILEVER COTE D'IVOIRE</w:t>
      </w:r>
    </w:p>
    <w:p>
      <w:pPr>
        <w:pStyle w:val="ListBullet"/>
        <w:spacing w:before="20"/>
        <w:ind w:left="400"/>
      </w:pPr>
      <w:r>
        <w:rPr>
          <w:sz w:val="18"/>
        </w:rPr>
        <w:t>⚠️ Cours à 2.8% du plus bas 100j (49,630 FCFA)</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25 société(s) (53%)</w:t>
            </w:r>
          </w:p>
        </w:tc>
        <w:tc>
          <w:tcPr>
            <w:tcW w:type="dxa" w:w="1644"/>
            <w:shd w:fill="FFEB9C" w:val="clear"/>
          </w:tcPr>
          <w:p>
            <w:r>
              <w:rPr>
                <w:b/>
                <w:color w:val="825A00"/>
                <w:sz w:val="19"/>
              </w:rPr>
              <w:t>22 société(s) (47%)</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20.8/100</w:t>
            </w:r>
          </w:p>
        </w:tc>
        <w:tc>
          <w:tcPr>
            <w:tcW w:type="dxa" w:w="1644"/>
            <w:shd w:fill="DEEAF1" w:val="clear"/>
          </w:tcPr>
          <w:p>
            <w:r>
              <w:rPr>
                <w:b/>
                <w:color w:val="000000"/>
                <w:sz w:val="19"/>
              </w:rPr>
              <w:t>19.3/100</w:t>
            </w:r>
          </w:p>
        </w:tc>
      </w:tr>
    </w:tbl>
    <w:p/>
    <w:p>
      <w:r>
        <w:rPr>
          <w:i/>
          <w:color w:val="006400"/>
          <w:sz w:val="18"/>
        </w:rPr>
        <w:t>✅ Le marché BRVM présente globalement un profil de risque FAIBLE (score moyen 20.8/100).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UNLC</w:t>
            </w:r>
          </w:p>
        </w:tc>
        <w:tc>
          <w:tcPr>
            <w:tcW w:type="dxa" w:w="2268"/>
            <w:shd w:fill="FFFFFF" w:val="clear"/>
          </w:tcPr>
          <w:p>
            <w:r>
              <w:rPr>
                <w:sz w:val="16"/>
              </w:rPr>
              <w:t>UNLC - UNILEVER COTE D'IVOIR…</w:t>
            </w:r>
          </w:p>
        </w:tc>
        <w:tc>
          <w:tcPr>
            <w:tcW w:type="dxa" w:w="1701"/>
            <w:shd w:fill="FFFFFF" w:val="clear"/>
          </w:tcPr>
          <w:p>
            <w:r>
              <w:rPr>
                <w:sz w:val="16"/>
              </w:rPr>
              <w:t>CONSOMMATION DE BA</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Liquidité très faible</w:t>
            </w:r>
          </w:p>
        </w:tc>
      </w:tr>
      <w:tr>
        <w:tc>
          <w:tcPr>
            <w:tcW w:type="dxa" w:w="567"/>
            <w:shd w:fill="FFFFFF" w:val="clear"/>
          </w:tcPr>
          <w:p>
            <w:r>
              <w:rPr>
                <w:b/>
                <w:sz w:val="16"/>
              </w:rPr>
              <w:t>#3</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29.6/100</w:t>
            </w:r>
          </w:p>
        </w:tc>
        <w:tc>
          <w:tcPr>
            <w:tcW w:type="dxa" w:w="1134"/>
            <w:shd w:fill="FFEB9C" w:val="clear"/>
          </w:tcPr>
          <w:p>
            <w:r>
              <w:rPr>
                <w:sz w:val="16"/>
              </w:rPr>
              <w:t>Moyen</w:t>
            </w:r>
          </w:p>
        </w:tc>
        <w:tc>
          <w:tcPr>
            <w:tcW w:type="dxa" w:w="2381"/>
            <w:shd w:fill="FFFFFF" w:val="clear"/>
          </w:tcPr>
          <w:p>
            <w:r>
              <w:rPr>
                <w:sz w:val="16"/>
              </w:rPr>
              <w:t>💧 Liquidité très faible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UNLC (32.8/100 — Moyen) : </w:t>
      </w:r>
      <w:r>
        <w:rPr>
          <w:sz w:val="17"/>
        </w:rPr>
        <w:t>Volatilité=Moyenne | Bêta=Très agressif | Liquidité=Très faible | Divergence signaux=taux divergence=20% (Mixte ⚠️) | Stabilité=Modérée</w:t>
      </w:r>
    </w:p>
    <w:p>
      <w:pPr>
        <w:pStyle w:val="ListBullet"/>
      </w:pPr>
      <w:r>
        <w:rPr>
          <w:b/>
          <w:color w:val="B40000"/>
          <w:sz w:val="18"/>
        </w:rPr>
        <w:t xml:space="preserve">#3 NSBC (31.3/100 — Moyen) : </w:t>
      </w:r>
      <w:r>
        <w:rPr>
          <w:sz w:val="17"/>
        </w:rPr>
        <w:t>Volatilité=Élevée | Bêta=Agressif | Liquidité=Bonne | Divergence signaux=taux divergence=20% (Mixte ⚠️) | Stabilité=Stable</w:t>
      </w:r>
    </w:p>
    <w:p>
      <w:pPr>
        <w:pStyle w:val="ListBullet"/>
      </w:pPr>
      <w:r>
        <w:rPr>
          <w:b/>
          <w:color w:val="B40000"/>
          <w:sz w:val="18"/>
        </w:rPr>
        <w:t xml:space="preserve">#4 SAFC (30.1/100 — Moyen) : </w:t>
      </w:r>
      <w:r>
        <w:rPr>
          <w:sz w:val="17"/>
        </w:rPr>
        <w:t>Volatilité=Élevée | Bêta=Défensif | Liquidité=Bonne | Divergence signaux=taux divergence=20% (Mixte ⚠️) | Stabilité=Instable</w:t>
      </w:r>
    </w:p>
    <w:p>
      <w:pPr>
        <w:pStyle w:val="ListBullet"/>
      </w:pPr>
      <w:r>
        <w:rPr>
          <w:b/>
          <w:color w:val="B40000"/>
          <w:sz w:val="18"/>
        </w:rPr>
        <w:t xml:space="preserve">#5 SICC (29.6/100 — Moyen) : </w:t>
      </w:r>
      <w:r>
        <w:rPr>
          <w:sz w:val="17"/>
        </w:rPr>
        <w:t>Volatilité=Moyenne | Bêta=Contre-cyclique | Liquidité=Très faible | Divergence signaux=taux divergence=40% (Très divergent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SNTS</w:t>
            </w:r>
          </w:p>
        </w:tc>
        <w:tc>
          <w:tcPr>
            <w:tcW w:type="dxa" w:w="2268"/>
            <w:shd w:fill="FFFFFF" w:val="clear"/>
          </w:tcPr>
          <w:p>
            <w:r>
              <w:rPr>
                <w:sz w:val="16"/>
              </w:rPr>
              <w:t>SNTS - SONATEL SN</w:t>
            </w:r>
          </w:p>
        </w:tc>
        <w:tc>
          <w:tcPr>
            <w:tcW w:type="dxa" w:w="1701"/>
            <w:shd w:fill="FFFFFF" w:val="clear"/>
          </w:tcPr>
          <w:p>
            <w:r>
              <w:rPr>
                <w:sz w:val="16"/>
              </w:rPr>
              <w:t>TELECOMMUNICATIONS</w:t>
            </w:r>
          </w:p>
        </w:tc>
        <w:tc>
          <w:tcPr>
            <w:tcW w:type="dxa" w:w="1020"/>
            <w:shd w:fill="C6EFCE" w:val="clear"/>
          </w:tcPr>
          <w:p>
            <w:r>
              <w:rPr>
                <w:b/>
                <w:color w:val="007800"/>
                <w:sz w:val="16"/>
              </w:rPr>
              <w:t>13.3/100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29.6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28.8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19.8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18.1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-10.37%  |  Médiane : -9.22%</w:t>
            </w:r>
          </w:p>
        </w:tc>
      </w:tr>
      <w:tr>
        <w:tc>
          <w:tcPr>
            <w:tcW w:type="dxa" w:w="2835"/>
            <w:shd w:fill="DEEAF1" w:val="clear"/>
          </w:tcPr>
          <w:p>
            <w:r>
              <w:rPr>
                <w:b/>
                <w:sz w:val="18"/>
              </w:rPr>
              <w:t>Répartition</w:t>
            </w:r>
          </w:p>
        </w:tc>
        <w:tc>
          <w:tcPr>
            <w:tcW w:type="dxa" w:w="7370"/>
          </w:tcPr>
          <w:p>
            <w:r>
              <w:rPr>
                <w:b/>
                <w:sz w:val="18"/>
              </w:rPr>
              <w:t>📈 6 sociétés en hausse (&gt;+1%)   📉 37 en baisse (&lt;-1%)   ➡️ 4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37 sociétés sur 47 sont orientées à la baisse avec une variation moyenne de -10.37%.</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3,500 FCFA</w:t>
            </w:r>
          </w:p>
        </w:tc>
        <w:tc>
          <w:tcPr>
            <w:tcW w:type="dxa" w:w="1417"/>
            <w:shd w:fill="FFFFFF" w:val="clear"/>
          </w:tcPr>
          <w:p>
            <w:r>
              <w:rPr>
                <w:sz w:val="16"/>
              </w:rPr>
              <w:t>6,339 FCFA</w:t>
            </w:r>
          </w:p>
        </w:tc>
        <w:tc>
          <w:tcPr>
            <w:tcW w:type="dxa" w:w="1134"/>
            <w:shd w:fill="C6EFCE" w:val="clear"/>
          </w:tcPr>
          <w:p>
            <w:r>
              <w:rPr>
                <w:b/>
                <w:color w:val="007800"/>
                <w:sz w:val="16"/>
              </w:rPr>
              <w:t>+81.11%</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23,325 FCFA</w:t>
            </w:r>
          </w:p>
        </w:tc>
        <w:tc>
          <w:tcPr>
            <w:tcW w:type="dxa" w:w="1417"/>
            <w:shd w:fill="FFFFFF" w:val="clear"/>
          </w:tcPr>
          <w:p>
            <w:r>
              <w:rPr>
                <w:sz w:val="16"/>
              </w:rPr>
              <w:t>27,358 FCFA</w:t>
            </w:r>
          </w:p>
        </w:tc>
        <w:tc>
          <w:tcPr>
            <w:tcW w:type="dxa" w:w="1134"/>
            <w:shd w:fill="C6EFCE" w:val="clear"/>
          </w:tcPr>
          <w:p>
            <w:r>
              <w:rPr>
                <w:b/>
                <w:color w:val="007800"/>
                <w:sz w:val="16"/>
              </w:rPr>
              <w:t>+17.29%</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51,000 FCFA</w:t>
            </w:r>
          </w:p>
        </w:tc>
        <w:tc>
          <w:tcPr>
            <w:tcW w:type="dxa" w:w="1417"/>
            <w:shd w:fill="FFFFFF" w:val="clear"/>
          </w:tcPr>
          <w:p>
            <w:r>
              <w:rPr>
                <w:sz w:val="16"/>
              </w:rPr>
              <w:t>59,415 FCFA</w:t>
            </w:r>
          </w:p>
        </w:tc>
        <w:tc>
          <w:tcPr>
            <w:tcW w:type="dxa" w:w="1134"/>
            <w:shd w:fill="C6EFCE" w:val="clear"/>
          </w:tcPr>
          <w:p>
            <w:r>
              <w:rPr>
                <w:b/>
                <w:color w:val="007800"/>
                <w:sz w:val="16"/>
              </w:rPr>
              <w:t>+16.50%</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23,200 FCFA</w:t>
            </w:r>
          </w:p>
        </w:tc>
        <w:tc>
          <w:tcPr>
            <w:tcW w:type="dxa" w:w="1417"/>
            <w:shd w:fill="FFFFFF" w:val="clear"/>
          </w:tcPr>
          <w:p>
            <w:r>
              <w:rPr>
                <w:sz w:val="16"/>
              </w:rPr>
              <w:t>25,478 FCFA</w:t>
            </w:r>
          </w:p>
        </w:tc>
        <w:tc>
          <w:tcPr>
            <w:tcW w:type="dxa" w:w="1134"/>
            <w:shd w:fill="C6EFCE" w:val="clear"/>
          </w:tcPr>
          <w:p>
            <w:r>
              <w:rPr>
                <w:b/>
                <w:color w:val="007800"/>
                <w:sz w:val="16"/>
              </w:rPr>
              <w:t>+9.82%</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1,970 FCFA</w:t>
            </w:r>
          </w:p>
        </w:tc>
        <w:tc>
          <w:tcPr>
            <w:tcW w:type="dxa" w:w="1417"/>
            <w:shd w:fill="FFFFFF" w:val="clear"/>
          </w:tcPr>
          <w:p>
            <w:r>
              <w:rPr>
                <w:sz w:val="16"/>
              </w:rPr>
              <w:t>2,052 FCFA</w:t>
            </w:r>
          </w:p>
        </w:tc>
        <w:tc>
          <w:tcPr>
            <w:tcW w:type="dxa" w:w="1134"/>
            <w:shd w:fill="C6EFCE" w:val="clear"/>
          </w:tcPr>
          <w:p>
            <w:r>
              <w:rPr>
                <w:b/>
                <w:color w:val="007800"/>
                <w:sz w:val="16"/>
              </w:rPr>
              <w:t>+4.19%</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(+81.1%) — signal potentiellement excessif, à croiser avec l'analyse technique. Trajectoire : 📈 Hausse continue. Cours actuel : 3,500 FCFA → prédit J+10 : 6,339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(+17.3%) — potentiel de revalorisation notable. Trajectoire : 📈 Hausse continue. Cours actuel : 23,325 FCFA → prédit J+10 : 27,358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(+16.5%) — potentiel de revalorisation notable. Trajectoire : 📈 Hausse continue. Cours actuel : 51,000 FCFA → prédit J+10 : 59,415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modérée (+9.8%) — signal raisonnable et crédible. Trajectoire : 📈 Hausse continue. Cours actuel : 23,200 FCFA → prédit J+10 : 25,478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(+4.2%) — progression graduelle attendue. Trajectoire : 📈 Hausse continue. Cours actuel : 1,970 FCFA → prédit J+10 : 2,052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3,645 FCFA</w:t>
            </w:r>
          </w:p>
        </w:tc>
        <w:tc>
          <w:tcPr>
            <w:tcW w:type="dxa" w:w="1417"/>
            <w:shd w:fill="FFFFFF" w:val="clear"/>
          </w:tcPr>
          <w:p>
            <w:r>
              <w:rPr>
                <w:sz w:val="16"/>
              </w:rPr>
              <w:t>1,672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5,130 FCFA</w:t>
            </w:r>
          </w:p>
        </w:tc>
        <w:tc>
          <w:tcPr>
            <w:tcW w:type="dxa" w:w="1417"/>
            <w:shd w:fill="FFFFFF" w:val="clear"/>
          </w:tcPr>
          <w:p>
            <w:r>
              <w:rPr>
                <w:sz w:val="16"/>
              </w:rPr>
              <w:t>2,353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66 FCFA</w:t>
            </w:r>
          </w:p>
        </w:tc>
        <w:tc>
          <w:tcPr>
            <w:tcW w:type="dxa" w:w="1417"/>
            <w:shd w:fill="FFFFFF" w:val="clear"/>
          </w:tcPr>
          <w:p>
            <w:r>
              <w:rPr>
                <w:sz w:val="16"/>
              </w:rPr>
              <w:t>30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STAC — STAC - SETAO COTE D'IVOIRE</w:t>
            </w:r>
          </w:p>
        </w:tc>
        <w:tc>
          <w:tcPr>
            <w:tcW w:type="dxa" w:w="1701"/>
            <w:shd w:fill="FFFFFF" w:val="clear"/>
          </w:tcPr>
          <w:p>
            <w:r>
              <w:rPr>
                <w:sz w:val="16"/>
              </w:rPr>
              <w:t>INDUSTRIELS</w:t>
            </w:r>
          </w:p>
        </w:tc>
        <w:tc>
          <w:tcPr>
            <w:tcW w:type="dxa" w:w="1417"/>
            <w:shd w:fill="FFFFFF" w:val="clear"/>
          </w:tcPr>
          <w:p>
            <w:r>
              <w:rPr>
                <w:sz w:val="16"/>
              </w:rPr>
              <w:t>2,680 FCFA</w:t>
            </w:r>
          </w:p>
        </w:tc>
        <w:tc>
          <w:tcPr>
            <w:tcW w:type="dxa" w:w="1417"/>
            <w:shd w:fill="FFFFFF" w:val="clear"/>
          </w:tcPr>
          <w:p>
            <w:r>
              <w:rPr>
                <w:sz w:val="16"/>
              </w:rPr>
              <w:t>1,590 FCFA</w:t>
            </w:r>
          </w:p>
        </w:tc>
        <w:tc>
          <w:tcPr>
            <w:tcW w:type="dxa" w:w="1134"/>
            <w:shd w:fill="FFC7CE" w:val="clear"/>
          </w:tcPr>
          <w:p>
            <w:r>
              <w:rPr>
                <w:b/>
                <w:color w:val="B40000"/>
                <w:sz w:val="16"/>
              </w:rPr>
              <w:t>-40.67%</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2,280 FCFA</w:t>
            </w:r>
          </w:p>
        </w:tc>
        <w:tc>
          <w:tcPr>
            <w:tcW w:type="dxa" w:w="1417"/>
            <w:shd w:fill="FFFFFF" w:val="clear"/>
          </w:tcPr>
          <w:p>
            <w:r>
              <w:rPr>
                <w:sz w:val="16"/>
              </w:rPr>
              <w:t>1,382 FCFA</w:t>
            </w:r>
          </w:p>
        </w:tc>
        <w:tc>
          <w:tcPr>
            <w:tcW w:type="dxa" w:w="1134"/>
            <w:shd w:fill="FFC7CE" w:val="clear"/>
          </w:tcPr>
          <w:p>
            <w:r>
              <w:rPr>
                <w:b/>
                <w:color w:val="B40000"/>
                <w:sz w:val="16"/>
              </w:rPr>
              <w:t>-39.40%</w:t>
            </w:r>
          </w:p>
        </w:tc>
        <w:tc>
          <w:tcPr>
            <w:tcW w:type="dxa" w:w="1020"/>
            <w:shd w:fill="FFC7CE" w:val="clear"/>
          </w:tcPr>
          <w:p>
            <w:r>
              <w:rPr>
                <w:sz w:val="16"/>
              </w:rPr>
              <w:t>Faible</w:t>
            </w:r>
          </w:p>
        </w:tc>
      </w:tr>
    </w:tbl>
    <w:p/>
    <w:p>
      <w:pPr>
        <w:pStyle w:val="ListBullet"/>
      </w:pPr>
      <w:r>
        <w:rPr>
          <w:b/>
          <w:color w:val="B40000"/>
          <w:sz w:val="18"/>
        </w:rPr>
        <w:t xml:space="preserve">#1 SCRC </w:t>
      </w:r>
      <w:r>
        <w:rPr>
          <w:sz w:val="17"/>
        </w:rPr>
        <w:t>(SCRC - SUCRIVOIRE) — baisse très forte (-54.1%) — amplitude potentiellement surestimée par le modèle. Trajectoire : 📉 Baisse continue. Cours actuel : 3,645 FCFA → prédit J+10 : 1,672 FCFA. ⚠️ Confiance limitée — volatilité élevée. Ne pas agir sur ce seul signal.</w:t>
      </w:r>
    </w:p>
    <w:p>
      <w:pPr>
        <w:pStyle w:val="ListBullet"/>
      </w:pPr>
      <w:r>
        <w:rPr>
          <w:b/>
          <w:color w:val="B40000"/>
          <w:sz w:val="18"/>
        </w:rPr>
        <w:t xml:space="preserve">#2 SAFC </w:t>
      </w:r>
      <w:r>
        <w:rPr>
          <w:sz w:val="17"/>
        </w:rPr>
        <w:t>(SAFCA CI) — baisse très forte (-54.1%) — amplitude potentiellement surestimée par le modèle. Trajectoire : 📉 Baisse continue. Cours actuel : 5,130 FCFA → prédit J+10 : 2,353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66 FCFA → prédit J+10 : 30 FCFA. ⚠️ Confiance limitée — volatilité élevée. Ne pas agir sur ce seul signal.</w:t>
      </w:r>
    </w:p>
    <w:p>
      <w:pPr>
        <w:pStyle w:val="ListBullet"/>
      </w:pPr>
      <w:r>
        <w:rPr>
          <w:b/>
          <w:color w:val="B40000"/>
          <w:sz w:val="18"/>
        </w:rPr>
        <w:t xml:space="preserve">#4 STAC </w:t>
      </w:r>
      <w:r>
        <w:rPr>
          <w:sz w:val="17"/>
        </w:rPr>
        <w:t>(STAC - SETAO COTE D'IVOIRE) — baisse très forte (-40.7%) — amplitude potentiellement surestimée par le modèle. Trajectoire : 📉 Baisse continue. Cours actuel : 2,680 FCFA → prédit J+10 : 1,590 FCFA. ⚠️ Confiance limitée — volatilité élevée. Ne pas agir sur ce seul signal.</w:t>
      </w:r>
    </w:p>
    <w:p>
      <w:pPr>
        <w:pStyle w:val="ListBullet"/>
      </w:pPr>
      <w:r>
        <w:rPr>
          <w:b/>
          <w:color w:val="B40000"/>
          <w:sz w:val="18"/>
        </w:rPr>
        <w:t xml:space="preserve">#5 NEIC </w:t>
      </w:r>
      <w:r>
        <w:rPr>
          <w:sz w:val="17"/>
        </w:rPr>
        <w:t>(NEIC - NEI-CEDA CI) — baisse très forte (-39.4%) — amplitude potentiellement surestimée par le modèle. Trajectoire : 📉 Baisse continue. Cours actuel : 2,280 FCFA → prédit J+10 : 1,382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3,500</w:t>
            </w:r>
          </w:p>
        </w:tc>
        <w:tc>
          <w:tcPr>
            <w:tcW w:type="dxa" w:w="1417"/>
            <w:shd w:fill="FFFFFF" w:val="clear"/>
          </w:tcPr>
          <w:p>
            <w:r>
              <w:rPr>
                <w:sz w:val="16"/>
              </w:rPr>
              <w:t>6,339</w:t>
            </w:r>
          </w:p>
        </w:tc>
        <w:tc>
          <w:tcPr>
            <w:tcW w:type="dxa" w:w="1134"/>
            <w:shd w:fill="C6EFCE" w:val="clear"/>
          </w:tcPr>
          <w:p>
            <w:r>
              <w:rPr>
                <w:b/>
                <w:color w:val="007800"/>
                <w:sz w:val="16"/>
              </w:rPr>
              <w:t>+81.11%</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23,325</w:t>
            </w:r>
          </w:p>
        </w:tc>
        <w:tc>
          <w:tcPr>
            <w:tcW w:type="dxa" w:w="1417"/>
            <w:shd w:fill="FFFFFF" w:val="clear"/>
          </w:tcPr>
          <w:p>
            <w:r>
              <w:rPr>
                <w:sz w:val="16"/>
              </w:rPr>
              <w:t>27,358</w:t>
            </w:r>
          </w:p>
        </w:tc>
        <w:tc>
          <w:tcPr>
            <w:tcW w:type="dxa" w:w="1134"/>
            <w:shd w:fill="C6EFCE" w:val="clear"/>
          </w:tcPr>
          <w:p>
            <w:r>
              <w:rPr>
                <w:b/>
                <w:color w:val="007800"/>
                <w:sz w:val="16"/>
              </w:rPr>
              <w:t>+17.29%</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51,000</w:t>
            </w:r>
          </w:p>
        </w:tc>
        <w:tc>
          <w:tcPr>
            <w:tcW w:type="dxa" w:w="1417"/>
            <w:shd w:fill="FFFFFF" w:val="clear"/>
          </w:tcPr>
          <w:p>
            <w:r>
              <w:rPr>
                <w:sz w:val="16"/>
              </w:rPr>
              <w:t>59,415</w:t>
            </w:r>
          </w:p>
        </w:tc>
        <w:tc>
          <w:tcPr>
            <w:tcW w:type="dxa" w:w="1134"/>
            <w:shd w:fill="C6EFCE" w:val="clear"/>
          </w:tcPr>
          <w:p>
            <w:r>
              <w:rPr>
                <w:b/>
                <w:color w:val="007800"/>
                <w:sz w:val="16"/>
              </w:rPr>
              <w:t>+16.50%</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23,200</w:t>
            </w:r>
          </w:p>
        </w:tc>
        <w:tc>
          <w:tcPr>
            <w:tcW w:type="dxa" w:w="1417"/>
            <w:shd w:fill="FFFFFF" w:val="clear"/>
          </w:tcPr>
          <w:p>
            <w:r>
              <w:rPr>
                <w:sz w:val="16"/>
              </w:rPr>
              <w:t>25,478</w:t>
            </w:r>
          </w:p>
        </w:tc>
        <w:tc>
          <w:tcPr>
            <w:tcW w:type="dxa" w:w="1134"/>
            <w:shd w:fill="C6EFCE" w:val="clear"/>
          </w:tcPr>
          <w:p>
            <w:r>
              <w:rPr>
                <w:b/>
                <w:color w:val="007800"/>
                <w:sz w:val="16"/>
              </w:rPr>
              <w:t>+9.82%</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1,970</w:t>
            </w:r>
          </w:p>
        </w:tc>
        <w:tc>
          <w:tcPr>
            <w:tcW w:type="dxa" w:w="1417"/>
            <w:shd w:fill="FFFFFF" w:val="clear"/>
          </w:tcPr>
          <w:p>
            <w:r>
              <w:rPr>
                <w:sz w:val="16"/>
              </w:rPr>
              <w:t>2,052</w:t>
            </w:r>
          </w:p>
        </w:tc>
        <w:tc>
          <w:tcPr>
            <w:tcW w:type="dxa" w:w="1134"/>
            <w:shd w:fill="C6EFCE" w:val="clear"/>
          </w:tcPr>
          <w:p>
            <w:r>
              <w:rPr>
                <w:b/>
                <w:color w:val="007800"/>
                <w:sz w:val="16"/>
              </w:rPr>
              <w:t>+4.19%</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9,000</w:t>
            </w:r>
          </w:p>
        </w:tc>
        <w:tc>
          <w:tcPr>
            <w:tcW w:type="dxa" w:w="1417"/>
            <w:shd w:fill="FFFFFF" w:val="clear"/>
          </w:tcPr>
          <w:p>
            <w:r>
              <w:rPr>
                <w:sz w:val="16"/>
              </w:rPr>
              <w:t>9,165</w:t>
            </w:r>
          </w:p>
        </w:tc>
        <w:tc>
          <w:tcPr>
            <w:tcW w:type="dxa" w:w="1134"/>
            <w:shd w:fill="C6EFCE" w:val="clear"/>
          </w:tcPr>
          <w:p>
            <w:r>
              <w:rPr>
                <w:b/>
                <w:color w:val="007800"/>
                <w:sz w:val="16"/>
              </w:rPr>
              <w:t>+1.83%</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8,305</w:t>
            </w:r>
          </w:p>
        </w:tc>
        <w:tc>
          <w:tcPr>
            <w:tcW w:type="dxa" w:w="1417"/>
            <w:shd w:fill="FFFFFF" w:val="clear"/>
          </w:tcPr>
          <w:p>
            <w:r>
              <w:rPr>
                <w:sz w:val="16"/>
              </w:rPr>
              <w:t>8,367</w:t>
            </w:r>
          </w:p>
        </w:tc>
        <w:tc>
          <w:tcPr>
            <w:tcW w:type="dxa" w:w="1134"/>
            <w:shd w:fill="FFEB9C" w:val="clear"/>
          </w:tcPr>
          <w:p>
            <w:r>
              <w:rPr>
                <w:b/>
                <w:color w:val="646400"/>
                <w:sz w:val="16"/>
              </w:rPr>
              <w:t>+0.75%</w:t>
            </w:r>
          </w:p>
        </w:tc>
        <w:tc>
          <w:tcPr>
            <w:tcW w:type="dxa" w:w="1134"/>
            <w:shd w:fill="FFEB9C" w:val="clear"/>
          </w:tcPr>
          <w:p>
            <w:r>
              <w:rPr>
                <w:sz w:val="16"/>
              </w:rPr>
              <w:t>Moyenne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37,750</w:t>
            </w:r>
          </w:p>
        </w:tc>
        <w:tc>
          <w:tcPr>
            <w:tcW w:type="dxa" w:w="1417"/>
            <w:shd w:fill="FFFFFF" w:val="clear"/>
          </w:tcPr>
          <w:p>
            <w:r>
              <w:rPr>
                <w:sz w:val="16"/>
              </w:rPr>
              <w:t>37,962</w:t>
            </w:r>
          </w:p>
        </w:tc>
        <w:tc>
          <w:tcPr>
            <w:tcW w:type="dxa" w:w="1134"/>
            <w:shd w:fill="FFEB9C" w:val="clear"/>
          </w:tcPr>
          <w:p>
            <w:r>
              <w:rPr>
                <w:b/>
                <w:color w:val="646400"/>
                <w:sz w:val="16"/>
              </w:rPr>
              <w:t>+0.56%</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1,890</w:t>
            </w:r>
          </w:p>
        </w:tc>
        <w:tc>
          <w:tcPr>
            <w:tcW w:type="dxa" w:w="1417"/>
            <w:shd w:fill="FFFFFF" w:val="clear"/>
          </w:tcPr>
          <w:p>
            <w:r>
              <w:rPr>
                <w:sz w:val="16"/>
              </w:rPr>
              <w:t>1,893</w:t>
            </w:r>
          </w:p>
        </w:tc>
        <w:tc>
          <w:tcPr>
            <w:tcW w:type="dxa" w:w="1134"/>
            <w:shd w:fill="FFEB9C" w:val="clear"/>
          </w:tcPr>
          <w:p>
            <w:r>
              <w:rPr>
                <w:b/>
                <w:color w:val="646400"/>
                <w:sz w:val="16"/>
              </w:rPr>
              <w:t>+0.18%</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31,000</w:t>
            </w:r>
          </w:p>
        </w:tc>
        <w:tc>
          <w:tcPr>
            <w:tcW w:type="dxa" w:w="1417"/>
            <w:shd w:fill="FFFFFF" w:val="clear"/>
          </w:tcPr>
          <w:p>
            <w:r>
              <w:rPr>
                <w:sz w:val="16"/>
              </w:rPr>
              <w:t>30,710</w:t>
            </w:r>
          </w:p>
        </w:tc>
        <w:tc>
          <w:tcPr>
            <w:tcW w:type="dxa" w:w="1134"/>
            <w:shd w:fill="FFEB9C" w:val="clear"/>
          </w:tcPr>
          <w:p>
            <w:r>
              <w:rPr>
                <w:b/>
                <w:color w:val="646400"/>
                <w:sz w:val="16"/>
              </w:rPr>
              <w:t>-0.94%</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16,230</w:t>
            </w:r>
          </w:p>
        </w:tc>
        <w:tc>
          <w:tcPr>
            <w:tcW w:type="dxa" w:w="1417"/>
            <w:shd w:fill="FFFFFF" w:val="clear"/>
          </w:tcPr>
          <w:p>
            <w:r>
              <w:rPr>
                <w:sz w:val="16"/>
              </w:rPr>
              <w:t>16,060</w:t>
            </w:r>
          </w:p>
        </w:tc>
        <w:tc>
          <w:tcPr>
            <w:tcW w:type="dxa" w:w="1134"/>
            <w:shd w:fill="FFC7CE" w:val="clear"/>
          </w:tcPr>
          <w:p>
            <w:r>
              <w:rPr>
                <w:b/>
                <w:color w:val="B40000"/>
                <w:sz w:val="16"/>
              </w:rPr>
              <w:t>-1.05%</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15,495</w:t>
            </w:r>
          </w:p>
        </w:tc>
        <w:tc>
          <w:tcPr>
            <w:tcW w:type="dxa" w:w="1417"/>
            <w:shd w:fill="FFFFFF" w:val="clear"/>
          </w:tcPr>
          <w:p>
            <w:r>
              <w:rPr>
                <w:sz w:val="16"/>
              </w:rPr>
              <w:t>15,160</w:t>
            </w:r>
          </w:p>
        </w:tc>
        <w:tc>
          <w:tcPr>
            <w:tcW w:type="dxa" w:w="1134"/>
            <w:shd w:fill="FFC7CE" w:val="clear"/>
          </w:tcPr>
          <w:p>
            <w:r>
              <w:rPr>
                <w:b/>
                <w:color w:val="B40000"/>
                <w:sz w:val="16"/>
              </w:rPr>
              <w:t>-2.16%</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5,290</w:t>
            </w:r>
          </w:p>
        </w:tc>
        <w:tc>
          <w:tcPr>
            <w:tcW w:type="dxa" w:w="1417"/>
            <w:shd w:fill="FFFFFF" w:val="clear"/>
          </w:tcPr>
          <w:p>
            <w:r>
              <w:rPr>
                <w:sz w:val="16"/>
              </w:rPr>
              <w:t>5,173</w:t>
            </w:r>
          </w:p>
        </w:tc>
        <w:tc>
          <w:tcPr>
            <w:tcW w:type="dxa" w:w="1134"/>
            <w:shd w:fill="FFC7CE" w:val="clear"/>
          </w:tcPr>
          <w:p>
            <w:r>
              <w:rPr>
                <w:b/>
                <w:color w:val="B40000"/>
                <w:sz w:val="16"/>
              </w:rPr>
              <w:t>-2.21%</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7,565</w:t>
            </w:r>
          </w:p>
        </w:tc>
        <w:tc>
          <w:tcPr>
            <w:tcW w:type="dxa" w:w="1417"/>
            <w:shd w:fill="FFFFFF" w:val="clear"/>
          </w:tcPr>
          <w:p>
            <w:r>
              <w:rPr>
                <w:sz w:val="16"/>
              </w:rPr>
              <w:t>7,389</w:t>
            </w:r>
          </w:p>
        </w:tc>
        <w:tc>
          <w:tcPr>
            <w:tcW w:type="dxa" w:w="1134"/>
            <w:shd w:fill="FFC7CE" w:val="clear"/>
          </w:tcPr>
          <w:p>
            <w:r>
              <w:rPr>
                <w:b/>
                <w:color w:val="B40000"/>
                <w:sz w:val="16"/>
              </w:rPr>
              <w:t>-2.33%</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38,000</w:t>
            </w:r>
          </w:p>
        </w:tc>
        <w:tc>
          <w:tcPr>
            <w:tcW w:type="dxa" w:w="1417"/>
            <w:shd w:fill="FFFFFF" w:val="clear"/>
          </w:tcPr>
          <w:p>
            <w:r>
              <w:rPr>
                <w:sz w:val="16"/>
              </w:rPr>
              <w:t>37,060</w:t>
            </w:r>
          </w:p>
        </w:tc>
        <w:tc>
          <w:tcPr>
            <w:tcW w:type="dxa" w:w="1134"/>
            <w:shd w:fill="FFC7CE" w:val="clear"/>
          </w:tcPr>
          <w:p>
            <w:r>
              <w:rPr>
                <w:b/>
                <w:color w:val="B40000"/>
                <w:sz w:val="16"/>
              </w:rPr>
              <w:t>-2.47%</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2,975</w:t>
            </w:r>
          </w:p>
        </w:tc>
        <w:tc>
          <w:tcPr>
            <w:tcW w:type="dxa" w:w="1417"/>
            <w:shd w:fill="FFFFFF" w:val="clear"/>
          </w:tcPr>
          <w:p>
            <w:r>
              <w:rPr>
                <w:sz w:val="16"/>
              </w:rPr>
              <w:t>2,900</w:t>
            </w:r>
          </w:p>
        </w:tc>
        <w:tc>
          <w:tcPr>
            <w:tcW w:type="dxa" w:w="1134"/>
            <w:shd w:fill="FFC7CE" w:val="clear"/>
          </w:tcPr>
          <w:p>
            <w:r>
              <w:rPr>
                <w:b/>
                <w:color w:val="B40000"/>
                <w:sz w:val="16"/>
              </w:rPr>
              <w:t>-2.51%</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16,995</w:t>
            </w:r>
          </w:p>
        </w:tc>
        <w:tc>
          <w:tcPr>
            <w:tcW w:type="dxa" w:w="1417"/>
            <w:shd w:fill="FFFFFF" w:val="clear"/>
          </w:tcPr>
          <w:p>
            <w:r>
              <w:rPr>
                <w:sz w:val="16"/>
              </w:rPr>
              <w:t>16,530</w:t>
            </w:r>
          </w:p>
        </w:tc>
        <w:tc>
          <w:tcPr>
            <w:tcW w:type="dxa" w:w="1134"/>
            <w:shd w:fill="FFC7CE" w:val="clear"/>
          </w:tcPr>
          <w:p>
            <w:r>
              <w:rPr>
                <w:b/>
                <w:color w:val="B40000"/>
                <w:sz w:val="16"/>
              </w:rPr>
              <w:t>-2.74%</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16,500</w:t>
            </w:r>
          </w:p>
        </w:tc>
        <w:tc>
          <w:tcPr>
            <w:tcW w:type="dxa" w:w="1417"/>
            <w:shd w:fill="FFFFFF" w:val="clear"/>
          </w:tcPr>
          <w:p>
            <w:r>
              <w:rPr>
                <w:sz w:val="16"/>
              </w:rPr>
              <w:t>15,922</w:t>
            </w:r>
          </w:p>
        </w:tc>
        <w:tc>
          <w:tcPr>
            <w:tcW w:type="dxa" w:w="1134"/>
            <w:shd w:fill="FFC7CE" w:val="clear"/>
          </w:tcPr>
          <w:p>
            <w:r>
              <w:rPr>
                <w:b/>
                <w:color w:val="B40000"/>
                <w:sz w:val="16"/>
              </w:rPr>
              <w:t>-3.50%</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2,995</w:t>
            </w:r>
          </w:p>
        </w:tc>
        <w:tc>
          <w:tcPr>
            <w:tcW w:type="dxa" w:w="1417"/>
            <w:shd w:fill="FFFFFF" w:val="clear"/>
          </w:tcPr>
          <w:p>
            <w:r>
              <w:rPr>
                <w:sz w:val="16"/>
              </w:rPr>
              <w:t>2,865</w:t>
            </w:r>
          </w:p>
        </w:tc>
        <w:tc>
          <w:tcPr>
            <w:tcW w:type="dxa" w:w="1134"/>
            <w:shd w:fill="FFC7CE" w:val="clear"/>
          </w:tcPr>
          <w:p>
            <w:r>
              <w:rPr>
                <w:b/>
                <w:color w:val="B40000"/>
                <w:sz w:val="16"/>
              </w:rPr>
              <w:t>-4.34%</w:t>
            </w:r>
          </w:p>
        </w:tc>
        <w:tc>
          <w:tcPr>
            <w:tcW w:type="dxa" w:w="1134"/>
            <w:shd w:fill="FFEB9C" w:val="clear"/>
          </w:tcPr>
          <w:p>
            <w:r>
              <w:rPr>
                <w:sz w:val="16"/>
              </w:rPr>
              <w:t>Moyenne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4,515</w:t>
            </w:r>
          </w:p>
        </w:tc>
        <w:tc>
          <w:tcPr>
            <w:tcW w:type="dxa" w:w="1417"/>
            <w:shd w:fill="FFFFFF" w:val="clear"/>
          </w:tcPr>
          <w:p>
            <w:r>
              <w:rPr>
                <w:sz w:val="16"/>
              </w:rPr>
              <w:t>4,289</w:t>
            </w:r>
          </w:p>
        </w:tc>
        <w:tc>
          <w:tcPr>
            <w:tcW w:type="dxa" w:w="1134"/>
            <w:shd w:fill="FFC7CE" w:val="clear"/>
          </w:tcPr>
          <w:p>
            <w:r>
              <w:rPr>
                <w:b/>
                <w:color w:val="B40000"/>
                <w:sz w:val="16"/>
              </w:rPr>
              <w:t>-5.01%</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3,140</w:t>
            </w:r>
          </w:p>
        </w:tc>
        <w:tc>
          <w:tcPr>
            <w:tcW w:type="dxa" w:w="1417"/>
            <w:shd w:fill="FFFFFF" w:val="clear"/>
          </w:tcPr>
          <w:p>
            <w:r>
              <w:rPr>
                <w:sz w:val="16"/>
              </w:rPr>
              <w:t>2,974</w:t>
            </w:r>
          </w:p>
        </w:tc>
        <w:tc>
          <w:tcPr>
            <w:tcW w:type="dxa" w:w="1134"/>
            <w:shd w:fill="FFC7CE" w:val="clear"/>
          </w:tcPr>
          <w:p>
            <w:r>
              <w:rPr>
                <w:b/>
                <w:color w:val="B40000"/>
                <w:sz w:val="16"/>
              </w:rPr>
              <w:t>-5.28%</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1,945</w:t>
            </w:r>
          </w:p>
        </w:tc>
        <w:tc>
          <w:tcPr>
            <w:tcW w:type="dxa" w:w="1417"/>
            <w:shd w:fill="FFFFFF" w:val="clear"/>
          </w:tcPr>
          <w:p>
            <w:r>
              <w:rPr>
                <w:sz w:val="16"/>
              </w:rPr>
              <w:t>1,821</w:t>
            </w:r>
          </w:p>
        </w:tc>
        <w:tc>
          <w:tcPr>
            <w:tcW w:type="dxa" w:w="1134"/>
            <w:shd w:fill="FFC7CE" w:val="clear"/>
          </w:tcPr>
          <w:p>
            <w:r>
              <w:rPr>
                <w:b/>
                <w:color w:val="B40000"/>
                <w:sz w:val="16"/>
              </w:rPr>
              <w:t>-6.38%</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2,690</w:t>
            </w:r>
          </w:p>
        </w:tc>
        <w:tc>
          <w:tcPr>
            <w:tcW w:type="dxa" w:w="1417"/>
            <w:shd w:fill="FFFFFF" w:val="clear"/>
          </w:tcPr>
          <w:p>
            <w:r>
              <w:rPr>
                <w:sz w:val="16"/>
              </w:rPr>
              <w:t>2,491</w:t>
            </w:r>
          </w:p>
        </w:tc>
        <w:tc>
          <w:tcPr>
            <w:tcW w:type="dxa" w:w="1134"/>
            <w:shd w:fill="FFC7CE" w:val="clear"/>
          </w:tcPr>
          <w:p>
            <w:r>
              <w:rPr>
                <w:b/>
                <w:color w:val="B40000"/>
                <w:sz w:val="16"/>
              </w:rPr>
              <w:t>-7.40%</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28,670</w:t>
            </w:r>
          </w:p>
        </w:tc>
        <w:tc>
          <w:tcPr>
            <w:tcW w:type="dxa" w:w="1417"/>
            <w:shd w:fill="FFFFFF" w:val="clear"/>
          </w:tcPr>
          <w:p>
            <w:r>
              <w:rPr>
                <w:sz w:val="16"/>
              </w:rPr>
              <w:t>26,026</w:t>
            </w:r>
          </w:p>
        </w:tc>
        <w:tc>
          <w:tcPr>
            <w:tcW w:type="dxa" w:w="1134"/>
            <w:shd w:fill="FFC7CE" w:val="clear"/>
          </w:tcPr>
          <w:p>
            <w:r>
              <w:rPr>
                <w:b/>
                <w:color w:val="B40000"/>
                <w:sz w:val="16"/>
              </w:rPr>
              <w:t>-9.22%</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7,100</w:t>
            </w:r>
          </w:p>
        </w:tc>
        <w:tc>
          <w:tcPr>
            <w:tcW w:type="dxa" w:w="1417"/>
            <w:shd w:fill="FFFFFF" w:val="clear"/>
          </w:tcPr>
          <w:p>
            <w:r>
              <w:rPr>
                <w:sz w:val="16"/>
              </w:rPr>
              <w:t>6,434</w:t>
            </w:r>
          </w:p>
        </w:tc>
        <w:tc>
          <w:tcPr>
            <w:tcW w:type="dxa" w:w="1134"/>
            <w:shd w:fill="FFC7CE" w:val="clear"/>
          </w:tcPr>
          <w:p>
            <w:r>
              <w:rPr>
                <w:b/>
                <w:color w:val="B40000"/>
                <w:sz w:val="16"/>
              </w:rPr>
              <w:t>-9.38%</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3,000</w:t>
            </w:r>
          </w:p>
        </w:tc>
        <w:tc>
          <w:tcPr>
            <w:tcW w:type="dxa" w:w="1417"/>
            <w:shd w:fill="FFFFFF" w:val="clear"/>
          </w:tcPr>
          <w:p>
            <w:r>
              <w:rPr>
                <w:sz w:val="16"/>
              </w:rPr>
              <w:t>2,697</w:t>
            </w:r>
          </w:p>
        </w:tc>
        <w:tc>
          <w:tcPr>
            <w:tcW w:type="dxa" w:w="1134"/>
            <w:shd w:fill="FFC7CE" w:val="clear"/>
          </w:tcPr>
          <w:p>
            <w:r>
              <w:rPr>
                <w:b/>
                <w:color w:val="B40000"/>
                <w:sz w:val="16"/>
              </w:rPr>
              <w:t>-10.09%</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1,485</w:t>
            </w:r>
          </w:p>
        </w:tc>
        <w:tc>
          <w:tcPr>
            <w:tcW w:type="dxa" w:w="1417"/>
            <w:shd w:fill="FFFFFF" w:val="clear"/>
          </w:tcPr>
          <w:p>
            <w:r>
              <w:rPr>
                <w:sz w:val="16"/>
              </w:rPr>
              <w:t>1,328</w:t>
            </w:r>
          </w:p>
        </w:tc>
        <w:tc>
          <w:tcPr>
            <w:tcW w:type="dxa" w:w="1134"/>
            <w:shd w:fill="FFC7CE" w:val="clear"/>
          </w:tcPr>
          <w:p>
            <w:r>
              <w:rPr>
                <w:b/>
                <w:color w:val="B40000"/>
                <w:sz w:val="16"/>
              </w:rPr>
              <w:t>-10.59%</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4,500</w:t>
            </w:r>
          </w:p>
        </w:tc>
        <w:tc>
          <w:tcPr>
            <w:tcW w:type="dxa" w:w="1417"/>
            <w:shd w:fill="FFFFFF" w:val="clear"/>
          </w:tcPr>
          <w:p>
            <w:r>
              <w:rPr>
                <w:sz w:val="16"/>
              </w:rPr>
              <w:t>4,023</w:t>
            </w:r>
          </w:p>
        </w:tc>
        <w:tc>
          <w:tcPr>
            <w:tcW w:type="dxa" w:w="1134"/>
            <w:shd w:fill="FFC7CE" w:val="clear"/>
          </w:tcPr>
          <w:p>
            <w:r>
              <w:rPr>
                <w:b/>
                <w:color w:val="B40000"/>
                <w:sz w:val="16"/>
              </w:rPr>
              <w:t>-10.60%</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11,900</w:t>
            </w:r>
          </w:p>
        </w:tc>
        <w:tc>
          <w:tcPr>
            <w:tcW w:type="dxa" w:w="1417"/>
            <w:shd w:fill="FFFFFF" w:val="clear"/>
          </w:tcPr>
          <w:p>
            <w:r>
              <w:rPr>
                <w:sz w:val="16"/>
              </w:rPr>
              <w:t>10,624</w:t>
            </w:r>
          </w:p>
        </w:tc>
        <w:tc>
          <w:tcPr>
            <w:tcW w:type="dxa" w:w="1134"/>
            <w:shd w:fill="FFC7CE" w:val="clear"/>
          </w:tcPr>
          <w:p>
            <w:r>
              <w:rPr>
                <w:b/>
                <w:color w:val="B40000"/>
                <w:sz w:val="16"/>
              </w:rPr>
              <w:t>-10.72%</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5,665</w:t>
            </w:r>
          </w:p>
        </w:tc>
        <w:tc>
          <w:tcPr>
            <w:tcW w:type="dxa" w:w="1417"/>
            <w:shd w:fill="FFFFFF" w:val="clear"/>
          </w:tcPr>
          <w:p>
            <w:r>
              <w:rPr>
                <w:sz w:val="16"/>
              </w:rPr>
              <w:t>5,048</w:t>
            </w:r>
          </w:p>
        </w:tc>
        <w:tc>
          <w:tcPr>
            <w:tcW w:type="dxa" w:w="1134"/>
            <w:shd w:fill="FFC7CE" w:val="clear"/>
          </w:tcPr>
          <w:p>
            <w:r>
              <w:rPr>
                <w:b/>
                <w:color w:val="B40000"/>
                <w:sz w:val="16"/>
              </w:rPr>
              <w:t>-10.89%</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6,400</w:t>
            </w:r>
          </w:p>
        </w:tc>
        <w:tc>
          <w:tcPr>
            <w:tcW w:type="dxa" w:w="1417"/>
            <w:shd w:fill="FFFFFF" w:val="clear"/>
          </w:tcPr>
          <w:p>
            <w:r>
              <w:rPr>
                <w:sz w:val="16"/>
              </w:rPr>
              <w:t>5,702</w:t>
            </w:r>
          </w:p>
        </w:tc>
        <w:tc>
          <w:tcPr>
            <w:tcW w:type="dxa" w:w="1134"/>
            <w:shd w:fill="FFC7CE" w:val="clear"/>
          </w:tcPr>
          <w:p>
            <w:r>
              <w:rPr>
                <w:b/>
                <w:color w:val="B40000"/>
                <w:sz w:val="16"/>
              </w:rPr>
              <w:t>-10.91%</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8,700</w:t>
            </w:r>
          </w:p>
        </w:tc>
        <w:tc>
          <w:tcPr>
            <w:tcW w:type="dxa" w:w="1417"/>
            <w:shd w:fill="FFFFFF" w:val="clear"/>
          </w:tcPr>
          <w:p>
            <w:r>
              <w:rPr>
                <w:sz w:val="16"/>
              </w:rPr>
              <w:t>7,692</w:t>
            </w:r>
          </w:p>
        </w:tc>
        <w:tc>
          <w:tcPr>
            <w:tcW w:type="dxa" w:w="1134"/>
            <w:shd w:fill="FFC7CE" w:val="clear"/>
          </w:tcPr>
          <w:p>
            <w:r>
              <w:rPr>
                <w:b/>
                <w:color w:val="B40000"/>
                <w:sz w:val="16"/>
              </w:rPr>
              <w:t>-11.59%</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3,655</w:t>
            </w:r>
          </w:p>
        </w:tc>
        <w:tc>
          <w:tcPr>
            <w:tcW w:type="dxa" w:w="1417"/>
            <w:shd w:fill="FFFFFF" w:val="clear"/>
          </w:tcPr>
          <w:p>
            <w:r>
              <w:rPr>
                <w:sz w:val="16"/>
              </w:rPr>
              <w:t>3,205</w:t>
            </w:r>
          </w:p>
        </w:tc>
        <w:tc>
          <w:tcPr>
            <w:tcW w:type="dxa" w:w="1134"/>
            <w:shd w:fill="FFC7CE" w:val="clear"/>
          </w:tcPr>
          <w:p>
            <w:r>
              <w:rPr>
                <w:b/>
                <w:color w:val="B40000"/>
                <w:sz w:val="16"/>
              </w:rPr>
              <w:t>-12.31%</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7,790</w:t>
            </w:r>
          </w:p>
        </w:tc>
        <w:tc>
          <w:tcPr>
            <w:tcW w:type="dxa" w:w="1417"/>
            <w:shd w:fill="FFFFFF" w:val="clear"/>
          </w:tcPr>
          <w:p>
            <w:r>
              <w:rPr>
                <w:sz w:val="16"/>
              </w:rPr>
              <w:t>6,762</w:t>
            </w:r>
          </w:p>
        </w:tc>
        <w:tc>
          <w:tcPr>
            <w:tcW w:type="dxa" w:w="1134"/>
            <w:shd w:fill="FFC7CE" w:val="clear"/>
          </w:tcPr>
          <w:p>
            <w:r>
              <w:rPr>
                <w:b/>
                <w:color w:val="B40000"/>
                <w:sz w:val="16"/>
              </w:rPr>
              <w:t>-13.19%</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1,665</w:t>
            </w:r>
          </w:p>
        </w:tc>
        <w:tc>
          <w:tcPr>
            <w:tcW w:type="dxa" w:w="1417"/>
            <w:shd w:fill="FFFFFF" w:val="clear"/>
          </w:tcPr>
          <w:p>
            <w:r>
              <w:rPr>
                <w:sz w:val="16"/>
              </w:rPr>
              <w:t>1,421</w:t>
            </w:r>
          </w:p>
        </w:tc>
        <w:tc>
          <w:tcPr>
            <w:tcW w:type="dxa" w:w="1134"/>
            <w:shd w:fill="FFC7CE" w:val="clear"/>
          </w:tcPr>
          <w:p>
            <w:r>
              <w:rPr>
                <w:b/>
                <w:color w:val="B40000"/>
                <w:sz w:val="16"/>
              </w:rPr>
              <w:t>-14.65%</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9,000</w:t>
            </w:r>
          </w:p>
        </w:tc>
        <w:tc>
          <w:tcPr>
            <w:tcW w:type="dxa" w:w="1417"/>
            <w:shd w:fill="FFFFFF" w:val="clear"/>
          </w:tcPr>
          <w:p>
            <w:r>
              <w:rPr>
                <w:sz w:val="16"/>
              </w:rPr>
              <w:t>7,153</w:t>
            </w:r>
          </w:p>
        </w:tc>
        <w:tc>
          <w:tcPr>
            <w:tcW w:type="dxa" w:w="1134"/>
            <w:shd w:fill="FFC7CE" w:val="clear"/>
          </w:tcPr>
          <w:p>
            <w:r>
              <w:rPr>
                <w:b/>
                <w:color w:val="B40000"/>
                <w:sz w:val="16"/>
              </w:rPr>
              <w:t>-20.52%</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2,200</w:t>
            </w:r>
          </w:p>
        </w:tc>
        <w:tc>
          <w:tcPr>
            <w:tcW w:type="dxa" w:w="1417"/>
            <w:shd w:fill="FFFFFF" w:val="clear"/>
          </w:tcPr>
          <w:p>
            <w:r>
              <w:rPr>
                <w:sz w:val="16"/>
              </w:rPr>
              <w:t>1,715</w:t>
            </w:r>
          </w:p>
        </w:tc>
        <w:tc>
          <w:tcPr>
            <w:tcW w:type="dxa" w:w="1134"/>
            <w:shd w:fill="FFC7CE" w:val="clear"/>
          </w:tcPr>
          <w:p>
            <w:r>
              <w:rPr>
                <w:b/>
                <w:color w:val="B40000"/>
                <w:sz w:val="16"/>
              </w:rPr>
              <w:t>-22.04%</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10,815</w:t>
            </w:r>
          </w:p>
        </w:tc>
        <w:tc>
          <w:tcPr>
            <w:tcW w:type="dxa" w:w="1417"/>
            <w:shd w:fill="FFFFFF" w:val="clear"/>
          </w:tcPr>
          <w:p>
            <w:r>
              <w:rPr>
                <w:sz w:val="16"/>
              </w:rPr>
              <w:t>8,349</w:t>
            </w:r>
          </w:p>
        </w:tc>
        <w:tc>
          <w:tcPr>
            <w:tcW w:type="dxa" w:w="1134"/>
            <w:shd w:fill="FFC7CE" w:val="clear"/>
          </w:tcPr>
          <w:p>
            <w:r>
              <w:rPr>
                <w:b/>
                <w:color w:val="B40000"/>
                <w:sz w:val="16"/>
              </w:rPr>
              <w:t>-22.80%</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2,200</w:t>
            </w:r>
          </w:p>
        </w:tc>
        <w:tc>
          <w:tcPr>
            <w:tcW w:type="dxa" w:w="1417"/>
            <w:shd w:fill="FFFFFF" w:val="clear"/>
          </w:tcPr>
          <w:p>
            <w:r>
              <w:rPr>
                <w:sz w:val="16"/>
              </w:rPr>
              <w:t>1,631</w:t>
            </w:r>
          </w:p>
        </w:tc>
        <w:tc>
          <w:tcPr>
            <w:tcW w:type="dxa" w:w="1134"/>
            <w:shd w:fill="FFC7CE" w:val="clear"/>
          </w:tcPr>
          <w:p>
            <w:r>
              <w:rPr>
                <w:b/>
                <w:color w:val="B40000"/>
                <w:sz w:val="16"/>
              </w:rPr>
              <w:t>-25.87%</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7,585</w:t>
            </w:r>
          </w:p>
        </w:tc>
        <w:tc>
          <w:tcPr>
            <w:tcW w:type="dxa" w:w="1417"/>
            <w:shd w:fill="FFFFFF" w:val="clear"/>
          </w:tcPr>
          <w:p>
            <w:r>
              <w:rPr>
                <w:sz w:val="16"/>
              </w:rPr>
              <w:t>5,404</w:t>
            </w:r>
          </w:p>
        </w:tc>
        <w:tc>
          <w:tcPr>
            <w:tcW w:type="dxa" w:w="1134"/>
            <w:shd w:fill="FFC7CE" w:val="clear"/>
          </w:tcPr>
          <w:p>
            <w:r>
              <w:rPr>
                <w:b/>
                <w:color w:val="B40000"/>
                <w:sz w:val="16"/>
              </w:rPr>
              <w:t>-28.75%</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5,000</w:t>
            </w:r>
          </w:p>
        </w:tc>
        <w:tc>
          <w:tcPr>
            <w:tcW w:type="dxa" w:w="1417"/>
            <w:shd w:fill="FFFFFF" w:val="clear"/>
          </w:tcPr>
          <w:p>
            <w:r>
              <w:rPr>
                <w:sz w:val="16"/>
              </w:rPr>
              <w:t>3,172</w:t>
            </w:r>
          </w:p>
        </w:tc>
        <w:tc>
          <w:tcPr>
            <w:tcW w:type="dxa" w:w="1134"/>
            <w:shd w:fill="FFC7CE" w:val="clear"/>
          </w:tcPr>
          <w:p>
            <w:r>
              <w:rPr>
                <w:b/>
                <w:color w:val="B40000"/>
                <w:sz w:val="16"/>
              </w:rPr>
              <w:t>-36.56%</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28,000</w:t>
            </w:r>
          </w:p>
        </w:tc>
        <w:tc>
          <w:tcPr>
            <w:tcW w:type="dxa" w:w="1417"/>
            <w:shd w:fill="FFFFFF" w:val="clear"/>
          </w:tcPr>
          <w:p>
            <w:r>
              <w:rPr>
                <w:sz w:val="16"/>
              </w:rPr>
              <w:t>17,268</w:t>
            </w:r>
          </w:p>
        </w:tc>
        <w:tc>
          <w:tcPr>
            <w:tcW w:type="dxa" w:w="1134"/>
            <w:shd w:fill="FFC7CE" w:val="clear"/>
          </w:tcPr>
          <w:p>
            <w:r>
              <w:rPr>
                <w:b/>
                <w:color w:val="B40000"/>
                <w:sz w:val="16"/>
              </w:rPr>
              <w:t>-38.33%</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2,280</w:t>
            </w:r>
          </w:p>
        </w:tc>
        <w:tc>
          <w:tcPr>
            <w:tcW w:type="dxa" w:w="1417"/>
            <w:shd w:fill="FFFFFF" w:val="clear"/>
          </w:tcPr>
          <w:p>
            <w:r>
              <w:rPr>
                <w:sz w:val="16"/>
              </w:rPr>
              <w:t>1,382</w:t>
            </w:r>
          </w:p>
        </w:tc>
        <w:tc>
          <w:tcPr>
            <w:tcW w:type="dxa" w:w="1134"/>
            <w:shd w:fill="FFC7CE" w:val="clear"/>
          </w:tcPr>
          <w:p>
            <w:r>
              <w:rPr>
                <w:b/>
                <w:color w:val="B40000"/>
                <w:sz w:val="16"/>
              </w:rPr>
              <w:t>-39.40%</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2,680</w:t>
            </w:r>
          </w:p>
        </w:tc>
        <w:tc>
          <w:tcPr>
            <w:tcW w:type="dxa" w:w="1417"/>
            <w:shd w:fill="FFFFFF" w:val="clear"/>
          </w:tcPr>
          <w:p>
            <w:r>
              <w:rPr>
                <w:sz w:val="16"/>
              </w:rPr>
              <w:t>1,590</w:t>
            </w:r>
          </w:p>
        </w:tc>
        <w:tc>
          <w:tcPr>
            <w:tcW w:type="dxa" w:w="1134"/>
            <w:shd w:fill="FFC7CE" w:val="clear"/>
          </w:tcPr>
          <w:p>
            <w:r>
              <w:rPr>
                <w:b/>
                <w:color w:val="B40000"/>
                <w:sz w:val="16"/>
              </w:rPr>
              <w:t>-40.67%</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66</w:t>
            </w:r>
          </w:p>
        </w:tc>
        <w:tc>
          <w:tcPr>
            <w:tcW w:type="dxa" w:w="1417"/>
            <w:shd w:fill="FFFFFF" w:val="clear"/>
          </w:tcPr>
          <w:p>
            <w:r>
              <w:rPr>
                <w:sz w:val="16"/>
              </w:rPr>
              <w:t>30</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5,130</w:t>
            </w:r>
          </w:p>
        </w:tc>
        <w:tc>
          <w:tcPr>
            <w:tcW w:type="dxa" w:w="1417"/>
            <w:shd w:fill="FFFFFF" w:val="clear"/>
          </w:tcPr>
          <w:p>
            <w:r>
              <w:rPr>
                <w:sz w:val="16"/>
              </w:rPr>
              <w:t>2,353</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3,645</w:t>
            </w:r>
          </w:p>
        </w:tc>
        <w:tc>
          <w:tcPr>
            <w:tcW w:type="dxa" w:w="1417"/>
            <w:shd w:fill="FFFFFF" w:val="clear"/>
          </w:tcPr>
          <w:p>
            <w:r>
              <w:rPr>
                <w:sz w:val="16"/>
              </w:rPr>
              <w:t>1,672</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32.74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3,411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B40000"/>
                <w:sz w:val="17"/>
              </w:rPr>
              <w:t>-4.76%</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52.8%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20.0/100 → Moyen</w:t>
      </w:r>
    </w:p>
    <w:p>
      <w:pPr>
        <w:spacing w:before="40" w:after="80"/>
      </w:pPr>
      <w:r>
        <w:rPr>
          <w:rFonts w:ascii="Courier New" w:hAnsi="Courier New"/>
          <w:color w:val="825A00"/>
          <w:sz w:val="18"/>
        </w:rPr>
        <w:t>████░░░░░░░░░░░░░░░░  20.0/100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7.24% (Moyenne) — μ=3,241 FCFA, σ=235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β=-0.9485 (Contre-cyclique) — Cov=-0.000034, Var(idx)=0.000036, ρ=-0.172,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3,411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σ_j=3.33%/j (Modérée) — Vol. annualisée≈52.8%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2026-08-03</w:t>
            </w:r>
          </w:p>
        </w:tc>
        <w:tc>
          <w:tcPr>
            <w:tcW w:type="dxa" w:w="1440"/>
            <w:shd w:fill="FAFAFA" w:val="clear"/>
          </w:tcPr>
          <w:p>
            <w:r>
              <w:rPr>
                <w:sz w:val="17"/>
              </w:rPr>
              <w:t>2,851</w:t>
            </w:r>
          </w:p>
        </w:tc>
        <w:tc>
          <w:tcPr>
            <w:tcW w:type="dxa" w:w="1440"/>
            <w:shd w:fill="FAFAFA" w:val="clear"/>
          </w:tcPr>
          <w:p>
            <w:r>
              <w:rPr>
                <w:b/>
                <w:sz w:val="17"/>
              </w:rPr>
              <w:t>2,954</w:t>
            </w:r>
          </w:p>
        </w:tc>
        <w:tc>
          <w:tcPr>
            <w:tcW w:type="dxa" w:w="1440"/>
            <w:shd w:fill="FAFAFA" w:val="clear"/>
          </w:tcPr>
          <w:p>
            <w:r>
              <w:rPr>
                <w:sz w:val="17"/>
              </w:rPr>
              <w:t>3,056</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2026-08-04</w:t>
            </w:r>
          </w:p>
        </w:tc>
        <w:tc>
          <w:tcPr>
            <w:tcW w:type="dxa" w:w="1440"/>
            <w:shd w:fill="FFDCE0" w:val="clear"/>
          </w:tcPr>
          <w:p>
            <w:r>
              <w:rPr>
                <w:sz w:val="17"/>
              </w:rPr>
              <w:t>2,780</w:t>
            </w:r>
          </w:p>
        </w:tc>
        <w:tc>
          <w:tcPr>
            <w:tcW w:type="dxa" w:w="1440"/>
            <w:shd w:fill="FFDCE0" w:val="clear"/>
          </w:tcPr>
          <w:p>
            <w:r>
              <w:rPr>
                <w:b/>
                <w:sz w:val="17"/>
              </w:rPr>
              <w:t>2,923</w:t>
            </w:r>
          </w:p>
        </w:tc>
        <w:tc>
          <w:tcPr>
            <w:tcW w:type="dxa" w:w="1440"/>
            <w:shd w:fill="FFDCE0" w:val="clear"/>
          </w:tcPr>
          <w:p>
            <w:r>
              <w:rPr>
                <w:sz w:val="17"/>
              </w:rPr>
              <w:t>3,066</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2026-08-05</w:t>
            </w:r>
          </w:p>
        </w:tc>
        <w:tc>
          <w:tcPr>
            <w:tcW w:type="dxa" w:w="1440"/>
            <w:shd w:fill="FFDCE0" w:val="clear"/>
          </w:tcPr>
          <w:p>
            <w:r>
              <w:rPr>
                <w:sz w:val="17"/>
              </w:rPr>
              <w:t>2,716</w:t>
            </w:r>
          </w:p>
        </w:tc>
        <w:tc>
          <w:tcPr>
            <w:tcW w:type="dxa" w:w="1440"/>
            <w:shd w:fill="FFDCE0" w:val="clear"/>
          </w:tcPr>
          <w:p>
            <w:r>
              <w:rPr>
                <w:b/>
                <w:sz w:val="17"/>
              </w:rPr>
              <w:t>2,889</w:t>
            </w:r>
          </w:p>
        </w:tc>
        <w:tc>
          <w:tcPr>
            <w:tcW w:type="dxa" w:w="1440"/>
            <w:shd w:fill="FFDCE0" w:val="clear"/>
          </w:tcPr>
          <w:p>
            <w:r>
              <w:rPr>
                <w:sz w:val="17"/>
              </w:rPr>
              <w:t>3,063</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2,659</w:t>
            </w:r>
          </w:p>
        </w:tc>
        <w:tc>
          <w:tcPr>
            <w:tcW w:type="dxa" w:w="1440"/>
            <w:shd w:fill="FFDCE0" w:val="clear"/>
          </w:tcPr>
          <w:p>
            <w:r>
              <w:rPr>
                <w:b/>
                <w:sz w:val="17"/>
              </w:rPr>
              <w:t>2,858</w:t>
            </w:r>
          </w:p>
        </w:tc>
        <w:tc>
          <w:tcPr>
            <w:tcW w:type="dxa" w:w="1440"/>
            <w:shd w:fill="FFDCE0" w:val="clear"/>
          </w:tcPr>
          <w:p>
            <w:r>
              <w:rPr>
                <w:sz w:val="17"/>
              </w:rPr>
              <w:t>3,056</w:t>
            </w:r>
          </w:p>
        </w:tc>
        <w:tc>
          <w:tcPr>
            <w:tcW w:type="dxa" w:w="1440"/>
            <w:shd w:fill="FFDCE0" w:val="clear"/>
          </w:tcPr>
          <w:p>
            <w:r>
              <w:rPr>
                <w:b/>
                <w:color w:val="C00000"/>
                <w:sz w:val="17"/>
              </w:rPr>
              <w:t>-4.7%</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2,609</w:t>
            </w:r>
          </w:p>
        </w:tc>
        <w:tc>
          <w:tcPr>
            <w:tcW w:type="dxa" w:w="1440"/>
            <w:shd w:fill="FFDCE0" w:val="clear"/>
          </w:tcPr>
          <w:p>
            <w:r>
              <w:rPr>
                <w:b/>
                <w:sz w:val="17"/>
              </w:rPr>
              <w:t>2,828</w:t>
            </w:r>
          </w:p>
        </w:tc>
        <w:tc>
          <w:tcPr>
            <w:tcW w:type="dxa" w:w="1440"/>
            <w:shd w:fill="FFDCE0" w:val="clear"/>
          </w:tcPr>
          <w:p>
            <w:r>
              <w:rPr>
                <w:sz w:val="17"/>
              </w:rPr>
              <w:t>3,047</w:t>
            </w:r>
          </w:p>
        </w:tc>
        <w:tc>
          <w:tcPr>
            <w:tcW w:type="dxa" w:w="1440"/>
            <w:shd w:fill="FFDCE0" w:val="clear"/>
          </w:tcPr>
          <w:p>
            <w:r>
              <w:rPr>
                <w:b/>
                <w:color w:val="C00000"/>
                <w:sz w:val="17"/>
              </w:rPr>
              <w:t>-5.7%</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2,562</w:t>
            </w:r>
          </w:p>
        </w:tc>
        <w:tc>
          <w:tcPr>
            <w:tcW w:type="dxa" w:w="1440"/>
            <w:shd w:fill="FFDCE0" w:val="clear"/>
          </w:tcPr>
          <w:p>
            <w:r>
              <w:rPr>
                <w:b/>
                <w:sz w:val="17"/>
              </w:rPr>
              <w:t>2,800</w:t>
            </w:r>
          </w:p>
        </w:tc>
        <w:tc>
          <w:tcPr>
            <w:tcW w:type="dxa" w:w="1440"/>
            <w:shd w:fill="FFDCE0" w:val="clear"/>
          </w:tcPr>
          <w:p>
            <w:r>
              <w:rPr>
                <w:sz w:val="17"/>
              </w:rPr>
              <w:t>3,038</w:t>
            </w:r>
          </w:p>
        </w:tc>
        <w:tc>
          <w:tcPr>
            <w:tcW w:type="dxa" w:w="1440"/>
            <w:shd w:fill="FFDCE0" w:val="clear"/>
          </w:tcPr>
          <w:p>
            <w:r>
              <w:rPr>
                <w:b/>
                <w:color w:val="C00000"/>
                <w:sz w:val="17"/>
              </w:rPr>
              <w:t>-6.7%</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2,518</w:t>
            </w:r>
          </w:p>
        </w:tc>
        <w:tc>
          <w:tcPr>
            <w:tcW w:type="dxa" w:w="1440"/>
            <w:shd w:fill="FFDCE0" w:val="clear"/>
          </w:tcPr>
          <w:p>
            <w:r>
              <w:rPr>
                <w:b/>
                <w:sz w:val="17"/>
              </w:rPr>
              <w:t>2,773</w:t>
            </w:r>
          </w:p>
        </w:tc>
        <w:tc>
          <w:tcPr>
            <w:tcW w:type="dxa" w:w="1440"/>
            <w:shd w:fill="FFDCE0" w:val="clear"/>
          </w:tcPr>
          <w:p>
            <w:r>
              <w:rPr>
                <w:sz w:val="17"/>
              </w:rPr>
              <w:t>3,027</w:t>
            </w:r>
          </w:p>
        </w:tc>
        <w:tc>
          <w:tcPr>
            <w:tcW w:type="dxa" w:w="1440"/>
            <w:shd w:fill="FFDCE0" w:val="clear"/>
          </w:tcPr>
          <w:p>
            <w:r>
              <w:rPr>
                <w:b/>
                <w:color w:val="C00000"/>
                <w:sz w:val="17"/>
              </w:rPr>
              <w:t>-7.6%</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2,477</w:t>
            </w:r>
          </w:p>
        </w:tc>
        <w:tc>
          <w:tcPr>
            <w:tcW w:type="dxa" w:w="1440"/>
            <w:shd w:fill="FFDCE0" w:val="clear"/>
          </w:tcPr>
          <w:p>
            <w:r>
              <w:rPr>
                <w:b/>
                <w:sz w:val="17"/>
              </w:rPr>
              <w:t>2,747</w:t>
            </w:r>
          </w:p>
        </w:tc>
        <w:tc>
          <w:tcPr>
            <w:tcW w:type="dxa" w:w="1440"/>
            <w:shd w:fill="FFDCE0" w:val="clear"/>
          </w:tcPr>
          <w:p>
            <w:r>
              <w:rPr>
                <w:sz w:val="17"/>
              </w:rPr>
              <w:t>3,016</w:t>
            </w:r>
          </w:p>
        </w:tc>
        <w:tc>
          <w:tcPr>
            <w:tcW w:type="dxa" w:w="1440"/>
            <w:shd w:fill="FFDCE0" w:val="clear"/>
          </w:tcPr>
          <w:p>
            <w:r>
              <w:rPr>
                <w:b/>
                <w:color w:val="C00000"/>
                <w:sz w:val="17"/>
              </w:rPr>
              <w:t>-8.4%</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2,438</w:t>
            </w:r>
          </w:p>
        </w:tc>
        <w:tc>
          <w:tcPr>
            <w:tcW w:type="dxa" w:w="1440"/>
            <w:shd w:fill="FFDCE0" w:val="clear"/>
          </w:tcPr>
          <w:p>
            <w:r>
              <w:rPr>
                <w:b/>
                <w:sz w:val="17"/>
              </w:rPr>
              <w:t>2,722</w:t>
            </w:r>
          </w:p>
        </w:tc>
        <w:tc>
          <w:tcPr>
            <w:tcW w:type="dxa" w:w="1440"/>
            <w:shd w:fill="FFDCE0" w:val="clear"/>
          </w:tcPr>
          <w:p>
            <w:r>
              <w:rPr>
                <w:sz w:val="17"/>
              </w:rPr>
              <w:t>3,005</w:t>
            </w:r>
          </w:p>
        </w:tc>
        <w:tc>
          <w:tcPr>
            <w:tcW w:type="dxa" w:w="1440"/>
            <w:shd w:fill="FFDCE0" w:val="clear"/>
          </w:tcPr>
          <w:p>
            <w:r>
              <w:rPr>
                <w:b/>
                <w:color w:val="C00000"/>
                <w:sz w:val="17"/>
              </w:rPr>
              <w:t>-9.3%</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2,401</w:t>
            </w:r>
          </w:p>
        </w:tc>
        <w:tc>
          <w:tcPr>
            <w:tcW w:type="dxa" w:w="1440"/>
            <w:shd w:fill="FFDCE0" w:val="clear"/>
          </w:tcPr>
          <w:p>
            <w:r>
              <w:rPr>
                <w:b/>
                <w:sz w:val="17"/>
              </w:rPr>
              <w:t>2,697</w:t>
            </w:r>
          </w:p>
        </w:tc>
        <w:tc>
          <w:tcPr>
            <w:tcW w:type="dxa" w:w="1440"/>
            <w:shd w:fill="FFDCE0" w:val="clear"/>
          </w:tcPr>
          <w:p>
            <w:r>
              <w:rPr>
                <w:sz w:val="17"/>
              </w:rPr>
              <w:t>2,993</w:t>
            </w:r>
          </w:p>
        </w:tc>
        <w:tc>
          <w:tcPr>
            <w:tcW w:type="dxa" w:w="1440"/>
            <w:shd w:fill="FFDCE0" w:val="clear"/>
          </w:tcPr>
          <w:p>
            <w:r>
              <w:rPr>
                <w:b/>
                <w:color w:val="C00000"/>
                <w:sz w:val="17"/>
              </w:rPr>
              <w:t>-10.1%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31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32,74 milliards FCFA, un niveau significatif pour une valeur moyenne de la cote BRVM, reflétant la position de leader de Servair Abidjan dans les services aéroportuaires. Avec un BPA de 124 FCFA, le titre se négocie à un PER de 24,2x, soit un niveau nettement supérieur à la moyenne historique du marché BRVM (8-12x). Cette prime de valorisation suggère que les investisseurs intègrent des perspectives de croissance future ou une certaine rareté du titre, mais elle expose également à un risque de correction si les résultats déçoivent. Le P/B de 6,35x confirme cette exigence de valorisation, le marché payant plus de 6 fois la valeur comptable des actifs, ce qui est considérable. Enfin, un EV/EBITDA de 12,1x, bien que dans la fourchette haute des standards, indique que la valeur totale de l'entreprise (capitaux propres + dettes) reste cohérente avec sa capacité à générer du cash opérationnel, même si elle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 enregistré une performance négative de -4,76%, avec une dernière séance stable (+0,00%), illustrant une phase de consolidation baissière. Le titre a évolué dans un range de trading de 935 FCFA, entre un plus haut de 3 780 FCFA et un plus bas de 2 845 FCFA, démontrant une amplitude de mouvement non négligeable. La moyenne du cours sur la période (3 241 FCFA) est très proche de la médiane (3 235 FCFA), et le skewness de 0,116 indique une distribution quasi symétrique des prix, sans biais directionnel marqué. L'écart-type de 236 FCFA, avec un coefficient de variation de 7,3%, révèle une dispersion modérée autour de la moyenne. Le kurtosis négatif (-0,785) suggère une distribution mésokurtique, avec moins de valeurs extrêmes qu'une distribution normale, ce qui réduit le risque de mouvements violents imprévus. Cependant, la volatilité annualisée de 52,8% est extrêmement élevée, classant le titre dans la catégorie des valeurs à risque fort, où les variations de prix peuvent être amples et rapides, malgré une distribution statistique apparemment calme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(3 000 FCFA) se situe sous la MM20 (3 087 FCFA) et nettement sous la MM50 (3 160 FCFA). Cette configuration baissière, où les moyennes agissent comme des résistances dynamiques, confirme la tendance négative de moyen terme. La décision de "Vente" est justifiée par cette structure hiérarchique défavorable.</w:t>
      </w:r>
    </w:p>
    <w:p>
      <w:pPr>
        <w:spacing w:after="120" w:line="276" w:lineRule="auto"/>
      </w:pPr>
      <w:r>
        <w:t>**Bandes de Bollinger**: Le prix évolue dans la partie inférieure du canal formé par les bandes (borne inférieure à 2 921 FCFA et borne supérieure à 3 253 FCFA). Cette position, proche de la borne basse, indique une pression vendeuse persistante, mais sans signal d'oversold extrême. La décision "Neutre" suggère que le marché attend un catalyseur pour sortir de cette zone de consolidation.</w:t>
      </w:r>
    </w:p>
    <w:p>
      <w:pPr>
        <w:spacing w:after="120" w:line="276" w:lineRule="auto"/>
      </w:pPr>
      <w:r>
        <w:t>**MACD**: La valeur du MACD (-45,78) est inférieure à son signal (-41,13), et les deux sont en territoire négatif. Cette divergence baissière indique un momentum négatif qui se renforce, ce qui justifie la décision de "Vente". La dynamique vendeuse est toujours dominante.</w:t>
      </w:r>
    </w:p>
    <w:p>
      <w:pPr>
        <w:spacing w:after="120" w:line="276" w:lineRule="auto"/>
      </w:pPr>
      <w:r>
        <w:t>**RSI**: À 41,26, le RSI se situe en zone neutre (entre 30 et 70), indiquant que le titre n'est ni suracheté ni survendu. Il n'y a pas de pression d'achat ou de vente excessive pour le moment, d'où la décision "Neutre". Cela laisse une marge de manœuvre avant d'atteindre des zones extrêmes.</w:t>
      </w:r>
    </w:p>
    <w:p>
      <w:pPr>
        <w:spacing w:after="120" w:line="276" w:lineRule="auto"/>
      </w:pPr>
      <w:r>
        <w:t>**Stochastique**: Les valeurs de %K (21,74) et %D (24,64) sont basses, proches de la zone de survente (&lt;20). Bien que la décision soit "Neutre", le croisement potentiel de ces lignes pourrait signaler un rebond technique à court terme, mais la faiblesse des niveaux actuels reflète une faiblesse sous-jacente du titre.</w:t>
      </w:r>
    </w:p>
    <w:p>
      <w:pPr>
        <w:spacing w:after="120" w:line="276" w:lineRule="auto"/>
      </w:pPr>
      <w:r>
        <w:t>**Conclusion technique**: La convergence des indicateurs (MM, MACD) vers des signaux de vente, combinée à un RSI neutre et un stochastique proche du survente, dresse un tableau baissier à court et moyen terme. Le titre est dans une phase de correction, et tout rebond technique serait probablement limité par les résistances des moyennes mobiles. La pression vendeuse reste dominante, et il est prudent d'attendre un signal de retournement clair avant d'envisager une position acheteuse.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Servair Abidjan a réalisé un chiffre d'affaires de 13,298 milliards FCFA, en croissance de +6,7%, mais son résultat net a baissé de 12,1% à 1,351 milliard FCFA, principalement en raison d'une hausse de 46,7% de la charge d'impôt. La rentabilité des fonds propres (ROE) reste excellente à 26,18%, et le ROA est solide à 14,64%, démontrant une utilisation efficace des actifs et des capitaux. La structure financière est saine avec une autonomie financière de 55,9% et une trésorerie nette positive de 4,035 milliards FCFA. Cependant, l'analyse des délais d'exploitation révèle un point de vigilance : le délai de paiement des clients est de 70 jours, contre 92 jours pour les fournisseurs, ce qui est un signe de bonne gestion du BFR (257 millions FCFA). Les rapports trimestriels de 2025 (T1 et T3) montrent une année contrastée : un T1 difficile (résultat net -6,8%) affecté par un litige avec la BCEAO, suivi d'un T3 très solide (+17,1% de résultat net). Pour 2026, le rapport T1 (daté de 2026) indique une dégradation marquée avec un résultat net en chute de -35,6% à 222,6 millions FCFA, impacté par des ajustements de redevances aéroportuaires. Sur la base de ce T1 2026, on estime que l'exercice 2026 pourrait voir un résultat net annuel en baisse significative, potentiellement autour de 1 milliard FCFA, si la tendance se maintient. La solidité financière et la position de marché restent des atouts, mais la pression sur les marges et l'environnement réglementaire sont des risques majeurs à surveiller.</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pour ABJC. La valorisation boursière (PER 24,2x, P/B 6,35x) est exigeante et reflète une prime qui semble difficile à justifier au regard de la dégradation récente de la rentabilité. Le comportement du cours sur 100 jours est baissier (-4,76%), avec une volatilité annualisée très élevée (52,8%), indiquant un risque de marché important. Les signaux techniques sont majoritairement vendeurs (MM, MACD), avec un RSI neutre, suggérant une poursuite probable de la consolidation. Les fondamentaux, bien que solides (ROE &gt;26%, trésorerie abondante), montrent des signes de ralentissement, avec des estimations 2026 en baisse basées sur le T1 2026. Enfin, les prédictions IA pour les 10 prochains jours (baisse de 3 000 à 2 828 FCFA) confirment la trajectoire baissière. La convergence de ces signaux défavorables (technique, prédiction, et perspectives fondamentales) malgré une valorisation encore élevée, conduit à une recommandation de **VENTE**. Le niveau de confiance est **Moyen**, car la solidité bilancielle de l'entreprise pourrait limiter la baisse, mais le risque global est **Élevé** en raison de la volatilité et de l'incertitude sur la résolution des problèmes de rentabilité. L'horizon d'investissement optimal serait de **court terme (&lt;3 mois)**, dans l'attente d'un point d'entrée plus favorable et de signaux de retournement.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438.11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8,205 titres</w:t>
            </w:r>
          </w:p>
        </w:tc>
        <w:tc>
          <w:tcPr>
            <w:tcW w:type="dxa" w:w="2268"/>
            <w:shd w:fill="FFF2CC" w:val="clear"/>
          </w:tcPr>
          <w:p>
            <w:r>
              <w:rPr>
                <w:b/>
                <w:color w:val="503200"/>
                <w:sz w:val="16"/>
              </w:rPr>
              <w:t xml:space="preserve">Cours actuel : </w:t>
            </w:r>
            <w:r>
              <w:rPr>
                <w:color w:val="000000"/>
                <w:sz w:val="17"/>
              </w:rPr>
              <w:t>7,585 FCFA</w:t>
            </w:r>
          </w:p>
          <w:p>
            <w:r>
              <w:rPr>
                <w:b/>
                <w:color w:val="503200"/>
                <w:sz w:val="16"/>
              </w:rPr>
              <w:t xml:space="preserve">Var. 100 jours : </w:t>
            </w:r>
            <w:r>
              <w:rPr>
                <w:b/>
                <w:color w:val="007800"/>
                <w:sz w:val="17"/>
              </w:rPr>
              <w:t>+44.48%</w:t>
            </w:r>
          </w:p>
          <w:p>
            <w:r>
              <w:rPr>
                <w:b/>
                <w:color w:val="503200"/>
                <w:sz w:val="16"/>
              </w:rPr>
              <w:t xml:space="preserve">Plus haut 100j : </w:t>
            </w:r>
            <w:r>
              <w:rPr>
                <w:color w:val="000000"/>
                <w:sz w:val="17"/>
              </w:rPr>
              <w:t>7,850 FCFA</w:t>
            </w:r>
          </w:p>
          <w:p>
            <w:r>
              <w:rPr>
                <w:b/>
                <w:color w:val="503200"/>
                <w:sz w:val="16"/>
              </w:rPr>
              <w:t xml:space="preserve">Plus bas 100j : </w:t>
            </w:r>
            <w:r>
              <w:rPr>
                <w:color w:val="000000"/>
                <w:sz w:val="17"/>
              </w:rPr>
              <w:t>5,000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12.18% (Moyenne) — μ=5,636 FCFA, σ=686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β=0.3942 (Défensif) — Cov=0.000014, Var(idx)=0.000036, ρ=0.131,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8,205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2026-08-03</w:t>
            </w:r>
          </w:p>
        </w:tc>
        <w:tc>
          <w:tcPr>
            <w:tcW w:type="dxa" w:w="1440"/>
            <w:shd w:fill="FFDCE0" w:val="clear"/>
          </w:tcPr>
          <w:p>
            <w:r>
              <w:rPr>
                <w:sz w:val="17"/>
              </w:rPr>
              <w:t>6,726</w:t>
            </w:r>
          </w:p>
        </w:tc>
        <w:tc>
          <w:tcPr>
            <w:tcW w:type="dxa" w:w="1440"/>
            <w:shd w:fill="FFDCE0" w:val="clear"/>
          </w:tcPr>
          <w:p>
            <w:r>
              <w:rPr>
                <w:b/>
                <w:sz w:val="17"/>
              </w:rPr>
              <w:t>7,016</w:t>
            </w:r>
          </w:p>
        </w:tc>
        <w:tc>
          <w:tcPr>
            <w:tcW w:type="dxa" w:w="1440"/>
            <w:shd w:fill="FFDCE0" w:val="clear"/>
          </w:tcPr>
          <w:p>
            <w:r>
              <w:rPr>
                <w:sz w:val="17"/>
              </w:rPr>
              <w:t>7,306</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2026-08-04</w:t>
            </w:r>
          </w:p>
        </w:tc>
        <w:tc>
          <w:tcPr>
            <w:tcW w:type="dxa" w:w="1440"/>
            <w:shd w:fill="FFDCE0" w:val="clear"/>
          </w:tcPr>
          <w:p>
            <w:r>
              <w:rPr>
                <w:sz w:val="17"/>
              </w:rPr>
              <w:t>6,111</w:t>
            </w:r>
          </w:p>
        </w:tc>
        <w:tc>
          <w:tcPr>
            <w:tcW w:type="dxa" w:w="1440"/>
            <w:shd w:fill="FFDCE0" w:val="clear"/>
          </w:tcPr>
          <w:p>
            <w:r>
              <w:rPr>
                <w:b/>
                <w:sz w:val="17"/>
              </w:rPr>
              <w:t>6,490</w:t>
            </w:r>
          </w:p>
        </w:tc>
        <w:tc>
          <w:tcPr>
            <w:tcW w:type="dxa" w:w="1440"/>
            <w:shd w:fill="FFDCE0" w:val="clear"/>
          </w:tcPr>
          <w:p>
            <w:r>
              <w:rPr>
                <w:sz w:val="17"/>
              </w:rPr>
              <w:t>6,869</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2026-08-05</w:t>
            </w:r>
          </w:p>
        </w:tc>
        <w:tc>
          <w:tcPr>
            <w:tcW w:type="dxa" w:w="1440"/>
            <w:shd w:fill="FFDCE0" w:val="clear"/>
          </w:tcPr>
          <w:p>
            <w:r>
              <w:rPr>
                <w:sz w:val="17"/>
              </w:rPr>
              <w:t>5,681</w:t>
            </w:r>
          </w:p>
        </w:tc>
        <w:tc>
          <w:tcPr>
            <w:tcW w:type="dxa" w:w="1440"/>
            <w:shd w:fill="FFDCE0" w:val="clear"/>
          </w:tcPr>
          <w:p>
            <w:r>
              <w:rPr>
                <w:b/>
                <w:sz w:val="17"/>
              </w:rPr>
              <w:t>6,119</w:t>
            </w:r>
          </w:p>
        </w:tc>
        <w:tc>
          <w:tcPr>
            <w:tcW w:type="dxa" w:w="1440"/>
            <w:shd w:fill="FFDCE0" w:val="clear"/>
          </w:tcPr>
          <w:p>
            <w:r>
              <w:rPr>
                <w:sz w:val="17"/>
              </w:rPr>
              <w:t>6,556</w:t>
            </w:r>
          </w:p>
        </w:tc>
        <w:tc>
          <w:tcPr>
            <w:tcW w:type="dxa" w:w="1440"/>
            <w:shd w:fill="FFDCE0" w:val="clear"/>
          </w:tcPr>
          <w:p>
            <w:r>
              <w:rPr>
                <w:b/>
                <w:color w:val="C00000"/>
                <w:sz w:val="17"/>
              </w:rPr>
              <w:t>-19.3%</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5,481</w:t>
            </w:r>
          </w:p>
        </w:tc>
        <w:tc>
          <w:tcPr>
            <w:tcW w:type="dxa" w:w="1440"/>
            <w:shd w:fill="FFDCE0" w:val="clear"/>
          </w:tcPr>
          <w:p>
            <w:r>
              <w:rPr>
                <w:b/>
                <w:sz w:val="17"/>
              </w:rPr>
              <w:t>5,975</w:t>
            </w:r>
          </w:p>
        </w:tc>
        <w:tc>
          <w:tcPr>
            <w:tcW w:type="dxa" w:w="1440"/>
            <w:shd w:fill="FFDCE0" w:val="clear"/>
          </w:tcPr>
          <w:p>
            <w:r>
              <w:rPr>
                <w:sz w:val="17"/>
              </w:rPr>
              <w:t>6,468</w:t>
            </w:r>
          </w:p>
        </w:tc>
        <w:tc>
          <w:tcPr>
            <w:tcW w:type="dxa" w:w="1440"/>
            <w:shd w:fill="FFDCE0" w:val="clear"/>
          </w:tcPr>
          <w:p>
            <w:r>
              <w:rPr>
                <w:b/>
                <w:color w:val="C00000"/>
                <w:sz w:val="17"/>
              </w:rPr>
              <w:t>-21.2%</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5,305</w:t>
            </w:r>
          </w:p>
        </w:tc>
        <w:tc>
          <w:tcPr>
            <w:tcW w:type="dxa" w:w="1440"/>
            <w:shd w:fill="FFDCE0" w:val="clear"/>
          </w:tcPr>
          <w:p>
            <w:r>
              <w:rPr>
                <w:b/>
                <w:sz w:val="17"/>
              </w:rPr>
              <w:t>5,844</w:t>
            </w:r>
          </w:p>
        </w:tc>
        <w:tc>
          <w:tcPr>
            <w:tcW w:type="dxa" w:w="1440"/>
            <w:shd w:fill="FFDCE0" w:val="clear"/>
          </w:tcPr>
          <w:p>
            <w:r>
              <w:rPr>
                <w:sz w:val="17"/>
              </w:rPr>
              <w:t>6,384</w:t>
            </w:r>
          </w:p>
        </w:tc>
        <w:tc>
          <w:tcPr>
            <w:tcW w:type="dxa" w:w="1440"/>
            <w:shd w:fill="FFDCE0" w:val="clear"/>
          </w:tcPr>
          <w:p>
            <w:r>
              <w:rPr>
                <w:b/>
                <w:color w:val="C00000"/>
                <w:sz w:val="17"/>
              </w:rPr>
              <w:t>-22.9%</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5,150</w:t>
            </w:r>
          </w:p>
        </w:tc>
        <w:tc>
          <w:tcPr>
            <w:tcW w:type="dxa" w:w="1440"/>
            <w:shd w:fill="FFDCE0" w:val="clear"/>
          </w:tcPr>
          <w:p>
            <w:r>
              <w:rPr>
                <w:b/>
                <w:sz w:val="17"/>
              </w:rPr>
              <w:t>5,730</w:t>
            </w:r>
          </w:p>
        </w:tc>
        <w:tc>
          <w:tcPr>
            <w:tcW w:type="dxa" w:w="1440"/>
            <w:shd w:fill="FFDCE0" w:val="clear"/>
          </w:tcPr>
          <w:p>
            <w:r>
              <w:rPr>
                <w:sz w:val="17"/>
              </w:rPr>
              <w:t>6,309</w:t>
            </w:r>
          </w:p>
        </w:tc>
        <w:tc>
          <w:tcPr>
            <w:tcW w:type="dxa" w:w="1440"/>
            <w:shd w:fill="FFDCE0" w:val="clear"/>
          </w:tcPr>
          <w:p>
            <w:r>
              <w:rPr>
                <w:b/>
                <w:color w:val="C00000"/>
                <w:sz w:val="17"/>
              </w:rPr>
              <w:t>-24.5%</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5,015</w:t>
            </w:r>
          </w:p>
        </w:tc>
        <w:tc>
          <w:tcPr>
            <w:tcW w:type="dxa" w:w="1440"/>
            <w:shd w:fill="FFDCE0" w:val="clear"/>
          </w:tcPr>
          <w:p>
            <w:r>
              <w:rPr>
                <w:b/>
                <w:sz w:val="17"/>
              </w:rPr>
              <w:t>5,630</w:t>
            </w:r>
          </w:p>
        </w:tc>
        <w:tc>
          <w:tcPr>
            <w:tcW w:type="dxa" w:w="1440"/>
            <w:shd w:fill="FFDCE0" w:val="clear"/>
          </w:tcPr>
          <w:p>
            <w:r>
              <w:rPr>
                <w:sz w:val="17"/>
              </w:rPr>
              <w:t>6,245</w:t>
            </w:r>
          </w:p>
        </w:tc>
        <w:tc>
          <w:tcPr>
            <w:tcW w:type="dxa" w:w="1440"/>
            <w:shd w:fill="FFDCE0" w:val="clear"/>
          </w:tcPr>
          <w:p>
            <w:r>
              <w:rPr>
                <w:b/>
                <w:color w:val="C00000"/>
                <w:sz w:val="17"/>
              </w:rPr>
              <w:t>-25.8%</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4,897</w:t>
            </w:r>
          </w:p>
        </w:tc>
        <w:tc>
          <w:tcPr>
            <w:tcW w:type="dxa" w:w="1440"/>
            <w:shd w:fill="FFDCE0" w:val="clear"/>
          </w:tcPr>
          <w:p>
            <w:r>
              <w:rPr>
                <w:b/>
                <w:sz w:val="17"/>
              </w:rPr>
              <w:t>5,544</w:t>
            </w:r>
          </w:p>
        </w:tc>
        <w:tc>
          <w:tcPr>
            <w:tcW w:type="dxa" w:w="1440"/>
            <w:shd w:fill="FFDCE0" w:val="clear"/>
          </w:tcPr>
          <w:p>
            <w:r>
              <w:rPr>
                <w:sz w:val="17"/>
              </w:rPr>
              <w:t>6,191</w:t>
            </w:r>
          </w:p>
        </w:tc>
        <w:tc>
          <w:tcPr>
            <w:tcW w:type="dxa" w:w="1440"/>
            <w:shd w:fill="FFDCE0" w:val="clear"/>
          </w:tcPr>
          <w:p>
            <w:r>
              <w:rPr>
                <w:b/>
                <w:color w:val="C00000"/>
                <w:sz w:val="17"/>
              </w:rPr>
              <w:t>-26.9%</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4,792</w:t>
            </w:r>
          </w:p>
        </w:tc>
        <w:tc>
          <w:tcPr>
            <w:tcW w:type="dxa" w:w="1440"/>
            <w:shd w:fill="FFDCE0" w:val="clear"/>
          </w:tcPr>
          <w:p>
            <w:r>
              <w:rPr>
                <w:b/>
                <w:sz w:val="17"/>
              </w:rPr>
              <w:t>5,469</w:t>
            </w:r>
          </w:p>
        </w:tc>
        <w:tc>
          <w:tcPr>
            <w:tcW w:type="dxa" w:w="1440"/>
            <w:shd w:fill="FFDCE0" w:val="clear"/>
          </w:tcPr>
          <w:p>
            <w:r>
              <w:rPr>
                <w:sz w:val="17"/>
              </w:rPr>
              <w:t>6,146</w:t>
            </w:r>
          </w:p>
        </w:tc>
        <w:tc>
          <w:tcPr>
            <w:tcW w:type="dxa" w:w="1440"/>
            <w:shd w:fill="FFDCE0" w:val="clear"/>
          </w:tcPr>
          <w:p>
            <w:r>
              <w:rPr>
                <w:b/>
                <w:color w:val="C00000"/>
                <w:sz w:val="17"/>
              </w:rPr>
              <w:t>-27.9%</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4,699</w:t>
            </w:r>
          </w:p>
        </w:tc>
        <w:tc>
          <w:tcPr>
            <w:tcW w:type="dxa" w:w="1440"/>
            <w:shd w:fill="FFDCE0" w:val="clear"/>
          </w:tcPr>
          <w:p>
            <w:r>
              <w:rPr>
                <w:b/>
                <w:sz w:val="17"/>
              </w:rPr>
              <w:t>5,404</w:t>
            </w:r>
          </w:p>
        </w:tc>
        <w:tc>
          <w:tcPr>
            <w:tcW w:type="dxa" w:w="1440"/>
            <w:shd w:fill="FFDCE0" w:val="clear"/>
          </w:tcPr>
          <w:p>
            <w:r>
              <w:rPr>
                <w:sz w:val="17"/>
              </w:rPr>
              <w:t>6,110</w:t>
            </w:r>
          </w:p>
        </w:tc>
        <w:tc>
          <w:tcPr>
            <w:tcW w:type="dxa" w:w="1440"/>
            <w:shd w:fill="FFDCE0" w:val="clear"/>
          </w:tcPr>
          <w:p>
            <w:r>
              <w:rPr>
                <w:b/>
                <w:color w:val="C00000"/>
                <w:sz w:val="17"/>
              </w:rPr>
              <w:t>-28.8%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BICB s'établit à 438,11 milliards FCFA, ce qui en fait l'une des valeurs les plus significatives de la BRVM, reflétant la confiance des investisseurs dans le secteur bancaire de l'UEMOA. Avec un BPA de 627 FCFA, chaque action génère un bénéfice substantiel, justifiant un PER de 12,1x, légèrement au-dessus de la moyenne historique de la BRVM (8-12x), ce qui indique que le marché valorise la croissance future de la banque. Le P/B de 3,24x montre que le marché accorde une prime de 224% par rapport à la valeur comptable des fonds propres, signe d'une anticipation de croissance soutenue. En revanche, l'EV/EBITDA de 22,8x est particulièrement exigeant, suggérant que la valeur totale de l'entreprise (dette incluse) est élevée par rapport à sa capacité opérationnelle, ce qui pourrait limiter le potentiel de hausse à court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BICB a enregistré une progression spectaculaire de +44,48%, passant d'un plus bas de 5 000 FCFA à un plus haut de 7 850 FCFA, avec un cours actuel de 7 585 FCFA, en légère baisse de -0,20% lors de la dernière séance. La moyenne du cours sur la période (5 636 FCFA) est nettement inférieure à la médiane (5 250 FCFA), et l'écart entre ces deux valeurs, combiné à un skewness positif de 1,600, révèle une distribution asymétrique avec une concentration de journées sous la moyenne mais quelques fortes hausses qui tirent la moyenne vers le haut. L'écart-type de 690 FCFA (CV=12,2%) indique une dispersion modérée, tandis que le kurtosis de 1,843 (leptokurtique) signale un risque de mouvements extrêmes, confirmé par la volatilité annualisée de 28,5%, classée comme élevée (&gt;30% étant le seuil). Cette configuration suggère une tendance haussière marquée mais fragile, avec des pics de volatilité qui pourraient surprendre les investisseurs.</w:t>
      </w:r>
    </w:p>
    <w:p>
      <w:pPr>
        <w:spacing w:after="120" w:line="276" w:lineRule="auto" w:before="240"/>
      </w:pPr>
      <w:r>
        <w:rPr>
          <w:b/>
          <w:color w:val="003366"/>
          <w:sz w:val="24"/>
        </w:rPr>
        <w:t>**PARTIE 2 : ANALYSE TECHNIQUE DÉTAILLÉE**</w:t>
      </w:r>
    </w:p>
    <w:p>
      <w:pPr>
        <w:spacing w:after="120" w:line="276" w:lineRule="auto"/>
      </w:pPr>
      <w:r>
        <w:t>Les **Moyennes Mobiles** (MM20=6818,5 et MM50=6093,5) sont toutes deux inférieures au cours actuel de 7 585 FCFA, avec une MM20 qui agit comme un support dynamique immédiat. La configuration haussière (cours &gt; MM20 &gt; MM50) confirme une tendance positive soutenue, justifiant la décision d'achat, bien que l'écart croissant entre le cours et les moyennes suggère une possible correction technique.</w:t>
      </w:r>
    </w:p>
    <w:p>
      <w:pPr>
        <w:spacing w:after="120" w:line="276" w:lineRule="auto"/>
      </w:pPr>
      <w:r>
        <w:t>Les **Bandes de Bollinger** (borne supérieure=7949,7, borne inférieure=5687,3) montrent un cours à 7 585 FCFA, proche de la borne supérieure, indiquant une volatilité élevée et une pression acheteuse persistante. La décision neutre s'explique par le fait que le cours n'a pas encore touché la borne supérieure, mais la largeur des bandes reflète une instabilité qui pourrait précéder un retournement.</w:t>
      </w:r>
    </w:p>
    <w:p>
      <w:pPr>
        <w:spacing w:after="120" w:line="276" w:lineRule="auto"/>
      </w:pPr>
      <w:r>
        <w:t>Le **MACD** (valeur=451,2, signal=376,9) affiche un écart positif et croissant, signalant un momentum haussier robuste. La décision d'achat est justifiée par la divergence positive entre la ligne MACD et sa ligne de signal, indiquant que la tendance haussière est toujours en vigueur, bien que la prudence soit de mise à ces niveaux.</w:t>
      </w:r>
    </w:p>
    <w:p>
      <w:pPr>
        <w:spacing w:after="120" w:line="276" w:lineRule="auto"/>
      </w:pPr>
      <w:r>
        <w:t>Le **RSI** à 72,6 est en zone de surachat (&gt;70), signalant que le titre est techniquement surévalué à court terme. La décision de vente est justifiée par ce niveau extrême, qui suggère un épuisement potentiel des acheteurs et un risque de correction imminente, même si en tendance forte, le RSI peut rester suracheté pendant des périodes prolongées.</w:t>
      </w:r>
    </w:p>
    <w:p>
      <w:pPr>
        <w:spacing w:after="120" w:line="276" w:lineRule="auto"/>
      </w:pPr>
      <w:r>
        <w:t>Le **Stochastique** (%K=82,9, %D=80,3) est également en zone de surachat, avec %K au-dessus de %D, confirmant la force de la tendance mais aussi la vulnérabilité du titre. La décision de vente reflète la probabilité d'un croisement baissier imminent, qui pourrait déclencher une phase de consolidation.</w:t>
      </w:r>
    </w:p>
    <w:p>
      <w:pPr>
        <w:spacing w:after="120" w:line="276" w:lineRule="auto"/>
      </w:pPr>
      <w:r>
        <w:t>En conclusion technique, les indicateurs sont partagés : les moyennes mobiles et le MACD soutiennent une tendance haussière, tandis que le RSI et le Stochastique signalent un surachat extrême. Cette divergence suggère que le titre pourrait connaître une correction à court terme avant de poursuivre sa tendance, ou un retournement plus profond si les supports clés sont cassés.</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BICB (base brvm_donnees_financieres) révèlent un Produit Net Bancaire (PNB) de 52,805 milliards FCFA, en croissance de +16,49% par rapport à 2024, et un résultat net de 36,237 milliards FCFA, soit une marge nette exceptionnelle de 68,62%. Le ROE atteint 26,82%, un niveau excellent (&gt;15%), et le ROA de 1,96% est solide pour le secteur bancaire. Le coefficient d'exploitation de 31,12% (&lt;60%) démontre une efficacité opérationnelle remarquable, tandis que le coût du risque de 9,61% reste élevé, indiquant un portefeuille de crédits sous tension. Les dépôts clientèle (1 181,045 milliards FCFA) couvrent les créances clientèle (1 151,536 milliards FCFA), avec un ratio de transformation de 97,5%, signalant une liquidité tendue. Les rapports trimestriels 2025 (S1 et T3) confirment cette dynamique contrastée : le PNB progresse de +28% au S1 (25,738 milliards FCFA) et de +26% au T3 (35,945 milliards FCFA), mais le résultat net recule respectivement de -27% et -9%, en raison d'un coût du risque multiplié par plus de 5 (7,905 milliards FCFA au S1). Sur la base de ces données, on estime que l'exercice 2025 devrait afficher un PNB annuel autour de 52,8 milliards FCFA (conforme aux données structurées) et un résultat net de 36,2 milliards FCFA, malgré la pression des provisions. La solidité financière est confortée par une autonomie financière de 7,33% (faible mais typique des banques), une solvabilité générale de 107,9% et une capacité de remboursement de 0,89 an. En conclusion, BICB présente des fondamentaux solides avec une croissance commerciale vigoureuse, mais la dégradation de la qualité du crédit et le coût du risque élevé constituent des risques majeurs à surveiller.</w:t>
      </w:r>
    </w:p>
    <w:p>
      <w:pPr>
        <w:spacing w:after="120" w:line="276" w:lineRule="auto" w:before="240"/>
      </w:pPr>
      <w:r>
        <w:rPr>
          <w:b/>
          <w:color w:val="003366"/>
          <w:sz w:val="24"/>
        </w:rPr>
        <w:t>**PARTIE 4 : CONCLUSION D'INVESTISSEMENT**</w:t>
      </w:r>
    </w:p>
    <w:p>
      <w:pPr>
        <w:spacing w:after="120" w:line="276" w:lineRule="auto"/>
      </w:pPr>
      <w:r>
        <w:t>La valorisation de BICB (PER 12,1x, P/B 3,24x, EV/EBITDA 22,8x) indique une surévaluation relative par rapport à la moyenne BRVM, malgré des fondamentaux solides. Le comportement du cours sur 100 jours (+44,48%) avec une volatilité élevée (28,5%) et un kurtosis leptokurtique suggère des mouvements extrêmes, tandis que les statistiques (skewness positif) montrent une tendance haussière mais fragile. Les signaux techniques sont divergents : les moyennes mobiles et le MACD sont positifs, mais le RSI (72,6) et le Stochastique (82,9) en surachat signalent un risque de correction. Les fondamentaux (PNB +16,5%, ROE 26,8%, coefficient d'exploitation 31,1%) sont excellents, mais le coût du risque élevé (9,6%) et la détérioration de la qualité du crédit (provisions x5 au S1 2025) tempèrent l'optimisme. Les prédictions IA (J+1 à J+10) prévoient une chute du cours de 7 585 à 5 844 FCFA (-23%), confirmant les signaux techniques de surachat et suggérant une correction imminente. Sur la base de cette synthèse, la recommandation finale est **CONSERVER** avec un niveau de confiance **Moyen**, car la convergence entre les signaux techniques (surachat) et les prédictions IA (baisse) contraste avec la solidité fondamentale. Le risque global est **Élevé** en raison de la volatilité et du coût du risque, et l'horizon d'investissement optimal est le **moyen terme (3-12 mois)**, en attendant une stabilisation du cours et une clarification de la qualité du portefeuille de crédits.</w:t>
      </w:r>
    </w:p>
    <w:p/>
    <w:p/>
    <w:p>
      <w:pPr>
        <w:pStyle w:val="Heading3"/>
      </w:pPr>
      <w:r>
        <w:rPr>
          <w:color w:val="005A32"/>
        </w:rPr>
        <w:t>📋 RAPPORTS &amp; COMMUNIQUÉS OFFICIELS</w:t>
      </w:r>
    </w:p>
    <w:p>
      <w:r>
        <w:rPr>
          <w:i/>
          <w:color w:val="646464"/>
          <w:sz w:val="18"/>
        </w:rPr>
        <w:t>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dynamique commerciale positive avec une forte croissance du PNB et de l'activit\u00e9. La hausse du co\u00fbt du risque refl\u00e8te une approche prudentielle qui devrait renforcer la solidit\u00e9 financi\u00e8re \u00e0 moyen terme."}</w:t>
      </w:r>
    </w:p>
    <w:p>
      <w:pPr>
        <w:spacing w:before="40"/>
        <w:ind w:left="400"/>
      </w:pPr>
      <w:r>
        <w:rPr>
          <w:sz w:val="18"/>
        </w:rPr>
        <w:t>La BIIC affiche des résultats mitigés au deuxième trimestre 2025 avec un résultat net de 7,9 milliards FCFA, en baisse de 27% par rapport à juin 2024. Malgré cette baisse du résultat net, la banque maintient une dynamique positive avec un PNB en hausse de 28% à 25,7 milliards FCFA. L'activité commerciale reste soutenue avec une croissance des crédits de 23% et des dépôts de 20%. La dégradation du résultat net s'explique principalement par une hausse significative du coût du risque (+429%) liée à une politique de provisionnement conservatrice. Le total du bilan progresse de 13% à 1 723,4 milliards FCFA, témoignant de la croissance de l'activité bancaire.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{'cout_net_risque': '7,9 milliards FCFA', 'depots_clientele': '1 108,4 milliards FCFA', 'credits_nets_clientele': '1 049,2 milliards FCFA', 'resultat_brut_exploitation': '16,3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1 723,4 milliards FCFA</w:t>
            </w:r>
          </w:p>
        </w:tc>
      </w:tr>
      <w:tr>
        <w:tc>
          <w:tcPr>
            <w:tcW w:type="dxa" w:w="2160"/>
          </w:tcPr>
          <w:p>
            <w:r/>
            <w:r>
              <w:rPr>
                <w:b/>
                <w:sz w:val="16"/>
              </w:rPr>
              <w:t>resultat_net</w:t>
              <w:br/>
            </w:r>
            <w:r>
              <w:rPr>
                <w:sz w:val="18"/>
              </w:rPr>
              <w:t>7,9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25,7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7,9 milliards FCFA en baisse de 27% par rapport à juin 2024</w:t>
      </w:r>
    </w:p>
    <w:p>
      <w:pPr>
        <w:pStyle w:val="ListBullet"/>
        <w:spacing w:before="20" w:after="20"/>
        <w:ind w:left="700"/>
      </w:pPr>
      <w:r>
        <w:rPr>
          <w:sz w:val="18"/>
        </w:rPr>
        <w:t>Produit Net Bancaire (PNB) en forte progression de 28% à 25,7 milliards FCFA</w:t>
      </w:r>
    </w:p>
    <w:p>
      <w:pPr>
        <w:pStyle w:val="ListBullet"/>
        <w:spacing w:before="20" w:after="20"/>
        <w:ind w:left="700"/>
      </w:pPr>
      <w:r>
        <w:rPr>
          <w:sz w:val="18"/>
        </w:rPr>
        <w:t>Croissance notable des crédits nets à la clientèle de 23% atteignant 1 049,2 milliards FCFA</w:t>
      </w:r>
    </w:p>
    <w:p>
      <w:pPr>
        <w:pStyle w:val="ListBullet"/>
        <w:spacing w:before="20" w:after="20"/>
        <w:ind w:left="700"/>
      </w:pPr>
      <w:r>
        <w:rPr>
          <w:sz w:val="18"/>
        </w:rPr>
        <w:t>Progression des dépôts de la clientèle de 20% à 1 108,4 milliards FCFA</w:t>
      </w:r>
    </w:p>
    <w:p>
      <w:pPr>
        <w:pStyle w:val="ListBullet"/>
        <w:spacing w:before="20" w:after="20"/>
        <w:ind w:left="700"/>
      </w:pPr>
      <w:r>
        <w:rPr>
          <w:sz w:val="18"/>
        </w:rPr>
        <w:t>Explosion du coût net du risque de 429% à 7,9 milliards FCFA due à une politique de provisionnement conservatrice</w:t>
      </w:r>
    </w:p>
    <w:p>
      <w:pPr>
        <w:pStyle w:val="ListBullet"/>
        <w:spacing w:before="20" w:after="20"/>
        <w:ind w:left="700"/>
      </w:pPr>
      <w:r>
        <w:rPr>
          <w:sz w:val="18"/>
        </w:rPr>
        <w:t>Total bilan en croissance de 13% à 1 723,4 milliards FCFA</w:t>
      </w:r>
    </w:p>
    <w:p>
      <w:pPr>
        <w:spacing w:before="40"/>
        <w:ind w:left="400"/>
      </w:pPr>
      <w:r>
        <w:rPr>
          <w:b/>
          <w:color w:val="C05000"/>
          <w:sz w:val="18"/>
        </w:rPr>
        <w:t xml:space="preserve">⚠️ Risques : </w:t>
      </w:r>
      <w:r>
        <w:rPr>
          <w:sz w:val="18"/>
        </w:rPr>
        <w:t>["Politique de provisionnement tr\u00e8s conservatrice impactant fortement la rentabilit\u00e9", "Hausse significative des frais g\u00e9n\u00e9raux de 27% pesant sur l'efficacit\u00e9 op\u00e9rationnelle", "D\u00e9t\u00e9rioration de la qualit\u00e9 du portefeuille cr\u00e9dit n\u00e9cessitant des p</w:t>
      </w:r>
    </w:p>
    <w:p>
      <w:pPr>
        <w:spacing w:before="40"/>
        <w:ind w:left="400"/>
      </w:pPr>
      <w:r>
        <w:rPr>
          <w:b/>
          <w:color w:val="0064A0"/>
          <w:sz w:val="18"/>
        </w:rPr>
        <w:t xml:space="preserve">🔮 Perspectives : </w:t>
      </w:r>
      <w:r>
        <w:rPr>
          <w:sz w:val="18"/>
        </w:rPr>
        <w:t>La BIIC prévoit de poursuivre le déploiement de ses activités au troisième trimestre 2025 en consolidant sa stratégie commerciale. L'accent sera mis sur une gestion rigoureuse des risques et des frais de fonctionnement pour garantir l'atteinte des objectifs stratégiques. La banque devrait bénéficier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"acheter", "justification": "La banque affiche une croissance soutenue de sa rentabilit\u00e9 et de ses activit\u00e9s principales avec un renforcement significatif des capitaux propres. La progression \u00e9quilibr\u00e9e des cr\u00e9dits et d\u00e9p\u00f4ts t\u00e9moigne d'une gestion prudente et d'un d\u00e9veloppement commercial ma\u00eetris\u00e9."}</w:t>
      </w:r>
    </w:p>
    <w:p>
      <w:pPr>
        <w:spacing w:before="40"/>
        <w:ind w:left="400"/>
      </w:pPr>
      <w:r>
        <w:rPr>
          <w:sz w:val="18"/>
        </w:rPr>
        <w:t>BIIC (Banque Internationale pour l'Industrie et le Commerce) présente des résultats financiers solides pour l'exercice 2024. Le total du bilan progresse de 13,4% passant de 1 340,7 millions FCFA à 1 520,4 millions FCFA. Le résultat net affiche une croissance remarquable de 11,2% atteignant 30,3 millions FCFA contre 27,3 millions FCFA en 2023. L'activité bancaire se renforce avec une hausse du produit net bancaire de 15,3% à 45,2 millions FCFA. La banque maintient une structure financière équilibrée avec des capitaux propres renforcés à 125,9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'926,1 millions FCFA', 'credits_clientele': '856,1 millions FCFA', 'produit_net_bancaire': '45,2 millions FCFA', 'ratio_credits_depots': '92,4%'}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1 520,4 millions FCFA</w:t>
            </w:r>
          </w:p>
        </w:tc>
      </w:tr>
      <w:tr>
        <w:tc>
          <w:tcPr>
            <w:tcW w:type="dxa" w:w="2160"/>
          </w:tcPr>
          <w:p>
            <w:r/>
            <w:r>
              <w:rPr>
                <w:b/>
                <w:sz w:val="16"/>
              </w:rPr>
              <w:t>resultat_net</w:t>
              <w:br/>
            </w:r>
            <w:r>
              <w:rPr>
                <w:sz w:val="18"/>
              </w:rPr>
              <w:t>30,3 millions FCFA</w:t>
            </w:r>
          </w:p>
        </w:tc>
        <w:tc>
          <w:tcPr>
            <w:tcW w:type="dxa" w:w="2160"/>
          </w:tcPr>
          <w:p>
            <w:r/>
            <w:r>
              <w:rPr>
                <w:b/>
                <w:sz w:val="16"/>
              </w:rPr>
              <w:t>capitaux_propres</w:t>
              <w:br/>
            </w:r>
            <w:r>
              <w:rPr>
                <w:sz w:val="18"/>
              </w:rPr>
              <w:t>125,9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13,4% atteignant 1 520,4 millions FCFA</w:t>
      </w:r>
    </w:p>
    <w:p>
      <w:pPr>
        <w:pStyle w:val="ListBullet"/>
        <w:spacing w:before="20" w:after="20"/>
        <w:ind w:left="700"/>
      </w:pPr>
      <w:r>
        <w:rPr>
          <w:sz w:val="18"/>
        </w:rPr>
        <w:t>Progression du résultat net de 11,2% à 30,3 millions FCFA</w:t>
      </w:r>
    </w:p>
    <w:p>
      <w:pPr>
        <w:pStyle w:val="ListBullet"/>
        <w:spacing w:before="20" w:after="20"/>
        <w:ind w:left="700"/>
      </w:pPr>
      <w:r>
        <w:rPr>
          <w:sz w:val="18"/>
        </w:rPr>
        <w:t>Hausse significative du produit net bancaire de 15,3% à 45,2 millions FCFA</w:t>
      </w:r>
    </w:p>
    <w:p>
      <w:pPr>
        <w:pStyle w:val="ListBullet"/>
        <w:spacing w:before="20" w:after="20"/>
        <w:ind w:left="700"/>
      </w:pPr>
      <w:r>
        <w:rPr>
          <w:sz w:val="18"/>
        </w:rPr>
        <w:t>Renforcement des capitaux propres de 31,8% à 125,9 millions FCFA</w:t>
      </w:r>
    </w:p>
    <w:p>
      <w:pPr>
        <w:pStyle w:val="ListBullet"/>
        <w:spacing w:before="20" w:after="20"/>
        <w:ind w:left="700"/>
      </w:pPr>
      <w:r>
        <w:rPr>
          <w:sz w:val="18"/>
        </w:rPr>
        <w:t>Croissance des crédits à la clientèle de 24,4% atteignant 856,1 millions FCFA</w:t>
      </w:r>
    </w:p>
    <w:p>
      <w:pPr>
        <w:pStyle w:val="ListBullet"/>
        <w:spacing w:before="20" w:after="20"/>
        <w:ind w:left="700"/>
      </w:pPr>
      <w:r>
        <w:rPr>
          <w:sz w:val="18"/>
        </w:rPr>
        <w:t>Amélioration des dépôts clientèle de 5,8% à 926,1 millions FCFA</w:t>
      </w:r>
    </w:p>
    <w:p>
      <w:pPr>
        <w:spacing w:before="40"/>
        <w:ind w:left="400"/>
      </w:pPr>
      <w:r>
        <w:rPr>
          <w:b/>
          <w:color w:val="C05000"/>
          <w:sz w:val="18"/>
        </w:rPr>
        <w:t xml:space="preserve">⚠️ Risques : </w:t>
      </w:r>
      <w:r>
        <w:rPr>
          <w:sz w:val="18"/>
        </w:rPr>
        <w:t>["Concentration potentielle du portefeuille de cr\u00e9dits sur certains secteurs d'activit\u00e9", "Exposition aux risques de cr\u00e9dit dans un environnement \u00e9conomique incertain", "Pression concurrentielle croissante sur les marges d'interm\u00e9diation bancaire"]</w:t>
      </w:r>
    </w:p>
    <w:p>
      <w:pPr>
        <w:spacing w:before="40"/>
        <w:ind w:left="400"/>
      </w:pPr>
      <w:r>
        <w:rPr>
          <w:b/>
          <w:color w:val="0064A0"/>
          <w:sz w:val="18"/>
        </w:rPr>
        <w:t xml:space="preserve">🔮 Perspectives : </w:t>
      </w:r>
      <w:r>
        <w:rPr>
          <w:sz w:val="18"/>
        </w:rPr>
        <w:t>BIIC semble bien positionnée pour poursuivre sa croissance en 2025 grâce à ses fondamentaux solides et sa capacité démontrée à développer son activité de crédit. Le renforcement des capitaux propres offre une base solide pour soutenir l'expansion future tout en maintenant une gestion prudente des 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banque affiche une croissance solide et une am\u00e9lioration de la qualit\u00e9 des actifs, mais les ratios de rentabilit\u00e9 restent modestes. Le renforcement continu du bilan et l'expansion r\u00e9gionale justifient une position de conservation."}</w:t>
      </w:r>
    </w:p>
    <w:p>
      <w:pPr>
        <w:spacing w:before="40"/>
        <w:ind w:left="400"/>
      </w:pPr>
      <w:r>
        <w:rPr>
          <w:sz w:val="18"/>
        </w:rPr>
        <w:t>La BIIC (ECOWAS Bank for Investment and Development) affiche une performance solide en 2024 avec une croissance soutenue de ses actifs totaux qui atteignent 1,479.57 millions UA contre 1,396.37 millions UA en 2023. Le résultat net progresse à 6.43 millions UA (+12.8% vs 2023), porté par une hausse significative des revenus d'intérêts nets qui passent de 21.25 à 32.76 millions UA. Le portefeuille de prêts continue sa croissance avec 1,208.52 millions UA (+13.3%), témoignant de l'expansion des activités de financement. La banque maintient une structure financière robuste avec des capitaux propres de 470.28 millions UA et un ratio d'adéquation des fonds propres de 37.41%. L'amélioration de la q</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'0.45%', 'ROE': '1.46%', 'ratio_NPL': '4.11%', 'marge_interets': '2.61%', 'ratio_cout_revenu': '67.00%', 'ratio_adequation_capital': '37.41%'}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17.15%</w:t>
            </w:r>
          </w:p>
        </w:tc>
        <w:tc>
          <w:tcPr>
            <w:tcW w:type="dxa" w:w="2160"/>
          </w:tcPr>
          <w:p>
            <w:pPr>
              <w:ind w:left="100"/>
            </w:pPr>
            <w:r/>
            <w:r>
              <w:rPr>
                <w:b/>
                <w:sz w:val="16"/>
              </w:rPr>
              <w:t>total_actif</w:t>
              <w:br/>
            </w:r>
            <w:r>
              <w:rPr>
                <w:sz w:val="18"/>
              </w:rPr>
              <w:t>1,479.57 millions UA</w:t>
            </w:r>
          </w:p>
        </w:tc>
      </w:tr>
      <w:tr>
        <w:tc>
          <w:tcPr>
            <w:tcW w:type="dxa" w:w="2160"/>
          </w:tcPr>
          <w:p>
            <w:r/>
            <w:r>
              <w:rPr>
                <w:b/>
                <w:sz w:val="16"/>
              </w:rPr>
              <w:t>resultat_net</w:t>
              <w:br/>
            </w:r>
            <w:r>
              <w:rPr>
                <w:sz w:val="18"/>
              </w:rPr>
              <w:t>6.43 millions UA</w:t>
            </w:r>
          </w:p>
        </w:tc>
        <w:tc>
          <w:tcPr>
            <w:tcW w:type="dxa" w:w="2160"/>
          </w:tcPr>
          <w:p>
            <w:r/>
            <w:r>
              <w:rPr>
                <w:b/>
                <w:sz w:val="16"/>
              </w:rPr>
              <w:t>capitaux_propres</w:t>
              <w:br/>
            </w:r>
            <w:r>
              <w:rPr>
                <w:sz w:val="18"/>
              </w:rPr>
              <w:t>470.28 millions UA</w:t>
            </w:r>
          </w:p>
        </w:tc>
        <w:tc>
          <w:tcPr>
            <w:tcW w:type="dxa" w:w="2160"/>
          </w:tcPr>
          <w:p>
            <w:r/>
            <w:r>
              <w:rPr>
                <w:b/>
                <w:sz w:val="16"/>
              </w:rPr>
              <w:t>chiffre_affaires</w:t>
              <w:br/>
            </w:r>
            <w:r>
              <w:rPr>
                <w:sz w:val="18"/>
              </w:rPr>
              <w:t>37.48 millions UA (revenus opérationnels)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actifs totaux de 6.0% à 1,479.57 millions UA</w:t>
      </w:r>
    </w:p>
    <w:p>
      <w:pPr>
        <w:pStyle w:val="ListBullet"/>
        <w:spacing w:before="20" w:after="20"/>
        <w:ind w:left="700"/>
      </w:pPr>
      <w:r>
        <w:rPr>
          <w:sz w:val="18"/>
        </w:rPr>
        <w:t>Progression du résultat net de 12.8% à 6.43 millions UA</w:t>
      </w:r>
    </w:p>
    <w:p>
      <w:pPr>
        <w:pStyle w:val="ListBullet"/>
        <w:spacing w:before="20" w:after="20"/>
        <w:ind w:left="700"/>
      </w:pPr>
      <w:r>
        <w:rPr>
          <w:sz w:val="18"/>
        </w:rPr>
        <w:t>Forte hausse des revenus d'intérêts nets (+54.2% à 32.76 millions UA)</w:t>
      </w:r>
    </w:p>
    <w:p>
      <w:pPr>
        <w:pStyle w:val="ListBullet"/>
        <w:spacing w:before="20" w:after="20"/>
        <w:ind w:left="700"/>
      </w:pPr>
      <w:r>
        <w:rPr>
          <w:sz w:val="18"/>
        </w:rPr>
        <w:t>Expansion du portefeuille de prêts de 13.3% à 1,208.52 millions UA</w:t>
      </w:r>
    </w:p>
    <w:p>
      <w:pPr>
        <w:pStyle w:val="ListBullet"/>
        <w:spacing w:before="20" w:after="20"/>
        <w:ind w:left="700"/>
      </w:pPr>
      <w:r>
        <w:rPr>
          <w:sz w:val="18"/>
        </w:rPr>
        <w:t>Amélioration de la qualité des actifs avec un ratio NPL en baisse à 4.11%</w:t>
      </w:r>
    </w:p>
    <w:p>
      <w:pPr>
        <w:pStyle w:val="ListBullet"/>
        <w:spacing w:before="20" w:after="20"/>
        <w:ind w:left="700"/>
      </w:pPr>
      <w:r>
        <w:rPr>
          <w:sz w:val="18"/>
        </w:rPr>
        <w:t>Renforcement des capitaux propres à 470.28 millions UA (+14.9%)</w:t>
      </w:r>
    </w:p>
    <w:p>
      <w:pPr>
        <w:spacing w:before="40"/>
        <w:ind w:left="400"/>
      </w:pPr>
      <w:r>
        <w:rPr>
          <w:b/>
          <w:color w:val="C05000"/>
          <w:sz w:val="18"/>
        </w:rPr>
        <w:t xml:space="preserve">⚠️ Risques : </w:t>
      </w:r>
      <w:r>
        <w:rPr>
          <w:sz w:val="18"/>
        </w:rPr>
        <w:t>["Concentration g\u00e9ographique sur la r\u00e9gion CEDEAO avec exposition aux risques politiques et \u00e9conomiques r\u00e9gionaux", "Ratios de rentabilit\u00e9 relativement faibles (ROA 0.45%, ROE 1.46%) limitant la cr\u00e9ation de valeur", "Co\u00fbt du risque \u00e9lev\u00e9 avec 5.94 million</w:t>
      </w:r>
    </w:p>
    <w:p>
      <w:pPr>
        <w:spacing w:before="40"/>
        <w:ind w:left="400"/>
      </w:pPr>
      <w:r>
        <w:rPr>
          <w:b/>
          <w:color w:val="0064A0"/>
          <w:sz w:val="18"/>
        </w:rPr>
        <w:t xml:space="preserve">🔮 Perspectives : </w:t>
      </w:r>
      <w:r>
        <w:rPr>
          <w:sz w:val="18"/>
        </w:rPr>
        <w:t>La banque devrait poursuivre sa croissance en 2025 portée par l'expansion des financements de projets de développement dans la région CEDEAO. L'amélioration continue de la gestion des risques et l'augmentation des capitaux propres devraient soutenir une croissance durable du portefeuille de prêts.</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477.83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838 titres</w:t>
            </w:r>
          </w:p>
        </w:tc>
        <w:tc>
          <w:tcPr>
            <w:tcW w:type="dxa" w:w="2268"/>
            <w:shd w:fill="FFF2CC" w:val="clear"/>
          </w:tcPr>
          <w:p>
            <w:r>
              <w:rPr>
                <w:b/>
                <w:color w:val="503200"/>
                <w:sz w:val="16"/>
              </w:rPr>
              <w:t xml:space="preserve">Cours actuel : </w:t>
            </w:r>
            <w:r>
              <w:rPr>
                <w:color w:val="000000"/>
                <w:sz w:val="17"/>
              </w:rPr>
              <w:t>28,670 FCFA</w:t>
            </w:r>
          </w:p>
          <w:p>
            <w:r>
              <w:rPr>
                <w:b/>
                <w:color w:val="503200"/>
                <w:sz w:val="16"/>
              </w:rPr>
              <w:t xml:space="preserve">Var. 100 jours : </w:t>
            </w:r>
            <w:r>
              <w:rPr>
                <w:b/>
                <w:color w:val="007800"/>
                <w:sz w:val="17"/>
              </w:rPr>
              <w:t>+15.60%</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7.24% (Moyenne) — μ=26,679 FCFA, σ=1,932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β=0.7154 (Défensif) — Cov=0.000026, Var(idx)=0.000036, ρ=0.218,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838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2026-08-03</w:t>
            </w:r>
          </w:p>
        </w:tc>
        <w:tc>
          <w:tcPr>
            <w:tcW w:type="dxa" w:w="1440"/>
            <w:shd w:fill="FAFAFA" w:val="clear"/>
          </w:tcPr>
          <w:p>
            <w:r>
              <w:rPr>
                <w:sz w:val="17"/>
              </w:rPr>
              <w:t>27,211</w:t>
            </w:r>
          </w:p>
        </w:tc>
        <w:tc>
          <w:tcPr>
            <w:tcW w:type="dxa" w:w="1440"/>
            <w:shd w:fill="FAFAFA" w:val="clear"/>
          </w:tcPr>
          <w:p>
            <w:r>
              <w:rPr>
                <w:b/>
                <w:sz w:val="17"/>
              </w:rPr>
              <w:t>28,128</w:t>
            </w:r>
          </w:p>
        </w:tc>
        <w:tc>
          <w:tcPr>
            <w:tcW w:type="dxa" w:w="1440"/>
            <w:shd w:fill="FAFAFA" w:val="clear"/>
          </w:tcPr>
          <w:p>
            <w:r>
              <w:rPr>
                <w:sz w:val="17"/>
              </w:rPr>
              <w:t>29,045</w:t>
            </w:r>
          </w:p>
        </w:tc>
        <w:tc>
          <w:tcPr>
            <w:tcW w:type="dxa" w:w="1440"/>
            <w:shd w:fill="FAFAFA" w:val="clear"/>
          </w:tcPr>
          <w:p>
            <w:r>
              <w:rPr>
                <w:b/>
                <w:color w:val="C00000"/>
                <w:sz w:val="17"/>
              </w:rPr>
              <w:t>-1.9%</w:t>
            </w:r>
          </w:p>
        </w:tc>
      </w:tr>
      <w:tr>
        <w:tc>
          <w:tcPr>
            <w:tcW w:type="dxa" w:w="1440"/>
            <w:shd w:fill="FFDCE0" w:val="clear"/>
          </w:tcPr>
          <w:p>
            <w:r>
              <w:rPr>
                <w:sz w:val="17"/>
              </w:rPr>
              <w:t>J+2  ⭐⭐⭐</w:t>
            </w:r>
          </w:p>
        </w:tc>
        <w:tc>
          <w:tcPr>
            <w:tcW w:type="dxa" w:w="1440"/>
            <w:shd w:fill="FFDCE0" w:val="clear"/>
          </w:tcPr>
          <w:p>
            <w:r>
              <w:rPr>
                <w:sz w:val="17"/>
              </w:rPr>
              <w:t>2026-08-04</w:t>
            </w:r>
          </w:p>
        </w:tc>
        <w:tc>
          <w:tcPr>
            <w:tcW w:type="dxa" w:w="1440"/>
            <w:shd w:fill="FFDCE0" w:val="clear"/>
          </w:tcPr>
          <w:p>
            <w:r>
              <w:rPr>
                <w:sz w:val="17"/>
              </w:rPr>
              <w:t>26,577</w:t>
            </w:r>
          </w:p>
        </w:tc>
        <w:tc>
          <w:tcPr>
            <w:tcW w:type="dxa" w:w="1440"/>
            <w:shd w:fill="FFDCE0" w:val="clear"/>
          </w:tcPr>
          <w:p>
            <w:r>
              <w:rPr>
                <w:b/>
                <w:sz w:val="17"/>
              </w:rPr>
              <w:t>27,861</w:t>
            </w:r>
          </w:p>
        </w:tc>
        <w:tc>
          <w:tcPr>
            <w:tcW w:type="dxa" w:w="1440"/>
            <w:shd w:fill="FFDCE0" w:val="clear"/>
          </w:tcPr>
          <w:p>
            <w:r>
              <w:rPr>
                <w:sz w:val="17"/>
              </w:rPr>
              <w:t>29,146</w:t>
            </w:r>
          </w:p>
        </w:tc>
        <w:tc>
          <w:tcPr>
            <w:tcW w:type="dxa" w:w="1440"/>
            <w:shd w:fill="FFDCE0" w:val="clear"/>
          </w:tcPr>
          <w:p>
            <w:r>
              <w:rPr>
                <w:b/>
                <w:color w:val="C00000"/>
                <w:sz w:val="17"/>
              </w:rPr>
              <w:t>-2.8%</w:t>
            </w:r>
          </w:p>
        </w:tc>
      </w:tr>
      <w:tr>
        <w:tc>
          <w:tcPr>
            <w:tcW w:type="dxa" w:w="1440"/>
            <w:shd w:fill="FFDCE0" w:val="clear"/>
          </w:tcPr>
          <w:p>
            <w:r>
              <w:rPr>
                <w:sz w:val="17"/>
              </w:rPr>
              <w:t>J+3  ⭐⭐⭐</w:t>
            </w:r>
          </w:p>
        </w:tc>
        <w:tc>
          <w:tcPr>
            <w:tcW w:type="dxa" w:w="1440"/>
            <w:shd w:fill="FFDCE0" w:val="clear"/>
          </w:tcPr>
          <w:p>
            <w:r>
              <w:rPr>
                <w:sz w:val="17"/>
              </w:rPr>
              <w:t>2026-08-05</w:t>
            </w:r>
          </w:p>
        </w:tc>
        <w:tc>
          <w:tcPr>
            <w:tcW w:type="dxa" w:w="1440"/>
            <w:shd w:fill="FFDCE0" w:val="clear"/>
          </w:tcPr>
          <w:p>
            <w:r>
              <w:rPr>
                <w:sz w:val="17"/>
              </w:rPr>
              <w:t>26,023</w:t>
            </w:r>
          </w:p>
        </w:tc>
        <w:tc>
          <w:tcPr>
            <w:tcW w:type="dxa" w:w="1440"/>
            <w:shd w:fill="FFDCE0" w:val="clear"/>
          </w:tcPr>
          <w:p>
            <w:r>
              <w:rPr>
                <w:b/>
                <w:sz w:val="17"/>
              </w:rPr>
              <w:t>27,580</w:t>
            </w:r>
          </w:p>
        </w:tc>
        <w:tc>
          <w:tcPr>
            <w:tcW w:type="dxa" w:w="1440"/>
            <w:shd w:fill="FFDCE0" w:val="clear"/>
          </w:tcPr>
          <w:p>
            <w:r>
              <w:rPr>
                <w:sz w:val="17"/>
              </w:rPr>
              <w:t>29,138</w:t>
            </w:r>
          </w:p>
        </w:tc>
        <w:tc>
          <w:tcPr>
            <w:tcW w:type="dxa" w:w="1440"/>
            <w:shd w:fill="FFDCE0" w:val="clear"/>
          </w:tcPr>
          <w:p>
            <w:r>
              <w:rPr>
                <w:b/>
                <w:color w:val="C00000"/>
                <w:sz w:val="17"/>
              </w:rPr>
              <w:t>-3.8%</w:t>
            </w:r>
          </w:p>
        </w:tc>
      </w:tr>
      <w:tr>
        <w:tc>
          <w:tcPr>
            <w:tcW w:type="dxa" w:w="1440"/>
            <w:shd w:fill="FFDCE0" w:val="clear"/>
          </w:tcPr>
          <w:p>
            <w:r>
              <w:rPr>
                <w:sz w:val="17"/>
              </w:rPr>
              <w:t>J+4  Moyenne</w:t>
            </w:r>
          </w:p>
        </w:tc>
        <w:tc>
          <w:tcPr>
            <w:tcW w:type="dxa" w:w="1440"/>
            <w:shd w:fill="FFDCE0" w:val="clear"/>
          </w:tcPr>
          <w:p>
            <w:r>
              <w:rPr>
                <w:sz w:val="17"/>
              </w:rPr>
              <w:t>2026-08-06</w:t>
            </w:r>
          </w:p>
        </w:tc>
        <w:tc>
          <w:tcPr>
            <w:tcW w:type="dxa" w:w="1440"/>
            <w:shd w:fill="FFDCE0" w:val="clear"/>
          </w:tcPr>
          <w:p>
            <w:r>
              <w:rPr>
                <w:sz w:val="17"/>
              </w:rPr>
              <w:t>25,541</w:t>
            </w:r>
          </w:p>
        </w:tc>
        <w:tc>
          <w:tcPr>
            <w:tcW w:type="dxa" w:w="1440"/>
            <w:shd w:fill="FFDCE0" w:val="clear"/>
          </w:tcPr>
          <w:p>
            <w:r>
              <w:rPr>
                <w:b/>
                <w:sz w:val="17"/>
              </w:rPr>
              <w:t>27,323</w:t>
            </w:r>
          </w:p>
        </w:tc>
        <w:tc>
          <w:tcPr>
            <w:tcW w:type="dxa" w:w="1440"/>
            <w:shd w:fill="FFDCE0" w:val="clear"/>
          </w:tcPr>
          <w:p>
            <w:r>
              <w:rPr>
                <w:sz w:val="17"/>
              </w:rPr>
              <w:t>29,105</w:t>
            </w:r>
          </w:p>
        </w:tc>
        <w:tc>
          <w:tcPr>
            <w:tcW w:type="dxa" w:w="1440"/>
            <w:shd w:fill="FFDCE0" w:val="clear"/>
          </w:tcPr>
          <w:p>
            <w:r>
              <w:rPr>
                <w:b/>
                <w:color w:val="C00000"/>
                <w:sz w:val="17"/>
              </w:rPr>
              <w:t>-4.7%</w:t>
            </w:r>
          </w:p>
        </w:tc>
      </w:tr>
      <w:tr>
        <w:tc>
          <w:tcPr>
            <w:tcW w:type="dxa" w:w="1440"/>
            <w:shd w:fill="FFDCE0" w:val="clear"/>
          </w:tcPr>
          <w:p>
            <w:r>
              <w:rPr>
                <w:sz w:val="17"/>
              </w:rPr>
              <w:t>J+5  Moyenne</w:t>
            </w:r>
          </w:p>
        </w:tc>
        <w:tc>
          <w:tcPr>
            <w:tcW w:type="dxa" w:w="1440"/>
            <w:shd w:fill="FFDCE0" w:val="clear"/>
          </w:tcPr>
          <w:p>
            <w:r>
              <w:rPr>
                <w:sz w:val="17"/>
              </w:rPr>
              <w:t>2026-08-10</w:t>
            </w:r>
          </w:p>
        </w:tc>
        <w:tc>
          <w:tcPr>
            <w:tcW w:type="dxa" w:w="1440"/>
            <w:shd w:fill="FFDCE0" w:val="clear"/>
          </w:tcPr>
          <w:p>
            <w:r>
              <w:rPr>
                <w:sz w:val="17"/>
              </w:rPr>
              <w:t>25,110</w:t>
            </w:r>
          </w:p>
        </w:tc>
        <w:tc>
          <w:tcPr>
            <w:tcW w:type="dxa" w:w="1440"/>
            <w:shd w:fill="FFDCE0" w:val="clear"/>
          </w:tcPr>
          <w:p>
            <w:r>
              <w:rPr>
                <w:b/>
                <w:sz w:val="17"/>
              </w:rPr>
              <w:t>27,084</w:t>
            </w:r>
          </w:p>
        </w:tc>
        <w:tc>
          <w:tcPr>
            <w:tcW w:type="dxa" w:w="1440"/>
            <w:shd w:fill="FFDCE0" w:val="clear"/>
          </w:tcPr>
          <w:p>
            <w:r>
              <w:rPr>
                <w:sz w:val="17"/>
              </w:rPr>
              <w:t>29,059</w:t>
            </w:r>
          </w:p>
        </w:tc>
        <w:tc>
          <w:tcPr>
            <w:tcW w:type="dxa" w:w="1440"/>
            <w:shd w:fill="FFDCE0" w:val="clear"/>
          </w:tcPr>
          <w:p>
            <w:r>
              <w:rPr>
                <w:b/>
                <w:color w:val="C00000"/>
                <w:sz w:val="17"/>
              </w:rPr>
              <w:t>-5.5%</w:t>
            </w:r>
          </w:p>
        </w:tc>
      </w:tr>
      <w:tr>
        <w:tc>
          <w:tcPr>
            <w:tcW w:type="dxa" w:w="1440"/>
            <w:shd w:fill="FFDCE0" w:val="clear"/>
          </w:tcPr>
          <w:p>
            <w:r>
              <w:rPr>
                <w:sz w:val="17"/>
              </w:rPr>
              <w:t>J+6  Moyenne</w:t>
            </w:r>
          </w:p>
        </w:tc>
        <w:tc>
          <w:tcPr>
            <w:tcW w:type="dxa" w:w="1440"/>
            <w:shd w:fill="FFDCE0" w:val="clear"/>
          </w:tcPr>
          <w:p>
            <w:r>
              <w:rPr>
                <w:sz w:val="17"/>
              </w:rPr>
              <w:t>2026-08-11</w:t>
            </w:r>
          </w:p>
        </w:tc>
        <w:tc>
          <w:tcPr>
            <w:tcW w:type="dxa" w:w="1440"/>
            <w:shd w:fill="FFDCE0" w:val="clear"/>
          </w:tcPr>
          <w:p>
            <w:r>
              <w:rPr>
                <w:sz w:val="17"/>
              </w:rPr>
              <w:t>24,712</w:t>
            </w:r>
          </w:p>
        </w:tc>
        <w:tc>
          <w:tcPr>
            <w:tcW w:type="dxa" w:w="1440"/>
            <w:shd w:fill="FFDCE0" w:val="clear"/>
          </w:tcPr>
          <w:p>
            <w:r>
              <w:rPr>
                <w:b/>
                <w:sz w:val="17"/>
              </w:rPr>
              <w:t>26,857</w:t>
            </w:r>
          </w:p>
        </w:tc>
        <w:tc>
          <w:tcPr>
            <w:tcW w:type="dxa" w:w="1440"/>
            <w:shd w:fill="FFDCE0" w:val="clear"/>
          </w:tcPr>
          <w:p>
            <w:r>
              <w:rPr>
                <w:sz w:val="17"/>
              </w:rPr>
              <w:t>29,002</w:t>
            </w:r>
          </w:p>
        </w:tc>
        <w:tc>
          <w:tcPr>
            <w:tcW w:type="dxa" w:w="1440"/>
            <w:shd w:fill="FFDCE0" w:val="clear"/>
          </w:tcPr>
          <w:p>
            <w:r>
              <w:rPr>
                <w:b/>
                <w:color w:val="C00000"/>
                <w:sz w:val="17"/>
              </w:rPr>
              <w:t>-6.3%</w:t>
            </w:r>
          </w:p>
        </w:tc>
      </w:tr>
      <w:tr>
        <w:tc>
          <w:tcPr>
            <w:tcW w:type="dxa" w:w="1440"/>
            <w:shd w:fill="FFDCE0" w:val="clear"/>
          </w:tcPr>
          <w:p>
            <w:r>
              <w:rPr>
                <w:sz w:val="17"/>
              </w:rPr>
              <w:t>J+7  Moyenne</w:t>
            </w:r>
          </w:p>
        </w:tc>
        <w:tc>
          <w:tcPr>
            <w:tcW w:type="dxa" w:w="1440"/>
            <w:shd w:fill="FFDCE0" w:val="clear"/>
          </w:tcPr>
          <w:p>
            <w:r>
              <w:rPr>
                <w:sz w:val="17"/>
              </w:rPr>
              <w:t>2026-08-12</w:t>
            </w:r>
          </w:p>
        </w:tc>
        <w:tc>
          <w:tcPr>
            <w:tcW w:type="dxa" w:w="1440"/>
            <w:shd w:fill="FFDCE0" w:val="clear"/>
          </w:tcPr>
          <w:p>
            <w:r>
              <w:rPr>
                <w:sz w:val="17"/>
              </w:rPr>
              <w:t>24,340</w:t>
            </w:r>
          </w:p>
        </w:tc>
        <w:tc>
          <w:tcPr>
            <w:tcW w:type="dxa" w:w="1440"/>
            <w:shd w:fill="FFDCE0" w:val="clear"/>
          </w:tcPr>
          <w:p>
            <w:r>
              <w:rPr>
                <w:b/>
                <w:sz w:val="17"/>
              </w:rPr>
              <w:t>26,638</w:t>
            </w:r>
          </w:p>
        </w:tc>
        <w:tc>
          <w:tcPr>
            <w:tcW w:type="dxa" w:w="1440"/>
            <w:shd w:fill="FFDCE0" w:val="clear"/>
          </w:tcPr>
          <w:p>
            <w:r>
              <w:rPr>
                <w:sz w:val="17"/>
              </w:rPr>
              <w:t>28,936</w:t>
            </w:r>
          </w:p>
        </w:tc>
        <w:tc>
          <w:tcPr>
            <w:tcW w:type="dxa" w:w="1440"/>
            <w:shd w:fill="FFDCE0" w:val="clear"/>
          </w:tcPr>
          <w:p>
            <w:r>
              <w:rPr>
                <w:b/>
                <w:color w:val="C00000"/>
                <w:sz w:val="17"/>
              </w:rPr>
              <w:t>-7.1%</w:t>
            </w:r>
          </w:p>
        </w:tc>
      </w:tr>
      <w:tr>
        <w:tc>
          <w:tcPr>
            <w:tcW w:type="dxa" w:w="1440"/>
            <w:shd w:fill="FFDCE0" w:val="clear"/>
          </w:tcPr>
          <w:p>
            <w:r>
              <w:rPr>
                <w:sz w:val="17"/>
              </w:rPr>
              <w:t>J+8  Moyenne</w:t>
            </w:r>
          </w:p>
        </w:tc>
        <w:tc>
          <w:tcPr>
            <w:tcW w:type="dxa" w:w="1440"/>
            <w:shd w:fill="FFDCE0" w:val="clear"/>
          </w:tcPr>
          <w:p>
            <w:r>
              <w:rPr>
                <w:sz w:val="17"/>
              </w:rPr>
              <w:t>2026-08-13</w:t>
            </w:r>
          </w:p>
        </w:tc>
        <w:tc>
          <w:tcPr>
            <w:tcW w:type="dxa" w:w="1440"/>
            <w:shd w:fill="FFDCE0" w:val="clear"/>
          </w:tcPr>
          <w:p>
            <w:r>
              <w:rPr>
                <w:sz w:val="17"/>
              </w:rPr>
              <w:t>23,990</w:t>
            </w:r>
          </w:p>
        </w:tc>
        <w:tc>
          <w:tcPr>
            <w:tcW w:type="dxa" w:w="1440"/>
            <w:shd w:fill="FFDCE0" w:val="clear"/>
          </w:tcPr>
          <w:p>
            <w:r>
              <w:rPr>
                <w:b/>
                <w:sz w:val="17"/>
              </w:rPr>
              <w:t>26,427</w:t>
            </w:r>
          </w:p>
        </w:tc>
        <w:tc>
          <w:tcPr>
            <w:tcW w:type="dxa" w:w="1440"/>
            <w:shd w:fill="FFDCE0" w:val="clear"/>
          </w:tcPr>
          <w:p>
            <w:r>
              <w:rPr>
                <w:sz w:val="17"/>
              </w:rPr>
              <w:t>28,864</w:t>
            </w:r>
          </w:p>
        </w:tc>
        <w:tc>
          <w:tcPr>
            <w:tcW w:type="dxa" w:w="1440"/>
            <w:shd w:fill="FFDCE0" w:val="clear"/>
          </w:tcPr>
          <w:p>
            <w:r>
              <w:rPr>
                <w:b/>
                <w:color w:val="C00000"/>
                <w:sz w:val="17"/>
              </w:rPr>
              <w:t>-7.8%</w:t>
            </w:r>
          </w:p>
        </w:tc>
      </w:tr>
      <w:tr>
        <w:tc>
          <w:tcPr>
            <w:tcW w:type="dxa" w:w="1440"/>
            <w:shd w:fill="FFDCE0" w:val="clear"/>
          </w:tcPr>
          <w:p>
            <w:r>
              <w:rPr>
                <w:sz w:val="17"/>
              </w:rPr>
              <w:t>J+9  Moyenne</w:t>
            </w:r>
          </w:p>
        </w:tc>
        <w:tc>
          <w:tcPr>
            <w:tcW w:type="dxa" w:w="1440"/>
            <w:shd w:fill="FFDCE0" w:val="clear"/>
          </w:tcPr>
          <w:p>
            <w:r>
              <w:rPr>
                <w:sz w:val="17"/>
              </w:rPr>
              <w:t>2026-08-14</w:t>
            </w:r>
          </w:p>
        </w:tc>
        <w:tc>
          <w:tcPr>
            <w:tcW w:type="dxa" w:w="1440"/>
            <w:shd w:fill="FFDCE0" w:val="clear"/>
          </w:tcPr>
          <w:p>
            <w:r>
              <w:rPr>
                <w:sz w:val="17"/>
              </w:rPr>
              <w:t>23,658</w:t>
            </w:r>
          </w:p>
        </w:tc>
        <w:tc>
          <w:tcPr>
            <w:tcW w:type="dxa" w:w="1440"/>
            <w:shd w:fill="FFDCE0" w:val="clear"/>
          </w:tcPr>
          <w:p>
            <w:r>
              <w:rPr>
                <w:b/>
                <w:sz w:val="17"/>
              </w:rPr>
              <w:t>26,223</w:t>
            </w:r>
          </w:p>
        </w:tc>
        <w:tc>
          <w:tcPr>
            <w:tcW w:type="dxa" w:w="1440"/>
            <w:shd w:fill="FFDCE0" w:val="clear"/>
          </w:tcPr>
          <w:p>
            <w:r>
              <w:rPr>
                <w:sz w:val="17"/>
              </w:rPr>
              <w:t>28,788</w:t>
            </w:r>
          </w:p>
        </w:tc>
        <w:tc>
          <w:tcPr>
            <w:tcW w:type="dxa" w:w="1440"/>
            <w:shd w:fill="FFDCE0" w:val="clear"/>
          </w:tcPr>
          <w:p>
            <w:r>
              <w:rPr>
                <w:b/>
                <w:color w:val="C00000"/>
                <w:sz w:val="17"/>
              </w:rPr>
              <w:t>-8.5%</w:t>
            </w:r>
          </w:p>
        </w:tc>
      </w:tr>
      <w:tr>
        <w:tc>
          <w:tcPr>
            <w:tcW w:type="dxa" w:w="1440"/>
            <w:shd w:fill="FFDCE0" w:val="clear"/>
          </w:tcPr>
          <w:p>
            <w:r>
              <w:rPr>
                <w:sz w:val="17"/>
              </w:rPr>
              <w:t>J+10  Moyenne</w:t>
            </w:r>
          </w:p>
        </w:tc>
        <w:tc>
          <w:tcPr>
            <w:tcW w:type="dxa" w:w="1440"/>
            <w:shd w:fill="FFDCE0" w:val="clear"/>
          </w:tcPr>
          <w:p>
            <w:r>
              <w:rPr>
                <w:sz w:val="17"/>
              </w:rPr>
              <w:t>2026-08-17</w:t>
            </w:r>
          </w:p>
        </w:tc>
        <w:tc>
          <w:tcPr>
            <w:tcW w:type="dxa" w:w="1440"/>
            <w:shd w:fill="FFDCE0" w:val="clear"/>
          </w:tcPr>
          <w:p>
            <w:r>
              <w:rPr>
                <w:sz w:val="17"/>
              </w:rPr>
              <w:t>23,343</w:t>
            </w:r>
          </w:p>
        </w:tc>
        <w:tc>
          <w:tcPr>
            <w:tcW w:type="dxa" w:w="1440"/>
            <w:shd w:fill="FFDCE0" w:val="clear"/>
          </w:tcPr>
          <w:p>
            <w:r>
              <w:rPr>
                <w:b/>
                <w:sz w:val="17"/>
              </w:rPr>
              <w:t>26,026</w:t>
            </w:r>
          </w:p>
        </w:tc>
        <w:tc>
          <w:tcPr>
            <w:tcW w:type="dxa" w:w="1440"/>
            <w:shd w:fill="FFDCE0" w:val="clear"/>
          </w:tcPr>
          <w:p>
            <w:r>
              <w:rPr>
                <w:sz w:val="17"/>
              </w:rPr>
              <w:t>28,710</w:t>
            </w:r>
          </w:p>
        </w:tc>
        <w:tc>
          <w:tcPr>
            <w:tcW w:type="dxa" w:w="1440"/>
            <w:shd w:fill="FFDCE0" w:val="clear"/>
          </w:tcPr>
          <w:p>
            <w:r>
              <w:rPr>
                <w:b/>
                <w:color w:val="C00000"/>
                <w:sz w:val="17"/>
              </w:rPr>
              <w:t>-9.2%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**Date : 31 juillet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BICC s'établit à 477,83 milliards FCFA, ce qui positionne le titre parmi les valeurs bancaires majeures de la BRVM, lui conférant un poids significatif dans l'indice composite. Le BPA de 2 191 FCFA indique que chaque action génère un bénéfice substantiel, justifiant un PER de 13,1x. Ce ratio, bien que supérieur à la moyenne historique de la BRVM (8-12x), traduit une prime de croissance accordée par le marché, cohérente avec les performances récentes de la banque. Le P/B de 3,96x confirme cette prime, le marché valorisant le titre près de 4 fois sa valeur comptable, signe d'une forte confiance dans la capacité de la banque à générer de la valeur. Enfin, l'EV/EBITDA de 9,2x, dans la fourchette haute des 5-10x considérés comme raisonnables, indique que la valorisation globale de l'entreprise, rapportée à sa capacité opérationnelle, reste soutenable malgré la prime de croissance.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 enregistré une progression totale de +15,60%, mais a subi une légère correction de -1,14% lors de la dernière séance, s'établissant à 28 670 FCFA. Le cours a évolué dans un range de trading compris entre 22 500 FCFA (plus bas) et 29 490 FCFA (plus haut), démontrant une dynamique haussière soutenue. La moyenne du cours sur la période est de 26 679 FCFA, légèrement inférieure à la médiane de 27 000 FCFA, suggérant une distribution quasi symétrique, confirmée par un skewness de -0,330. L'écart-type de 1 942 FCFA (CV=7,3%) indique une dispersion modérée autour de la moyenne. Le kurtosis de -1,276 (platykurtique) révèle une distribution aplatie, signifiant une faible concentration des variations extrêmes, donc un risque de pics limité. La volatilité annualisée de 30,9% classe le titre dans la catégorie des valeurs à volatilité élevée (&gt;30%), ce qui implique des fluctuations de prix notables, à surveiller pour les investisseurs prudents.</w:t>
      </w:r>
    </w:p>
    <w:p>
      <w:pPr>
        <w:spacing w:after="120" w:line="276" w:lineRule="auto"/>
      </w:pPr>
      <w:r>
        <w:t>---</w:t>
      </w:r>
    </w:p>
    <w:p>
      <w:pPr>
        <w:spacing w:after="120" w:line="276" w:lineRule="auto"/>
      </w:pPr>
      <w:r>
        <w:t>### PARTIE 2 : ANALYSE TECHNIQUE DÉTAILLÉE</w:t>
      </w:r>
    </w:p>
    <w:p>
      <w:pPr>
        <w:spacing w:after="120" w:line="276" w:lineRule="auto"/>
      </w:pPr>
      <w:r>
        <w:t>**Moyennes Mobiles :** Les moyennes mobiles sur 20 et 50 jours (MM20=28 329,75 FCFA et MM50=28 409,2 FCFA) sont très proches l'une de l'autre et légèrement inférieures au cours actuel de 28 670 FCFA. Cette configuration indique une tendance haussière de court terme, mais le signal de "Vente" suggère un possible essoufflement du momentum, le cours peinant à s'éloigner de ses moyennes.</w:t>
      </w:r>
    </w:p>
    <w:p>
      <w:pPr>
        <w:spacing w:after="120" w:line="276" w:lineRule="auto"/>
      </w:pPr>
      <w:r>
        <w:t>**Bandes de Bollinger :** Le cours actuel (28 670 FCFA) se situe dans la partie supérieure des bandes de Bollinger, entre la borne inférieure (27 477,289 FCFA) et la borne supérieure (29 182,211 FCFA). La position du prix, proche de la borne supérieure, indique une pression acheteuse encore présente, mais la décision "Neutre" suggère que le marché attend un signal directionnel plus clair, la volatilité n'étant pas excessive.</w:t>
      </w:r>
    </w:p>
    <w:p>
      <w:pPr>
        <w:spacing w:after="120" w:line="276" w:lineRule="auto"/>
      </w:pPr>
      <w:r>
        <w:t>**MACD :** Le MACD (133,905) est nettement supérieur à son signal (71,831), avec un écart positif important. Cette divergence haussière indique un momentum positif soutenu, justifiant la décision "Achat". La dynamique actuelle du MACD suggère que la tendance haussière de fond reste intacte, malgré les hésitations de court terme.</w:t>
      </w:r>
    </w:p>
    <w:p>
      <w:pPr>
        <w:spacing w:after="120" w:line="276" w:lineRule="auto"/>
      </w:pPr>
      <w:r>
        <w:t>**RSI :** Le RSI s'établit à 50,259, une valeur parfaitement neutre, indiquant que le titre n'est ni suracheté ni survendu. Cette position centrale laisse une marge de manœuvre dans les deux sens, mais ne fournit pas de signal directionnel fort. La décision "Neutre" est cohérente avec cette lecture.</w:t>
      </w:r>
    </w:p>
    <w:p>
      <w:pPr>
        <w:spacing w:after="120" w:line="276" w:lineRule="auto"/>
      </w:pPr>
      <w:r>
        <w:t>**Stochastique :** Le %K (77,926) est inférieur au %D (92,642), ce qui indique un croisement baissier potentiel, bien que les deux valeurs soient en zone de surachat (&gt;70). Cette configuration suggère un possible ralentissement du momentum haussier à très court terme, mais la décision "Neutre" tempère cette lecture, le croisement n'étant pas encore confirmé.</w:t>
      </w:r>
    </w:p>
    <w:p>
      <w:pPr>
        <w:spacing w:after="120" w:line="276" w:lineRule="auto"/>
      </w:pPr>
      <w:r>
        <w:t>**Conclusion technique :** Les indicateurs techniques sont globalement mitigés : le MACD est clairement haussier, les moyennes mobiles et les bandes de Bollinger sont neutres, tandis que le RSI et le stochastique n'émettent pas de signal fort. Cette divergence suggère une phase de consolidation après une forte hausse, avec un biais haussier de fond maintenu par le MACD. Un signal d'achat pourrait se confirmer si le cours parvient à franchir durablement la résistance des 29 490 FCFA.</w:t>
      </w:r>
    </w:p>
    <w:p>
      <w:pPr>
        <w:spacing w:after="120" w:line="276" w:lineRule="auto"/>
      </w:pPr>
      <w:r>
        <w:t>---</w:t>
      </w:r>
    </w:p>
    <w:p>
      <w:pPr>
        <w:spacing w:after="120" w:line="276" w:lineRule="auto"/>
      </w:pPr>
      <w:r>
        <w:t>### PARTIE 3 : ANALYSE FONDAMENTALE (SECTION CRITIQUE)</w:t>
      </w:r>
    </w:p>
    <w:p>
      <w:pPr>
        <w:spacing w:after="120" w:line="276" w:lineRule="auto"/>
      </w:pPr>
      <w:r>
        <w:t>En 2025, la BICC affiche des fondamentaux solides avec un Produit Net Bancaire (PNB) de 79,563 milliards FCFA et un résultat net de 36,520 milliards FCFA, soit une marge nette de 45,9%. La rentabilité des fonds propres (ROE) atteint un niveau excellent de 30,29%, tandis que le ROA s'établit à 3,24%, démontrant une utilisation très efficace des actifs. Le coefficient d'exploitation de 50,83% confirme l'efficacité opérationnelle de la banque, en dessous du seuil de 60% considéré comme optimal. Le coût du risque, bien que négatif (-12,15%), indique un portefeuille de crédits globalement sain, avec des provisions en baisse. Les dépôts clientèle (952,872 milliards FCFA) couvrent largement les créances sur la clientèle (524,439 milliards FCFA), soit un ratio de transformation de 55%, signe d'une liquidité abondante. Les rapports trimestriels confirment cette dynamique : le T1 2026 (rapport du 31/03/2026) montre un PNB en hausse de +17,0% à 21 214 millions FCFA et un résultat net de 10 387 millions FCFA (+29,7%). Sur la base de ces performances, on estime que l'exercice 2026 pourrait voir le PNB dépasser les 90 milliards FCFA et le résultat net les 42 milliards FCFA, poursuivant la tendance haussière observée depuis 2024 (PNB de 68,063 milliards FCFA et résultat net de 26,226 milliards FCFA, en hausse de +57,1%). La banque, filiale du groupe BNP Paribas, bénéficie d'une gestion rigoureuse et d'une croissance soutenue de ses revenus, malgré une légère contraction des crédits au T1 2026 (-4,5%) due à des remboursements anticipés.</w:t>
      </w:r>
    </w:p>
    <w:p>
      <w:pPr>
        <w:spacing w:after="120" w:line="276" w:lineRule="auto"/>
      </w:pPr>
      <w:r>
        <w:t>---</w:t>
      </w:r>
    </w:p>
    <w:p>
      <w:pPr>
        <w:spacing w:after="120" w:line="276" w:lineRule="auto"/>
      </w:pPr>
      <w:r>
        <w:t>### PARTIE 4 : CONCLUSION D'INVESTISSEMENT</w:t>
      </w:r>
    </w:p>
    <w:p>
      <w:pPr>
        <w:spacing w:after="120" w:line="276" w:lineRule="auto"/>
      </w:pPr>
      <w:r>
        <w:t>La valorisation de BICC (PER 13,1x, P/B 3,96x) reflète une prime de croissance justifiée par des fondamentaux exceptionnels, mais le titre n'apparaît pas surévalué compte tenu de sa rentabilité (ROE &gt;30%). Le comportement du cours sur 100 jours (+15,6%) montre une tendance haussière solide, bien que la volatilité élevée (30,9%) et la distribution platykurtique suggèrent des fluctuations à surveiller. Les signaux techniques sont mitigés, avec un MACD haussier contre des indicateurs de momentum neutres, indiquant une phase de consolidation potentielle. Les fondamentaux restent le principal moteur : croissance soutenue du PNB et du résultat net, efficacité opérationnelle et solidité bilancielle. Les prédictions IA pour les 10 prochains jours (28 128 FCFA à 27 084 FCFA) suggèrent une légère correction, contredisant légèrement la tendance haussière de fond, mais cette baisse pourrait représenter une opportunité d'achat. En synthèse, la convergence entre la solidité fondamentale et la valorisation raisonnable, malgré des signaux techniques mixtes, conduit à une recommandation **ACHAT**. Le niveau de confiance est **Élevé**, le risque global est **Moyen** (volatilité et corrections possibles), et l'horizon d'investissement optimal est le **moyen terme (3-12 mois)**, pour bénéficier de la croissance continue des résultats et d'une éventuelle appréciation du cours après consolidation.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12.52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2,159 titres</w:t>
            </w:r>
          </w:p>
        </w:tc>
        <w:tc>
          <w:tcPr>
            <w:tcW w:type="dxa" w:w="2268"/>
            <w:shd w:fill="FFF2CC" w:val="clear"/>
          </w:tcPr>
          <w:p>
            <w:r>
              <w:rPr>
                <w:b/>
                <w:color w:val="503200"/>
                <w:sz w:val="16"/>
              </w:rPr>
              <w:t xml:space="preserve">Cours actuel : </w:t>
            </w:r>
            <w:r>
              <w:rPr>
                <w:color w:val="000000"/>
                <w:sz w:val="17"/>
              </w:rPr>
              <w:t>1,890 FCFA</w:t>
            </w:r>
          </w:p>
          <w:p>
            <w:r>
              <w:rPr>
                <w:b/>
                <w:color w:val="503200"/>
                <w:sz w:val="16"/>
              </w:rPr>
              <w:t xml:space="preserve">Var. 100 jours : </w:t>
            </w:r>
            <w:r>
              <w:rPr>
                <w:b/>
                <w:color w:val="007800"/>
                <w:sz w:val="17"/>
              </w:rPr>
              <w:t>+18.87%</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11.31% (Moyenne) — μ=1,702 FCFA, σ=193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β=-0.1489 (Contre-cyclique) — Cov=-0.000005, Var(idx)=0.000036, ρ=-0.029,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2,159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σ_j=3.01%/j (Modérée) — Vol. annualisée≈47.9%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2026-08-03</w:t>
            </w:r>
          </w:p>
        </w:tc>
        <w:tc>
          <w:tcPr>
            <w:tcW w:type="dxa" w:w="1440"/>
            <w:shd w:fill="FAFAFA" w:val="clear"/>
          </w:tcPr>
          <w:p>
            <w:r>
              <w:rPr>
                <w:sz w:val="17"/>
              </w:rPr>
              <w:t>1,806</w:t>
            </w:r>
          </w:p>
        </w:tc>
        <w:tc>
          <w:tcPr>
            <w:tcW w:type="dxa" w:w="1440"/>
            <w:shd w:fill="FAFAFA" w:val="clear"/>
          </w:tcPr>
          <w:p>
            <w:r>
              <w:rPr>
                <w:b/>
                <w:sz w:val="17"/>
              </w:rPr>
              <w:t>1,889</w:t>
            </w:r>
          </w:p>
        </w:tc>
        <w:tc>
          <w:tcPr>
            <w:tcW w:type="dxa" w:w="1440"/>
            <w:shd w:fill="FAFAFA" w:val="clear"/>
          </w:tcPr>
          <w:p>
            <w:r>
              <w:rPr>
                <w:sz w:val="17"/>
              </w:rPr>
              <w:t>1,972</w:t>
            </w:r>
          </w:p>
        </w:tc>
        <w:tc>
          <w:tcPr>
            <w:tcW w:type="dxa" w:w="1440"/>
            <w:shd w:fill="FAFAFA" w:val="clear"/>
          </w:tcPr>
          <w:p>
            <w:r>
              <w:rPr>
                <w:b/>
                <w:color w:val="C00000"/>
                <w:sz w:val="17"/>
              </w:rPr>
              <w:t>-0.0%</w:t>
            </w:r>
          </w:p>
        </w:tc>
      </w:tr>
      <w:tr>
        <w:tc>
          <w:tcPr>
            <w:tcW w:type="dxa" w:w="1440"/>
            <w:shd w:fill="FAFAFA" w:val="clear"/>
          </w:tcPr>
          <w:p>
            <w:r>
              <w:rPr>
                <w:sz w:val="17"/>
              </w:rPr>
              <w:t>J+2  ⭐</w:t>
            </w:r>
          </w:p>
        </w:tc>
        <w:tc>
          <w:tcPr>
            <w:tcW w:type="dxa" w:w="1440"/>
            <w:shd w:fill="FAFAFA" w:val="clear"/>
          </w:tcPr>
          <w:p>
            <w:r>
              <w:rPr>
                <w:sz w:val="17"/>
              </w:rPr>
              <w:t>2026-08-04</w:t>
            </w:r>
          </w:p>
        </w:tc>
        <w:tc>
          <w:tcPr>
            <w:tcW w:type="dxa" w:w="1440"/>
            <w:shd w:fill="FAFAFA" w:val="clear"/>
          </w:tcPr>
          <w:p>
            <w:r>
              <w:rPr>
                <w:sz w:val="17"/>
              </w:rPr>
              <w:t>1,773</w:t>
            </w:r>
          </w:p>
        </w:tc>
        <w:tc>
          <w:tcPr>
            <w:tcW w:type="dxa" w:w="1440"/>
            <w:shd w:fill="FAFAFA" w:val="clear"/>
          </w:tcPr>
          <w:p>
            <w:r>
              <w:rPr>
                <w:b/>
                <w:sz w:val="17"/>
              </w:rPr>
              <w:t>1,891</w:t>
            </w:r>
          </w:p>
        </w:tc>
        <w:tc>
          <w:tcPr>
            <w:tcW w:type="dxa" w:w="1440"/>
            <w:shd w:fill="FAFAFA" w:val="clear"/>
          </w:tcPr>
          <w:p>
            <w:r>
              <w:rPr>
                <w:sz w:val="17"/>
              </w:rPr>
              <w:t>2,008</w:t>
            </w:r>
          </w:p>
        </w:tc>
        <w:tc>
          <w:tcPr>
            <w:tcW w:type="dxa" w:w="1440"/>
            <w:shd w:fill="FAFAFA" w:val="clear"/>
          </w:tcPr>
          <w:p>
            <w:r>
              <w:rPr>
                <w:b/>
                <w:color w:val="008000"/>
                <w:sz w:val="17"/>
              </w:rPr>
              <w:t>+0.0%</w:t>
            </w:r>
          </w:p>
        </w:tc>
      </w:tr>
      <w:tr>
        <w:tc>
          <w:tcPr>
            <w:tcW w:type="dxa" w:w="1440"/>
            <w:shd w:fill="FAFAFA" w:val="clear"/>
          </w:tcPr>
          <w:p>
            <w:r>
              <w:rPr>
                <w:sz w:val="17"/>
              </w:rPr>
              <w:t>J+3  ⭐</w:t>
            </w:r>
          </w:p>
        </w:tc>
        <w:tc>
          <w:tcPr>
            <w:tcW w:type="dxa" w:w="1440"/>
            <w:shd w:fill="FAFAFA" w:val="clear"/>
          </w:tcPr>
          <w:p>
            <w:r>
              <w:rPr>
                <w:sz w:val="17"/>
              </w:rPr>
              <w:t>2026-08-05</w:t>
            </w:r>
          </w:p>
        </w:tc>
        <w:tc>
          <w:tcPr>
            <w:tcW w:type="dxa" w:w="1440"/>
            <w:shd w:fill="FAFAFA" w:val="clear"/>
          </w:tcPr>
          <w:p>
            <w:r>
              <w:rPr>
                <w:sz w:val="17"/>
              </w:rPr>
              <w:t>1,747</w:t>
            </w:r>
          </w:p>
        </w:tc>
        <w:tc>
          <w:tcPr>
            <w:tcW w:type="dxa" w:w="1440"/>
            <w:shd w:fill="FAFAFA" w:val="clear"/>
          </w:tcPr>
          <w:p>
            <w:r>
              <w:rPr>
                <w:b/>
                <w:sz w:val="17"/>
              </w:rPr>
              <w:t>1,891</w:t>
            </w:r>
          </w:p>
        </w:tc>
        <w:tc>
          <w:tcPr>
            <w:tcW w:type="dxa" w:w="1440"/>
            <w:shd w:fill="FAFAFA" w:val="clear"/>
          </w:tcPr>
          <w:p>
            <w:r>
              <w:rPr>
                <w:sz w:val="17"/>
              </w:rPr>
              <w:t>2,035</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2026-08-06</w:t>
            </w:r>
          </w:p>
        </w:tc>
        <w:tc>
          <w:tcPr>
            <w:tcW w:type="dxa" w:w="1440"/>
            <w:shd w:fill="FAFAFA" w:val="clear"/>
          </w:tcPr>
          <w:p>
            <w:r>
              <w:rPr>
                <w:sz w:val="17"/>
              </w:rPr>
              <w:t>1,725</w:t>
            </w:r>
          </w:p>
        </w:tc>
        <w:tc>
          <w:tcPr>
            <w:tcW w:type="dxa" w:w="1440"/>
            <w:shd w:fill="FAFAFA" w:val="clear"/>
          </w:tcPr>
          <w:p>
            <w:r>
              <w:rPr>
                <w:b/>
                <w:sz w:val="17"/>
              </w:rPr>
              <w:t>1,892</w:t>
            </w:r>
          </w:p>
        </w:tc>
        <w:tc>
          <w:tcPr>
            <w:tcW w:type="dxa" w:w="1440"/>
            <w:shd w:fill="FAFAFA" w:val="clear"/>
          </w:tcPr>
          <w:p>
            <w:r>
              <w:rPr>
                <w:sz w:val="17"/>
              </w:rPr>
              <w:t>2,058</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2026-08-10</w:t>
            </w:r>
          </w:p>
        </w:tc>
        <w:tc>
          <w:tcPr>
            <w:tcW w:type="dxa" w:w="1440"/>
            <w:shd w:fill="FAFAFA" w:val="clear"/>
          </w:tcPr>
          <w:p>
            <w:r>
              <w:rPr>
                <w:sz w:val="17"/>
              </w:rPr>
              <w:t>1,706</w:t>
            </w:r>
          </w:p>
        </w:tc>
        <w:tc>
          <w:tcPr>
            <w:tcW w:type="dxa" w:w="1440"/>
            <w:shd w:fill="FAFAFA" w:val="clear"/>
          </w:tcPr>
          <w:p>
            <w:r>
              <w:rPr>
                <w:b/>
                <w:sz w:val="17"/>
              </w:rPr>
              <w:t>1,892</w:t>
            </w:r>
          </w:p>
        </w:tc>
        <w:tc>
          <w:tcPr>
            <w:tcW w:type="dxa" w:w="1440"/>
            <w:shd w:fill="FAFAFA" w:val="clear"/>
          </w:tcPr>
          <w:p>
            <w:r>
              <w:rPr>
                <w:sz w:val="17"/>
              </w:rPr>
              <w:t>2,078</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2026-08-11</w:t>
            </w:r>
          </w:p>
        </w:tc>
        <w:tc>
          <w:tcPr>
            <w:tcW w:type="dxa" w:w="1440"/>
            <w:shd w:fill="FAFAFA" w:val="clear"/>
          </w:tcPr>
          <w:p>
            <w:r>
              <w:rPr>
                <w:sz w:val="17"/>
              </w:rPr>
              <w:t>1,689</w:t>
            </w:r>
          </w:p>
        </w:tc>
        <w:tc>
          <w:tcPr>
            <w:tcW w:type="dxa" w:w="1440"/>
            <w:shd w:fill="FAFAFA" w:val="clear"/>
          </w:tcPr>
          <w:p>
            <w:r>
              <w:rPr>
                <w:b/>
                <w:sz w:val="17"/>
              </w:rPr>
              <w:t>1,892</w:t>
            </w:r>
          </w:p>
        </w:tc>
        <w:tc>
          <w:tcPr>
            <w:tcW w:type="dxa" w:w="1440"/>
            <w:shd w:fill="FAFAFA" w:val="clear"/>
          </w:tcPr>
          <w:p>
            <w:r>
              <w:rPr>
                <w:sz w:val="17"/>
              </w:rPr>
              <w:t>2,096</w:t>
            </w:r>
          </w:p>
        </w:tc>
        <w:tc>
          <w:tcPr>
            <w:tcW w:type="dxa" w:w="1440"/>
            <w:shd w:fill="FAFAFA" w:val="clear"/>
          </w:tcPr>
          <w:p>
            <w:r>
              <w:rPr>
                <w:b/>
                <w:color w:val="008000"/>
                <w:sz w:val="17"/>
              </w:rPr>
              <w:t>+0.1%</w:t>
            </w:r>
          </w:p>
        </w:tc>
      </w:tr>
      <w:tr>
        <w:tc>
          <w:tcPr>
            <w:tcW w:type="dxa" w:w="1440"/>
            <w:shd w:fill="FAFAFA" w:val="clear"/>
          </w:tcPr>
          <w:p>
            <w:r>
              <w:rPr>
                <w:sz w:val="17"/>
              </w:rPr>
              <w:t>J+7  ⭐</w:t>
            </w:r>
          </w:p>
        </w:tc>
        <w:tc>
          <w:tcPr>
            <w:tcW w:type="dxa" w:w="1440"/>
            <w:shd w:fill="FAFAFA" w:val="clear"/>
          </w:tcPr>
          <w:p>
            <w:r>
              <w:rPr>
                <w:sz w:val="17"/>
              </w:rPr>
              <w:t>2026-08-12</w:t>
            </w:r>
          </w:p>
        </w:tc>
        <w:tc>
          <w:tcPr>
            <w:tcW w:type="dxa" w:w="1440"/>
            <w:shd w:fill="FAFAFA" w:val="clear"/>
          </w:tcPr>
          <w:p>
            <w:r>
              <w:rPr>
                <w:sz w:val="17"/>
              </w:rPr>
              <w:t>1,673</w:t>
            </w:r>
          </w:p>
        </w:tc>
        <w:tc>
          <w:tcPr>
            <w:tcW w:type="dxa" w:w="1440"/>
            <w:shd w:fill="FAFAFA" w:val="clear"/>
          </w:tcPr>
          <w:p>
            <w:r>
              <w:rPr>
                <w:b/>
                <w:sz w:val="17"/>
              </w:rPr>
              <w:t>1,893</w:t>
            </w:r>
          </w:p>
        </w:tc>
        <w:tc>
          <w:tcPr>
            <w:tcW w:type="dxa" w:w="1440"/>
            <w:shd w:fill="FAFAFA" w:val="clear"/>
          </w:tcPr>
          <w:p>
            <w:r>
              <w:rPr>
                <w:sz w:val="17"/>
              </w:rPr>
              <w:t>2,113</w:t>
            </w:r>
          </w:p>
        </w:tc>
        <w:tc>
          <w:tcPr>
            <w:tcW w:type="dxa" w:w="1440"/>
            <w:shd w:fill="FAFAFA" w:val="clear"/>
          </w:tcPr>
          <w:p>
            <w:r>
              <w:rPr>
                <w:b/>
                <w:color w:val="008000"/>
                <w:sz w:val="17"/>
              </w:rPr>
              <w:t>+0.1%</w:t>
            </w:r>
          </w:p>
        </w:tc>
      </w:tr>
      <w:tr>
        <w:tc>
          <w:tcPr>
            <w:tcW w:type="dxa" w:w="1440"/>
            <w:shd w:fill="FAFAFA" w:val="clear"/>
          </w:tcPr>
          <w:p>
            <w:r>
              <w:rPr>
                <w:sz w:val="17"/>
              </w:rPr>
              <w:t>J+8  ⭐</w:t>
            </w:r>
          </w:p>
        </w:tc>
        <w:tc>
          <w:tcPr>
            <w:tcW w:type="dxa" w:w="1440"/>
            <w:shd w:fill="FAFAFA" w:val="clear"/>
          </w:tcPr>
          <w:p>
            <w:r>
              <w:rPr>
                <w:sz w:val="17"/>
              </w:rPr>
              <w:t>2026-08-13</w:t>
            </w:r>
          </w:p>
        </w:tc>
        <w:tc>
          <w:tcPr>
            <w:tcW w:type="dxa" w:w="1440"/>
            <w:shd w:fill="FAFAFA" w:val="clear"/>
          </w:tcPr>
          <w:p>
            <w:r>
              <w:rPr>
                <w:sz w:val="17"/>
              </w:rPr>
              <w:t>1,658</w:t>
            </w:r>
          </w:p>
        </w:tc>
        <w:tc>
          <w:tcPr>
            <w:tcW w:type="dxa" w:w="1440"/>
            <w:shd w:fill="FAFAFA" w:val="clear"/>
          </w:tcPr>
          <w:p>
            <w:r>
              <w:rPr>
                <w:b/>
                <w:sz w:val="17"/>
              </w:rPr>
              <w:t>1,893</w:t>
            </w:r>
          </w:p>
        </w:tc>
        <w:tc>
          <w:tcPr>
            <w:tcW w:type="dxa" w:w="1440"/>
            <w:shd w:fill="FAFAFA" w:val="clear"/>
          </w:tcPr>
          <w:p>
            <w:r>
              <w:rPr>
                <w:sz w:val="17"/>
              </w:rPr>
              <w:t>2,128</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2026-08-14</w:t>
            </w:r>
          </w:p>
        </w:tc>
        <w:tc>
          <w:tcPr>
            <w:tcW w:type="dxa" w:w="1440"/>
            <w:shd w:fill="FAFAFA" w:val="clear"/>
          </w:tcPr>
          <w:p>
            <w:r>
              <w:rPr>
                <w:sz w:val="17"/>
              </w:rPr>
              <w:t>1,644</w:t>
            </w:r>
          </w:p>
        </w:tc>
        <w:tc>
          <w:tcPr>
            <w:tcW w:type="dxa" w:w="1440"/>
            <w:shd w:fill="FAFAFA" w:val="clear"/>
          </w:tcPr>
          <w:p>
            <w:r>
              <w:rPr>
                <w:b/>
                <w:sz w:val="17"/>
              </w:rPr>
              <w:t>1,893</w:t>
            </w:r>
          </w:p>
        </w:tc>
        <w:tc>
          <w:tcPr>
            <w:tcW w:type="dxa" w:w="1440"/>
            <w:shd w:fill="FAFAFA" w:val="clear"/>
          </w:tcPr>
          <w:p>
            <w:r>
              <w:rPr>
                <w:sz w:val="17"/>
              </w:rPr>
              <w:t>2,143</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2026-08-17</w:t>
            </w:r>
          </w:p>
        </w:tc>
        <w:tc>
          <w:tcPr>
            <w:tcW w:type="dxa" w:w="1440"/>
            <w:shd w:fill="FAFAFA" w:val="clear"/>
          </w:tcPr>
          <w:p>
            <w:r>
              <w:rPr>
                <w:sz w:val="17"/>
              </w:rPr>
              <w:t>1,630</w:t>
            </w:r>
          </w:p>
        </w:tc>
        <w:tc>
          <w:tcPr>
            <w:tcW w:type="dxa" w:w="1440"/>
            <w:shd w:fill="FAFAFA" w:val="clear"/>
          </w:tcPr>
          <w:p>
            <w:r>
              <w:rPr>
                <w:b/>
                <w:sz w:val="17"/>
              </w:rPr>
              <w:t>1,893</w:t>
            </w:r>
          </w:p>
        </w:tc>
        <w:tc>
          <w:tcPr>
            <w:tcW w:type="dxa" w:w="1440"/>
            <w:shd w:fill="FAFAFA" w:val="clear"/>
          </w:tcPr>
          <w:p>
            <w:r>
              <w:rPr>
                <w:sz w:val="17"/>
              </w:rPr>
              <w:t>2,157</w:t>
            </w:r>
          </w:p>
        </w:tc>
        <w:tc>
          <w:tcPr>
            <w:tcW w:type="dxa" w:w="1440"/>
            <w:shd w:fill="FAFAFA" w:val="clear"/>
          </w:tcPr>
          <w:p>
            <w:r>
              <w:rPr>
                <w:b/>
                <w:color w:val="008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12,52 milliards FCFA, un niveau modeste sur la BRVM qui reflète la taille moyenne de l'entreprise dans le secteur de la distribution de matériaux. Le BPA de 3 FCFA par action est extrêmement faible, traduisant une rentabilité par action quasi symbolique. Le PER de 561,0x est considérablement supérieur à la moyenne du marché BRVM (8-12x), indiquant que les investisseurs paient un prix très élevé pour des bénéfices minimes, ce qui constitue un signal d'alerte majeur. En revanche, le P/B de 0,70x suggère que le marché valorise l'action en dessous de sa valeur comptable, offrant potentiellement une décote intéressante par rapport aux actifs nets. L'EV/EBITDA de 23,9x, bien au-dessus du seuil de 15x, confirme une valorisation exigeante au regard de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BNBC a enregistré une progression remarquable de +18,87%, avec une dernière séance en hausse de +0,53% à 1 890 FCFA. Le titre a évolué dans une fourchette de 1 300 à 2 100 FCFA, démontrant une amplitude de trading significative de 800 FCFA. La moyenne du cours sur la période s'établit à 1 702 FCFA, tandis que la médiane est de 1 610 FCFA, l'écart positif entre ces deux valeurs indiquant une distribution légèrement asymétrique vers le haut. L'écart-type de 194 FCFA avec un coefficient de variation de 11,4% révèle une dispersion modérée des prix autour de la moyenne. Le kurtosis négatif de -1,028 indique une distribution platykurtique, c'est-à-dire une faible concentration des prix avec peu de pics extrêmes, tandis que le skewness de 0,283 confirme une asymétrie positive modérée. La volatilité annualisée de 47,9% classe le titre comme très volatil, nettement au-dessus du seuil de 30%, ce qui implique un risque élevé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1 890 FCFA se positionne au-dessus de la MM20 (1 897,75 FCFA) et de la MM50 (1 851,1 FCFA), avec une MM20 supérieure à la MM50, configuration typique d'une tendance haussière. La décision d'achat est justifiée par cette dynamique positive, le cours évoluant dans une trajectoire ascendante soutenue par les moyennes mobiles.</w:t>
      </w:r>
    </w:p>
    <w:p>
      <w:pPr>
        <w:spacing w:after="120" w:line="276" w:lineRule="auto"/>
      </w:pPr>
      <w:r>
        <w:t>**Bandes de Bollinger** : Le prix se situe à 1 890 FCFA, proche du milieu des bandes comprises entre 1 736,685 FCFA (borne inférieure) et 2 058,815 FCFA (borne supérieure). Cette position médiane indique une volatilité modérée sans pression directionnelle forte, justifiant la décision neutre. L'écart entre les bornes reflète une volatilité relativement stable sur la période récente.</w:t>
      </w:r>
    </w:p>
    <w:p>
      <w:pPr>
        <w:spacing w:after="120" w:line="276" w:lineRule="auto"/>
      </w:pPr>
      <w:r>
        <w:t>**MACD** : La valeur du MACD à 9,831 est inférieure au signal à 19,873, créant une divergence négative qui suggère un affaiblissement du momentum haussier. Cette configuration, où le MACD passe sous son signal, génère une décision de vente, signalant un possible retournement ou une consolidation à court terme malgré la tendance générale positive.</w:t>
      </w:r>
    </w:p>
    <w:p>
      <w:pPr>
        <w:spacing w:after="120" w:line="276" w:lineRule="auto"/>
      </w:pPr>
      <w:r>
        <w:t>**RSI** : À 63,953, le RSI se positionne dans la zone neutre-haute, en dessous du seuil de surachat de 70. Cette valeur indique une pression acheteuse encore présente mais sans excès, laissant une marge de progression avant d'atteindre des conditions de surachat. La décision neutre est cohérente avec cette lecture.</w:t>
      </w:r>
    </w:p>
    <w:p>
      <w:pPr>
        <w:spacing w:after="120" w:line="276" w:lineRule="auto"/>
      </w:pPr>
      <w:r>
        <w:t>**Stochastique** : Le %K à 58,333 et le %D à 54,861 montrent des oscillateurs proches, avec un %K légèrement au-dessus du %D, suggérant un momentum positif naissant sans croisement décisif. Cette configuration neutre indique une absence de signal directionnel fort, les deux lignes évoluant dans la zone médiane.</w:t>
      </w:r>
    </w:p>
    <w:p>
      <w:pPr>
        <w:spacing w:after="120" w:line="276" w:lineRule="auto"/>
      </w:pPr>
      <w:r>
        <w:t>**Conclusion technique** : La tendance générale reste haussière portée par les moyennes mobiles, mais les indicateurs de momentum (MACD, RSI, Stochastique) montrent des signaux mitigés avec une perte de vitesse relative. La prudence est de mise à court terme, le titre pouvant consolider avant de poursuivre sa progression.</w:t>
      </w:r>
    </w:p>
    <w:p>
      <w:pPr>
        <w:spacing w:after="120" w:line="276" w:lineRule="auto" w:before="240"/>
      </w:pPr>
      <w:r>
        <w:rPr>
          <w:b/>
          <w:color w:val="003366"/>
          <w:sz w:val="24"/>
        </w:rPr>
        <w:t>**PARTIE 3 : ANALYSE FONDAMENTALE (SECTION CRITIQUE)**</w:t>
      </w:r>
    </w:p>
    <w:p>
      <w:pPr>
        <w:spacing w:after="120" w:line="276" w:lineRule="auto"/>
      </w:pPr>
      <w:r>
        <w:t>En 2025, BNBC a réalisé un chiffre d'affaires de 42,454 milliards FCFA, en baisse de 6,31% par rapport à 2024 (45,312 milliards FCFA), confirmant une contraction de l'activité. Le résultat net de 22,32 millions FCFA, bien qu'en amélioration par rapport aux 7,31 millions de 2024, reste extrêmement faible avec une marge nette de seulement 0,05%. Le ROE de 0,13% et le ROA de 0,05% témoignent d'une rentabilité anémique, très loin du seuil de 15% considéré comme excellent. La structure financière montre des capitaux propres solides de 17,77 milliards FCFA avec un ratio d'autonomie financière de 36,16%, mais la trésorerie nette fortement négative de -16,69 milliards FCFA constitue un risque de liquidité majeur. Le BFR de 29,37 milliards FCFA avec un délai clients de 104 jours et une durée de stockage de 339 jours révèle une immobilisation importante de capital. Sur la base du rapport T1 2026 (résultat net positif de 65,57 millions FCFA contre une perte de 16,15 millions au T1 2025), on estime que l'exercice 2026 pourrait montrer une amélioration progressive de la rentabilité, portée par l'intégration de la division Équipement et le développement du showroom Technibat KM4. Cependant, la persistance de charges financières élevées (1,03 milliard FCFA) et la dépendance aux affaires exceptionnelles maintiennent une fragilité structurelle.</w:t>
      </w:r>
    </w:p>
    <w:p>
      <w:pPr>
        <w:spacing w:after="120" w:line="276" w:lineRule="auto" w:before="240"/>
      </w:pPr>
      <w:r>
        <w:rPr>
          <w:b/>
          <w:color w:val="003366"/>
          <w:sz w:val="24"/>
        </w:rPr>
        <w:t>**PARTIE 4 : CONCLUSION D'INVESTISSEMENT**</w:t>
      </w:r>
    </w:p>
    <w:p>
      <w:pPr>
        <w:spacing w:after="120" w:line="276" w:lineRule="auto"/>
      </w:pPr>
      <w:r>
        <w:t>La valorisation de BNBC présente un paradoxe : un PER extrêmement élevé (561x) suggère une surévaluation flagrante, tandis que le P/B de 0,70x indique une décote par rapport aux actifs comptables. Le comportement du cours montre une tendance haussière de +18,87% sur 100 jours avec une volatilité très élevée (47,9%), mais les statistiques descriptives révèlent une distribution relativement stable sans pics extrêmes. Les signaux techniques sont mitigés : les moyennes mobiles restent positives, mais le MACD en divergence négative et le RSI proche de la zone de surachat suggèrent une possible consolidation. Les fondamentaux demeurent préoccupants avec une rentabilité quasi nulle, une trésorerie négative massive et une baisse du chiffre d'affaires, malgré une amélioration timide au T1 2026. Les prédictions IA (1 889 à 1 892 FCFA sur 10 jours) indiquent une stabilité à court terme, ne confirmant ni n'infirmant les autres signaux. La recommandation finale est **CONSERVER** avec un niveau de confiance **Moyen** et un risque global **Élevé**. L'horizon d'investissement optimal serait le **moyen terme (3-12 mois)**, en attendant une confirmation de l'amélioration fondamentale et une clarification de la stratégie de redressement.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5,706 titres</w:t>
            </w:r>
          </w:p>
        </w:tc>
        <w:tc>
          <w:tcPr>
            <w:tcW w:type="dxa" w:w="2268"/>
            <w:shd w:fill="FFF2CC" w:val="clear"/>
          </w:tcPr>
          <w:p>
            <w:r>
              <w:rPr>
                <w:b/>
                <w:color w:val="503200"/>
                <w:sz w:val="16"/>
              </w:rPr>
              <w:t xml:space="preserve">Cours actuel : </w:t>
            </w:r>
            <w:r>
              <w:rPr>
                <w:color w:val="000000"/>
                <w:sz w:val="17"/>
              </w:rPr>
              <w:t>8,700 FCFA</w:t>
            </w:r>
          </w:p>
          <w:p>
            <w:r>
              <w:rPr>
                <w:b/>
                <w:color w:val="503200"/>
                <w:sz w:val="16"/>
              </w:rPr>
              <w:t xml:space="preserve">Var. 100 jours : </w:t>
            </w:r>
            <w:r>
              <w:rPr>
                <w:b/>
                <w:color w:val="007800"/>
                <w:sz w:val="17"/>
              </w:rPr>
              <w:t>+24.46%</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6,975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7.81% (Moyenne) — μ=8,480 FCFA, σ=663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β=0.0731 (Défensif) — Cov=0.000003, Var(idx)=0.000036, ρ=0.025,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2026-08-03</w:t>
            </w:r>
          </w:p>
        </w:tc>
        <w:tc>
          <w:tcPr>
            <w:tcW w:type="dxa" w:w="1440"/>
            <w:shd w:fill="FFDCE0" w:val="clear"/>
          </w:tcPr>
          <w:p>
            <w:r>
              <w:rPr>
                <w:sz w:val="17"/>
              </w:rPr>
              <w:t>8,344</w:t>
            </w:r>
          </w:p>
        </w:tc>
        <w:tc>
          <w:tcPr>
            <w:tcW w:type="dxa" w:w="1440"/>
            <w:shd w:fill="FFDCE0" w:val="clear"/>
          </w:tcPr>
          <w:p>
            <w:r>
              <w:rPr>
                <w:b/>
                <w:sz w:val="17"/>
              </w:rPr>
              <w:t>8,472</w:t>
            </w:r>
          </w:p>
        </w:tc>
        <w:tc>
          <w:tcPr>
            <w:tcW w:type="dxa" w:w="1440"/>
            <w:shd w:fill="FFDCE0" w:val="clear"/>
          </w:tcPr>
          <w:p>
            <w:r>
              <w:rPr>
                <w:sz w:val="17"/>
              </w:rPr>
              <w:t>8,600</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2026-08-04</w:t>
            </w:r>
          </w:p>
        </w:tc>
        <w:tc>
          <w:tcPr>
            <w:tcW w:type="dxa" w:w="1440"/>
            <w:shd w:fill="FFDCE0" w:val="clear"/>
          </w:tcPr>
          <w:p>
            <w:r>
              <w:rPr>
                <w:sz w:val="17"/>
              </w:rPr>
              <w:t>8,171</w:t>
            </w:r>
          </w:p>
        </w:tc>
        <w:tc>
          <w:tcPr>
            <w:tcW w:type="dxa" w:w="1440"/>
            <w:shd w:fill="FFDCE0" w:val="clear"/>
          </w:tcPr>
          <w:p>
            <w:r>
              <w:rPr>
                <w:b/>
                <w:sz w:val="17"/>
              </w:rPr>
              <w:t>8,348</w:t>
            </w:r>
          </w:p>
        </w:tc>
        <w:tc>
          <w:tcPr>
            <w:tcW w:type="dxa" w:w="1440"/>
            <w:shd w:fill="FFDCE0" w:val="clear"/>
          </w:tcPr>
          <w:p>
            <w:r>
              <w:rPr>
                <w:sz w:val="17"/>
              </w:rPr>
              <w:t>8,526</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2026-08-05</w:t>
            </w:r>
          </w:p>
        </w:tc>
        <w:tc>
          <w:tcPr>
            <w:tcW w:type="dxa" w:w="1440"/>
            <w:shd w:fill="FFDCE0" w:val="clear"/>
          </w:tcPr>
          <w:p>
            <w:r>
              <w:rPr>
                <w:sz w:val="17"/>
              </w:rPr>
              <w:t>8,021</w:t>
            </w:r>
          </w:p>
        </w:tc>
        <w:tc>
          <w:tcPr>
            <w:tcW w:type="dxa" w:w="1440"/>
            <w:shd w:fill="FFDCE0" w:val="clear"/>
          </w:tcPr>
          <w:p>
            <w:r>
              <w:rPr>
                <w:b/>
                <w:sz w:val="17"/>
              </w:rPr>
              <w:t>8,236</w:t>
            </w:r>
          </w:p>
        </w:tc>
        <w:tc>
          <w:tcPr>
            <w:tcW w:type="dxa" w:w="1440"/>
            <w:shd w:fill="FFDCE0" w:val="clear"/>
          </w:tcPr>
          <w:p>
            <w:r>
              <w:rPr>
                <w:sz w:val="17"/>
              </w:rPr>
              <w:t>8,451</w:t>
            </w:r>
          </w:p>
        </w:tc>
        <w:tc>
          <w:tcPr>
            <w:tcW w:type="dxa" w:w="1440"/>
            <w:shd w:fill="FFDCE0" w:val="clear"/>
          </w:tcPr>
          <w:p>
            <w:r>
              <w:rPr>
                <w:b/>
                <w:color w:val="C00000"/>
                <w:sz w:val="17"/>
              </w:rPr>
              <w:t>-5.3%</w:t>
            </w:r>
          </w:p>
        </w:tc>
      </w:tr>
      <w:tr>
        <w:tc>
          <w:tcPr>
            <w:tcW w:type="dxa" w:w="1440"/>
            <w:shd w:fill="FFDCE0" w:val="clear"/>
          </w:tcPr>
          <w:p>
            <w:r>
              <w:rPr>
                <w:sz w:val="17"/>
              </w:rPr>
              <w:t>J+4  Moyenne</w:t>
            </w:r>
          </w:p>
        </w:tc>
        <w:tc>
          <w:tcPr>
            <w:tcW w:type="dxa" w:w="1440"/>
            <w:shd w:fill="FFDCE0" w:val="clear"/>
          </w:tcPr>
          <w:p>
            <w:r>
              <w:rPr>
                <w:sz w:val="17"/>
              </w:rPr>
              <w:t>2026-08-06</w:t>
            </w:r>
          </w:p>
        </w:tc>
        <w:tc>
          <w:tcPr>
            <w:tcW w:type="dxa" w:w="1440"/>
            <w:shd w:fill="FFDCE0" w:val="clear"/>
          </w:tcPr>
          <w:p>
            <w:r>
              <w:rPr>
                <w:sz w:val="17"/>
              </w:rPr>
              <w:t>7,895</w:t>
            </w:r>
          </w:p>
        </w:tc>
        <w:tc>
          <w:tcPr>
            <w:tcW w:type="dxa" w:w="1440"/>
            <w:shd w:fill="FFDCE0" w:val="clear"/>
          </w:tcPr>
          <w:p>
            <w:r>
              <w:rPr>
                <w:b/>
                <w:sz w:val="17"/>
              </w:rPr>
              <w:t>8,140</w:t>
            </w:r>
          </w:p>
        </w:tc>
        <w:tc>
          <w:tcPr>
            <w:tcW w:type="dxa" w:w="1440"/>
            <w:shd w:fill="FFDCE0" w:val="clear"/>
          </w:tcPr>
          <w:p>
            <w:r>
              <w:rPr>
                <w:sz w:val="17"/>
              </w:rPr>
              <w:t>8,386</w:t>
            </w:r>
          </w:p>
        </w:tc>
        <w:tc>
          <w:tcPr>
            <w:tcW w:type="dxa" w:w="1440"/>
            <w:shd w:fill="FFDCE0" w:val="clear"/>
          </w:tcPr>
          <w:p>
            <w:r>
              <w:rPr>
                <w:b/>
                <w:color w:val="C00000"/>
                <w:sz w:val="17"/>
              </w:rPr>
              <w:t>-6.4%</w:t>
            </w:r>
          </w:p>
        </w:tc>
      </w:tr>
      <w:tr>
        <w:tc>
          <w:tcPr>
            <w:tcW w:type="dxa" w:w="1440"/>
            <w:shd w:fill="FFDCE0" w:val="clear"/>
          </w:tcPr>
          <w:p>
            <w:r>
              <w:rPr>
                <w:sz w:val="17"/>
              </w:rPr>
              <w:t>J+5  Moyenne</w:t>
            </w:r>
          </w:p>
        </w:tc>
        <w:tc>
          <w:tcPr>
            <w:tcW w:type="dxa" w:w="1440"/>
            <w:shd w:fill="FFDCE0" w:val="clear"/>
          </w:tcPr>
          <w:p>
            <w:r>
              <w:rPr>
                <w:sz w:val="17"/>
              </w:rPr>
              <w:t>2026-08-10</w:t>
            </w:r>
          </w:p>
        </w:tc>
        <w:tc>
          <w:tcPr>
            <w:tcW w:type="dxa" w:w="1440"/>
            <w:shd w:fill="FFDCE0" w:val="clear"/>
          </w:tcPr>
          <w:p>
            <w:r>
              <w:rPr>
                <w:sz w:val="17"/>
              </w:rPr>
              <w:t>7,783</w:t>
            </w:r>
          </w:p>
        </w:tc>
        <w:tc>
          <w:tcPr>
            <w:tcW w:type="dxa" w:w="1440"/>
            <w:shd w:fill="FFDCE0" w:val="clear"/>
          </w:tcPr>
          <w:p>
            <w:r>
              <w:rPr>
                <w:b/>
                <w:sz w:val="17"/>
              </w:rPr>
              <w:t>8,054</w:t>
            </w:r>
          </w:p>
        </w:tc>
        <w:tc>
          <w:tcPr>
            <w:tcW w:type="dxa" w:w="1440"/>
            <w:shd w:fill="FFDCE0" w:val="clear"/>
          </w:tcPr>
          <w:p>
            <w:r>
              <w:rPr>
                <w:sz w:val="17"/>
              </w:rPr>
              <w:t>8,326</w:t>
            </w:r>
          </w:p>
        </w:tc>
        <w:tc>
          <w:tcPr>
            <w:tcW w:type="dxa" w:w="1440"/>
            <w:shd w:fill="FFDCE0" w:val="clear"/>
          </w:tcPr>
          <w:p>
            <w:r>
              <w:rPr>
                <w:b/>
                <w:color w:val="C00000"/>
                <w:sz w:val="17"/>
              </w:rPr>
              <w:t>-7.4%</w:t>
            </w:r>
          </w:p>
        </w:tc>
      </w:tr>
      <w:tr>
        <w:tc>
          <w:tcPr>
            <w:tcW w:type="dxa" w:w="1440"/>
            <w:shd w:fill="FFDCE0" w:val="clear"/>
          </w:tcPr>
          <w:p>
            <w:r>
              <w:rPr>
                <w:sz w:val="17"/>
              </w:rPr>
              <w:t>J+6  Moyenne</w:t>
            </w:r>
          </w:p>
        </w:tc>
        <w:tc>
          <w:tcPr>
            <w:tcW w:type="dxa" w:w="1440"/>
            <w:shd w:fill="FFDCE0" w:val="clear"/>
          </w:tcPr>
          <w:p>
            <w:r>
              <w:rPr>
                <w:sz w:val="17"/>
              </w:rPr>
              <w:t>2026-08-11</w:t>
            </w:r>
          </w:p>
        </w:tc>
        <w:tc>
          <w:tcPr>
            <w:tcW w:type="dxa" w:w="1440"/>
            <w:shd w:fill="FFDCE0" w:val="clear"/>
          </w:tcPr>
          <w:p>
            <w:r>
              <w:rPr>
                <w:sz w:val="17"/>
              </w:rPr>
              <w:t>7,680</w:t>
            </w:r>
          </w:p>
        </w:tc>
        <w:tc>
          <w:tcPr>
            <w:tcW w:type="dxa" w:w="1440"/>
            <w:shd w:fill="FFDCE0" w:val="clear"/>
          </w:tcPr>
          <w:p>
            <w:r>
              <w:rPr>
                <w:b/>
                <w:sz w:val="17"/>
              </w:rPr>
              <w:t>7,974</w:t>
            </w:r>
          </w:p>
        </w:tc>
        <w:tc>
          <w:tcPr>
            <w:tcW w:type="dxa" w:w="1440"/>
            <w:shd w:fill="FFDCE0" w:val="clear"/>
          </w:tcPr>
          <w:p>
            <w:r>
              <w:rPr>
                <w:sz w:val="17"/>
              </w:rPr>
              <w:t>8,268</w:t>
            </w:r>
          </w:p>
        </w:tc>
        <w:tc>
          <w:tcPr>
            <w:tcW w:type="dxa" w:w="1440"/>
            <w:shd w:fill="FFDCE0" w:val="clear"/>
          </w:tcPr>
          <w:p>
            <w:r>
              <w:rPr>
                <w:b/>
                <w:color w:val="C00000"/>
                <w:sz w:val="17"/>
              </w:rPr>
              <w:t>-8.3%</w:t>
            </w:r>
          </w:p>
        </w:tc>
      </w:tr>
      <w:tr>
        <w:tc>
          <w:tcPr>
            <w:tcW w:type="dxa" w:w="1440"/>
            <w:shd w:fill="FFDCE0" w:val="clear"/>
          </w:tcPr>
          <w:p>
            <w:r>
              <w:rPr>
                <w:sz w:val="17"/>
              </w:rPr>
              <w:t>J+7  Moyenne</w:t>
            </w:r>
          </w:p>
        </w:tc>
        <w:tc>
          <w:tcPr>
            <w:tcW w:type="dxa" w:w="1440"/>
            <w:shd w:fill="FFDCE0" w:val="clear"/>
          </w:tcPr>
          <w:p>
            <w:r>
              <w:rPr>
                <w:sz w:val="17"/>
              </w:rPr>
              <w:t>2026-08-12</w:t>
            </w:r>
          </w:p>
        </w:tc>
        <w:tc>
          <w:tcPr>
            <w:tcW w:type="dxa" w:w="1440"/>
            <w:shd w:fill="FFDCE0" w:val="clear"/>
          </w:tcPr>
          <w:p>
            <w:r>
              <w:rPr>
                <w:sz w:val="17"/>
              </w:rPr>
              <w:t>7,583</w:t>
            </w:r>
          </w:p>
        </w:tc>
        <w:tc>
          <w:tcPr>
            <w:tcW w:type="dxa" w:w="1440"/>
            <w:shd w:fill="FFDCE0" w:val="clear"/>
          </w:tcPr>
          <w:p>
            <w:r>
              <w:rPr>
                <w:b/>
                <w:sz w:val="17"/>
              </w:rPr>
              <w:t>7,898</w:t>
            </w:r>
          </w:p>
        </w:tc>
        <w:tc>
          <w:tcPr>
            <w:tcW w:type="dxa" w:w="1440"/>
            <w:shd w:fill="FFDCE0" w:val="clear"/>
          </w:tcPr>
          <w:p>
            <w:r>
              <w:rPr>
                <w:sz w:val="17"/>
              </w:rPr>
              <w:t>8,213</w:t>
            </w:r>
          </w:p>
        </w:tc>
        <w:tc>
          <w:tcPr>
            <w:tcW w:type="dxa" w:w="1440"/>
            <w:shd w:fill="FFDCE0" w:val="clear"/>
          </w:tcPr>
          <w:p>
            <w:r>
              <w:rPr>
                <w:b/>
                <w:color w:val="C00000"/>
                <w:sz w:val="17"/>
              </w:rPr>
              <w:t>-9.2%</w:t>
            </w:r>
          </w:p>
        </w:tc>
      </w:tr>
      <w:tr>
        <w:tc>
          <w:tcPr>
            <w:tcW w:type="dxa" w:w="1440"/>
            <w:shd w:fill="FFDCE0" w:val="clear"/>
          </w:tcPr>
          <w:p>
            <w:r>
              <w:rPr>
                <w:sz w:val="17"/>
              </w:rPr>
              <w:t>J+8  Moyenne</w:t>
            </w:r>
          </w:p>
        </w:tc>
        <w:tc>
          <w:tcPr>
            <w:tcW w:type="dxa" w:w="1440"/>
            <w:shd w:fill="FFDCE0" w:val="clear"/>
          </w:tcPr>
          <w:p>
            <w:r>
              <w:rPr>
                <w:sz w:val="17"/>
              </w:rPr>
              <w:t>2026-08-13</w:t>
            </w:r>
          </w:p>
        </w:tc>
        <w:tc>
          <w:tcPr>
            <w:tcW w:type="dxa" w:w="1440"/>
            <w:shd w:fill="FFDCE0" w:val="clear"/>
          </w:tcPr>
          <w:p>
            <w:r>
              <w:rPr>
                <w:sz w:val="17"/>
              </w:rPr>
              <w:t>7,492</w:t>
            </w:r>
          </w:p>
        </w:tc>
        <w:tc>
          <w:tcPr>
            <w:tcW w:type="dxa" w:w="1440"/>
            <w:shd w:fill="FFDCE0" w:val="clear"/>
          </w:tcPr>
          <w:p>
            <w:r>
              <w:rPr>
                <w:b/>
                <w:sz w:val="17"/>
              </w:rPr>
              <w:t>7,826</w:t>
            </w:r>
          </w:p>
        </w:tc>
        <w:tc>
          <w:tcPr>
            <w:tcW w:type="dxa" w:w="1440"/>
            <w:shd w:fill="FFDCE0" w:val="clear"/>
          </w:tcPr>
          <w:p>
            <w:r>
              <w:rPr>
                <w:sz w:val="17"/>
              </w:rPr>
              <w:t>8,159</w:t>
            </w:r>
          </w:p>
        </w:tc>
        <w:tc>
          <w:tcPr>
            <w:tcW w:type="dxa" w:w="1440"/>
            <w:shd w:fill="FFDCE0" w:val="clear"/>
          </w:tcPr>
          <w:p>
            <w:r>
              <w:rPr>
                <w:b/>
                <w:color w:val="C00000"/>
                <w:sz w:val="17"/>
              </w:rPr>
              <w:t>-10.0%</w:t>
            </w:r>
          </w:p>
        </w:tc>
      </w:tr>
      <w:tr>
        <w:tc>
          <w:tcPr>
            <w:tcW w:type="dxa" w:w="1440"/>
            <w:shd w:fill="FFDCE0" w:val="clear"/>
          </w:tcPr>
          <w:p>
            <w:r>
              <w:rPr>
                <w:sz w:val="17"/>
              </w:rPr>
              <w:t>J+9  Moyenne</w:t>
            </w:r>
          </w:p>
        </w:tc>
        <w:tc>
          <w:tcPr>
            <w:tcW w:type="dxa" w:w="1440"/>
            <w:shd w:fill="FFDCE0" w:val="clear"/>
          </w:tcPr>
          <w:p>
            <w:r>
              <w:rPr>
                <w:sz w:val="17"/>
              </w:rPr>
              <w:t>2026-08-14</w:t>
            </w:r>
          </w:p>
        </w:tc>
        <w:tc>
          <w:tcPr>
            <w:tcW w:type="dxa" w:w="1440"/>
            <w:shd w:fill="FFDCE0" w:val="clear"/>
          </w:tcPr>
          <w:p>
            <w:r>
              <w:rPr>
                <w:sz w:val="17"/>
              </w:rPr>
              <w:t>7,407</w:t>
            </w:r>
          </w:p>
        </w:tc>
        <w:tc>
          <w:tcPr>
            <w:tcW w:type="dxa" w:w="1440"/>
            <w:shd w:fill="FFDCE0" w:val="clear"/>
          </w:tcPr>
          <w:p>
            <w:r>
              <w:rPr>
                <w:b/>
                <w:sz w:val="17"/>
              </w:rPr>
              <w:t>7,757</w:t>
            </w:r>
          </w:p>
        </w:tc>
        <w:tc>
          <w:tcPr>
            <w:tcW w:type="dxa" w:w="1440"/>
            <w:shd w:fill="FFDCE0" w:val="clear"/>
          </w:tcPr>
          <w:p>
            <w:r>
              <w:rPr>
                <w:sz w:val="17"/>
              </w:rPr>
              <w:t>8,108</w:t>
            </w:r>
          </w:p>
        </w:tc>
        <w:tc>
          <w:tcPr>
            <w:tcW w:type="dxa" w:w="1440"/>
            <w:shd w:fill="FFDCE0" w:val="clear"/>
          </w:tcPr>
          <w:p>
            <w:r>
              <w:rPr>
                <w:b/>
                <w:color w:val="C00000"/>
                <w:sz w:val="17"/>
              </w:rPr>
              <w:t>-10.8%</w:t>
            </w:r>
          </w:p>
        </w:tc>
      </w:tr>
      <w:tr>
        <w:tc>
          <w:tcPr>
            <w:tcW w:type="dxa" w:w="1440"/>
            <w:shd w:fill="FFDCE0" w:val="clear"/>
          </w:tcPr>
          <w:p>
            <w:r>
              <w:rPr>
                <w:sz w:val="17"/>
              </w:rPr>
              <w:t>J+10  Moyenne</w:t>
            </w:r>
          </w:p>
        </w:tc>
        <w:tc>
          <w:tcPr>
            <w:tcW w:type="dxa" w:w="1440"/>
            <w:shd w:fill="FFDCE0" w:val="clear"/>
          </w:tcPr>
          <w:p>
            <w:r>
              <w:rPr>
                <w:sz w:val="17"/>
              </w:rPr>
              <w:t>2026-08-17</w:t>
            </w:r>
          </w:p>
        </w:tc>
        <w:tc>
          <w:tcPr>
            <w:tcW w:type="dxa" w:w="1440"/>
            <w:shd w:fill="FFDCE0" w:val="clear"/>
          </w:tcPr>
          <w:p>
            <w:r>
              <w:rPr>
                <w:sz w:val="17"/>
              </w:rPr>
              <w:t>7,325</w:t>
            </w:r>
          </w:p>
        </w:tc>
        <w:tc>
          <w:tcPr>
            <w:tcW w:type="dxa" w:w="1440"/>
            <w:shd w:fill="FFDCE0" w:val="clear"/>
          </w:tcPr>
          <w:p>
            <w:r>
              <w:rPr>
                <w:b/>
                <w:sz w:val="17"/>
              </w:rPr>
              <w:t>7,692</w:t>
            </w:r>
          </w:p>
        </w:tc>
        <w:tc>
          <w:tcPr>
            <w:tcW w:type="dxa" w:w="1440"/>
            <w:shd w:fill="FFDCE0" w:val="clear"/>
          </w:tcPr>
          <w:p>
            <w:r>
              <w:rPr>
                <w:sz w:val="17"/>
              </w:rPr>
              <w:t>8,058</w:t>
            </w:r>
          </w:p>
        </w:tc>
        <w:tc>
          <w:tcPr>
            <w:tcW w:type="dxa" w:w="1440"/>
            <w:shd w:fill="FFDCE0" w:val="clear"/>
          </w:tcPr>
          <w:p>
            <w:r>
              <w:rPr>
                <w:b/>
                <w:color w:val="C00000"/>
                <w:sz w:val="17"/>
              </w:rPr>
              <w:t>-11.6%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r>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352,88 milliards FCFA, positionnant la banque parmi les valeurs moyennes du marché régional. Avec un BPA de 496 FCFA, le titre se négocie à un PER de 17,5x, nettement supérieur à la moyenne historique de la BRVM (8-12x), indiquant que les investisseurs acceptent de payer une prime substantielle pour les bénéfices de la banque. Le P/B de 3,00x confirme cette prime, le marché valorisant le titre trois fois au-dessus de sa valeur comptable, ce qui reflète des attentes de croissance soutenue. Enfin, l'EV/EBITDA de 18,4x, bien que supérieur au seuil exigeant de 15x, témoigne de la confiance des investisseurs dans la capacité opérationnelle de l'établissement à générer de la valeur.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 enregistré une progression remarquable de +24,46%, avec une dernière séance stable (0,00%). Le cours a évolué dans une fourchette de 6,975 FCFA à 9,420 FCFA, démontrant une amplitude de trading significative. La moyenne (8 480 FCFA) et la médiane (8 705 FCFA) sont proches, mais le skewness négatif (-0,607) indique que le cours a passé plus de journées au-dessus de sa moyenne, suggérant une pression acheteuse dominante. L'écart-type de 666 FCFA (CV = 7,9%) révèle une dispersion modérée, tandis que le kurtosis de -0,787 (mésokurtique) indique une distribution proche de la normale, sans risque de pics extrêmes. La volatilité annualisée de 27,9% classe le titre dans la catégorie modérée (15-30%), offrant un équilibre entre risque et rendement.</w:t>
      </w:r>
    </w:p>
    <w:p>
      <w:pPr>
        <w:spacing w:after="120" w:line="276" w:lineRule="auto" w:before="240"/>
      </w:pPr>
      <w:r>
        <w:rPr>
          <w:b/>
          <w:color w:val="003366"/>
          <w:sz w:val="24"/>
        </w:rPr>
        <w:t>**PARTIE 2 : ANALYSE TECHNIQUE DÉTAILLÉE**</w:t>
      </w:r>
    </w:p>
    <w:p>
      <w:pPr>
        <w:spacing w:after="120" w:line="276" w:lineRule="auto"/>
      </w:pPr>
      <w:r>
        <w:t>**Moyennes Mobiles** : Le cours actuel (8 700 FCFA) se situe sous la MM20 (8 739,5 FCFA) et la MM50 (8 823,0 FCFA), signalant une tendance baissière à court et moyen terme. La configuration des MM en pente descendante confirme la décision de vente, suggérant une phase de correction après la récente hausse.</w:t>
      </w:r>
    </w:p>
    <w:p>
      <w:pPr>
        <w:spacing w:after="120" w:line="276" w:lineRule="auto"/>
      </w:pPr>
      <w:r>
        <w:t>**Bandes de Bollinger** : Le prix évolue à l'intérieur des bandes, entre la borne supérieure (9 038,2 FCFA) et inférieure (8 440,8 FCFA), avec une position légèrement au-dessus de la moyenne. La décision neutre reflète une volatilité modérée, le cours n'ayant pas encore atteint les extrêmes qui signaleraient un retournement.</w:t>
      </w:r>
    </w:p>
    <w:p>
      <w:pPr>
        <w:spacing w:after="120" w:line="276" w:lineRule="auto"/>
      </w:pPr>
      <w:r>
        <w:t>**MACD** : La valeur MACD (-70,064) et le signal (-70,986) sont négatifs mais très proches, avec une divergence légèrement positive. Cette configuration suggère un affaiblissement de la dynamique baissière, le momentum commençant à s'inverser, justifiant la décision d'achat.</w:t>
      </w:r>
    </w:p>
    <w:p>
      <w:pPr>
        <w:spacing w:after="120" w:line="276" w:lineRule="auto"/>
      </w:pPr>
      <w:r>
        <w:t>**RSI** : À 43,827, le RSI se situe en zone neutre (30-70), indiquant un équilibre entre pression acheteuse et vendeuse. Cette valeur ne montre ni surachat ni survente, laissant place à une évolution directionnelle sans contrainte technique majeure.</w:t>
      </w:r>
    </w:p>
    <w:p>
      <w:pPr>
        <w:spacing w:after="120" w:line="276" w:lineRule="auto"/>
      </w:pPr>
      <w:r>
        <w:t>**Stochastique** : Les valeurs %K (56,25) et %D (55,729) sont proches et en zone neutre, sans croisement significatif. Cette configuration indique une absence de signal directionnel fort, le marché étant dans une phase d'attente.</w:t>
      </w:r>
    </w:p>
    <w:p>
      <w:pPr>
        <w:spacing w:after="120" w:line="276" w:lineRule="auto"/>
      </w:pPr>
      <w:r>
        <w:t>**Conclusion technique** : Les indicateurs techniques présentent un tableau contrasté. Les moyennes mobiles suggèrent une correction, tandis que le MACD commence à montrer des signes de retournement haussier. Le RSI et le stochastique restent neutres. Cette divergence entre indicateurs de tendance et de momentum suggère une phase de consolidation, avec un potentiel de reprise si le MACD confirme son signal positif.</w:t>
      </w:r>
    </w:p>
    <w:p>
      <w:pPr>
        <w:spacing w:after="120" w:line="276" w:lineRule="auto" w:before="240"/>
      </w:pPr>
      <w:r>
        <w:rPr>
          <w:b/>
          <w:color w:val="003366"/>
          <w:sz w:val="24"/>
        </w:rPr>
        <w:t>**PARTIE 3 : ANALYSE FONDAMENTALE (SECTION CRITIQUE)**</w:t>
      </w:r>
    </w:p>
    <w:p>
      <w:pPr>
        <w:spacing w:after="120" w:line="276" w:lineRule="auto"/>
      </w:pPr>
      <w:r>
        <w:t>En 2025, BOAB affiche des fondamentaux solides avec un Produit Net Bancaire de 51,274 milliards FCFA et un résultat net de 20,107 milliards FCFA. Le ROE de 17,11% et le ROA de 2,08% démontrent une excellente rentabilité, tandis que le coefficient d'exploitation de 49,53% confirme l'efficacité opérationnelle de la banque. Le coût du risque de 22,50% reste élevé, signalant un portefeuille de crédits nécessitant une surveillance. Le ratio dépôts/crédits (711,6 Mds/391,7 Mds) montre une transformation saine. Les rapports trimestriels 2025 confirment cette dynamique : le T1 2025 (PNB 11,081 Mds, +1,7%) et le S1 2025 (PNB 24,556 Mds, +5,91%) montrent une progression régulière, avec un ROE de 20,3% au S1. Le T3 2025 est particulièrement encourageant avec un PNB de 37,065 Mds (+9%) et un résultat net de 15,880 Mds (+13%). Sur la base de ces tendances, on estime que l'exercice 2025 devrait dépasser les 20 milliards de résultat net, confirmant la solidité de la banque. Le rapport T1 2026 (PNB +11% à 12,329 Mds) suggère une poursuite de la croissance, malgré une contraction des crédits (-10%) et des dépôts (-5%) au T3 2025, attribuée à des remboursements anticipés cycliques.</w:t>
      </w:r>
    </w:p>
    <w:p>
      <w:pPr>
        <w:spacing w:after="120" w:line="276" w:lineRule="auto" w:before="240"/>
      </w:pPr>
      <w:r>
        <w:rPr>
          <w:b/>
          <w:color w:val="003366"/>
          <w:sz w:val="24"/>
        </w:rPr>
        <w:t>**PARTIE 4 : CONCLUSION D'INVESTISSEMENT**</w:t>
      </w:r>
    </w:p>
    <w:p>
      <w:pPr>
        <w:spacing w:after="120" w:line="276" w:lineRule="auto"/>
      </w:pPr>
      <w:r>
        <w:t>La valorisation de BOAB (PER 17,5x, P/B 3,00x) apparaît exigeante mais justifiée par la qualité des fondamentaux, avec un ROE supérieur à 17% et une croissance soutenue du PNB. Le comportement du cours (+24,46% sur 100 jours) et la volatilité modérée (27,9%) sont favorables, malgré un skewness négatif indiquant des journées majoritairement au-dessus de la moyenne. Les signaux techniques sont mitigés (MM baissières, MACD positif), suggérant une consolidation à court terme. Les fondamentaux restent solides avec une croissance estimée du résultat net 2025 et des perspectives positives pour 2026 (PNB +11% au T1). Les prédictions IA (8 472 à 8 054 FCFA sur 10 jours) indiquent une correction modérée, potentiellement une opportunité d'achat. La convergence entre fondamentaux solides et correction technique temporaire justifie une recommandation **ACHAT** avec un niveau de confiance **Moyen** et un risque global **Moyen**. L'horizon optimal est le **moyen terme (3-12 mois)**, permettant de bénéficier de la croissance des bénéfices tout en absorbant la volatilité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312.40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6,213 titres</w:t>
            </w:r>
          </w:p>
        </w:tc>
        <w:tc>
          <w:tcPr>
            <w:tcW w:type="dxa" w:w="2268"/>
            <w:shd w:fill="FFF2CC" w:val="clear"/>
          </w:tcPr>
          <w:p>
            <w:r>
              <w:rPr>
                <w:b/>
                <w:color w:val="503200"/>
                <w:sz w:val="16"/>
              </w:rPr>
              <w:t xml:space="preserve">Cours actuel : </w:t>
            </w:r>
            <w:r>
              <w:rPr>
                <w:color w:val="000000"/>
                <w:sz w:val="17"/>
              </w:rPr>
              <w:t>7,100 FCFA</w:t>
            </w:r>
          </w:p>
          <w:p>
            <w:r>
              <w:rPr>
                <w:b/>
                <w:color w:val="503200"/>
                <w:sz w:val="16"/>
              </w:rPr>
              <w:t xml:space="preserve">Var. 100 jours : </w:t>
            </w:r>
            <w:r>
              <w:rPr>
                <w:b/>
                <w:color w:val="007800"/>
                <w:sz w:val="17"/>
              </w:rPr>
              <w:t>+51.06%</w:t>
            </w:r>
          </w:p>
          <w:p>
            <w:r>
              <w:rPr>
                <w:b/>
                <w:color w:val="503200"/>
                <w:sz w:val="16"/>
              </w:rPr>
              <w:t xml:space="preserve">Plus haut 100j : </w:t>
            </w:r>
            <w:r>
              <w:rPr>
                <w:color w:val="000000"/>
                <w:sz w:val="17"/>
              </w:rPr>
              <w:t>7,255 FCFA</w:t>
            </w:r>
          </w:p>
          <w:p>
            <w:r>
              <w:rPr>
                <w:b/>
                <w:color w:val="503200"/>
                <w:sz w:val="16"/>
              </w:rPr>
              <w:t xml:space="preserve">Plus bas 100j : </w:t>
            </w:r>
            <w:r>
              <w:rPr>
                <w:color w:val="000000"/>
                <w:sz w:val="17"/>
              </w:rPr>
              <w:t>4,655 FCFA</w:t>
            </w:r>
          </w:p>
          <w:p>
            <w:r>
              <w:rPr>
                <w:b/>
                <w:color w:val="503200"/>
                <w:sz w:val="16"/>
              </w:rPr>
              <w:t xml:space="preserve">Volatilité ann. : </w:t>
            </w:r>
            <w:r>
              <w:rPr>
                <w:color w:val="000000"/>
                <w:sz w:val="17"/>
              </w:rPr>
              <w:t>31.6%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10.26% (Moyenne) — μ=5,730 FCFA, σ=588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β=0.3283 (Défensif) — Cov=0.000012, Var(idx)=0.000036, ρ=0.099,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σ_j=1.99%/j (Stable) — Vol. annualisée≈31.6%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2026-08-03</w:t>
            </w:r>
          </w:p>
        </w:tc>
        <w:tc>
          <w:tcPr>
            <w:tcW w:type="dxa" w:w="1440"/>
            <w:shd w:fill="FAFAFA" w:val="clear"/>
          </w:tcPr>
          <w:p>
            <w:r>
              <w:rPr>
                <w:sz w:val="17"/>
              </w:rPr>
              <w:t>6,706</w:t>
            </w:r>
          </w:p>
        </w:tc>
        <w:tc>
          <w:tcPr>
            <w:tcW w:type="dxa" w:w="1440"/>
            <w:shd w:fill="FAFAFA" w:val="clear"/>
          </w:tcPr>
          <w:p>
            <w:r>
              <w:rPr>
                <w:b/>
                <w:sz w:val="17"/>
              </w:rPr>
              <w:t>6,970</w:t>
            </w:r>
          </w:p>
        </w:tc>
        <w:tc>
          <w:tcPr>
            <w:tcW w:type="dxa" w:w="1440"/>
            <w:shd w:fill="FAFAFA" w:val="clear"/>
          </w:tcPr>
          <w:p>
            <w:r>
              <w:rPr>
                <w:sz w:val="17"/>
              </w:rPr>
              <w:t>7,235</w:t>
            </w:r>
          </w:p>
        </w:tc>
        <w:tc>
          <w:tcPr>
            <w:tcW w:type="dxa" w:w="1440"/>
            <w:shd w:fill="FAFAFA" w:val="clear"/>
          </w:tcPr>
          <w:p>
            <w:r>
              <w:rPr>
                <w:b/>
                <w:color w:val="C00000"/>
                <w:sz w:val="17"/>
              </w:rPr>
              <w:t>-1.8%</w:t>
            </w:r>
          </w:p>
        </w:tc>
      </w:tr>
      <w:tr>
        <w:tc>
          <w:tcPr>
            <w:tcW w:type="dxa" w:w="1440"/>
            <w:shd w:fill="FFDCE0" w:val="clear"/>
          </w:tcPr>
          <w:p>
            <w:r>
              <w:rPr>
                <w:sz w:val="17"/>
              </w:rPr>
              <w:t>J+2  Moyenne</w:t>
            </w:r>
          </w:p>
        </w:tc>
        <w:tc>
          <w:tcPr>
            <w:tcW w:type="dxa" w:w="1440"/>
            <w:shd w:fill="FFDCE0" w:val="clear"/>
          </w:tcPr>
          <w:p>
            <w:r>
              <w:rPr>
                <w:sz w:val="17"/>
              </w:rPr>
              <w:t>2026-08-04</w:t>
            </w:r>
          </w:p>
        </w:tc>
        <w:tc>
          <w:tcPr>
            <w:tcW w:type="dxa" w:w="1440"/>
            <w:shd w:fill="FFDCE0" w:val="clear"/>
          </w:tcPr>
          <w:p>
            <w:r>
              <w:rPr>
                <w:sz w:val="17"/>
              </w:rPr>
              <w:t>6,511</w:t>
            </w:r>
          </w:p>
        </w:tc>
        <w:tc>
          <w:tcPr>
            <w:tcW w:type="dxa" w:w="1440"/>
            <w:shd w:fill="FFDCE0" w:val="clear"/>
          </w:tcPr>
          <w:p>
            <w:r>
              <w:rPr>
                <w:b/>
                <w:sz w:val="17"/>
              </w:rPr>
              <w:t>6,880</w:t>
            </w:r>
          </w:p>
        </w:tc>
        <w:tc>
          <w:tcPr>
            <w:tcW w:type="dxa" w:w="1440"/>
            <w:shd w:fill="FFDCE0" w:val="clear"/>
          </w:tcPr>
          <w:p>
            <w:r>
              <w:rPr>
                <w:sz w:val="17"/>
              </w:rPr>
              <w:t>7,249</w:t>
            </w:r>
          </w:p>
        </w:tc>
        <w:tc>
          <w:tcPr>
            <w:tcW w:type="dxa" w:w="1440"/>
            <w:shd w:fill="FFDCE0" w:val="clear"/>
          </w:tcPr>
          <w:p>
            <w:r>
              <w:rPr>
                <w:b/>
                <w:color w:val="C00000"/>
                <w:sz w:val="17"/>
              </w:rPr>
              <w:t>-3.1%</w:t>
            </w:r>
          </w:p>
        </w:tc>
      </w:tr>
      <w:tr>
        <w:tc>
          <w:tcPr>
            <w:tcW w:type="dxa" w:w="1440"/>
            <w:shd w:fill="FFDCE0" w:val="clear"/>
          </w:tcPr>
          <w:p>
            <w:r>
              <w:rPr>
                <w:sz w:val="17"/>
              </w:rPr>
              <w:t>J+3  Moyenne</w:t>
            </w:r>
          </w:p>
        </w:tc>
        <w:tc>
          <w:tcPr>
            <w:tcW w:type="dxa" w:w="1440"/>
            <w:shd w:fill="FFDCE0" w:val="clear"/>
          </w:tcPr>
          <w:p>
            <w:r>
              <w:rPr>
                <w:sz w:val="17"/>
              </w:rPr>
              <w:t>2026-08-05</w:t>
            </w:r>
          </w:p>
        </w:tc>
        <w:tc>
          <w:tcPr>
            <w:tcW w:type="dxa" w:w="1440"/>
            <w:shd w:fill="FFDCE0" w:val="clear"/>
          </w:tcPr>
          <w:p>
            <w:r>
              <w:rPr>
                <w:sz w:val="17"/>
              </w:rPr>
              <w:t>6,355</w:t>
            </w:r>
          </w:p>
        </w:tc>
        <w:tc>
          <w:tcPr>
            <w:tcW w:type="dxa" w:w="1440"/>
            <w:shd w:fill="FFDCE0" w:val="clear"/>
          </w:tcPr>
          <w:p>
            <w:r>
              <w:rPr>
                <w:b/>
                <w:sz w:val="17"/>
              </w:rPr>
              <w:t>6,802</w:t>
            </w:r>
          </w:p>
        </w:tc>
        <w:tc>
          <w:tcPr>
            <w:tcW w:type="dxa" w:w="1440"/>
            <w:shd w:fill="FFDCE0" w:val="clear"/>
          </w:tcPr>
          <w:p>
            <w:r>
              <w:rPr>
                <w:sz w:val="17"/>
              </w:rPr>
              <w:t>7,250</w:t>
            </w:r>
          </w:p>
        </w:tc>
        <w:tc>
          <w:tcPr>
            <w:tcW w:type="dxa" w:w="1440"/>
            <w:shd w:fill="FFDCE0" w:val="clear"/>
          </w:tcPr>
          <w:p>
            <w:r>
              <w:rPr>
                <w:b/>
                <w:color w:val="C00000"/>
                <w:sz w:val="17"/>
              </w:rPr>
              <w:t>-4.2%</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6,226</w:t>
            </w:r>
          </w:p>
        </w:tc>
        <w:tc>
          <w:tcPr>
            <w:tcW w:type="dxa" w:w="1440"/>
            <w:shd w:fill="FFDCE0" w:val="clear"/>
          </w:tcPr>
          <w:p>
            <w:r>
              <w:rPr>
                <w:b/>
                <w:sz w:val="17"/>
              </w:rPr>
              <w:t>6,737</w:t>
            </w:r>
          </w:p>
        </w:tc>
        <w:tc>
          <w:tcPr>
            <w:tcW w:type="dxa" w:w="1440"/>
            <w:shd w:fill="FFDCE0" w:val="clear"/>
          </w:tcPr>
          <w:p>
            <w:r>
              <w:rPr>
                <w:sz w:val="17"/>
              </w:rPr>
              <w:t>7,249</w:t>
            </w:r>
          </w:p>
        </w:tc>
        <w:tc>
          <w:tcPr>
            <w:tcW w:type="dxa" w:w="1440"/>
            <w:shd w:fill="FFDCE0" w:val="clear"/>
          </w:tcPr>
          <w:p>
            <w:r>
              <w:rPr>
                <w:b/>
                <w:color w:val="C00000"/>
                <w:sz w:val="17"/>
              </w:rPr>
              <w:t>-5.1%</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6,113</w:t>
            </w:r>
          </w:p>
        </w:tc>
        <w:tc>
          <w:tcPr>
            <w:tcW w:type="dxa" w:w="1440"/>
            <w:shd w:fill="FFDCE0" w:val="clear"/>
          </w:tcPr>
          <w:p>
            <w:r>
              <w:rPr>
                <w:b/>
                <w:sz w:val="17"/>
              </w:rPr>
              <w:t>6,680</w:t>
            </w:r>
          </w:p>
        </w:tc>
        <w:tc>
          <w:tcPr>
            <w:tcW w:type="dxa" w:w="1440"/>
            <w:shd w:fill="FFDCE0" w:val="clear"/>
          </w:tcPr>
          <w:p>
            <w:r>
              <w:rPr>
                <w:sz w:val="17"/>
              </w:rPr>
              <w:t>7,247</w:t>
            </w:r>
          </w:p>
        </w:tc>
        <w:tc>
          <w:tcPr>
            <w:tcW w:type="dxa" w:w="1440"/>
            <w:shd w:fill="FFDCE0" w:val="clear"/>
          </w:tcPr>
          <w:p>
            <w:r>
              <w:rPr>
                <w:b/>
                <w:color w:val="C00000"/>
                <w:sz w:val="17"/>
              </w:rPr>
              <w:t>-5.9%</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6,010</w:t>
            </w:r>
          </w:p>
        </w:tc>
        <w:tc>
          <w:tcPr>
            <w:tcW w:type="dxa" w:w="1440"/>
            <w:shd w:fill="FFDCE0" w:val="clear"/>
          </w:tcPr>
          <w:p>
            <w:r>
              <w:rPr>
                <w:b/>
                <w:sz w:val="17"/>
              </w:rPr>
              <w:t>6,626</w:t>
            </w:r>
          </w:p>
        </w:tc>
        <w:tc>
          <w:tcPr>
            <w:tcW w:type="dxa" w:w="1440"/>
            <w:shd w:fill="FFDCE0" w:val="clear"/>
          </w:tcPr>
          <w:p>
            <w:r>
              <w:rPr>
                <w:sz w:val="17"/>
              </w:rPr>
              <w:t>7,242</w:t>
            </w:r>
          </w:p>
        </w:tc>
        <w:tc>
          <w:tcPr>
            <w:tcW w:type="dxa" w:w="1440"/>
            <w:shd w:fill="FFDCE0" w:val="clear"/>
          </w:tcPr>
          <w:p>
            <w:r>
              <w:rPr>
                <w:b/>
                <w:color w:val="C00000"/>
                <w:sz w:val="17"/>
              </w:rPr>
              <w:t>-6.7%</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5,915</w:t>
            </w:r>
          </w:p>
        </w:tc>
        <w:tc>
          <w:tcPr>
            <w:tcW w:type="dxa" w:w="1440"/>
            <w:shd w:fill="FFDCE0" w:val="clear"/>
          </w:tcPr>
          <w:p>
            <w:r>
              <w:rPr>
                <w:b/>
                <w:sz w:val="17"/>
              </w:rPr>
              <w:t>6,576</w:t>
            </w:r>
          </w:p>
        </w:tc>
        <w:tc>
          <w:tcPr>
            <w:tcW w:type="dxa" w:w="1440"/>
            <w:shd w:fill="FFDCE0" w:val="clear"/>
          </w:tcPr>
          <w:p>
            <w:r>
              <w:rPr>
                <w:sz w:val="17"/>
              </w:rPr>
              <w:t>7,236</w:t>
            </w:r>
          </w:p>
        </w:tc>
        <w:tc>
          <w:tcPr>
            <w:tcW w:type="dxa" w:w="1440"/>
            <w:shd w:fill="FFDCE0" w:val="clear"/>
          </w:tcPr>
          <w:p>
            <w:r>
              <w:rPr>
                <w:b/>
                <w:color w:val="C00000"/>
                <w:sz w:val="17"/>
              </w:rPr>
              <w:t>-7.4%</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5,826</w:t>
            </w:r>
          </w:p>
        </w:tc>
        <w:tc>
          <w:tcPr>
            <w:tcW w:type="dxa" w:w="1440"/>
            <w:shd w:fill="FFDCE0" w:val="clear"/>
          </w:tcPr>
          <w:p>
            <w:r>
              <w:rPr>
                <w:b/>
                <w:sz w:val="17"/>
              </w:rPr>
              <w:t>6,527</w:t>
            </w:r>
          </w:p>
        </w:tc>
        <w:tc>
          <w:tcPr>
            <w:tcW w:type="dxa" w:w="1440"/>
            <w:shd w:fill="FFDCE0" w:val="clear"/>
          </w:tcPr>
          <w:p>
            <w:r>
              <w:rPr>
                <w:sz w:val="17"/>
              </w:rPr>
              <w:t>7,227</w:t>
            </w:r>
          </w:p>
        </w:tc>
        <w:tc>
          <w:tcPr>
            <w:tcW w:type="dxa" w:w="1440"/>
            <w:shd w:fill="FFDCE0" w:val="clear"/>
          </w:tcPr>
          <w:p>
            <w:r>
              <w:rPr>
                <w:b/>
                <w:color w:val="C00000"/>
                <w:sz w:val="17"/>
              </w:rPr>
              <w:t>-8.1%</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5,742</w:t>
            </w:r>
          </w:p>
        </w:tc>
        <w:tc>
          <w:tcPr>
            <w:tcW w:type="dxa" w:w="1440"/>
            <w:shd w:fill="FFDCE0" w:val="clear"/>
          </w:tcPr>
          <w:p>
            <w:r>
              <w:rPr>
                <w:b/>
                <w:sz w:val="17"/>
              </w:rPr>
              <w:t>6,479</w:t>
            </w:r>
          </w:p>
        </w:tc>
        <w:tc>
          <w:tcPr>
            <w:tcW w:type="dxa" w:w="1440"/>
            <w:shd w:fill="FFDCE0" w:val="clear"/>
          </w:tcPr>
          <w:p>
            <w:r>
              <w:rPr>
                <w:sz w:val="17"/>
              </w:rPr>
              <w:t>7,217</w:t>
            </w:r>
          </w:p>
        </w:tc>
        <w:tc>
          <w:tcPr>
            <w:tcW w:type="dxa" w:w="1440"/>
            <w:shd w:fill="FFDCE0" w:val="clear"/>
          </w:tcPr>
          <w:p>
            <w:r>
              <w:rPr>
                <w:b/>
                <w:color w:val="C00000"/>
                <w:sz w:val="17"/>
              </w:rPr>
              <w:t>-8.7%</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5,661</w:t>
            </w:r>
          </w:p>
        </w:tc>
        <w:tc>
          <w:tcPr>
            <w:tcW w:type="dxa" w:w="1440"/>
            <w:shd w:fill="FFDCE0" w:val="clear"/>
          </w:tcPr>
          <w:p>
            <w:r>
              <w:rPr>
                <w:b/>
                <w:sz w:val="17"/>
              </w:rPr>
              <w:t>6,434</w:t>
            </w:r>
          </w:p>
        </w:tc>
        <w:tc>
          <w:tcPr>
            <w:tcW w:type="dxa" w:w="1440"/>
            <w:shd w:fill="FFDCE0" w:val="clear"/>
          </w:tcPr>
          <w:p>
            <w:r>
              <w:rPr>
                <w:sz w:val="17"/>
              </w:rPr>
              <w:t>7,206</w:t>
            </w:r>
          </w:p>
        </w:tc>
        <w:tc>
          <w:tcPr>
            <w:tcW w:type="dxa" w:w="1440"/>
            <w:shd w:fill="FFDCE0" w:val="clear"/>
          </w:tcPr>
          <w:p>
            <w:r>
              <w:rPr>
                <w:b/>
                <w:color w:val="C00000"/>
                <w:sz w:val="17"/>
              </w:rPr>
              <w:t>-9.4%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31 juillet 2026**</w:t>
        <w:br/>
        <w:t>**Cours de référence : 7 100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BOABF s'établit à 312,40 milliards FCFA, ce qui en fait l'une des valeurs les plus significatives de la cote BRVM, reflétant son statut de banque systémique au Burkina Faso. Avec un BPA de 438 FCFA, le titre se négocie à un PER de 16,2x, nettement supérieur à la moyenne historique de la BRVM (8-12x). Cette décote de valorisation indique que les investisseurs intègrent déjà une prime de risque élevée, liée à la dégradation récente de la rentabilité et au contexte sécuritaire. Le P/B de 2,47x montre que le marché valorise la banque à plus de deux fois sa valeur comptable, ce qui est cohérent avec une prime de croissance, mais qui pourrait être remise en question si la dégradation des fondamentaux se poursuit. Enfin, l'EV/EBITDA de 6,8x, dans la fourchette basse des 5-10x, suggère que la valeur totale de l'entreprise reste raisonnable par rapport à sa capacité opérationnelle, offrant un certain soutien au cours actuel.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BOABF a enregistré une progression spectaculaire de +51,06%, passant d'un plus bas de 4 655 FCFA à un plus haut de 7 255 FCFA, avec une dernière séance stable à 7 100 FCFA. Cette tendance fortement haussière s'est accompagnée d'un volume moyen de 6 213 titres par jour, reflétant un intérêt soutenu des investisseurs. La moyenne du cours sur la période (5 730 FCFA) est supérieure à la médiane (5 582 FCFA), et le skewness positif de 1,421 indique une distribution asymétrique avec des journées plus fréquentes sous la moyenne, mais des pics de hausse marqués. L'écart-type de 591 FCFA (CV de 10,3%) traduit une dispersion modérée, tandis que le kurtosis excédentaire de 1,399 (leptokurtique) signale un risque de mouvements extrêmes. La volatilité annualisée de 31,6% classe le titre dans la catégorie des actifs à volatilité élevée, ce qui implique des fluctuations de prix importantes et un risque accru pour les investisseurs non avertis.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(7 100 FCFA) se positionne nettement au-dessus de la MM20 (6 733 FCFA) et de la MM50 (6 048 FCFA), confirmant une dynamique haussière de moyen terme. La configuration des MM, avec la MM20 au-dessus de la MM50, génère un signal d'achat, mais l'écart important entre le cours et les moyennes suggère une possible correction à court terme.</w:t>
      </w:r>
    </w:p>
    <w:p>
      <w:pPr>
        <w:spacing w:after="120" w:line="276" w:lineRule="auto"/>
      </w:pPr>
      <w:r>
        <w:t>**Bandes de Bollinger :** Le prix évolue dans la partie supérieure des bandes, proche de la borne haute (7 786 FCFA) et loin de la borne basse (5 680 FCFA). Cette configuration indique une volatilité élevée et une pression acheteuse dominante. Le signal est neutre, car le cours n'a pas encore touché la borne supérieure, mais la proximité de celle-ci pourrait limiter le potentiel de hausse immédiat.</w:t>
      </w:r>
    </w:p>
    <w:p>
      <w:pPr>
        <w:spacing w:after="120" w:line="276" w:lineRule="auto"/>
      </w:pPr>
      <w:r>
        <w:t>**MACD :** Le MACD (343,41) est positif mais légèrement inférieur à sa ligne de signal (355,08), indiquant un affaiblissement du momentum haussier. Cette divergence baissière suggère que la dynamique positive s'essouffle, ce qui justifie un signal de vente prudent.</w:t>
      </w:r>
    </w:p>
    <w:p>
      <w:pPr>
        <w:spacing w:after="120" w:line="276" w:lineRule="auto"/>
      </w:pPr>
      <w:r>
        <w:t>**RSI :** Avec une valeur de 71,74, le RSI est entré en zone de surachat (&gt;70). Cela indique que le titre est techniquement surévalué à court terme et qu'un repli est probable. Le signal de vente est donc cohérent avec cette lecture.</w:t>
      </w:r>
    </w:p>
    <w:p>
      <w:pPr>
        <w:spacing w:after="120" w:line="276" w:lineRule="auto"/>
      </w:pPr>
      <w:r>
        <w:t>**Stochastique :** Le %K (82,87) et le %D (85,53) sont tous deux en zone de surachat, avec un %K sous le %D, suggérant un croisement baissier imminent. Ce signal de vente renforce l'idée d'une consolidation technique après la forte hausse.</w:t>
      </w:r>
    </w:p>
    <w:p>
      <w:pPr>
        <w:spacing w:after="120" w:line="276" w:lineRule="auto"/>
      </w:pPr>
      <w:r>
        <w:t>**Conclusion technique :** Les indicateurs de tendance (MM) restent positifs, mais les oscillateurs (RSI, Stochastique, MACD) signalent tous une situation de surachat et un essoufflement du momentum. La convergence de ces signaux suggère une forte probabilité de correction ou de consolidation à court terme, malgré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BOABF montrent un Produit Net Bancaire (PNB) de 57,82 milliards FCFA, en légère croissance de 0,57% par rapport à l'exercice précédent, et un résultat net de 19,25 milliards FCFA. Le ROE s'établit à 15,22%, un niveau considéré comme excellent, et le ROA à 1,68%. Le coefficient d'exploitation de 47,19% témoigne d'une excellente maîtrise des charges opérationnelles. Cependant, le coût du risque, représentant 33,92% des charges financières, est élevé, signalant une dégradation de la qualité du portefeuille de crédits. Les rapports trimestriels de 2025 confirment cette tendance : au T1, le résultat net a baissé de 16,6% (5,20 Mds FCFA) ; au S1, il a chuté de 37,7% (8,23 Mds FCFA) en raison d'une explosion du coût du risque de 1336,7% ; et sur 9 mois, la baisse atteint 27,69% (13,45 Mds FCFA). Le rapport T1 2026, publié récemment, montre une poursuite de la dégradation avec un PNB en baisse de 10,75% (12,69 Mds FCFA) et un résultat net en recul de 12,99% (4,52 Mds FCFA). On estime que l'exercice 2026 pourrait voir un résultat net annuel compris entre 15 et 17 milliards FCFA, si la tendance actuelle se maintient. La banque reste solide avec des dépôts en croissance (+6,3% au T1 2026), mais la stagnation des crédits (-1,2%) et la pression continue du coût du risque constituent des points de vigilance majeurs.</w:t>
      </w:r>
    </w:p>
    <w:p>
      <w:pPr>
        <w:spacing w:after="120" w:line="276" w:lineRule="auto"/>
      </w:pPr>
      <w:r>
        <w:t>---</w:t>
      </w:r>
    </w:p>
    <w:p>
      <w:pPr>
        <w:spacing w:after="120" w:line="276" w:lineRule="auto"/>
      </w:pPr>
      <w:r>
        <w:t>### PARTIE 4 : CONCLUSION D'INVESTISSEMENT</w:t>
      </w:r>
    </w:p>
    <w:p>
      <w:pPr>
        <w:spacing w:after="120" w:line="276" w:lineRule="auto"/>
      </w:pPr>
      <w:r>
        <w:t>La valorisation de BOABF (PER 16,2x, P/B 2,47x) est exigeante au regard de la dégradation des fondamentaux, mais l'EV/EBITDA (6,8x) reste raisonnable. Le comportement du cours (+51% sur 100 jours) est haussier, mais la volatilité élevée (31,6%) et les statistiques (kurtosis leptokurtique) signalent un risque de retournement brutal. Les signaux techniques sont clairement baissiers à court terme (RSI, Stochastique, MACD en surachat), suggérant une correction probable. Les fondamentaux, bien que solides (ROE &gt;15%, coefficient d'exploitation excellent), montrent une dégradation nette de la rentabilité due au coût du risque, avec des perspectives 2026 encore incertaines. Les prédictions IA (baisse progressive vers 6 680 FCFA sur 10 jours) confirment cette anticipation de correction. En synthèse, la convergence des signaux techniques et des prédictions IA, contrastant avec une valorisation élevée et des fondamentaux en déclin, conduit à une recommandation de **CONSERVER** avec un niveau de confiance **Moyen**. Le risque global est **Élevé** en raison de la volatilité et du contexte sécuritaire. L'horizon d'investissement optimal est le **moyen terme (3-12 mois)**, en attendant une stabilisation des indicateurs de rentabilité et une meilleure visibilité sur la qualité du portefeuille de crédits.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432.60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14,309 titres</w:t>
            </w:r>
          </w:p>
        </w:tc>
        <w:tc>
          <w:tcPr>
            <w:tcW w:type="dxa" w:w="2268"/>
            <w:shd w:fill="FFF2CC" w:val="clear"/>
          </w:tcPr>
          <w:p>
            <w:r>
              <w:rPr>
                <w:b/>
                <w:color w:val="503200"/>
                <w:sz w:val="16"/>
              </w:rPr>
              <w:t xml:space="preserve">Cours actuel : </w:t>
            </w:r>
            <w:r>
              <w:rPr>
                <w:color w:val="000000"/>
                <w:sz w:val="17"/>
              </w:rPr>
              <w:t>10,815 FCFA</w:t>
            </w:r>
          </w:p>
          <w:p>
            <w:r>
              <w:rPr>
                <w:b/>
                <w:color w:val="503200"/>
                <w:sz w:val="16"/>
              </w:rPr>
              <w:t xml:space="preserve">Var. 100 jours : </w:t>
            </w:r>
            <w:r>
              <w:rPr>
                <w:b/>
                <w:color w:val="007800"/>
                <w:sz w:val="17"/>
              </w:rPr>
              <w:t>+35.02%</w:t>
            </w:r>
          </w:p>
          <w:p>
            <w:r>
              <w:rPr>
                <w:b/>
                <w:color w:val="503200"/>
                <w:sz w:val="16"/>
              </w:rPr>
              <w:t xml:space="preserve">Plus haut 100j : </w:t>
            </w:r>
            <w:r>
              <w:rPr>
                <w:color w:val="000000"/>
                <w:sz w:val="17"/>
              </w:rPr>
              <w:t>11,195 FCFA</w:t>
            </w:r>
          </w:p>
          <w:p>
            <w:r>
              <w:rPr>
                <w:b/>
                <w:color w:val="503200"/>
                <w:sz w:val="16"/>
              </w:rPr>
              <w:t xml:space="preserve">Plus bas 100j : </w:t>
            </w:r>
            <w:r>
              <w:rPr>
                <w:color w:val="000000"/>
                <w:sz w:val="17"/>
              </w:rPr>
              <w:t>8,010 FCFA</w:t>
            </w:r>
          </w:p>
          <w:p>
            <w:r>
              <w:rPr>
                <w:b/>
                <w:color w:val="503200"/>
                <w:sz w:val="16"/>
              </w:rPr>
              <w:t xml:space="preserve">Volatilité ann. : </w:t>
            </w:r>
            <w:r>
              <w:rPr>
                <w:color w:val="000000"/>
                <w:sz w:val="17"/>
              </w:rPr>
              <w:t>26.8%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6.72% (Moyenne) — μ=9,022 FCFA, σ=606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β=0.6322 (Défensif) — Cov=0.000023, Var(idx)=0.000036, ρ=0.227,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14,309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σ_j=1.69%/j (Stable) — Vol. annualisée≈26.8%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2026-08-03</w:t>
            </w:r>
          </w:p>
        </w:tc>
        <w:tc>
          <w:tcPr>
            <w:tcW w:type="dxa" w:w="1440"/>
            <w:shd w:fill="FFDCE0" w:val="clear"/>
          </w:tcPr>
          <w:p>
            <w:r>
              <w:rPr>
                <w:sz w:val="17"/>
              </w:rPr>
              <w:t>10,092</w:t>
            </w:r>
          </w:p>
        </w:tc>
        <w:tc>
          <w:tcPr>
            <w:tcW w:type="dxa" w:w="1440"/>
            <w:shd w:fill="FFDCE0" w:val="clear"/>
          </w:tcPr>
          <w:p>
            <w:r>
              <w:rPr>
                <w:b/>
                <w:sz w:val="17"/>
              </w:rPr>
              <w:t>10,382</w:t>
            </w:r>
          </w:p>
        </w:tc>
        <w:tc>
          <w:tcPr>
            <w:tcW w:type="dxa" w:w="1440"/>
            <w:shd w:fill="FFDCE0" w:val="clear"/>
          </w:tcPr>
          <w:p>
            <w:r>
              <w:rPr>
                <w:sz w:val="17"/>
              </w:rPr>
              <w:t>10,673</w:t>
            </w:r>
          </w:p>
        </w:tc>
        <w:tc>
          <w:tcPr>
            <w:tcW w:type="dxa" w:w="1440"/>
            <w:shd w:fill="FFDCE0" w:val="clear"/>
          </w:tcPr>
          <w:p>
            <w:r>
              <w:rPr>
                <w:b/>
                <w:color w:val="C00000"/>
                <w:sz w:val="17"/>
              </w:rPr>
              <w:t>-4.0%</w:t>
            </w:r>
          </w:p>
        </w:tc>
      </w:tr>
      <w:tr>
        <w:tc>
          <w:tcPr>
            <w:tcW w:type="dxa" w:w="1440"/>
            <w:shd w:fill="FFDCE0" w:val="clear"/>
          </w:tcPr>
          <w:p>
            <w:r>
              <w:rPr>
                <w:sz w:val="17"/>
              </w:rPr>
              <w:t>J+2  ⭐⭐⭐</w:t>
            </w:r>
          </w:p>
        </w:tc>
        <w:tc>
          <w:tcPr>
            <w:tcW w:type="dxa" w:w="1440"/>
            <w:shd w:fill="FFDCE0" w:val="clear"/>
          </w:tcPr>
          <w:p>
            <w:r>
              <w:rPr>
                <w:sz w:val="17"/>
              </w:rPr>
              <w:t>2026-08-04</w:t>
            </w:r>
          </w:p>
        </w:tc>
        <w:tc>
          <w:tcPr>
            <w:tcW w:type="dxa" w:w="1440"/>
            <w:shd w:fill="FFDCE0" w:val="clear"/>
          </w:tcPr>
          <w:p>
            <w:r>
              <w:rPr>
                <w:sz w:val="17"/>
              </w:rPr>
              <w:t>9,680</w:t>
            </w:r>
          </w:p>
        </w:tc>
        <w:tc>
          <w:tcPr>
            <w:tcW w:type="dxa" w:w="1440"/>
            <w:shd w:fill="FFDCE0" w:val="clear"/>
          </w:tcPr>
          <w:p>
            <w:r>
              <w:rPr>
                <w:b/>
                <w:sz w:val="17"/>
              </w:rPr>
              <w:t>10,079</w:t>
            </w:r>
          </w:p>
        </w:tc>
        <w:tc>
          <w:tcPr>
            <w:tcW w:type="dxa" w:w="1440"/>
            <w:shd w:fill="FFDCE0" w:val="clear"/>
          </w:tcPr>
          <w:p>
            <w:r>
              <w:rPr>
                <w:sz w:val="17"/>
              </w:rPr>
              <w:t>10,478</w:t>
            </w:r>
          </w:p>
        </w:tc>
        <w:tc>
          <w:tcPr>
            <w:tcW w:type="dxa" w:w="1440"/>
            <w:shd w:fill="FFDCE0" w:val="clear"/>
          </w:tcPr>
          <w:p>
            <w:r>
              <w:rPr>
                <w:b/>
                <w:color w:val="C00000"/>
                <w:sz w:val="17"/>
              </w:rPr>
              <w:t>-6.8%</w:t>
            </w:r>
          </w:p>
        </w:tc>
      </w:tr>
      <w:tr>
        <w:tc>
          <w:tcPr>
            <w:tcW w:type="dxa" w:w="1440"/>
            <w:shd w:fill="FFDCE0" w:val="clear"/>
          </w:tcPr>
          <w:p>
            <w:r>
              <w:rPr>
                <w:sz w:val="17"/>
              </w:rPr>
              <w:t>J+3  ⭐⭐⭐</w:t>
            </w:r>
          </w:p>
        </w:tc>
        <w:tc>
          <w:tcPr>
            <w:tcW w:type="dxa" w:w="1440"/>
            <w:shd w:fill="FFDCE0" w:val="clear"/>
          </w:tcPr>
          <w:p>
            <w:r>
              <w:rPr>
                <w:sz w:val="17"/>
              </w:rPr>
              <w:t>2026-08-05</w:t>
            </w:r>
          </w:p>
        </w:tc>
        <w:tc>
          <w:tcPr>
            <w:tcW w:type="dxa" w:w="1440"/>
            <w:shd w:fill="FFDCE0" w:val="clear"/>
          </w:tcPr>
          <w:p>
            <w:r>
              <w:rPr>
                <w:sz w:val="17"/>
              </w:rPr>
              <w:t>9,302</w:t>
            </w:r>
          </w:p>
        </w:tc>
        <w:tc>
          <w:tcPr>
            <w:tcW w:type="dxa" w:w="1440"/>
            <w:shd w:fill="FFDCE0" w:val="clear"/>
          </w:tcPr>
          <w:p>
            <w:r>
              <w:rPr>
                <w:b/>
                <w:sz w:val="17"/>
              </w:rPr>
              <w:t>9,775</w:t>
            </w:r>
          </w:p>
        </w:tc>
        <w:tc>
          <w:tcPr>
            <w:tcW w:type="dxa" w:w="1440"/>
            <w:shd w:fill="FFDCE0" w:val="clear"/>
          </w:tcPr>
          <w:p>
            <w:r>
              <w:rPr>
                <w:sz w:val="17"/>
              </w:rPr>
              <w:t>10,249</w:t>
            </w:r>
          </w:p>
        </w:tc>
        <w:tc>
          <w:tcPr>
            <w:tcW w:type="dxa" w:w="1440"/>
            <w:shd w:fill="FFDCE0" w:val="clear"/>
          </w:tcPr>
          <w:p>
            <w:r>
              <w:rPr>
                <w:b/>
                <w:color w:val="C00000"/>
                <w:sz w:val="17"/>
              </w:rPr>
              <w:t>-9.6%</w:t>
            </w:r>
          </w:p>
        </w:tc>
      </w:tr>
      <w:tr>
        <w:tc>
          <w:tcPr>
            <w:tcW w:type="dxa" w:w="1440"/>
            <w:shd w:fill="FFDCE0" w:val="clear"/>
          </w:tcPr>
          <w:p>
            <w:r>
              <w:rPr>
                <w:sz w:val="17"/>
              </w:rPr>
              <w:t>J+4  Moyenne</w:t>
            </w:r>
          </w:p>
        </w:tc>
        <w:tc>
          <w:tcPr>
            <w:tcW w:type="dxa" w:w="1440"/>
            <w:shd w:fill="FFDCE0" w:val="clear"/>
          </w:tcPr>
          <w:p>
            <w:r>
              <w:rPr>
                <w:sz w:val="17"/>
              </w:rPr>
              <w:t>2026-08-06</w:t>
            </w:r>
          </w:p>
        </w:tc>
        <w:tc>
          <w:tcPr>
            <w:tcW w:type="dxa" w:w="1440"/>
            <w:shd w:fill="FFDCE0" w:val="clear"/>
          </w:tcPr>
          <w:p>
            <w:r>
              <w:rPr>
                <w:sz w:val="17"/>
              </w:rPr>
              <w:t>8,968</w:t>
            </w:r>
          </w:p>
        </w:tc>
        <w:tc>
          <w:tcPr>
            <w:tcW w:type="dxa" w:w="1440"/>
            <w:shd w:fill="FFDCE0" w:val="clear"/>
          </w:tcPr>
          <w:p>
            <w:r>
              <w:rPr>
                <w:b/>
                <w:sz w:val="17"/>
              </w:rPr>
              <w:t>9,500</w:t>
            </w:r>
          </w:p>
        </w:tc>
        <w:tc>
          <w:tcPr>
            <w:tcW w:type="dxa" w:w="1440"/>
            <w:shd w:fill="FFDCE0" w:val="clear"/>
          </w:tcPr>
          <w:p>
            <w:r>
              <w:rPr>
                <w:sz w:val="17"/>
              </w:rPr>
              <w:t>10,031</w:t>
            </w:r>
          </w:p>
        </w:tc>
        <w:tc>
          <w:tcPr>
            <w:tcW w:type="dxa" w:w="1440"/>
            <w:shd w:fill="FFDCE0" w:val="clear"/>
          </w:tcPr>
          <w:p>
            <w:r>
              <w:rPr>
                <w:b/>
                <w:color w:val="C00000"/>
                <w:sz w:val="17"/>
              </w:rPr>
              <w:t>-12.2%</w:t>
            </w:r>
          </w:p>
        </w:tc>
      </w:tr>
      <w:tr>
        <w:tc>
          <w:tcPr>
            <w:tcW w:type="dxa" w:w="1440"/>
            <w:shd w:fill="FFDCE0" w:val="clear"/>
          </w:tcPr>
          <w:p>
            <w:r>
              <w:rPr>
                <w:sz w:val="17"/>
              </w:rPr>
              <w:t>J+5  Moyenne</w:t>
            </w:r>
          </w:p>
        </w:tc>
        <w:tc>
          <w:tcPr>
            <w:tcW w:type="dxa" w:w="1440"/>
            <w:shd w:fill="FFDCE0" w:val="clear"/>
          </w:tcPr>
          <w:p>
            <w:r>
              <w:rPr>
                <w:sz w:val="17"/>
              </w:rPr>
              <w:t>2026-08-10</w:t>
            </w:r>
          </w:p>
        </w:tc>
        <w:tc>
          <w:tcPr>
            <w:tcW w:type="dxa" w:w="1440"/>
            <w:shd w:fill="FFDCE0" w:val="clear"/>
          </w:tcPr>
          <w:p>
            <w:r>
              <w:rPr>
                <w:sz w:val="17"/>
              </w:rPr>
              <w:t>8,674</w:t>
            </w:r>
          </w:p>
        </w:tc>
        <w:tc>
          <w:tcPr>
            <w:tcW w:type="dxa" w:w="1440"/>
            <w:shd w:fill="FFDCE0" w:val="clear"/>
          </w:tcPr>
          <w:p>
            <w:r>
              <w:rPr>
                <w:b/>
                <w:sz w:val="17"/>
              </w:rPr>
              <w:t>9,252</w:t>
            </w:r>
          </w:p>
        </w:tc>
        <w:tc>
          <w:tcPr>
            <w:tcW w:type="dxa" w:w="1440"/>
            <w:shd w:fill="FFDCE0" w:val="clear"/>
          </w:tcPr>
          <w:p>
            <w:r>
              <w:rPr>
                <w:sz w:val="17"/>
              </w:rPr>
              <w:t>9,831</w:t>
            </w:r>
          </w:p>
        </w:tc>
        <w:tc>
          <w:tcPr>
            <w:tcW w:type="dxa" w:w="1440"/>
            <w:shd w:fill="FFDCE0" w:val="clear"/>
          </w:tcPr>
          <w:p>
            <w:r>
              <w:rPr>
                <w:b/>
                <w:color w:val="C00000"/>
                <w:sz w:val="17"/>
              </w:rPr>
              <w:t>-14.4%</w:t>
            </w:r>
          </w:p>
        </w:tc>
      </w:tr>
      <w:tr>
        <w:tc>
          <w:tcPr>
            <w:tcW w:type="dxa" w:w="1440"/>
            <w:shd w:fill="FFDCE0" w:val="clear"/>
          </w:tcPr>
          <w:p>
            <w:r>
              <w:rPr>
                <w:sz w:val="17"/>
              </w:rPr>
              <w:t>J+6  Moyenne</w:t>
            </w:r>
          </w:p>
        </w:tc>
        <w:tc>
          <w:tcPr>
            <w:tcW w:type="dxa" w:w="1440"/>
            <w:shd w:fill="FFDCE0" w:val="clear"/>
          </w:tcPr>
          <w:p>
            <w:r>
              <w:rPr>
                <w:sz w:val="17"/>
              </w:rPr>
              <w:t>2026-08-11</w:t>
            </w:r>
          </w:p>
        </w:tc>
        <w:tc>
          <w:tcPr>
            <w:tcW w:type="dxa" w:w="1440"/>
            <w:shd w:fill="FFDCE0" w:val="clear"/>
          </w:tcPr>
          <w:p>
            <w:r>
              <w:rPr>
                <w:sz w:val="17"/>
              </w:rPr>
              <w:t>8,412</w:t>
            </w:r>
          </w:p>
        </w:tc>
        <w:tc>
          <w:tcPr>
            <w:tcW w:type="dxa" w:w="1440"/>
            <w:shd w:fill="FFDCE0" w:val="clear"/>
          </w:tcPr>
          <w:p>
            <w:r>
              <w:rPr>
                <w:b/>
                <w:sz w:val="17"/>
              </w:rPr>
              <w:t>9,031</w:t>
            </w:r>
          </w:p>
        </w:tc>
        <w:tc>
          <w:tcPr>
            <w:tcW w:type="dxa" w:w="1440"/>
            <w:shd w:fill="FFDCE0" w:val="clear"/>
          </w:tcPr>
          <w:p>
            <w:r>
              <w:rPr>
                <w:sz w:val="17"/>
              </w:rPr>
              <w:t>9,650</w:t>
            </w:r>
          </w:p>
        </w:tc>
        <w:tc>
          <w:tcPr>
            <w:tcW w:type="dxa" w:w="1440"/>
            <w:shd w:fill="FFDCE0" w:val="clear"/>
          </w:tcPr>
          <w:p>
            <w:r>
              <w:rPr>
                <w:b/>
                <w:color w:val="C00000"/>
                <w:sz w:val="17"/>
              </w:rPr>
              <w:t>-16.5%</w:t>
            </w:r>
          </w:p>
        </w:tc>
      </w:tr>
      <w:tr>
        <w:tc>
          <w:tcPr>
            <w:tcW w:type="dxa" w:w="1440"/>
            <w:shd w:fill="FFDCE0" w:val="clear"/>
          </w:tcPr>
          <w:p>
            <w:r>
              <w:rPr>
                <w:sz w:val="17"/>
              </w:rPr>
              <w:t>J+7  Moyenne</w:t>
            </w:r>
          </w:p>
        </w:tc>
        <w:tc>
          <w:tcPr>
            <w:tcW w:type="dxa" w:w="1440"/>
            <w:shd w:fill="FFDCE0" w:val="clear"/>
          </w:tcPr>
          <w:p>
            <w:r>
              <w:rPr>
                <w:sz w:val="17"/>
              </w:rPr>
              <w:t>2026-08-12</w:t>
            </w:r>
          </w:p>
        </w:tc>
        <w:tc>
          <w:tcPr>
            <w:tcW w:type="dxa" w:w="1440"/>
            <w:shd w:fill="FFDCE0" w:val="clear"/>
          </w:tcPr>
          <w:p>
            <w:r>
              <w:rPr>
                <w:sz w:val="17"/>
              </w:rPr>
              <w:t>8,180</w:t>
            </w:r>
          </w:p>
        </w:tc>
        <w:tc>
          <w:tcPr>
            <w:tcW w:type="dxa" w:w="1440"/>
            <w:shd w:fill="FFDCE0" w:val="clear"/>
          </w:tcPr>
          <w:p>
            <w:r>
              <w:rPr>
                <w:b/>
                <w:sz w:val="17"/>
              </w:rPr>
              <w:t>8,833</w:t>
            </w:r>
          </w:p>
        </w:tc>
        <w:tc>
          <w:tcPr>
            <w:tcW w:type="dxa" w:w="1440"/>
            <w:shd w:fill="FFDCE0" w:val="clear"/>
          </w:tcPr>
          <w:p>
            <w:r>
              <w:rPr>
                <w:sz w:val="17"/>
              </w:rPr>
              <w:t>9,487</w:t>
            </w:r>
          </w:p>
        </w:tc>
        <w:tc>
          <w:tcPr>
            <w:tcW w:type="dxa" w:w="1440"/>
            <w:shd w:fill="FFDCE0" w:val="clear"/>
          </w:tcPr>
          <w:p>
            <w:r>
              <w:rPr>
                <w:b/>
                <w:color w:val="C00000"/>
                <w:sz w:val="17"/>
              </w:rPr>
              <w:t>-18.3%</w:t>
            </w:r>
          </w:p>
        </w:tc>
      </w:tr>
      <w:tr>
        <w:tc>
          <w:tcPr>
            <w:tcW w:type="dxa" w:w="1440"/>
            <w:shd w:fill="FFDCE0" w:val="clear"/>
          </w:tcPr>
          <w:p>
            <w:r>
              <w:rPr>
                <w:sz w:val="17"/>
              </w:rPr>
              <w:t>J+8  Moyenne</w:t>
            </w:r>
          </w:p>
        </w:tc>
        <w:tc>
          <w:tcPr>
            <w:tcW w:type="dxa" w:w="1440"/>
            <w:shd w:fill="FFDCE0" w:val="clear"/>
          </w:tcPr>
          <w:p>
            <w:r>
              <w:rPr>
                <w:sz w:val="17"/>
              </w:rPr>
              <w:t>2026-08-13</w:t>
            </w:r>
          </w:p>
        </w:tc>
        <w:tc>
          <w:tcPr>
            <w:tcW w:type="dxa" w:w="1440"/>
            <w:shd w:fill="FFDCE0" w:val="clear"/>
          </w:tcPr>
          <w:p>
            <w:r>
              <w:rPr>
                <w:sz w:val="17"/>
              </w:rPr>
              <w:t>7,970</w:t>
            </w:r>
          </w:p>
        </w:tc>
        <w:tc>
          <w:tcPr>
            <w:tcW w:type="dxa" w:w="1440"/>
            <w:shd w:fill="FFDCE0" w:val="clear"/>
          </w:tcPr>
          <w:p>
            <w:r>
              <w:rPr>
                <w:b/>
                <w:sz w:val="17"/>
              </w:rPr>
              <w:t>8,655</w:t>
            </w:r>
          </w:p>
        </w:tc>
        <w:tc>
          <w:tcPr>
            <w:tcW w:type="dxa" w:w="1440"/>
            <w:shd w:fill="FFDCE0" w:val="clear"/>
          </w:tcPr>
          <w:p>
            <w:r>
              <w:rPr>
                <w:sz w:val="17"/>
              </w:rPr>
              <w:t>9,340</w:t>
            </w:r>
          </w:p>
        </w:tc>
        <w:tc>
          <w:tcPr>
            <w:tcW w:type="dxa" w:w="1440"/>
            <w:shd w:fill="FFDCE0" w:val="clear"/>
          </w:tcPr>
          <w:p>
            <w:r>
              <w:rPr>
                <w:b/>
                <w:color w:val="C00000"/>
                <w:sz w:val="17"/>
              </w:rPr>
              <w:t>-20.0%</w:t>
            </w:r>
          </w:p>
        </w:tc>
      </w:tr>
      <w:tr>
        <w:tc>
          <w:tcPr>
            <w:tcW w:type="dxa" w:w="1440"/>
            <w:shd w:fill="FFDCE0" w:val="clear"/>
          </w:tcPr>
          <w:p>
            <w:r>
              <w:rPr>
                <w:sz w:val="17"/>
              </w:rPr>
              <w:t>J+9  Moyenne</w:t>
            </w:r>
          </w:p>
        </w:tc>
        <w:tc>
          <w:tcPr>
            <w:tcW w:type="dxa" w:w="1440"/>
            <w:shd w:fill="FFDCE0" w:val="clear"/>
          </w:tcPr>
          <w:p>
            <w:r>
              <w:rPr>
                <w:sz w:val="17"/>
              </w:rPr>
              <w:t>2026-08-14</w:t>
            </w:r>
          </w:p>
        </w:tc>
        <w:tc>
          <w:tcPr>
            <w:tcW w:type="dxa" w:w="1440"/>
            <w:shd w:fill="FFDCE0" w:val="clear"/>
          </w:tcPr>
          <w:p>
            <w:r>
              <w:rPr>
                <w:sz w:val="17"/>
              </w:rPr>
              <w:t>7,782</w:t>
            </w:r>
          </w:p>
        </w:tc>
        <w:tc>
          <w:tcPr>
            <w:tcW w:type="dxa" w:w="1440"/>
            <w:shd w:fill="FFDCE0" w:val="clear"/>
          </w:tcPr>
          <w:p>
            <w:r>
              <w:rPr>
                <w:b/>
                <w:sz w:val="17"/>
              </w:rPr>
              <w:t>8,495</w:t>
            </w:r>
          </w:p>
        </w:tc>
        <w:tc>
          <w:tcPr>
            <w:tcW w:type="dxa" w:w="1440"/>
            <w:shd w:fill="FFDCE0" w:val="clear"/>
          </w:tcPr>
          <w:p>
            <w:r>
              <w:rPr>
                <w:sz w:val="17"/>
              </w:rPr>
              <w:t>9,207</w:t>
            </w:r>
          </w:p>
        </w:tc>
        <w:tc>
          <w:tcPr>
            <w:tcW w:type="dxa" w:w="1440"/>
            <w:shd w:fill="FFDCE0" w:val="clear"/>
          </w:tcPr>
          <w:p>
            <w:r>
              <w:rPr>
                <w:b/>
                <w:color w:val="C00000"/>
                <w:sz w:val="17"/>
              </w:rPr>
              <w:t>-21.5%</w:t>
            </w:r>
          </w:p>
        </w:tc>
      </w:tr>
      <w:tr>
        <w:tc>
          <w:tcPr>
            <w:tcW w:type="dxa" w:w="1440"/>
            <w:shd w:fill="FFDCE0" w:val="clear"/>
          </w:tcPr>
          <w:p>
            <w:r>
              <w:rPr>
                <w:sz w:val="17"/>
              </w:rPr>
              <w:t>J+10  Moyenne</w:t>
            </w:r>
          </w:p>
        </w:tc>
        <w:tc>
          <w:tcPr>
            <w:tcW w:type="dxa" w:w="1440"/>
            <w:shd w:fill="FFDCE0" w:val="clear"/>
          </w:tcPr>
          <w:p>
            <w:r>
              <w:rPr>
                <w:sz w:val="17"/>
              </w:rPr>
              <w:t>2026-08-17</w:t>
            </w:r>
          </w:p>
        </w:tc>
        <w:tc>
          <w:tcPr>
            <w:tcW w:type="dxa" w:w="1440"/>
            <w:shd w:fill="FFDCE0" w:val="clear"/>
          </w:tcPr>
          <w:p>
            <w:r>
              <w:rPr>
                <w:sz w:val="17"/>
              </w:rPr>
              <w:t>7,610</w:t>
            </w:r>
          </w:p>
        </w:tc>
        <w:tc>
          <w:tcPr>
            <w:tcW w:type="dxa" w:w="1440"/>
            <w:shd w:fill="FFDCE0" w:val="clear"/>
          </w:tcPr>
          <w:p>
            <w:r>
              <w:rPr>
                <w:b/>
                <w:sz w:val="17"/>
              </w:rPr>
              <w:t>8,349</w:t>
            </w:r>
          </w:p>
        </w:tc>
        <w:tc>
          <w:tcPr>
            <w:tcW w:type="dxa" w:w="1440"/>
            <w:shd w:fill="FFDCE0" w:val="clear"/>
          </w:tcPr>
          <w:p>
            <w:r>
              <w:rPr>
                <w:sz w:val="17"/>
              </w:rPr>
              <w:t>9,087</w:t>
            </w:r>
          </w:p>
        </w:tc>
        <w:tc>
          <w:tcPr>
            <w:tcW w:type="dxa" w:w="1440"/>
            <w:shd w:fill="FFDCE0" w:val="clear"/>
          </w:tcPr>
          <w:p>
            <w:r>
              <w:rPr>
                <w:b/>
                <w:color w:val="C00000"/>
                <w:sz w:val="17"/>
              </w:rPr>
              <w:t>-22.8%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BOAC s'établit à 432,60 milliards FCFA, un niveau substantiel qui positionne la banque parmi les poids lourds de la BRVM. Avec un BPA de 888 FCFA, chaque action génère un bénéfice confortable, justifiant un PER de 12,2x. Ce ratio, légèrement supérieur à la moyenne historique de la BRVM (8-12x), indique que les investisseurs paient un prix raisonnable pour les bénéfices actuels, sans décote ni prime excessive. Le P/B de 3,40x reflète une prime de croissance accordée par le marché par rapport à la valeur comptable des actifs, signe de confiance dans la création de valeur future. Cependant, l'EV/EBITDA de 26,0x est particulièrement exigeant, suggérant que la valeur totale de l'entreprise (capitalisation plus dette nette) est élevée par rapport à sa capacité opérationnelle, un point de vigilance pour les investisseurs axés sur la valeur.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BOAC a enregistré une progression spectaculaire de +35,02%, avec une dernière séance en légère hausse de +0,14% à 10 815 FCFA. Le titre a évolué dans une fourchette de 8 010 FCFA (plus bas) à 11 195 FCFA (plus haut), démontrant une dynamique haussière soutenue. La moyenne du cours (9 022 FCFA) étant inférieure à la médiane (8 880 FCFA), on observe une asymétrie positive confirmée par le skewness de 1,518, indiquant que la majorité des séances se sont situées sous la moyenne, avec des pics de hausse récents. L'écart-type de 609 FCFA (CV=6,8%) révèle une dispersion modérée, mais le kurtosis de 2,524 signale des queues épaisses, donc un risque de mouvements extrêmes. La volatilité annualisée de 26,8% classe le titre dans une zone modérée à élevée, reflétant une certaine nervosité du marché malgré la tendance haussière dominante.</w:t>
      </w:r>
    </w:p>
    <w:p>
      <w:pPr>
        <w:spacing w:after="120" w:line="276" w:lineRule="auto" w:before="240"/>
      </w:pPr>
      <w:r>
        <w:rPr>
          <w:b/>
          <w:color w:val="003366"/>
          <w:sz w:val="24"/>
        </w:rPr>
        <w:t>**PARTIE 2 : ANALYSE TECHNIQUE DÉTAILLÉE**</w:t>
      </w:r>
    </w:p>
    <w:p>
      <w:pPr>
        <w:spacing w:after="120" w:line="276" w:lineRule="auto"/>
      </w:pPr>
      <w:r>
        <w:t>**Moyennes Mobiles** : La MM20 à 9 980 FCFA et la MM50 à 9 411,8 FCFA sont toutes deux largement dépassées par le cours actuel de 10 815 FCFA. Cette configuration haussière, avec une MM20 au-dessus de la MM50, confirme une tendance de fond positive. La décision d'achat est justifiée par la vigueur du mouvement, bien que l'écart important entre le cours et les moyennes suggère une possible consolidation à court terme.</w:t>
      </w:r>
    </w:p>
    <w:p>
      <w:pPr>
        <w:spacing w:after="120" w:line="276" w:lineRule="auto"/>
      </w:pPr>
      <w:r>
        <w:t>**Bandes de Bollinger** : Le cours se situe à 10 815 FCFA, proche de la borne supérieure (11 175,28 FCFA) et nettement au-dessus de la borne inférieure (8 784,72 FCFA). Cette position indique une pression acheteuse forte, mais le resserrement des bandes suggère une volatilité en hausse. La décision neutre reflète l'absence de signal clair de retournement, le titre étant dans la partie haute de son canal sans franchissement décisif.</w:t>
      </w:r>
    </w:p>
    <w:p>
      <w:pPr>
        <w:spacing w:after="120" w:line="276" w:lineRule="auto"/>
      </w:pPr>
      <w:r>
        <w:t>**MACD** : Le MACD (435,358) est nettement au-dessus de son signal (334,309), confirmant un momentum haussier robuste. La divergence positive s'élargit, indiquant une accélération de la tendance. La décision d'achat est cohérente avec cette dynamique, même si un éventuel croisement baissier devrait être surveillé.</w:t>
      </w:r>
    </w:p>
    <w:p>
      <w:pPr>
        <w:spacing w:after="120" w:line="276" w:lineRule="auto"/>
      </w:pPr>
      <w:r>
        <w:t>**RSI** : À 77,098, le RSI est en zone de surachat (au-dessus de 70), signalant que le titre est techniquement surévalué à court terme. La décision de vente associée à cet indicateur suggère un risque de correction, d'autant que la pression acheteuse a été intense. Les investisseurs devraient être prudents face à cette lecture.</w:t>
      </w:r>
    </w:p>
    <w:p>
      <w:pPr>
        <w:spacing w:after="120" w:line="276" w:lineRule="auto"/>
      </w:pPr>
      <w:r>
        <w:t>**Stochastique** : Le %K (75,405) est inférieur au %D (83,442), indiquant un croisement baissier potentiel en zone de surachat. Cette configuration, bien que neutre, suggère un essoufflement du momentum haussier. La prudence est de mise, car le titre pourrait entrer dans une phase de consolidation.</w:t>
      </w:r>
    </w:p>
    <w:p>
      <w:pPr>
        <w:spacing w:after="120" w:line="276" w:lineRule="auto"/>
      </w:pPr>
      <w:r>
        <w:t>**Conclusion technique** : La majorité des indicateurs (MM, MACD) penchent en faveur d'un achat, mais le RSI en surachat et le stochastique en croisement baissier tempèrent cet optimisme. Le titre est dans une tendance haussière de fond, mais les signaux de court terme appellent à la vigilance. Une consolidation est probable avant une reprise de la tendance.</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BOAC révèlent une banque solide avec un Produit Net Bancaire (PNB) de 73,545 milliards FCFA et un résultat net de 35,540 milliards FCFA, soit une marge nette exceptionnelle de 48,32%. Le ROE de 27,91% et le ROA de 3,22% témoignent d'une rentabilité remarquable, bien au-dessus des seuils d'excellence (&gt;15% et &gt;1% respectivement). Le coefficient d'exploitation de 36,70% confirme une gestion efficace des charges, tandis que le coût du risque de 6,67% reste élevé, signalant un risque de crédit significatif. Les dépôts clientèle (850,548 milliards FCFA) dépassent largement les créances sur la clientèle (430,433 milliards FCFA), indiquant une transformation saine, mais les créances interbancaires (70,451 milliards FCFA) montrent une activité interbancaire active. Les rapports trimestriels 2025 (T1, S1, T3) montrent une stagnation du PNB (+0,23% à 53,49 milliards sur 9 mois) mais une progression modeste du résultat net (+1,29% à 26,63 milliards), avec une contraction des crédits (-11,97%) et une hausse des dépôts (+10,28%). En 2024, le PNB était de 72,724 milliards (+19,6%) avec un résultat net de 32,044 milliards (+22,9%), confirmant une croissance robuste, mais le coût du risque avait bondi de 40,8%. Les objectifs triennaux (2027) visent une croissance du PNB de +11,6% et une progression de la marge nette de +13,8%, soutenus par les activités non bancaires. La banque est fondamentalement solide, mais doit surveiller la qualité de son portefeuille de crédits et la compression de sa marge d'intérêt.</w:t>
      </w:r>
    </w:p>
    <w:p>
      <w:pPr>
        <w:spacing w:after="120" w:line="276" w:lineRule="auto" w:before="240"/>
      </w:pPr>
      <w:r>
        <w:rPr>
          <w:b/>
          <w:color w:val="003366"/>
          <w:sz w:val="24"/>
        </w:rPr>
        <w:t>**PARTIE 4 : CONCLUSION D'INVESTISSEMENT**</w:t>
      </w:r>
    </w:p>
    <w:p>
      <w:pPr>
        <w:spacing w:after="120" w:line="276" w:lineRule="auto"/>
      </w:pPr>
      <w:r>
        <w:t>La valorisation de BOAC (PER 12,2x, P/B 3,40x) est raisonnable, mais l'EV/EBITDA de 26,0x suggère une certaine exigence du marché. Le comportement du cours, avec une hausse de +35% sur 100 jours et une volatilité de 26,8%, reflète un optimisme marqué, mais les statistiques (kurtosis élevé, skewness positif) indiquent un risque de mouvements brusques. Les signaux techniques sont mitigés : les MM et le MACD sont haussiers, mais le RSI en surachat et le stochastique baissier appellent à la prudence. Les fondamentaux sont solides, avec un ROE de 27,91% et une gestion efficace, mais la stagnation du PNB en 2025 et la contraction des crédits sont préoccupantes. Les prédictions IA (J+1 à J+10) montrent une trajectoire baissière, passant de 10 382 à 9 252 FCFA, contredisant la tendance haussière récente et suggérant une correction. En synthèse, la convergence entre la valorisation modérée, les fondamentaux solides mais en ralentissement, et les signaux techniques mixtes, avec une prédiction IA baissière, conduit à une recommandation **CONSERVER**. Le niveau de confiance est **Moyen**, le risque global est **Moyen**, et l'horizon d'investissement optimal est le **moyen terme (3-12 mois)**, en attendant une clarification de la dynamique des crédits et du coût du risque.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155.50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6,501 titres</w:t>
            </w:r>
          </w:p>
        </w:tc>
        <w:tc>
          <w:tcPr>
            <w:tcW w:type="dxa" w:w="2268"/>
            <w:shd w:fill="FFF2CC" w:val="clear"/>
          </w:tcPr>
          <w:p>
            <w:r>
              <w:rPr>
                <w:b/>
                <w:color w:val="503200"/>
                <w:sz w:val="16"/>
              </w:rPr>
              <w:t xml:space="preserve">Cours actuel : </w:t>
            </w:r>
            <w:r>
              <w:rPr>
                <w:color w:val="000000"/>
                <w:sz w:val="17"/>
              </w:rPr>
              <w:t>5,665 FCFA</w:t>
            </w:r>
          </w:p>
          <w:p>
            <w:r>
              <w:rPr>
                <w:b/>
                <w:color w:val="503200"/>
                <w:sz w:val="16"/>
              </w:rPr>
              <w:t xml:space="preserve">Var. 100 jours : </w:t>
            </w:r>
            <w:r>
              <w:rPr>
                <w:b/>
                <w:color w:val="007800"/>
                <w:sz w:val="17"/>
              </w:rPr>
              <w:t>+23.15%</w:t>
            </w:r>
          </w:p>
          <w:p>
            <w:r>
              <w:rPr>
                <w:b/>
                <w:color w:val="503200"/>
                <w:sz w:val="16"/>
              </w:rPr>
              <w:t xml:space="preserve">Plus haut 100j : </w:t>
            </w:r>
            <w:r>
              <w:rPr>
                <w:color w:val="000000"/>
                <w:sz w:val="17"/>
              </w:rPr>
              <w:t>5,770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7.60% (Moyenne) — μ=4,888 FCFA, σ=371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β=0.3101 (Défensif) — Cov=0.000011, Var(idx)=0.000036, ρ=0.094,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6,501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2026-08-03</w:t>
            </w:r>
          </w:p>
        </w:tc>
        <w:tc>
          <w:tcPr>
            <w:tcW w:type="dxa" w:w="1440"/>
            <w:shd w:fill="FAFAFA" w:val="clear"/>
          </w:tcPr>
          <w:p>
            <w:r>
              <w:rPr>
                <w:sz w:val="17"/>
              </w:rPr>
              <w:t>5,340</w:t>
            </w:r>
          </w:p>
        </w:tc>
        <w:tc>
          <w:tcPr>
            <w:tcW w:type="dxa" w:w="1440"/>
            <w:shd w:fill="FAFAFA" w:val="clear"/>
          </w:tcPr>
          <w:p>
            <w:r>
              <w:rPr>
                <w:b/>
                <w:sz w:val="17"/>
              </w:rPr>
              <w:t>5,603</w:t>
            </w:r>
          </w:p>
        </w:tc>
        <w:tc>
          <w:tcPr>
            <w:tcW w:type="dxa" w:w="1440"/>
            <w:shd w:fill="FAFAFA" w:val="clear"/>
          </w:tcPr>
          <w:p>
            <w:r>
              <w:rPr>
                <w:sz w:val="17"/>
              </w:rPr>
              <w:t>5,865</w:t>
            </w:r>
          </w:p>
        </w:tc>
        <w:tc>
          <w:tcPr>
            <w:tcW w:type="dxa" w:w="1440"/>
            <w:shd w:fill="FAFAFA" w:val="clear"/>
          </w:tcPr>
          <w:p>
            <w:r>
              <w:rPr>
                <w:b/>
                <w:color w:val="C00000"/>
                <w:sz w:val="17"/>
              </w:rPr>
              <w:t>-1.1%</w:t>
            </w:r>
          </w:p>
        </w:tc>
      </w:tr>
      <w:tr>
        <w:tc>
          <w:tcPr>
            <w:tcW w:type="dxa" w:w="1440"/>
            <w:shd w:fill="FFDCE0" w:val="clear"/>
          </w:tcPr>
          <w:p>
            <w:r>
              <w:rPr>
                <w:sz w:val="17"/>
              </w:rPr>
              <w:t>J+2  Moyenne</w:t>
            </w:r>
          </w:p>
        </w:tc>
        <w:tc>
          <w:tcPr>
            <w:tcW w:type="dxa" w:w="1440"/>
            <w:shd w:fill="FFDCE0" w:val="clear"/>
          </w:tcPr>
          <w:p>
            <w:r>
              <w:rPr>
                <w:sz w:val="17"/>
              </w:rPr>
              <w:t>2026-08-04</w:t>
            </w:r>
          </w:p>
        </w:tc>
        <w:tc>
          <w:tcPr>
            <w:tcW w:type="dxa" w:w="1440"/>
            <w:shd w:fill="FFDCE0" w:val="clear"/>
          </w:tcPr>
          <w:p>
            <w:r>
              <w:rPr>
                <w:sz w:val="17"/>
              </w:rPr>
              <w:t>5,154</w:t>
            </w:r>
          </w:p>
        </w:tc>
        <w:tc>
          <w:tcPr>
            <w:tcW w:type="dxa" w:w="1440"/>
            <w:shd w:fill="FFDCE0" w:val="clear"/>
          </w:tcPr>
          <w:p>
            <w:r>
              <w:rPr>
                <w:b/>
                <w:sz w:val="17"/>
              </w:rPr>
              <w:t>5,519</w:t>
            </w:r>
          </w:p>
        </w:tc>
        <w:tc>
          <w:tcPr>
            <w:tcW w:type="dxa" w:w="1440"/>
            <w:shd w:fill="FFDCE0" w:val="clear"/>
          </w:tcPr>
          <w:p>
            <w:r>
              <w:rPr>
                <w:sz w:val="17"/>
              </w:rPr>
              <w:t>5,885</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2026-08-05</w:t>
            </w:r>
          </w:p>
        </w:tc>
        <w:tc>
          <w:tcPr>
            <w:tcW w:type="dxa" w:w="1440"/>
            <w:shd w:fill="FFDCE0" w:val="clear"/>
          </w:tcPr>
          <w:p>
            <w:r>
              <w:rPr>
                <w:sz w:val="17"/>
              </w:rPr>
              <w:t>4,997</w:t>
            </w:r>
          </w:p>
        </w:tc>
        <w:tc>
          <w:tcPr>
            <w:tcW w:type="dxa" w:w="1440"/>
            <w:shd w:fill="FFDCE0" w:val="clear"/>
          </w:tcPr>
          <w:p>
            <w:r>
              <w:rPr>
                <w:b/>
                <w:sz w:val="17"/>
              </w:rPr>
              <w:t>5,438</w:t>
            </w:r>
          </w:p>
        </w:tc>
        <w:tc>
          <w:tcPr>
            <w:tcW w:type="dxa" w:w="1440"/>
            <w:shd w:fill="FFDCE0" w:val="clear"/>
          </w:tcPr>
          <w:p>
            <w:r>
              <w:rPr>
                <w:sz w:val="17"/>
              </w:rPr>
              <w:t>5,880</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4,864</w:t>
            </w:r>
          </w:p>
        </w:tc>
        <w:tc>
          <w:tcPr>
            <w:tcW w:type="dxa" w:w="1440"/>
            <w:shd w:fill="FFDCE0" w:val="clear"/>
          </w:tcPr>
          <w:p>
            <w:r>
              <w:rPr>
                <w:b/>
                <w:sz w:val="17"/>
              </w:rPr>
              <w:t>5,367</w:t>
            </w:r>
          </w:p>
        </w:tc>
        <w:tc>
          <w:tcPr>
            <w:tcW w:type="dxa" w:w="1440"/>
            <w:shd w:fill="FFDCE0" w:val="clear"/>
          </w:tcPr>
          <w:p>
            <w:r>
              <w:rPr>
                <w:sz w:val="17"/>
              </w:rPr>
              <w:t>5,870</w:t>
            </w:r>
          </w:p>
        </w:tc>
        <w:tc>
          <w:tcPr>
            <w:tcW w:type="dxa" w:w="1440"/>
            <w:shd w:fill="FFDCE0" w:val="clear"/>
          </w:tcPr>
          <w:p>
            <w:r>
              <w:rPr>
                <w:b/>
                <w:color w:val="C00000"/>
                <w:sz w:val="17"/>
              </w:rPr>
              <w:t>-5.3%</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4,748</w:t>
            </w:r>
          </w:p>
        </w:tc>
        <w:tc>
          <w:tcPr>
            <w:tcW w:type="dxa" w:w="1440"/>
            <w:shd w:fill="FFDCE0" w:val="clear"/>
          </w:tcPr>
          <w:p>
            <w:r>
              <w:rPr>
                <w:b/>
                <w:sz w:val="17"/>
              </w:rPr>
              <w:t>5,304</w:t>
            </w:r>
          </w:p>
        </w:tc>
        <w:tc>
          <w:tcPr>
            <w:tcW w:type="dxa" w:w="1440"/>
            <w:shd w:fill="FFDCE0" w:val="clear"/>
          </w:tcPr>
          <w:p>
            <w:r>
              <w:rPr>
                <w:sz w:val="17"/>
              </w:rPr>
              <w:t>5,860</w:t>
            </w:r>
          </w:p>
        </w:tc>
        <w:tc>
          <w:tcPr>
            <w:tcW w:type="dxa" w:w="1440"/>
            <w:shd w:fill="FFDCE0" w:val="clear"/>
          </w:tcPr>
          <w:p>
            <w:r>
              <w:rPr>
                <w:b/>
                <w:color w:val="C00000"/>
                <w:sz w:val="17"/>
              </w:rPr>
              <w:t>-6.4%</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4,644</w:t>
            </w:r>
          </w:p>
        </w:tc>
        <w:tc>
          <w:tcPr>
            <w:tcW w:type="dxa" w:w="1440"/>
            <w:shd w:fill="FFDCE0" w:val="clear"/>
          </w:tcPr>
          <w:p>
            <w:r>
              <w:rPr>
                <w:b/>
                <w:sz w:val="17"/>
              </w:rPr>
              <w:t>5,247</w:t>
            </w:r>
          </w:p>
        </w:tc>
        <w:tc>
          <w:tcPr>
            <w:tcW w:type="dxa" w:w="1440"/>
            <w:shd w:fill="FFDCE0" w:val="clear"/>
          </w:tcPr>
          <w:p>
            <w:r>
              <w:rPr>
                <w:sz w:val="17"/>
              </w:rPr>
              <w:t>5,849</w:t>
            </w:r>
          </w:p>
        </w:tc>
        <w:tc>
          <w:tcPr>
            <w:tcW w:type="dxa" w:w="1440"/>
            <w:shd w:fill="FFDCE0" w:val="clear"/>
          </w:tcPr>
          <w:p>
            <w:r>
              <w:rPr>
                <w:b/>
                <w:color w:val="C00000"/>
                <w:sz w:val="17"/>
              </w:rPr>
              <w:t>-7.4%</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4,549</w:t>
            </w:r>
          </w:p>
        </w:tc>
        <w:tc>
          <w:tcPr>
            <w:tcW w:type="dxa" w:w="1440"/>
            <w:shd w:fill="FFDCE0" w:val="clear"/>
          </w:tcPr>
          <w:p>
            <w:r>
              <w:rPr>
                <w:b/>
                <w:sz w:val="17"/>
              </w:rPr>
              <w:t>5,193</w:t>
            </w:r>
          </w:p>
        </w:tc>
        <w:tc>
          <w:tcPr>
            <w:tcW w:type="dxa" w:w="1440"/>
            <w:shd w:fill="FFDCE0" w:val="clear"/>
          </w:tcPr>
          <w:p>
            <w:r>
              <w:rPr>
                <w:sz w:val="17"/>
              </w:rPr>
              <w:t>5,837</w:t>
            </w:r>
          </w:p>
        </w:tc>
        <w:tc>
          <w:tcPr>
            <w:tcW w:type="dxa" w:w="1440"/>
            <w:shd w:fill="FFDCE0" w:val="clear"/>
          </w:tcPr>
          <w:p>
            <w:r>
              <w:rPr>
                <w:b/>
                <w:color w:val="C00000"/>
                <w:sz w:val="17"/>
              </w:rPr>
              <w:t>-8.3%</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4,461</w:t>
            </w:r>
          </w:p>
        </w:tc>
        <w:tc>
          <w:tcPr>
            <w:tcW w:type="dxa" w:w="1440"/>
            <w:shd w:fill="FFDCE0" w:val="clear"/>
          </w:tcPr>
          <w:p>
            <w:r>
              <w:rPr>
                <w:b/>
                <w:sz w:val="17"/>
              </w:rPr>
              <w:t>5,142</w:t>
            </w:r>
          </w:p>
        </w:tc>
        <w:tc>
          <w:tcPr>
            <w:tcW w:type="dxa" w:w="1440"/>
            <w:shd w:fill="FFDCE0" w:val="clear"/>
          </w:tcPr>
          <w:p>
            <w:r>
              <w:rPr>
                <w:sz w:val="17"/>
              </w:rPr>
              <w:t>5,823</w:t>
            </w:r>
          </w:p>
        </w:tc>
        <w:tc>
          <w:tcPr>
            <w:tcW w:type="dxa" w:w="1440"/>
            <w:shd w:fill="FFDCE0" w:val="clear"/>
          </w:tcPr>
          <w:p>
            <w:r>
              <w:rPr>
                <w:b/>
                <w:color w:val="C00000"/>
                <w:sz w:val="17"/>
              </w:rPr>
              <w:t>-9.2%</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4,378</w:t>
            </w:r>
          </w:p>
        </w:tc>
        <w:tc>
          <w:tcPr>
            <w:tcW w:type="dxa" w:w="1440"/>
            <w:shd w:fill="FFDCE0" w:val="clear"/>
          </w:tcPr>
          <w:p>
            <w:r>
              <w:rPr>
                <w:b/>
                <w:sz w:val="17"/>
              </w:rPr>
              <w:t>5,094</w:t>
            </w:r>
          </w:p>
        </w:tc>
        <w:tc>
          <w:tcPr>
            <w:tcW w:type="dxa" w:w="1440"/>
            <w:shd w:fill="FFDCE0" w:val="clear"/>
          </w:tcPr>
          <w:p>
            <w:r>
              <w:rPr>
                <w:sz w:val="17"/>
              </w:rPr>
              <w:t>5,810</w:t>
            </w:r>
          </w:p>
        </w:tc>
        <w:tc>
          <w:tcPr>
            <w:tcW w:type="dxa" w:w="1440"/>
            <w:shd w:fill="FFDCE0" w:val="clear"/>
          </w:tcPr>
          <w:p>
            <w:r>
              <w:rPr>
                <w:b/>
                <w:color w:val="C00000"/>
                <w:sz w:val="17"/>
              </w:rPr>
              <w:t>-10.1%</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4,300</w:t>
            </w:r>
          </w:p>
        </w:tc>
        <w:tc>
          <w:tcPr>
            <w:tcW w:type="dxa" w:w="1440"/>
            <w:shd w:fill="FFDCE0" w:val="clear"/>
          </w:tcPr>
          <w:p>
            <w:r>
              <w:rPr>
                <w:b/>
                <w:sz w:val="17"/>
              </w:rPr>
              <w:t>5,048</w:t>
            </w:r>
          </w:p>
        </w:tc>
        <w:tc>
          <w:tcPr>
            <w:tcW w:type="dxa" w:w="1440"/>
            <w:shd w:fill="FFDCE0" w:val="clear"/>
          </w:tcPr>
          <w:p>
            <w:r>
              <w:rPr>
                <w:sz w:val="17"/>
              </w:rPr>
              <w:t>5,796</w:t>
            </w:r>
          </w:p>
        </w:tc>
        <w:tc>
          <w:tcPr>
            <w:tcW w:type="dxa" w:w="1440"/>
            <w:shd w:fill="FFDCE0" w:val="clear"/>
          </w:tcPr>
          <w:p>
            <w:r>
              <w:rPr>
                <w:b/>
                <w:color w:val="C00000"/>
                <w:sz w:val="17"/>
              </w:rPr>
              <w:t>-10.9%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155,50 milliards FCFA, ce qui la positionne parmi les valeurs moyennes du marché BRVM, avec une liquidité quotidienne relativement faible (6 501 titres). Le BPA de 404 FCFA indique que chaque action génère un bénéfice substantiel, justifiant un PER de 14,0x, légèrement supérieur à la moyenne historique de la BRVM (8-12x), ce qui traduit une prime de croissance accordée par le marché. Le P/B de 3,12x confirme cette prime, le marché valorisant la banque bien au-delà de sa valeur comptable, signe de confiance dans sa capacité à générer de la valeur future. Enfin, l'EV/EBITDA de 6,9x, dans la fourchette raisonnable de 5-10x, indique que la valorisation globale de l'entreprise reste cohérente avec sa capacité opérationnelle à dégager des bénéfices, malgré une prime par rapport aux pairs.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affiche une progression remarquable de +23,15%, avec une dernière séance quasi stable (+0,09%), témoignant d'une dynamique haussière soutenue. Le cours a évolué dans un range de 4 425 FCFA (plus bas) à 5 770 FCFA (plus haut), démontrant une amplitude de variation importante de près de 30%. Les statistiques descriptives révèlent une moyenne de 4 888 FCFA, inférieure à la médiane de 4 700 FCFA, ce qui, combiné à un skewness positif de 1,204, indique une distribution asymétrique avec des journées majoritairement sous la moyenne mais des pics haussiers marqués. L'écart-type de 373 FCFA (CV=7,6%) montre une dispersion modérée, tandis que le kurtosis de 0,127 (mésokurtique) suggère l'absence de risques extrêmes de pics ou de krachs. La volatilité annualisée de 31,0% classe le titre comme à volatilité élevée (&gt;30%), reflétant un profil de risque soutenu mais récompensé par une performance positive significative.</w:t>
      </w:r>
    </w:p>
    <w:p>
      <w:pPr>
        <w:spacing w:after="120" w:line="276" w:lineRule="auto" w:before="240"/>
      </w:pPr>
      <w:r>
        <w:rPr>
          <w:b/>
          <w:color w:val="003366"/>
          <w:sz w:val="24"/>
        </w:rPr>
        <w:t>**PARTIE 2 : ANALYSE TECHNIQUE DÉTAILLÉE**</w:t>
      </w:r>
    </w:p>
    <w:p>
      <w:pPr>
        <w:spacing w:after="120" w:line="276" w:lineRule="auto"/>
      </w:pPr>
      <w:r>
        <w:t>Les **Moyennes Mobiles** indiquent une configuration haussière : la MM20 (5 548,75 FCFA) est nettement supérieure à la MM50 (5 089,8 FCFA), et le cours actuel (5 665 FCFA) se positionne au-dessus de ces deux moyennes. Cette structure de prix confirme la tendance haussière de moyen terme, avec une dynamique positive soutenue par les acheteurs, justifiant la décision d'achat.</w:t>
      </w:r>
    </w:p>
    <w:p>
      <w:pPr>
        <w:spacing w:after="120" w:line="276" w:lineRule="auto"/>
      </w:pPr>
      <w:r>
        <w:t>Les **Bandes de Bollinger** montrent un cours (5 665 FCFA) positionné entre la borne supérieure (5 984,107 FCFA) et la borne inférieure (5 113,393 FCFA), proche du milieu de l'intervalle. Cette position neutre indique une volatilité modérée sans excès, le prix n'étant ni suracheté ni survendu, ce qui laisse place à une poursuite de la tendance sans risque immédiat de retournement violent.</w:t>
      </w:r>
    </w:p>
    <w:p>
      <w:pPr>
        <w:spacing w:after="120" w:line="276" w:lineRule="auto"/>
      </w:pPr>
      <w:r>
        <w:t>Le **MACD** affiche une valeur de 170,417, légèrement inférieure à son signal (193,569), générant une décision de vente. Cette configuration suggère un ralentissement du momentum haussier à court terme, le MACD passant sous son signal, ce qui pourrait indiquer une consolidation ou un léger repli avant une éventuelle reprise de la tendance.</w:t>
      </w:r>
    </w:p>
    <w:p>
      <w:pPr>
        <w:spacing w:after="120" w:line="276" w:lineRule="auto"/>
      </w:pPr>
      <w:r>
        <w:t>Le **RSI** à 53,684 se situe dans la zone neutre (30-70), indiquant un équilibre entre pression acheteuse et vendeuse. Cette valeur modérée ne signale ni surachat ni survente, laissant une marge de manœuvre pour une évolution dans les deux sens sans extrême technique.</w:t>
      </w:r>
    </w:p>
    <w:p>
      <w:pPr>
        <w:spacing w:after="120" w:line="276" w:lineRule="auto"/>
      </w:pPr>
      <w:r>
        <w:t>Le **Stochastique** montre %K (75,0) et %D (75,397) à des niveaux élevés mais non extrêmes, avec un croisement quasi nul. Cette configuration neutre suggère que le titre est proche de conditions de surachat sans toutefois les atteindre, ce qui pourrait précéder une stabilisation ou un léger repli technique.</w:t>
      </w:r>
    </w:p>
    <w:p>
      <w:pPr>
        <w:spacing w:after="120" w:line="276" w:lineRule="auto"/>
      </w:pPr>
      <w:r>
        <w:t>En conclusion technique, les indicateurs sont partagés : les moyennes mobiles soutiennent une tendance haussière solide, tandis que le MACD signale un essoufflement du momentum et que le RSI et le Stochastique restent neutres. Cette divergence suggère une consolidation probable à court terme avant une éventuelle poursuite de la hausse, la tendance de fond demeurant positive.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révèlent une banque solide : le Produit Net Bancaire (PNB) s'établit à 37,996 milliards FCFA, avec un résultat net de 11,081 milliards FCFA, générant un ROE exceptionnel de 22,24% et un ROA de 1,87%. Le coefficient d'exploitation de 63,14% reste légèrement au-dessus du seuil d'efficacité (&lt;60%), indiquant une marge de progression dans la maîtrise des charges. Le coût du risque à 43,39% des charges financières demeure élevé, signalant un risque de crédit significatif, bien que les provisions (4,590 Mds) soient en baisse. Les dépôts clientèle (502,890 Mds) dépassent largement les créances (253,648 Mds), assurant une liquidité confortable. Les rapports trimestriels 2025 confirment cette trajectoire : au T1, le résultat net a bondi de 91,18% à 3,021 milliards FCFA malgré un PNB en recul de 3,11%, grâce à la maîtrise des risques ; au S1, le PNB a progressé de 2,7% à 18,71 milliards et le résultat net de 28,8% à 6,21 milliards ; sur 9 mois, le PNB atteint 28,52 milliards (+5,8%) et le résultat net 9,16 milliards (+26,2%). Sur la base de ces tendances, on estime que l'exercice 2025 devrait dépasser les 11 milliards de résultat net, confirmant la solidité et la résilience de la banque dans un environnement difficile.</w:t>
      </w:r>
    </w:p>
    <w:p>
      <w:pPr>
        <w:spacing w:after="120" w:line="276" w:lineRule="auto" w:before="240"/>
      </w:pPr>
      <w:r>
        <w:rPr>
          <w:b/>
          <w:color w:val="003366"/>
          <w:sz w:val="24"/>
        </w:rPr>
        <w:t>**PARTIE 4 : CONCLUSION D'INVESTISSEMENT**</w:t>
      </w:r>
    </w:p>
    <w:p>
      <w:pPr>
        <w:spacing w:after="120" w:line="276" w:lineRule="auto"/>
      </w:pPr>
      <w:r>
        <w:t>La valorisation de BOAM (PER 14,0x, P/B 3,12x, EV/EBITDA 6,9x) reflète une prime de croissance justifiée par des fondamentaux solides, bien que le PER soit supérieur à la moyenne BRVM. Le comportement du cours (+23,15% sur 100 jours) avec une volatilité élevée (31%) et une asymétrie positive indique une dynamique haussière soutenue, mais avec des risques de fluctuations. Les signaux techniques sont mitigés : les moyennes mobiles sont haussières, mais le MACD suggère un essoufflement, et le RSI/Stochastique restent neutres, indiquant une possible consolidation. Les fondamentaux sont excellents avec un ROE de 22,24%, une croissance du résultat net de 26-28% sur les trimestres 2025, et une gestion rigoureuse du coût du risque. Les prédictions IA (5 603 à 5 304 FCFA sur 10 jours) suggèrent un léger repli, contredisant partiellement la tendance haussière. La convergence entre des fondamentaux solides et une valorisation raisonnable, malgré des signaux techniques mitigés, conduit à une recommandation **CONSERVER**, avec un niveau de confiance **Moyen** et un risque global **Moyen**. L'horizon d'investissement optimal est le **moyen terme (3-12 mois)**, en attendant une confirmation de la poursuite de la croissance des bénéfices et une stabilisation du cours.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110.03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11,256 titres</w:t>
            </w:r>
          </w:p>
        </w:tc>
        <w:tc>
          <w:tcPr>
            <w:tcW w:type="dxa" w:w="2268"/>
            <w:shd w:fill="FFF2CC" w:val="clear"/>
          </w:tcPr>
          <w:p>
            <w:r>
              <w:rPr>
                <w:b/>
                <w:color w:val="503200"/>
                <w:sz w:val="16"/>
              </w:rPr>
              <w:t xml:space="preserve">Cours actuel : </w:t>
            </w:r>
            <w:r>
              <w:rPr>
                <w:color w:val="000000"/>
                <w:sz w:val="17"/>
              </w:rPr>
              <w:t>5,290 FCFA</w:t>
            </w:r>
          </w:p>
          <w:p>
            <w:r>
              <w:rPr>
                <w:b/>
                <w:color w:val="503200"/>
                <w:sz w:val="16"/>
              </w:rPr>
              <w:t xml:space="preserve">Var. 100 jours : </w:t>
            </w:r>
            <w:r>
              <w:rPr>
                <w:b/>
                <w:color w:val="007800"/>
                <w:sz w:val="17"/>
              </w:rPr>
              <w:t>+94.49%</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2,460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21.96% (Élevée) — μ=3,702 FCFA, σ=813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β=0.7595 (Défensif) — Cov=0.000027, Var(idx)=0.000036, ρ=0.160,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11,256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2026-08-03</w:t>
            </w:r>
          </w:p>
        </w:tc>
        <w:tc>
          <w:tcPr>
            <w:tcW w:type="dxa" w:w="1440"/>
            <w:shd w:fill="FAFAFA" w:val="clear"/>
          </w:tcPr>
          <w:p>
            <w:r>
              <w:rPr>
                <w:sz w:val="17"/>
              </w:rPr>
              <w:t>5,029</w:t>
            </w:r>
          </w:p>
        </w:tc>
        <w:tc>
          <w:tcPr>
            <w:tcW w:type="dxa" w:w="1440"/>
            <w:shd w:fill="FAFAFA" w:val="clear"/>
          </w:tcPr>
          <w:p>
            <w:r>
              <w:rPr>
                <w:b/>
                <w:sz w:val="17"/>
              </w:rPr>
              <w:t>5,274</w:t>
            </w:r>
          </w:p>
        </w:tc>
        <w:tc>
          <w:tcPr>
            <w:tcW w:type="dxa" w:w="1440"/>
            <w:shd w:fill="FAFAFA" w:val="clear"/>
          </w:tcPr>
          <w:p>
            <w:r>
              <w:rPr>
                <w:sz w:val="17"/>
              </w:rPr>
              <w:t>5,518</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2026-08-04</w:t>
            </w:r>
          </w:p>
        </w:tc>
        <w:tc>
          <w:tcPr>
            <w:tcW w:type="dxa" w:w="1440"/>
            <w:shd w:fill="FAFAFA" w:val="clear"/>
          </w:tcPr>
          <w:p>
            <w:r>
              <w:rPr>
                <w:sz w:val="17"/>
              </w:rPr>
              <w:t>4,918</w:t>
            </w:r>
          </w:p>
        </w:tc>
        <w:tc>
          <w:tcPr>
            <w:tcW w:type="dxa" w:w="1440"/>
            <w:shd w:fill="FAFAFA" w:val="clear"/>
          </w:tcPr>
          <w:p>
            <w:r>
              <w:rPr>
                <w:b/>
                <w:sz w:val="17"/>
              </w:rPr>
              <w:t>5,262</w:t>
            </w:r>
          </w:p>
        </w:tc>
        <w:tc>
          <w:tcPr>
            <w:tcW w:type="dxa" w:w="1440"/>
            <w:shd w:fill="FAFAFA" w:val="clear"/>
          </w:tcPr>
          <w:p>
            <w:r>
              <w:rPr>
                <w:sz w:val="17"/>
              </w:rPr>
              <w:t>5,607</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2026-08-05</w:t>
            </w:r>
          </w:p>
        </w:tc>
        <w:tc>
          <w:tcPr>
            <w:tcW w:type="dxa" w:w="1440"/>
            <w:shd w:fill="FAFAFA" w:val="clear"/>
          </w:tcPr>
          <w:p>
            <w:r>
              <w:rPr>
                <w:sz w:val="17"/>
              </w:rPr>
              <w:t>4,830</w:t>
            </w:r>
          </w:p>
        </w:tc>
        <w:tc>
          <w:tcPr>
            <w:tcW w:type="dxa" w:w="1440"/>
            <w:shd w:fill="FAFAFA" w:val="clear"/>
          </w:tcPr>
          <w:p>
            <w:r>
              <w:rPr>
                <w:b/>
                <w:sz w:val="17"/>
              </w:rPr>
              <w:t>5,251</w:t>
            </w:r>
          </w:p>
        </w:tc>
        <w:tc>
          <w:tcPr>
            <w:tcW w:type="dxa" w:w="1440"/>
            <w:shd w:fill="FAFAFA" w:val="clear"/>
          </w:tcPr>
          <w:p>
            <w:r>
              <w:rPr>
                <w:sz w:val="17"/>
              </w:rPr>
              <w:t>5,672</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2026-08-06</w:t>
            </w:r>
          </w:p>
        </w:tc>
        <w:tc>
          <w:tcPr>
            <w:tcW w:type="dxa" w:w="1440"/>
            <w:shd w:fill="FAFAFA" w:val="clear"/>
          </w:tcPr>
          <w:p>
            <w:r>
              <w:rPr>
                <w:sz w:val="17"/>
              </w:rPr>
              <w:t>4,754</w:t>
            </w:r>
          </w:p>
        </w:tc>
        <w:tc>
          <w:tcPr>
            <w:tcW w:type="dxa" w:w="1440"/>
            <w:shd w:fill="FAFAFA" w:val="clear"/>
          </w:tcPr>
          <w:p>
            <w:r>
              <w:rPr>
                <w:b/>
                <w:sz w:val="17"/>
              </w:rPr>
              <w:t>5,239</w:t>
            </w:r>
          </w:p>
        </w:tc>
        <w:tc>
          <w:tcPr>
            <w:tcW w:type="dxa" w:w="1440"/>
            <w:shd w:fill="FAFAFA" w:val="clear"/>
          </w:tcPr>
          <w:p>
            <w:r>
              <w:rPr>
                <w:sz w:val="17"/>
              </w:rPr>
              <w:t>5,724</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2026-08-10</w:t>
            </w:r>
          </w:p>
        </w:tc>
        <w:tc>
          <w:tcPr>
            <w:tcW w:type="dxa" w:w="1440"/>
            <w:shd w:fill="FAFAFA" w:val="clear"/>
          </w:tcPr>
          <w:p>
            <w:r>
              <w:rPr>
                <w:sz w:val="17"/>
              </w:rPr>
              <w:t>4,686</w:t>
            </w:r>
          </w:p>
        </w:tc>
        <w:tc>
          <w:tcPr>
            <w:tcW w:type="dxa" w:w="1440"/>
            <w:shd w:fill="FAFAFA" w:val="clear"/>
          </w:tcPr>
          <w:p>
            <w:r>
              <w:rPr>
                <w:b/>
                <w:sz w:val="17"/>
              </w:rPr>
              <w:t>5,228</w:t>
            </w:r>
          </w:p>
        </w:tc>
        <w:tc>
          <w:tcPr>
            <w:tcW w:type="dxa" w:w="1440"/>
            <w:shd w:fill="FAFAFA" w:val="clear"/>
          </w:tcPr>
          <w:p>
            <w:r>
              <w:rPr>
                <w:sz w:val="17"/>
              </w:rPr>
              <w:t>5,769</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2026-08-11</w:t>
            </w:r>
          </w:p>
        </w:tc>
        <w:tc>
          <w:tcPr>
            <w:tcW w:type="dxa" w:w="1440"/>
            <w:shd w:fill="FAFAFA" w:val="clear"/>
          </w:tcPr>
          <w:p>
            <w:r>
              <w:rPr>
                <w:sz w:val="17"/>
              </w:rPr>
              <w:t>4,625</w:t>
            </w:r>
          </w:p>
        </w:tc>
        <w:tc>
          <w:tcPr>
            <w:tcW w:type="dxa" w:w="1440"/>
            <w:shd w:fill="FAFAFA" w:val="clear"/>
          </w:tcPr>
          <w:p>
            <w:r>
              <w:rPr>
                <w:b/>
                <w:sz w:val="17"/>
              </w:rPr>
              <w:t>5,216</w:t>
            </w:r>
          </w:p>
        </w:tc>
        <w:tc>
          <w:tcPr>
            <w:tcW w:type="dxa" w:w="1440"/>
            <w:shd w:fill="FAFAFA" w:val="clear"/>
          </w:tcPr>
          <w:p>
            <w:r>
              <w:rPr>
                <w:sz w:val="17"/>
              </w:rPr>
              <w:t>5,808</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2026-08-12</w:t>
            </w:r>
          </w:p>
        </w:tc>
        <w:tc>
          <w:tcPr>
            <w:tcW w:type="dxa" w:w="1440"/>
            <w:shd w:fill="FAFAFA" w:val="clear"/>
          </w:tcPr>
          <w:p>
            <w:r>
              <w:rPr>
                <w:sz w:val="17"/>
              </w:rPr>
              <w:t>4,568</w:t>
            </w:r>
          </w:p>
        </w:tc>
        <w:tc>
          <w:tcPr>
            <w:tcW w:type="dxa" w:w="1440"/>
            <w:shd w:fill="FAFAFA" w:val="clear"/>
          </w:tcPr>
          <w:p>
            <w:r>
              <w:rPr>
                <w:b/>
                <w:sz w:val="17"/>
              </w:rPr>
              <w:t>5,205</w:t>
            </w:r>
          </w:p>
        </w:tc>
        <w:tc>
          <w:tcPr>
            <w:tcW w:type="dxa" w:w="1440"/>
            <w:shd w:fill="FAFAFA" w:val="clear"/>
          </w:tcPr>
          <w:p>
            <w:r>
              <w:rPr>
                <w:sz w:val="17"/>
              </w:rPr>
              <w:t>5,843</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2026-08-13</w:t>
            </w:r>
          </w:p>
        </w:tc>
        <w:tc>
          <w:tcPr>
            <w:tcW w:type="dxa" w:w="1440"/>
            <w:shd w:fill="FAFAFA" w:val="clear"/>
          </w:tcPr>
          <w:p>
            <w:r>
              <w:rPr>
                <w:sz w:val="17"/>
              </w:rPr>
              <w:t>4,514</w:t>
            </w:r>
          </w:p>
        </w:tc>
        <w:tc>
          <w:tcPr>
            <w:tcW w:type="dxa" w:w="1440"/>
            <w:shd w:fill="FAFAFA" w:val="clear"/>
          </w:tcPr>
          <w:p>
            <w:r>
              <w:rPr>
                <w:b/>
                <w:sz w:val="17"/>
              </w:rPr>
              <w:t>5,194</w:t>
            </w:r>
          </w:p>
        </w:tc>
        <w:tc>
          <w:tcPr>
            <w:tcW w:type="dxa" w:w="1440"/>
            <w:shd w:fill="FAFAFA" w:val="clear"/>
          </w:tcPr>
          <w:p>
            <w:r>
              <w:rPr>
                <w:sz w:val="17"/>
              </w:rPr>
              <w:t>5,875</w:t>
            </w:r>
          </w:p>
        </w:tc>
        <w:tc>
          <w:tcPr>
            <w:tcW w:type="dxa" w:w="1440"/>
            <w:shd w:fill="FAFAFA" w:val="clear"/>
          </w:tcPr>
          <w:p>
            <w:r>
              <w:rPr>
                <w:b/>
                <w:color w:val="C00000"/>
                <w:sz w:val="17"/>
              </w:rPr>
              <w:t>-1.8%</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4,464</w:t>
            </w:r>
          </w:p>
        </w:tc>
        <w:tc>
          <w:tcPr>
            <w:tcW w:type="dxa" w:w="1440"/>
            <w:shd w:fill="FFDCE0" w:val="clear"/>
          </w:tcPr>
          <w:p>
            <w:r>
              <w:rPr>
                <w:b/>
                <w:sz w:val="17"/>
              </w:rPr>
              <w:t>5,184</w:t>
            </w:r>
          </w:p>
        </w:tc>
        <w:tc>
          <w:tcPr>
            <w:tcW w:type="dxa" w:w="1440"/>
            <w:shd w:fill="FFDCE0" w:val="clear"/>
          </w:tcPr>
          <w:p>
            <w:r>
              <w:rPr>
                <w:sz w:val="17"/>
              </w:rPr>
              <w:t>5,904</w:t>
            </w:r>
          </w:p>
        </w:tc>
        <w:tc>
          <w:tcPr>
            <w:tcW w:type="dxa" w:w="1440"/>
            <w:shd w:fill="FFDCE0"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4,416</w:t>
            </w:r>
          </w:p>
        </w:tc>
        <w:tc>
          <w:tcPr>
            <w:tcW w:type="dxa" w:w="1440"/>
            <w:shd w:fill="FFDCE0" w:val="clear"/>
          </w:tcPr>
          <w:p>
            <w:r>
              <w:rPr>
                <w:b/>
                <w:sz w:val="17"/>
              </w:rPr>
              <w:t>5,173</w:t>
            </w:r>
          </w:p>
        </w:tc>
        <w:tc>
          <w:tcPr>
            <w:tcW w:type="dxa" w:w="1440"/>
            <w:shd w:fill="FFDCE0" w:val="clear"/>
          </w:tcPr>
          <w:p>
            <w:r>
              <w:rPr>
                <w:sz w:val="17"/>
              </w:rPr>
              <w:t>5,930</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**Date de l'analyse : 31 juillet 2026**</w:t>
        <w:br/>
        <w:t>**Cours de référence : 5 290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110,03 milliards FCFA positionne BOAN comme une valeur de taille moyenne sur la BRVM, reflétant la confiance des investisseurs dans le groupe malgré un contexte difficile. Le BPA de 20 FCFA par action est extrêmement faible, ce qui explique un PER de 269,0x, très largement au-dessus de la moyenne du marché BRVM (8-12x). Ce niveau est spéculatif et intègre des anticipations de rebond massif des bénéfices, mais il expose l'action à un risque de correction sévère si les résultats déçoivent. Le P/B de 3,05x indique que le marché valorise la société à plus de trois fois ses capitaux propres, une prime de croissance significative pour une banque dont le ROE est inférieur à 2%. Enfin, l'EV/EBITDA de 40,3x est très exigeant, signalant que la valeur d'entreprise est disproportionnée par rapport à la capacité bénéficiaire opérationnelle actuelle, ce qui rend l'action vulnérable à toute révision à la baisse des anticipations.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BOAN a enregistré une hausse spectaculaire de +94,49%, passant d'un plus bas de 2 460 FCFA à un plus haut de 5 400 FCFA, avec un cours actuel de 5 290 FCFA. La séance de J-1 est restée stable (0,00%), marquant une pause après ce rallye. La moyenne du cours sur la période (3 702 FCFA) est très proche de la médiane (3 698 FCFA), indiquant une distribution relativement symétrique malgré l'ampleur de la hausse. L'écart-type de 817 FCFA (CV = 22,1%) témoigne d'une dispersion notable autour de la moyenne. Le kurtosis de -0,391 (mésokurtique) suggère une absence de pics extrêmes de volatilité, tandis que le skewness positif de 0,617 indique que le cours a passé plus de temps sous sa moyenne, avec des poussées haussières marquées. La volatilité annualisée de 45,1% est très élevée, classant BOAN comme une valeur à risque fort, où les mouvements de prix peuvent être amples et rapides dans les deux sens.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(5 290 FCFA) évolue nettement au-dessus de la MM20 (5 013 FCFA) et de la MM50 (4 317 FCFA), confirmant une dynamique haussière de court et moyen terme. La configuration des MM (MM20 &gt; MM50) valide la tendance positive, d'où le signal d'achat.</w:t>
      </w:r>
    </w:p>
    <w:p>
      <w:pPr>
        <w:spacing w:after="120" w:line="276" w:lineRule="auto"/>
      </w:pPr>
      <w:r>
        <w:t>**Bandes de Bollinger :** Le prix se situe à 5 290 FCFA, en dessous de la borne supérieure (5 860 FCFA) mais au-dessus de la borne inférieure (4 166 FCFA). L'écart entre les bornes est large, reflétant la volatilité élevée. Le signal est neutre, le cours n'étant pas en zone de surachat extrême, mais la proximité de la borne supérieure suggère une possible résistance.</w:t>
      </w:r>
    </w:p>
    <w:p>
      <w:pPr>
        <w:spacing w:after="120" w:line="276" w:lineRule="auto"/>
      </w:pPr>
      <w:r>
        <w:t>**MACD :** La valeur du MACD (313,565) est inférieure à son signal (335,895), indiquant un momentum baissier à court terme. Ce croisement négatif, après une période de hausse, suggère un essoufflement de la dynamique haussière, d'où le signal de vente.</w:t>
      </w:r>
    </w:p>
    <w:p>
      <w:pPr>
        <w:spacing w:after="120" w:line="276" w:lineRule="auto"/>
      </w:pPr>
      <w:r>
        <w:t>**RSI :** À 69,863, le RSI est proche du seuil de surachat (70), sans toutefois le franchir. Cela indique une pression acheteuse encore présente mais potentiellement limitée. Le signal est neutre, mais une vigilance est requise en cas de dépassement des 70.</w:t>
      </w:r>
    </w:p>
    <w:p>
      <w:pPr>
        <w:spacing w:after="120" w:line="276" w:lineRule="auto"/>
      </w:pPr>
      <w:r>
        <w:t>**Stochastique :** Le %K (82,946) et le %D (83,687) sont tous deux en zone de surachat, avec un %D légèrement supérieur au %K, suggérant un possible retournement baissier. Le signal de vente est émis, cohérent avec le MACD.</w:t>
      </w:r>
    </w:p>
    <w:p>
      <w:pPr>
        <w:spacing w:after="120" w:line="276" w:lineRule="auto"/>
      </w:pPr>
      <w:r>
        <w:t>**Conclusion technique :** Les indicateurs sont mitigés : la tendance de fond reste haussière (MM), mais les oscillateurs (MACD, Stochastique) signalent un essoufflement et un risque de correction à court terme. Le RSI proche du surachat renforce cette prudence. Un repli technique vers la zone des 5 000-5 100 FCFA (MM20) est envisageable avant une éventuelle reprise.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font état d'un Produit Net Bancaire (PNB) de 21,125 milliards FCFA, en légère baisse de 1,2% par rapport à 2024 (21,380 Mds FCFA). Le résultat net s'effondre à 409 millions FCFA, contre 5 002 millions en 2024, soit une chute de 91,8%. Cette dégradation se reflète dans le ROE (1,13%) et le ROA (0,14%), qui sont très faibles. Le coefficient d'exploitation de 74,4% est élevé, indiquant une efficacité opérationnelle insuffisante (norme &lt; 60%). Le coût du risque est préoccupant à 67,3%, traduisant un portefeuille de crédits fortement dégradé. Les dépôts clientèle (183,28 Mds FCFA) restent supérieurs aux créances (128,45 Mds FCFA), mais la contraction des crédits (-20,9%) pénalise l'activité. Les rapports trimestriels 2025 confirment cette tendance : le T1 2025 (PNB -16,3%, résultat net -50,2%) et le S1 2025 (PNB -4,1%, résultat net -25,2%) montrent une dégradation continue. Cependant, le rapport du T1 2026 (publié en 2026) fait état d'un net redressement : PNB en hausse de 7,9% à 5 170 millions FCFA et résultat net en progression de 28,9% à 1 467 millions FCFA, avec un coefficient d'exploitation amélioré à 56,2%. Sur cette base, on estime que l'exercice 2026 pourrait voir un PNB annuel autour de 22,3 milliards FCFA et un résultat net potentiellement supérieur à 5 milliards FCFA, si la tendance se maintient. La banque bénéficie du soutien du groupe BOA et d'un plan de redressement axé sur la digitalisation et la maîtrise des risques. La solidité financière est assurée par un ratio de solvabilité de 14,06%, conforme aux exigences UEMOA.</w:t>
      </w:r>
    </w:p>
    <w:p>
      <w:pPr>
        <w:spacing w:after="120" w:line="276" w:lineRule="auto"/>
      </w:pPr>
      <w:r>
        <w:t>---</w:t>
      </w:r>
    </w:p>
    <w:p>
      <w:pPr>
        <w:spacing w:after="120" w:line="276" w:lineRule="auto"/>
      </w:pPr>
      <w:r>
        <w:t>### PARTIE 4 : CONCLUSION D'INVESTISSEMENT</w:t>
      </w:r>
    </w:p>
    <w:p>
      <w:pPr>
        <w:spacing w:after="120" w:line="276" w:lineRule="auto"/>
      </w:pPr>
      <w:r>
        <w:t>La valorisation actuelle de BOAN est extrêmement exigeante (PER 269x, P/B 3,05x, EV/EBITDA 40,3x), reflétant des anticipations de rebond très optimistes, en décalage avec les fondamentaux récents. Le comportement du cours (+94,5% en 100 jours) est haussier mais la volatilité très élevée (45,1%) et le skewness positif suggèrent un risque de retournement. Les signaux techniques sont mitigés : la tendance de fond reste positive (MM), mais les oscillateurs (MACD, Stochastique) indiquent un essoufflement à court terme. Les fondamentaux montrent une amélioration nette au T1 2026 (résultat net +28,9%), laissant espérer une reprise, mais le niveau de bénéfices reste faible pour justifier une telle capitalisation. Les prédictions IA (5 274 FCFA à J+1, puis baisse progressive à 5 228 FCFA à J+10) suggèrent une consolidation, contredisant la poursuite du rallye. En synthèse, la convergence entre la valorisation excessive, les signaux techniques de surachat et les prédictions IA de repli plaide pour une prudence maximale. **Recommandation finale : VENTE** pour les investisseurs à court terme, avec un niveau de confiance **Moyen** et un risque global **Élevé**. Pour les investisseurs de long terme, une position de **CONSERVER** pourrait se justifier en attendant la confirmation d'une amélioration durable des résultats, avec un horizon de placement supérieur à 12 mois.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280.44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9,068 titres</w:t>
            </w:r>
          </w:p>
        </w:tc>
        <w:tc>
          <w:tcPr>
            <w:tcW w:type="dxa" w:w="2268"/>
            <w:shd w:fill="FFF2CC" w:val="clear"/>
          </w:tcPr>
          <w:p>
            <w:r>
              <w:rPr>
                <w:b/>
                <w:color w:val="503200"/>
                <w:sz w:val="16"/>
              </w:rPr>
              <w:t xml:space="preserve">Cours actuel : </w:t>
            </w:r>
            <w:r>
              <w:rPr>
                <w:color w:val="000000"/>
                <w:sz w:val="17"/>
              </w:rPr>
              <w:t>7,790 FCFA</w:t>
            </w:r>
          </w:p>
          <w:p>
            <w:r>
              <w:rPr>
                <w:b/>
                <w:color w:val="503200"/>
                <w:sz w:val="16"/>
              </w:rPr>
              <w:t xml:space="preserve">Var. 100 jours : </w:t>
            </w:r>
            <w:r>
              <w:rPr>
                <w:b/>
                <w:color w:val="007800"/>
                <w:sz w:val="17"/>
              </w:rPr>
              <w:t>+13.89%</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6,400 FCFA</w:t>
            </w:r>
          </w:p>
          <w:p>
            <w:r>
              <w:rPr>
                <w:b/>
                <w:color w:val="503200"/>
                <w:sz w:val="16"/>
              </w:rPr>
              <w:t xml:space="preserve">Volatilité ann. : </w:t>
            </w:r>
            <w:r>
              <w:rPr>
                <w:color w:val="000000"/>
                <w:sz w:val="17"/>
              </w:rPr>
              <w:t>25.5%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5.40% (Moyenne) — μ=7,215 FCFA, σ=389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β=0.6239 (Défensif) — Cov=0.000023, Var(idx)=0.000036, ρ=0.234,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9,068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σ_j=1.61%/j (Stable) — Vol. annualisée≈25.5%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2026-08-03</w:t>
            </w:r>
          </w:p>
        </w:tc>
        <w:tc>
          <w:tcPr>
            <w:tcW w:type="dxa" w:w="1440"/>
            <w:shd w:fill="FFDCE0" w:val="clear"/>
          </w:tcPr>
          <w:p>
            <w:r>
              <w:rPr>
                <w:sz w:val="17"/>
              </w:rPr>
              <w:t>7,428</w:t>
            </w:r>
          </w:p>
        </w:tc>
        <w:tc>
          <w:tcPr>
            <w:tcW w:type="dxa" w:w="1440"/>
            <w:shd w:fill="FFDCE0" w:val="clear"/>
          </w:tcPr>
          <w:p>
            <w:r>
              <w:rPr>
                <w:b/>
                <w:sz w:val="17"/>
              </w:rPr>
              <w:t>7,602</w:t>
            </w:r>
          </w:p>
        </w:tc>
        <w:tc>
          <w:tcPr>
            <w:tcW w:type="dxa" w:w="1440"/>
            <w:shd w:fill="FFDCE0" w:val="clear"/>
          </w:tcPr>
          <w:p>
            <w:r>
              <w:rPr>
                <w:sz w:val="17"/>
              </w:rPr>
              <w:t>7,776</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2026-08-04</w:t>
            </w:r>
          </w:p>
        </w:tc>
        <w:tc>
          <w:tcPr>
            <w:tcW w:type="dxa" w:w="1440"/>
            <w:shd w:fill="FFDCE0" w:val="clear"/>
          </w:tcPr>
          <w:p>
            <w:r>
              <w:rPr>
                <w:sz w:val="17"/>
              </w:rPr>
              <w:t>7,249</w:t>
            </w:r>
          </w:p>
        </w:tc>
        <w:tc>
          <w:tcPr>
            <w:tcW w:type="dxa" w:w="1440"/>
            <w:shd w:fill="FFDCE0" w:val="clear"/>
          </w:tcPr>
          <w:p>
            <w:r>
              <w:rPr>
                <w:b/>
                <w:sz w:val="17"/>
              </w:rPr>
              <w:t>7,491</w:t>
            </w:r>
          </w:p>
        </w:tc>
        <w:tc>
          <w:tcPr>
            <w:tcW w:type="dxa" w:w="1440"/>
            <w:shd w:fill="FFDCE0" w:val="clear"/>
          </w:tcPr>
          <w:p>
            <w:r>
              <w:rPr>
                <w:sz w:val="17"/>
              </w:rPr>
              <w:t>7,734</w:t>
            </w:r>
          </w:p>
        </w:tc>
        <w:tc>
          <w:tcPr>
            <w:tcW w:type="dxa" w:w="1440"/>
            <w:shd w:fill="FFDCE0" w:val="clear"/>
          </w:tcPr>
          <w:p>
            <w:r>
              <w:rPr>
                <w:b/>
                <w:color w:val="C00000"/>
                <w:sz w:val="17"/>
              </w:rPr>
              <w:t>-3.8%</w:t>
            </w:r>
          </w:p>
        </w:tc>
      </w:tr>
      <w:tr>
        <w:tc>
          <w:tcPr>
            <w:tcW w:type="dxa" w:w="1440"/>
            <w:shd w:fill="FFDCE0" w:val="clear"/>
          </w:tcPr>
          <w:p>
            <w:r>
              <w:rPr>
                <w:sz w:val="17"/>
              </w:rPr>
              <w:t>J+3  ⭐⭐⭐</w:t>
            </w:r>
          </w:p>
        </w:tc>
        <w:tc>
          <w:tcPr>
            <w:tcW w:type="dxa" w:w="1440"/>
            <w:shd w:fill="FFDCE0" w:val="clear"/>
          </w:tcPr>
          <w:p>
            <w:r>
              <w:rPr>
                <w:sz w:val="17"/>
              </w:rPr>
              <w:t>2026-08-05</w:t>
            </w:r>
          </w:p>
        </w:tc>
        <w:tc>
          <w:tcPr>
            <w:tcW w:type="dxa" w:w="1440"/>
            <w:shd w:fill="FFDCE0" w:val="clear"/>
          </w:tcPr>
          <w:p>
            <w:r>
              <w:rPr>
                <w:sz w:val="17"/>
              </w:rPr>
              <w:t>7,087</w:t>
            </w:r>
          </w:p>
        </w:tc>
        <w:tc>
          <w:tcPr>
            <w:tcW w:type="dxa" w:w="1440"/>
            <w:shd w:fill="FFDCE0" w:val="clear"/>
          </w:tcPr>
          <w:p>
            <w:r>
              <w:rPr>
                <w:b/>
                <w:sz w:val="17"/>
              </w:rPr>
              <w:t>7,379</w:t>
            </w:r>
          </w:p>
        </w:tc>
        <w:tc>
          <w:tcPr>
            <w:tcW w:type="dxa" w:w="1440"/>
            <w:shd w:fill="FFDCE0" w:val="clear"/>
          </w:tcPr>
          <w:p>
            <w:r>
              <w:rPr>
                <w:sz w:val="17"/>
              </w:rPr>
              <w:t>7,672</w:t>
            </w:r>
          </w:p>
        </w:tc>
        <w:tc>
          <w:tcPr>
            <w:tcW w:type="dxa" w:w="1440"/>
            <w:shd w:fill="FFDCE0" w:val="clear"/>
          </w:tcPr>
          <w:p>
            <w:r>
              <w:rPr>
                <w:b/>
                <w:color w:val="C00000"/>
                <w:sz w:val="17"/>
              </w:rPr>
              <w:t>-5.3%</w:t>
            </w:r>
          </w:p>
        </w:tc>
      </w:tr>
      <w:tr>
        <w:tc>
          <w:tcPr>
            <w:tcW w:type="dxa" w:w="1440"/>
            <w:shd w:fill="FFDCE0" w:val="clear"/>
          </w:tcPr>
          <w:p>
            <w:r>
              <w:rPr>
                <w:sz w:val="17"/>
              </w:rPr>
              <w:t>J+4  Moyenne</w:t>
            </w:r>
          </w:p>
        </w:tc>
        <w:tc>
          <w:tcPr>
            <w:tcW w:type="dxa" w:w="1440"/>
            <w:shd w:fill="FFDCE0" w:val="clear"/>
          </w:tcPr>
          <w:p>
            <w:r>
              <w:rPr>
                <w:sz w:val="17"/>
              </w:rPr>
              <w:t>2026-08-06</w:t>
            </w:r>
          </w:p>
        </w:tc>
        <w:tc>
          <w:tcPr>
            <w:tcW w:type="dxa" w:w="1440"/>
            <w:shd w:fill="FFDCE0" w:val="clear"/>
          </w:tcPr>
          <w:p>
            <w:r>
              <w:rPr>
                <w:sz w:val="17"/>
              </w:rPr>
              <w:t>6,942</w:t>
            </w:r>
          </w:p>
        </w:tc>
        <w:tc>
          <w:tcPr>
            <w:tcW w:type="dxa" w:w="1440"/>
            <w:shd w:fill="FFDCE0" w:val="clear"/>
          </w:tcPr>
          <w:p>
            <w:r>
              <w:rPr>
                <w:b/>
                <w:sz w:val="17"/>
              </w:rPr>
              <w:t>7,275</w:t>
            </w:r>
          </w:p>
        </w:tc>
        <w:tc>
          <w:tcPr>
            <w:tcW w:type="dxa" w:w="1440"/>
            <w:shd w:fill="FFDCE0" w:val="clear"/>
          </w:tcPr>
          <w:p>
            <w:r>
              <w:rPr>
                <w:sz w:val="17"/>
              </w:rPr>
              <w:t>7,609</w:t>
            </w:r>
          </w:p>
        </w:tc>
        <w:tc>
          <w:tcPr>
            <w:tcW w:type="dxa" w:w="1440"/>
            <w:shd w:fill="FFDCE0" w:val="clear"/>
          </w:tcPr>
          <w:p>
            <w:r>
              <w:rPr>
                <w:b/>
                <w:color w:val="C00000"/>
                <w:sz w:val="17"/>
              </w:rPr>
              <w:t>-6.6%</w:t>
            </w:r>
          </w:p>
        </w:tc>
      </w:tr>
      <w:tr>
        <w:tc>
          <w:tcPr>
            <w:tcW w:type="dxa" w:w="1440"/>
            <w:shd w:fill="FFDCE0" w:val="clear"/>
          </w:tcPr>
          <w:p>
            <w:r>
              <w:rPr>
                <w:sz w:val="17"/>
              </w:rPr>
              <w:t>J+5  Moyenne</w:t>
            </w:r>
          </w:p>
        </w:tc>
        <w:tc>
          <w:tcPr>
            <w:tcW w:type="dxa" w:w="1440"/>
            <w:shd w:fill="FFDCE0" w:val="clear"/>
          </w:tcPr>
          <w:p>
            <w:r>
              <w:rPr>
                <w:sz w:val="17"/>
              </w:rPr>
              <w:t>2026-08-10</w:t>
            </w:r>
          </w:p>
        </w:tc>
        <w:tc>
          <w:tcPr>
            <w:tcW w:type="dxa" w:w="1440"/>
            <w:shd w:fill="FFDCE0" w:val="clear"/>
          </w:tcPr>
          <w:p>
            <w:r>
              <w:rPr>
                <w:sz w:val="17"/>
              </w:rPr>
              <w:t>6,811</w:t>
            </w:r>
          </w:p>
        </w:tc>
        <w:tc>
          <w:tcPr>
            <w:tcW w:type="dxa" w:w="1440"/>
            <w:shd w:fill="FFDCE0" w:val="clear"/>
          </w:tcPr>
          <w:p>
            <w:r>
              <w:rPr>
                <w:b/>
                <w:sz w:val="17"/>
              </w:rPr>
              <w:t>7,178</w:t>
            </w:r>
          </w:p>
        </w:tc>
        <w:tc>
          <w:tcPr>
            <w:tcW w:type="dxa" w:w="1440"/>
            <w:shd w:fill="FFDCE0" w:val="clear"/>
          </w:tcPr>
          <w:p>
            <w:r>
              <w:rPr>
                <w:sz w:val="17"/>
              </w:rPr>
              <w:t>7,545</w:t>
            </w:r>
          </w:p>
        </w:tc>
        <w:tc>
          <w:tcPr>
            <w:tcW w:type="dxa" w:w="1440"/>
            <w:shd w:fill="FFDCE0" w:val="clear"/>
          </w:tcPr>
          <w:p>
            <w:r>
              <w:rPr>
                <w:b/>
                <w:color w:val="C00000"/>
                <w:sz w:val="17"/>
              </w:rPr>
              <w:t>-7.9%</w:t>
            </w:r>
          </w:p>
        </w:tc>
      </w:tr>
      <w:tr>
        <w:tc>
          <w:tcPr>
            <w:tcW w:type="dxa" w:w="1440"/>
            <w:shd w:fill="FFDCE0" w:val="clear"/>
          </w:tcPr>
          <w:p>
            <w:r>
              <w:rPr>
                <w:sz w:val="17"/>
              </w:rPr>
              <w:t>J+6  Moyenne</w:t>
            </w:r>
          </w:p>
        </w:tc>
        <w:tc>
          <w:tcPr>
            <w:tcW w:type="dxa" w:w="1440"/>
            <w:shd w:fill="FFDCE0" w:val="clear"/>
          </w:tcPr>
          <w:p>
            <w:r>
              <w:rPr>
                <w:sz w:val="17"/>
              </w:rPr>
              <w:t>2026-08-11</w:t>
            </w:r>
          </w:p>
        </w:tc>
        <w:tc>
          <w:tcPr>
            <w:tcW w:type="dxa" w:w="1440"/>
            <w:shd w:fill="FFDCE0" w:val="clear"/>
          </w:tcPr>
          <w:p>
            <w:r>
              <w:rPr>
                <w:sz w:val="17"/>
              </w:rPr>
              <w:t>6,689</w:t>
            </w:r>
          </w:p>
        </w:tc>
        <w:tc>
          <w:tcPr>
            <w:tcW w:type="dxa" w:w="1440"/>
            <w:shd w:fill="FFDCE0" w:val="clear"/>
          </w:tcPr>
          <w:p>
            <w:r>
              <w:rPr>
                <w:b/>
                <w:sz w:val="17"/>
              </w:rPr>
              <w:t>7,086</w:t>
            </w:r>
          </w:p>
        </w:tc>
        <w:tc>
          <w:tcPr>
            <w:tcW w:type="dxa" w:w="1440"/>
            <w:shd w:fill="FFDCE0" w:val="clear"/>
          </w:tcPr>
          <w:p>
            <w:r>
              <w:rPr>
                <w:sz w:val="17"/>
              </w:rPr>
              <w:t>7,483</w:t>
            </w:r>
          </w:p>
        </w:tc>
        <w:tc>
          <w:tcPr>
            <w:tcW w:type="dxa" w:w="1440"/>
            <w:shd w:fill="FFDCE0" w:val="clear"/>
          </w:tcPr>
          <w:p>
            <w:r>
              <w:rPr>
                <w:b/>
                <w:color w:val="C00000"/>
                <w:sz w:val="17"/>
              </w:rPr>
              <w:t>-9.0%</w:t>
            </w:r>
          </w:p>
        </w:tc>
      </w:tr>
      <w:tr>
        <w:tc>
          <w:tcPr>
            <w:tcW w:type="dxa" w:w="1440"/>
            <w:shd w:fill="FFDCE0" w:val="clear"/>
          </w:tcPr>
          <w:p>
            <w:r>
              <w:rPr>
                <w:sz w:val="17"/>
              </w:rPr>
              <w:t>J+7  Moyenne</w:t>
            </w:r>
          </w:p>
        </w:tc>
        <w:tc>
          <w:tcPr>
            <w:tcW w:type="dxa" w:w="1440"/>
            <w:shd w:fill="FFDCE0" w:val="clear"/>
          </w:tcPr>
          <w:p>
            <w:r>
              <w:rPr>
                <w:sz w:val="17"/>
              </w:rPr>
              <w:t>2026-08-12</w:t>
            </w:r>
          </w:p>
        </w:tc>
        <w:tc>
          <w:tcPr>
            <w:tcW w:type="dxa" w:w="1440"/>
            <w:shd w:fill="FFDCE0" w:val="clear"/>
          </w:tcPr>
          <w:p>
            <w:r>
              <w:rPr>
                <w:sz w:val="17"/>
              </w:rPr>
              <w:t>6,575</w:t>
            </w:r>
          </w:p>
        </w:tc>
        <w:tc>
          <w:tcPr>
            <w:tcW w:type="dxa" w:w="1440"/>
            <w:shd w:fill="FFDCE0" w:val="clear"/>
          </w:tcPr>
          <w:p>
            <w:r>
              <w:rPr>
                <w:b/>
                <w:sz w:val="17"/>
              </w:rPr>
              <w:t>6,999</w:t>
            </w:r>
          </w:p>
        </w:tc>
        <w:tc>
          <w:tcPr>
            <w:tcW w:type="dxa" w:w="1440"/>
            <w:shd w:fill="FFDCE0" w:val="clear"/>
          </w:tcPr>
          <w:p>
            <w:r>
              <w:rPr>
                <w:sz w:val="17"/>
              </w:rPr>
              <w:t>7,422</w:t>
            </w:r>
          </w:p>
        </w:tc>
        <w:tc>
          <w:tcPr>
            <w:tcW w:type="dxa" w:w="1440"/>
            <w:shd w:fill="FFDCE0" w:val="clear"/>
          </w:tcPr>
          <w:p>
            <w:r>
              <w:rPr>
                <w:b/>
                <w:color w:val="C00000"/>
                <w:sz w:val="17"/>
              </w:rPr>
              <w:t>-10.2%</w:t>
            </w:r>
          </w:p>
        </w:tc>
      </w:tr>
      <w:tr>
        <w:tc>
          <w:tcPr>
            <w:tcW w:type="dxa" w:w="1440"/>
            <w:shd w:fill="FFDCE0" w:val="clear"/>
          </w:tcPr>
          <w:p>
            <w:r>
              <w:rPr>
                <w:sz w:val="17"/>
              </w:rPr>
              <w:t>J+8  Moyenne</w:t>
            </w:r>
          </w:p>
        </w:tc>
        <w:tc>
          <w:tcPr>
            <w:tcW w:type="dxa" w:w="1440"/>
            <w:shd w:fill="FFDCE0" w:val="clear"/>
          </w:tcPr>
          <w:p>
            <w:r>
              <w:rPr>
                <w:sz w:val="17"/>
              </w:rPr>
              <w:t>2026-08-13</w:t>
            </w:r>
          </w:p>
        </w:tc>
        <w:tc>
          <w:tcPr>
            <w:tcW w:type="dxa" w:w="1440"/>
            <w:shd w:fill="FFDCE0" w:val="clear"/>
          </w:tcPr>
          <w:p>
            <w:r>
              <w:rPr>
                <w:sz w:val="17"/>
              </w:rPr>
              <w:t>6,468</w:t>
            </w:r>
          </w:p>
        </w:tc>
        <w:tc>
          <w:tcPr>
            <w:tcW w:type="dxa" w:w="1440"/>
            <w:shd w:fill="FFDCE0" w:val="clear"/>
          </w:tcPr>
          <w:p>
            <w:r>
              <w:rPr>
                <w:b/>
                <w:sz w:val="17"/>
              </w:rPr>
              <w:t>6,916</w:t>
            </w:r>
          </w:p>
        </w:tc>
        <w:tc>
          <w:tcPr>
            <w:tcW w:type="dxa" w:w="1440"/>
            <w:shd w:fill="FFDCE0" w:val="clear"/>
          </w:tcPr>
          <w:p>
            <w:r>
              <w:rPr>
                <w:sz w:val="17"/>
              </w:rPr>
              <w:t>7,364</w:t>
            </w:r>
          </w:p>
        </w:tc>
        <w:tc>
          <w:tcPr>
            <w:tcW w:type="dxa" w:w="1440"/>
            <w:shd w:fill="FFDCE0" w:val="clear"/>
          </w:tcPr>
          <w:p>
            <w:r>
              <w:rPr>
                <w:b/>
                <w:color w:val="C00000"/>
                <w:sz w:val="17"/>
              </w:rPr>
              <w:t>-11.2%</w:t>
            </w:r>
          </w:p>
        </w:tc>
      </w:tr>
      <w:tr>
        <w:tc>
          <w:tcPr>
            <w:tcW w:type="dxa" w:w="1440"/>
            <w:shd w:fill="FFDCE0" w:val="clear"/>
          </w:tcPr>
          <w:p>
            <w:r>
              <w:rPr>
                <w:sz w:val="17"/>
              </w:rPr>
              <w:t>J+9  Moyenne</w:t>
            </w:r>
          </w:p>
        </w:tc>
        <w:tc>
          <w:tcPr>
            <w:tcW w:type="dxa" w:w="1440"/>
            <w:shd w:fill="FFDCE0" w:val="clear"/>
          </w:tcPr>
          <w:p>
            <w:r>
              <w:rPr>
                <w:sz w:val="17"/>
              </w:rPr>
              <w:t>2026-08-14</w:t>
            </w:r>
          </w:p>
        </w:tc>
        <w:tc>
          <w:tcPr>
            <w:tcW w:type="dxa" w:w="1440"/>
            <w:shd w:fill="FFDCE0" w:val="clear"/>
          </w:tcPr>
          <w:p>
            <w:r>
              <w:rPr>
                <w:sz w:val="17"/>
              </w:rPr>
              <w:t>6,368</w:t>
            </w:r>
          </w:p>
        </w:tc>
        <w:tc>
          <w:tcPr>
            <w:tcW w:type="dxa" w:w="1440"/>
            <w:shd w:fill="FFDCE0" w:val="clear"/>
          </w:tcPr>
          <w:p>
            <w:r>
              <w:rPr>
                <w:b/>
                <w:sz w:val="17"/>
              </w:rPr>
              <w:t>6,837</w:t>
            </w:r>
          </w:p>
        </w:tc>
        <w:tc>
          <w:tcPr>
            <w:tcW w:type="dxa" w:w="1440"/>
            <w:shd w:fill="FFDCE0" w:val="clear"/>
          </w:tcPr>
          <w:p>
            <w:r>
              <w:rPr>
                <w:sz w:val="17"/>
              </w:rPr>
              <w:t>7,307</w:t>
            </w:r>
          </w:p>
        </w:tc>
        <w:tc>
          <w:tcPr>
            <w:tcW w:type="dxa" w:w="1440"/>
            <w:shd w:fill="FFDCE0" w:val="clear"/>
          </w:tcPr>
          <w:p>
            <w:r>
              <w:rPr>
                <w:b/>
                <w:color w:val="C00000"/>
                <w:sz w:val="17"/>
              </w:rPr>
              <w:t>-12.2%</w:t>
            </w:r>
          </w:p>
        </w:tc>
      </w:tr>
      <w:tr>
        <w:tc>
          <w:tcPr>
            <w:tcW w:type="dxa" w:w="1440"/>
            <w:shd w:fill="FFDCE0" w:val="clear"/>
          </w:tcPr>
          <w:p>
            <w:r>
              <w:rPr>
                <w:sz w:val="17"/>
              </w:rPr>
              <w:t>J+10  Moyenne</w:t>
            </w:r>
          </w:p>
        </w:tc>
        <w:tc>
          <w:tcPr>
            <w:tcW w:type="dxa" w:w="1440"/>
            <w:shd w:fill="FFDCE0" w:val="clear"/>
          </w:tcPr>
          <w:p>
            <w:r>
              <w:rPr>
                <w:sz w:val="17"/>
              </w:rPr>
              <w:t>2026-08-17</w:t>
            </w:r>
          </w:p>
        </w:tc>
        <w:tc>
          <w:tcPr>
            <w:tcW w:type="dxa" w:w="1440"/>
            <w:shd w:fill="FFDCE0" w:val="clear"/>
          </w:tcPr>
          <w:p>
            <w:r>
              <w:rPr>
                <w:sz w:val="17"/>
              </w:rPr>
              <w:t>6,273</w:t>
            </w:r>
          </w:p>
        </w:tc>
        <w:tc>
          <w:tcPr>
            <w:tcW w:type="dxa" w:w="1440"/>
            <w:shd w:fill="FFDCE0" w:val="clear"/>
          </w:tcPr>
          <w:p>
            <w:r>
              <w:rPr>
                <w:b/>
                <w:sz w:val="17"/>
              </w:rPr>
              <w:t>6,762</w:t>
            </w:r>
          </w:p>
        </w:tc>
        <w:tc>
          <w:tcPr>
            <w:tcW w:type="dxa" w:w="1440"/>
            <w:shd w:fill="FFDCE0" w:val="clear"/>
          </w:tcPr>
          <w:p>
            <w:r>
              <w:rPr>
                <w:sz w:val="17"/>
              </w:rPr>
              <w:t>7,252</w:t>
            </w:r>
          </w:p>
        </w:tc>
        <w:tc>
          <w:tcPr>
            <w:tcW w:type="dxa" w:w="1440"/>
            <w:shd w:fill="FFDCE0" w:val="clear"/>
          </w:tcPr>
          <w:p>
            <w:r>
              <w:rPr>
                <w:b/>
                <w:color w:val="C00000"/>
                <w:sz w:val="17"/>
              </w:rPr>
              <w:t>-13.2%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BOA SÉNÉGAL (BOAS)**</w:t>
        <w:br/>
        <w:t>**Date : 31 juillet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BOAS s'établit à 280,44 milliards FCFA, ce qui en fait une valeur de première ligne sur la BRVM, représentative du secteur bancaire régional. Avec un BPA de 608 FCFA, le titre se négocie à un PER de 12,8x, légèrement supérieur à la moyenne historique de la place (~8-12x), ce qui traduit une valorisation raisonnable mais non bradée, intégrant une prime de croissance. Le P/B de 2,91x confirme cette lecture : le marché valorise les capitaux propres de la banque près de trois fois leur valeur comptable, signe d'une anticipation de rendements futurs élevés. Enfin, un EV/EBITDA de 8,2x, dans la fourchette basse des standards bancaires, indique que la valeur d'entreprise reste cohérente avec la capacité bénéficiaire opérationnelle de la banque. L'ensemble de ces ratios suggère une société de qualité, correctement valorisée par le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BOAS a enregistré une progression totale de +13,89%, avec une dernière séance positive à +1,17%, clôturant à 7 790 FCFA. Le titre a évolué dans une fourchette de 6 400 à 8 050 FCFA, démontrant une dynamique haussière soutenue. La moyenne du cours sur la période (7 215 FCFA) est inférieure à la médiane (7 300 FCFA), indiquant une distribution légèrement asymétrique, mais le skewness de 0,071 confirme une symétrie quasi parfaite. L'écart-type de 391 FCFA (CV=5,4%) révèle une dispersion modérée des prix, tandis que le kurtosis de -0,775 (mésokurtique) suggère une absence de pics de volatilité extrêmes. La volatilité annualisée de 25,5% classe le titre dans la catégorie modérée (15-30%), ce qui est acceptable pour une valeur bancaire, offrant un équilibre entre rendement et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(7 790 FCFA) se situe au-dessus de la MM20 (7 537 FCFA) et de la MM50 (7 473 FCFA), confirmant une tendance haussière de court et moyen terme. La configuration des MM, avec le cours évoluant au-dessus des deux moyennes, génère un signal d'achat cohérent, indiquant une dynamique positive soutenue par les acheteurs.</w:t>
      </w:r>
    </w:p>
    <w:p>
      <w:pPr>
        <w:spacing w:after="120" w:line="276" w:lineRule="auto"/>
      </w:pPr>
      <w:r>
        <w:t>**Bandes de Bollinger :** Le prix évolue à 7 790 FCFA, proche de la borne supérieure (8 034 FCFA) mais sans la toucher, dans une zone neutre. La largeur des bandes (écart de ~1 000 FCFA) reflète une volatilité modérée. La position du cours suggère une poursuite possible de la tendance, mais avec un risque de consolidation à court terme. La décision est neutre, le titre n'étant ni suracheté ni survendu.</w:t>
      </w:r>
    </w:p>
    <w:p>
      <w:pPr>
        <w:spacing w:after="120" w:line="276" w:lineRule="auto"/>
      </w:pPr>
      <w:r>
        <w:t>**MACD :** Le MACD (126,93) est nettement supérieur à son signal (92,61), avec un écart positif de 34 points. Cette divergence haussière confirme un momentum positif fort, indiquant que la dynamique d'achat s'accélère. La décision d'achat est justifiée par cette configuration, qui valide la tendance haussière en cours.</w:t>
      </w:r>
    </w:p>
    <w:p>
      <w:pPr>
        <w:spacing w:after="120" w:line="276" w:lineRule="auto"/>
      </w:pPr>
      <w:r>
        <w:t>**RSI :** À 66,90, le RSI se situe dans la zone neutre (30-70), proche du seuil de surachat (70). Cette valeur indique une pression acheteuse soutenue sans atteindre des niveaux extrêmes. La décision neutre est appropriée, le titre conservant un potentiel haussier tout en surveillant un éventuel dépassement du seuil critique.</w:t>
      </w:r>
    </w:p>
    <w:p>
      <w:pPr>
        <w:spacing w:after="120" w:line="276" w:lineRule="auto"/>
      </w:pPr>
      <w:r>
        <w:t>**Stochastique :** Le %K (73,08) est légèrement inférieur au %D (77,74), suggérant une possible consolidation à court terme. Les deux lignes évoluent en zone élevée, indiquant une dynamique positive mais potentiellement surchauffée. La décision neutre reflète cette ambiguïté, avec un risque de correction technique.</w:t>
      </w:r>
    </w:p>
    <w:p>
      <w:pPr>
        <w:spacing w:after="120" w:line="276" w:lineRule="auto"/>
      </w:pPr>
      <w:r>
        <w:t>**Conclusion technique :** Les indicateurs sont globalement positifs, avec une convergence des MM et du MACD vers des signaux d'achat, tandis que le RSI et le Stochastique restent en zone neutre. Cette configuration suggère une tendance haussière solide mais potentiellement en fin de cycle court terme. Un investisseur pourrait envisager une position acheteuse avec un stop-loss sous la MM20.</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de BOAS révèlent une banque performante : le Produit Net Bancaire (PNB) s'établit à 51,93 milliards FCFA, avec un résultat net de 21,91 milliards FCFA, générant un ROE de 22,69% et un ROA de 2,62%, des niveaux excellents. Le coefficient d'exploitation de 44,02% témoigne d'une efficacité opérationnelle remarquable, tandis que le coût du risque de 23,31% reste élevé, signalant un risque de crédit significatif. La structure financière montre une dépendance aux dépôts clients (686,93 milliards FCFA) pour financer les créances (386,42 milliards FCFA), avec un ratio de transformation de 56%, sain pour une banque. Les rapports trimestriels 2025 confirment cette dynamique : au T1, le PNB progresse de 2,36% et le résultat net de 9,25% ; au S1, la croissance s'accélère avec un PNB à 25,37 milliards (+6,77%) et un résultat net à 11,62 milliards (+12,70%) ; au T3, le PNB cumulé atteint 37,44 milliards (+6,71%) et le résultat net 16,37 milliards (+10,01%). Le rapport 2026 (T1) montre une poursuite de la tendance avec un PNB de 12,58 milliards (+6,82%) et un résultat net de 5,74 milliards (+9,78%). Sur la base de ces tendances, on estime que l'exercice 2026 devrait voir un PNB autour de 55-56 milliards FCFA et un résultat net proche de 24 milliards FCFA, confirmant la solidité et la croissance durable de la banque.</w:t>
      </w:r>
    </w:p>
    <w:p>
      <w:pPr>
        <w:spacing w:after="120" w:line="276" w:lineRule="auto"/>
      </w:pPr>
      <w:r>
        <w:t>---</w:t>
      </w:r>
    </w:p>
    <w:p>
      <w:pPr>
        <w:spacing w:after="120" w:line="276" w:lineRule="auto"/>
      </w:pPr>
      <w:r>
        <w:t>### PARTIE 4 : CONCLUSION D'INVESTISSEMENT</w:t>
      </w:r>
    </w:p>
    <w:p>
      <w:pPr>
        <w:spacing w:after="120" w:line="276" w:lineRule="auto"/>
      </w:pPr>
      <w:r>
        <w:t>La valorisation de BOAS (PER 12,8x, P/B 2,91x) est raisonnable, intégrant une prime de croissance justifiée par des fondamentaux solides. Le comportement du cours (+13,89% sur 100 jours) est favorable, avec une volatilité modérée et une distribution symétrique, indiquant un risque maîtrisé. Les signaux techniques convergent vers une tendance haussière, bien que certains indicateurs (RSI, Stochastique) suggèrent une possible consolidation à court terme. Les fondamentaux sont excellents : ROE de 22,69%, coefficient d'exploitation de 44%, et une croissance soutenue du PNB et du résultat net sur les trois derniers exercices. Les prédictions IA (7 602 à 7 178 FCFA sur J+1 à J+10) indiquent une correction à court terme, contredisant légèrement la tendance haussière, mais s'inscrivant dans une consolidation normale après une forte progression. **Recommandation : ACHAT** avec un niveau de confiance **Élevé** et un risque global **Moyen**. L'horizon d'investissement optimal est le **moyen terme (3-12 mois)**, en capitalisant sur la solidité des fondamentaux et la croissance continue, tout en surveillant la correction technique anticipée.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2,412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B40000"/>
                <w:sz w:val="17"/>
              </w:rPr>
              <w:t>-12.28%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3,165 FCFA</w:t>
            </w:r>
          </w:p>
          <w:p>
            <w:r>
              <w:rPr>
                <w:b/>
                <w:color w:val="503200"/>
                <w:sz w:val="16"/>
              </w:rPr>
              <w:t xml:space="preserve">Volatilité ann. : </w:t>
            </w:r>
            <w:r>
              <w:rPr>
                <w:color w:val="000000"/>
                <w:sz w:val="17"/>
              </w:rPr>
              <w:t>57.7%</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8.54% (Moyenne) — μ=3,759 FCFA, σ=321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β=-0.0074 (Contre-cyclique) — Cov=-0.000000, Var(idx)=0.000036, ρ=-0.001,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2,412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σ_j=3.64%/j (Modérée) — Vol. annualisée≈57.7%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2026-08-03</w:t>
            </w:r>
          </w:p>
        </w:tc>
        <w:tc>
          <w:tcPr>
            <w:tcW w:type="dxa" w:w="1440"/>
            <w:shd w:fill="C6EFCE" w:val="clear"/>
          </w:tcPr>
          <w:p>
            <w:r>
              <w:rPr>
                <w:sz w:val="17"/>
              </w:rPr>
              <w:t>3,431</w:t>
            </w:r>
          </w:p>
        </w:tc>
        <w:tc>
          <w:tcPr>
            <w:tcW w:type="dxa" w:w="1440"/>
            <w:shd w:fill="C6EFCE" w:val="clear"/>
          </w:tcPr>
          <w:p>
            <w:r>
              <w:rPr>
                <w:b/>
                <w:sz w:val="17"/>
              </w:rPr>
              <w:t>3,655</w:t>
            </w:r>
          </w:p>
        </w:tc>
        <w:tc>
          <w:tcPr>
            <w:tcW w:type="dxa" w:w="1440"/>
            <w:shd w:fill="C6EFCE" w:val="clear"/>
          </w:tcPr>
          <w:p>
            <w:r>
              <w:rPr>
                <w:sz w:val="17"/>
              </w:rPr>
              <w:t>3,878</w:t>
            </w:r>
          </w:p>
        </w:tc>
        <w:tc>
          <w:tcPr>
            <w:tcW w:type="dxa" w:w="1440"/>
            <w:shd w:fill="C6EFCE" w:val="clear"/>
          </w:tcPr>
          <w:p>
            <w:r>
              <w:rPr>
                <w:b/>
                <w:color w:val="008000"/>
                <w:sz w:val="17"/>
              </w:rPr>
              <w:t>+4.4%</w:t>
            </w:r>
          </w:p>
        </w:tc>
      </w:tr>
      <w:tr>
        <w:tc>
          <w:tcPr>
            <w:tcW w:type="dxa" w:w="1440"/>
            <w:shd w:fill="C6EFCE" w:val="clear"/>
          </w:tcPr>
          <w:p>
            <w:r>
              <w:rPr>
                <w:sz w:val="17"/>
              </w:rPr>
              <w:t>J+2  Moyenne</w:t>
            </w:r>
          </w:p>
        </w:tc>
        <w:tc>
          <w:tcPr>
            <w:tcW w:type="dxa" w:w="1440"/>
            <w:shd w:fill="C6EFCE" w:val="clear"/>
          </w:tcPr>
          <w:p>
            <w:r>
              <w:rPr>
                <w:sz w:val="17"/>
              </w:rPr>
              <w:t>2026-08-04</w:t>
            </w:r>
          </w:p>
        </w:tc>
        <w:tc>
          <w:tcPr>
            <w:tcW w:type="dxa" w:w="1440"/>
            <w:shd w:fill="C6EFCE" w:val="clear"/>
          </w:tcPr>
          <w:p>
            <w:r>
              <w:rPr>
                <w:sz w:val="17"/>
              </w:rPr>
              <w:t>3,486</w:t>
            </w:r>
          </w:p>
        </w:tc>
        <w:tc>
          <w:tcPr>
            <w:tcW w:type="dxa" w:w="1440"/>
            <w:shd w:fill="C6EFCE" w:val="clear"/>
          </w:tcPr>
          <w:p>
            <w:r>
              <w:rPr>
                <w:b/>
                <w:sz w:val="17"/>
              </w:rPr>
              <w:t>3,816</w:t>
            </w:r>
          </w:p>
        </w:tc>
        <w:tc>
          <w:tcPr>
            <w:tcW w:type="dxa" w:w="1440"/>
            <w:shd w:fill="C6EFCE" w:val="clear"/>
          </w:tcPr>
          <w:p>
            <w:r>
              <w:rPr>
                <w:sz w:val="17"/>
              </w:rPr>
              <w:t>4,146</w:t>
            </w:r>
          </w:p>
        </w:tc>
        <w:tc>
          <w:tcPr>
            <w:tcW w:type="dxa" w:w="1440"/>
            <w:shd w:fill="C6EFCE" w:val="clear"/>
          </w:tcPr>
          <w:p>
            <w:r>
              <w:rPr>
                <w:b/>
                <w:color w:val="008000"/>
                <w:sz w:val="17"/>
              </w:rPr>
              <w:t>+9.0%</w:t>
            </w:r>
          </w:p>
        </w:tc>
      </w:tr>
      <w:tr>
        <w:tc>
          <w:tcPr>
            <w:tcW w:type="dxa" w:w="1440"/>
            <w:shd w:fill="C6EFCE" w:val="clear"/>
          </w:tcPr>
          <w:p>
            <w:r>
              <w:rPr>
                <w:sz w:val="17"/>
              </w:rPr>
              <w:t>J+3  Moyenne</w:t>
            </w:r>
          </w:p>
        </w:tc>
        <w:tc>
          <w:tcPr>
            <w:tcW w:type="dxa" w:w="1440"/>
            <w:shd w:fill="C6EFCE" w:val="clear"/>
          </w:tcPr>
          <w:p>
            <w:r>
              <w:rPr>
                <w:sz w:val="17"/>
              </w:rPr>
              <w:t>2026-08-05</w:t>
            </w:r>
          </w:p>
        </w:tc>
        <w:tc>
          <w:tcPr>
            <w:tcW w:type="dxa" w:w="1440"/>
            <w:shd w:fill="C6EFCE" w:val="clear"/>
          </w:tcPr>
          <w:p>
            <w:r>
              <w:rPr>
                <w:sz w:val="17"/>
              </w:rPr>
              <w:t>3,589</w:t>
            </w:r>
          </w:p>
        </w:tc>
        <w:tc>
          <w:tcPr>
            <w:tcW w:type="dxa" w:w="1440"/>
            <w:shd w:fill="C6EFCE" w:val="clear"/>
          </w:tcPr>
          <w:p>
            <w:r>
              <w:rPr>
                <w:b/>
                <w:sz w:val="17"/>
              </w:rPr>
              <w:t>4,014</w:t>
            </w:r>
          </w:p>
        </w:tc>
        <w:tc>
          <w:tcPr>
            <w:tcW w:type="dxa" w:w="1440"/>
            <w:shd w:fill="C6EFCE" w:val="clear"/>
          </w:tcPr>
          <w:p>
            <w:r>
              <w:rPr>
                <w:sz w:val="17"/>
              </w:rPr>
              <w:t>4,440</w:t>
            </w:r>
          </w:p>
        </w:tc>
        <w:tc>
          <w:tcPr>
            <w:tcW w:type="dxa" w:w="1440"/>
            <w:shd w:fill="C6EFCE" w:val="clear"/>
          </w:tcPr>
          <w:p>
            <w:r>
              <w:rPr>
                <w:b/>
                <w:color w:val="008000"/>
                <w:sz w:val="17"/>
              </w:rPr>
              <w:t>+14.7%</w:t>
            </w:r>
          </w:p>
        </w:tc>
      </w:tr>
      <w:tr>
        <w:tc>
          <w:tcPr>
            <w:tcW w:type="dxa" w:w="1440"/>
            <w:shd w:fill="C6EFCE" w:val="clear"/>
          </w:tcPr>
          <w:p>
            <w:r>
              <w:rPr>
                <w:sz w:val="17"/>
              </w:rPr>
              <w:t>J+4  ⭐</w:t>
            </w:r>
          </w:p>
        </w:tc>
        <w:tc>
          <w:tcPr>
            <w:tcW w:type="dxa" w:w="1440"/>
            <w:shd w:fill="C6EFCE" w:val="clear"/>
          </w:tcPr>
          <w:p>
            <w:r>
              <w:rPr>
                <w:sz w:val="17"/>
              </w:rPr>
              <w:t>2026-08-06</w:t>
            </w:r>
          </w:p>
        </w:tc>
        <w:tc>
          <w:tcPr>
            <w:tcW w:type="dxa" w:w="1440"/>
            <w:shd w:fill="C6EFCE" w:val="clear"/>
          </w:tcPr>
          <w:p>
            <w:r>
              <w:rPr>
                <w:sz w:val="17"/>
              </w:rPr>
              <w:t>3,721</w:t>
            </w:r>
          </w:p>
        </w:tc>
        <w:tc>
          <w:tcPr>
            <w:tcW w:type="dxa" w:w="1440"/>
            <w:shd w:fill="C6EFCE" w:val="clear"/>
          </w:tcPr>
          <w:p>
            <w:r>
              <w:rPr>
                <w:b/>
                <w:sz w:val="17"/>
              </w:rPr>
              <w:t>4,239</w:t>
            </w:r>
          </w:p>
        </w:tc>
        <w:tc>
          <w:tcPr>
            <w:tcW w:type="dxa" w:w="1440"/>
            <w:shd w:fill="C6EFCE" w:val="clear"/>
          </w:tcPr>
          <w:p>
            <w:r>
              <w:rPr>
                <w:sz w:val="17"/>
              </w:rPr>
              <w:t>4,758</w:t>
            </w:r>
          </w:p>
        </w:tc>
        <w:tc>
          <w:tcPr>
            <w:tcW w:type="dxa" w:w="1440"/>
            <w:shd w:fill="C6EFCE" w:val="clear"/>
          </w:tcPr>
          <w:p>
            <w:r>
              <w:rPr>
                <w:b/>
                <w:color w:val="008000"/>
                <w:sz w:val="17"/>
              </w:rPr>
              <w:t>+21.1%</w:t>
            </w:r>
          </w:p>
        </w:tc>
      </w:tr>
      <w:tr>
        <w:tc>
          <w:tcPr>
            <w:tcW w:type="dxa" w:w="1440"/>
            <w:shd w:fill="C6EFCE" w:val="clear"/>
          </w:tcPr>
          <w:p>
            <w:r>
              <w:rPr>
                <w:sz w:val="17"/>
              </w:rPr>
              <w:t>J+5  ⭐</w:t>
            </w:r>
          </w:p>
        </w:tc>
        <w:tc>
          <w:tcPr>
            <w:tcW w:type="dxa" w:w="1440"/>
            <w:shd w:fill="C6EFCE" w:val="clear"/>
          </w:tcPr>
          <w:p>
            <w:r>
              <w:rPr>
                <w:sz w:val="17"/>
              </w:rPr>
              <w:t>2026-08-10</w:t>
            </w:r>
          </w:p>
        </w:tc>
        <w:tc>
          <w:tcPr>
            <w:tcW w:type="dxa" w:w="1440"/>
            <w:shd w:fill="C6EFCE" w:val="clear"/>
          </w:tcPr>
          <w:p>
            <w:r>
              <w:rPr>
                <w:sz w:val="17"/>
              </w:rPr>
              <w:t>3,877</w:t>
            </w:r>
          </w:p>
        </w:tc>
        <w:tc>
          <w:tcPr>
            <w:tcW w:type="dxa" w:w="1440"/>
            <w:shd w:fill="C6EFCE" w:val="clear"/>
          </w:tcPr>
          <w:p>
            <w:r>
              <w:rPr>
                <w:b/>
                <w:sz w:val="17"/>
              </w:rPr>
              <w:t>4,492</w:t>
            </w:r>
          </w:p>
        </w:tc>
        <w:tc>
          <w:tcPr>
            <w:tcW w:type="dxa" w:w="1440"/>
            <w:shd w:fill="C6EFCE" w:val="clear"/>
          </w:tcPr>
          <w:p>
            <w:r>
              <w:rPr>
                <w:sz w:val="17"/>
              </w:rPr>
              <w:t>5,106</w:t>
            </w:r>
          </w:p>
        </w:tc>
        <w:tc>
          <w:tcPr>
            <w:tcW w:type="dxa" w:w="1440"/>
            <w:shd w:fill="C6EFCE" w:val="clear"/>
          </w:tcPr>
          <w:p>
            <w:r>
              <w:rPr>
                <w:b/>
                <w:color w:val="008000"/>
                <w:sz w:val="17"/>
              </w:rPr>
              <w:t>+28.3%</w:t>
            </w:r>
          </w:p>
        </w:tc>
      </w:tr>
      <w:tr>
        <w:tc>
          <w:tcPr>
            <w:tcW w:type="dxa" w:w="1440"/>
            <w:shd w:fill="C6EFCE" w:val="clear"/>
          </w:tcPr>
          <w:p>
            <w:r>
              <w:rPr>
                <w:sz w:val="17"/>
              </w:rPr>
              <w:t>J+6  ⭐</w:t>
            </w:r>
          </w:p>
        </w:tc>
        <w:tc>
          <w:tcPr>
            <w:tcW w:type="dxa" w:w="1440"/>
            <w:shd w:fill="C6EFCE" w:val="clear"/>
          </w:tcPr>
          <w:p>
            <w:r>
              <w:rPr>
                <w:sz w:val="17"/>
              </w:rPr>
              <w:t>2026-08-11</w:t>
            </w:r>
          </w:p>
        </w:tc>
        <w:tc>
          <w:tcPr>
            <w:tcW w:type="dxa" w:w="1440"/>
            <w:shd w:fill="C6EFCE" w:val="clear"/>
          </w:tcPr>
          <w:p>
            <w:r>
              <w:rPr>
                <w:sz w:val="17"/>
              </w:rPr>
              <w:t>4,061</w:t>
            </w:r>
          </w:p>
        </w:tc>
        <w:tc>
          <w:tcPr>
            <w:tcW w:type="dxa" w:w="1440"/>
            <w:shd w:fill="C6EFCE" w:val="clear"/>
          </w:tcPr>
          <w:p>
            <w:r>
              <w:rPr>
                <w:b/>
                <w:sz w:val="17"/>
              </w:rPr>
              <w:t>4,776</w:t>
            </w:r>
          </w:p>
        </w:tc>
        <w:tc>
          <w:tcPr>
            <w:tcW w:type="dxa" w:w="1440"/>
            <w:shd w:fill="C6EFCE" w:val="clear"/>
          </w:tcPr>
          <w:p>
            <w:r>
              <w:rPr>
                <w:sz w:val="17"/>
              </w:rPr>
              <w:t>5,492</w:t>
            </w:r>
          </w:p>
        </w:tc>
        <w:tc>
          <w:tcPr>
            <w:tcW w:type="dxa" w:w="1440"/>
            <w:shd w:fill="C6EFCE" w:val="clear"/>
          </w:tcPr>
          <w:p>
            <w:r>
              <w:rPr>
                <w:b/>
                <w:color w:val="008000"/>
                <w:sz w:val="17"/>
              </w:rPr>
              <w:t>+36.5%</w:t>
            </w:r>
          </w:p>
        </w:tc>
      </w:tr>
      <w:tr>
        <w:tc>
          <w:tcPr>
            <w:tcW w:type="dxa" w:w="1440"/>
            <w:shd w:fill="C6EFCE" w:val="clear"/>
          </w:tcPr>
          <w:p>
            <w:r>
              <w:rPr>
                <w:sz w:val="17"/>
              </w:rPr>
              <w:t>J+7  ⭐</w:t>
            </w:r>
          </w:p>
        </w:tc>
        <w:tc>
          <w:tcPr>
            <w:tcW w:type="dxa" w:w="1440"/>
            <w:shd w:fill="C6EFCE" w:val="clear"/>
          </w:tcPr>
          <w:p>
            <w:r>
              <w:rPr>
                <w:sz w:val="17"/>
              </w:rPr>
              <w:t>2026-08-12</w:t>
            </w:r>
          </w:p>
        </w:tc>
        <w:tc>
          <w:tcPr>
            <w:tcW w:type="dxa" w:w="1440"/>
            <w:shd w:fill="C6EFCE" w:val="clear"/>
          </w:tcPr>
          <w:p>
            <w:r>
              <w:rPr>
                <w:sz w:val="17"/>
              </w:rPr>
              <w:t>4,277</w:t>
            </w:r>
          </w:p>
        </w:tc>
        <w:tc>
          <w:tcPr>
            <w:tcW w:type="dxa" w:w="1440"/>
            <w:shd w:fill="C6EFCE" w:val="clear"/>
          </w:tcPr>
          <w:p>
            <w:r>
              <w:rPr>
                <w:b/>
                <w:sz w:val="17"/>
              </w:rPr>
              <w:t>5,102</w:t>
            </w:r>
          </w:p>
        </w:tc>
        <w:tc>
          <w:tcPr>
            <w:tcW w:type="dxa" w:w="1440"/>
            <w:shd w:fill="C6EFCE" w:val="clear"/>
          </w:tcPr>
          <w:p>
            <w:r>
              <w:rPr>
                <w:sz w:val="17"/>
              </w:rPr>
              <w:t>5,928</w:t>
            </w:r>
          </w:p>
        </w:tc>
        <w:tc>
          <w:tcPr>
            <w:tcW w:type="dxa" w:w="1440"/>
            <w:shd w:fill="C6EFCE" w:val="clear"/>
          </w:tcPr>
          <w:p>
            <w:r>
              <w:rPr>
                <w:b/>
                <w:color w:val="008000"/>
                <w:sz w:val="17"/>
              </w:rPr>
              <w:t>+45.8%</w:t>
            </w:r>
          </w:p>
        </w:tc>
      </w:tr>
      <w:tr>
        <w:tc>
          <w:tcPr>
            <w:tcW w:type="dxa" w:w="1440"/>
            <w:shd w:fill="C6EFCE" w:val="clear"/>
          </w:tcPr>
          <w:p>
            <w:r>
              <w:rPr>
                <w:sz w:val="17"/>
              </w:rPr>
              <w:t>J+8  ⭐</w:t>
            </w:r>
          </w:p>
        </w:tc>
        <w:tc>
          <w:tcPr>
            <w:tcW w:type="dxa" w:w="1440"/>
            <w:shd w:fill="C6EFCE" w:val="clear"/>
          </w:tcPr>
          <w:p>
            <w:r>
              <w:rPr>
                <w:sz w:val="17"/>
              </w:rPr>
              <w:t>2026-08-13</w:t>
            </w:r>
          </w:p>
        </w:tc>
        <w:tc>
          <w:tcPr>
            <w:tcW w:type="dxa" w:w="1440"/>
            <w:shd w:fill="C6EFCE" w:val="clear"/>
          </w:tcPr>
          <w:p>
            <w:r>
              <w:rPr>
                <w:sz w:val="17"/>
              </w:rPr>
              <w:t>4,536</w:t>
            </w:r>
          </w:p>
        </w:tc>
        <w:tc>
          <w:tcPr>
            <w:tcW w:type="dxa" w:w="1440"/>
            <w:shd w:fill="C6EFCE" w:val="clear"/>
          </w:tcPr>
          <w:p>
            <w:r>
              <w:rPr>
                <w:b/>
                <w:sz w:val="17"/>
              </w:rPr>
              <w:t>5,485</w:t>
            </w:r>
          </w:p>
        </w:tc>
        <w:tc>
          <w:tcPr>
            <w:tcW w:type="dxa" w:w="1440"/>
            <w:shd w:fill="C6EFCE" w:val="clear"/>
          </w:tcPr>
          <w:p>
            <w:r>
              <w:rPr>
                <w:sz w:val="17"/>
              </w:rPr>
              <w:t>6,434</w:t>
            </w:r>
          </w:p>
        </w:tc>
        <w:tc>
          <w:tcPr>
            <w:tcW w:type="dxa" w:w="1440"/>
            <w:shd w:fill="C6EFCE" w:val="clear"/>
          </w:tcPr>
          <w:p>
            <w:r>
              <w:rPr>
                <w:b/>
                <w:color w:val="008000"/>
                <w:sz w:val="17"/>
              </w:rPr>
              <w:t>+56.7%</w:t>
            </w:r>
          </w:p>
        </w:tc>
      </w:tr>
      <w:tr>
        <w:tc>
          <w:tcPr>
            <w:tcW w:type="dxa" w:w="1440"/>
            <w:shd w:fill="C6EFCE" w:val="clear"/>
          </w:tcPr>
          <w:p>
            <w:r>
              <w:rPr>
                <w:sz w:val="17"/>
              </w:rPr>
              <w:t>J+9  ⭐</w:t>
            </w:r>
          </w:p>
        </w:tc>
        <w:tc>
          <w:tcPr>
            <w:tcW w:type="dxa" w:w="1440"/>
            <w:shd w:fill="C6EFCE" w:val="clear"/>
          </w:tcPr>
          <w:p>
            <w:r>
              <w:rPr>
                <w:sz w:val="17"/>
              </w:rPr>
              <w:t>2026-08-14</w:t>
            </w:r>
          </w:p>
        </w:tc>
        <w:tc>
          <w:tcPr>
            <w:tcW w:type="dxa" w:w="1440"/>
            <w:shd w:fill="C6EFCE" w:val="clear"/>
          </w:tcPr>
          <w:p>
            <w:r>
              <w:rPr>
                <w:sz w:val="17"/>
              </w:rPr>
              <w:t>4,815</w:t>
            </w:r>
          </w:p>
        </w:tc>
        <w:tc>
          <w:tcPr>
            <w:tcW w:type="dxa" w:w="1440"/>
            <w:shd w:fill="C6EFCE" w:val="clear"/>
          </w:tcPr>
          <w:p>
            <w:r>
              <w:rPr>
                <w:b/>
                <w:sz w:val="17"/>
              </w:rPr>
              <w:t>5,896</w:t>
            </w:r>
          </w:p>
        </w:tc>
        <w:tc>
          <w:tcPr>
            <w:tcW w:type="dxa" w:w="1440"/>
            <w:shd w:fill="C6EFCE" w:val="clear"/>
          </w:tcPr>
          <w:p>
            <w:r>
              <w:rPr>
                <w:sz w:val="17"/>
              </w:rPr>
              <w:t>6,978</w:t>
            </w:r>
          </w:p>
        </w:tc>
        <w:tc>
          <w:tcPr>
            <w:tcW w:type="dxa" w:w="1440"/>
            <w:shd w:fill="C6EFCE" w:val="clear"/>
          </w:tcPr>
          <w:p>
            <w:r>
              <w:rPr>
                <w:b/>
                <w:color w:val="008000"/>
                <w:sz w:val="17"/>
              </w:rPr>
              <w:t>+68.5%</w:t>
            </w:r>
          </w:p>
        </w:tc>
      </w:tr>
      <w:tr>
        <w:tc>
          <w:tcPr>
            <w:tcW w:type="dxa" w:w="1440"/>
            <w:shd w:fill="C6EFCE" w:val="clear"/>
          </w:tcPr>
          <w:p>
            <w:r>
              <w:rPr>
                <w:sz w:val="17"/>
              </w:rPr>
              <w:t>J+10  ⭐</w:t>
            </w:r>
          </w:p>
        </w:tc>
        <w:tc>
          <w:tcPr>
            <w:tcW w:type="dxa" w:w="1440"/>
            <w:shd w:fill="C6EFCE" w:val="clear"/>
          </w:tcPr>
          <w:p>
            <w:r>
              <w:rPr>
                <w:sz w:val="17"/>
              </w:rPr>
              <w:t>2026-08-17</w:t>
            </w:r>
          </w:p>
        </w:tc>
        <w:tc>
          <w:tcPr>
            <w:tcW w:type="dxa" w:w="1440"/>
            <w:shd w:fill="C6EFCE" w:val="clear"/>
          </w:tcPr>
          <w:p>
            <w:r>
              <w:rPr>
                <w:sz w:val="17"/>
              </w:rPr>
              <w:t>5,113</w:t>
            </w:r>
          </w:p>
        </w:tc>
        <w:tc>
          <w:tcPr>
            <w:tcW w:type="dxa" w:w="1440"/>
            <w:shd w:fill="C6EFCE" w:val="clear"/>
          </w:tcPr>
          <w:p>
            <w:r>
              <w:rPr>
                <w:b/>
                <w:sz w:val="17"/>
              </w:rPr>
              <w:t>6,339</w:t>
            </w:r>
          </w:p>
        </w:tc>
        <w:tc>
          <w:tcPr>
            <w:tcW w:type="dxa" w:w="1440"/>
            <w:shd w:fill="C6EFCE" w:val="clear"/>
          </w:tcPr>
          <w:p>
            <w:r>
              <w:rPr>
                <w:sz w:val="17"/>
              </w:rPr>
              <w:t>7,565</w:t>
            </w:r>
          </w:p>
        </w:tc>
        <w:tc>
          <w:tcPr>
            <w:tcW w:type="dxa" w:w="1440"/>
            <w:shd w:fill="C6EFCE" w:val="clear"/>
          </w:tcPr>
          <w:p>
            <w:r>
              <w:rPr>
                <w:b/>
                <w:color w:val="008000"/>
                <w:sz w:val="17"/>
              </w:rPr>
              <w:t>+81.1%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w:t>
        <w:br/>
        <w:t>**Date de l'analyse : 31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20,72 milliards FCFA, un niveau modeste qui la positionne comme une valeur de seconde ligne sur la BRVM. Avec un BPA de 243 FCFA, le titre se négocie à un PER de 14,4x, ce qui est supérieur à la moyenne historique du marché (8-12x), indiquant que les investisseurs paient une prime relative pour la croissance passée de l'entreprise. Le P/B de 2,22x confirme cette prime, le marché valorisant la société à plus du double de sa valeur comptable (9,346 Mds FCFA de capitaux propres). Enfin, l'EV/EBITDA de 7,3x se situe dans une fourchette raisonnable (5-10x), suggérant que la valeur d'entreprise reste cohérente avec la capacité bénéficiaire opérationnelle de la société, malgré une prime de valorisation sur les bénéfices nets.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baisse significative de -12,28%, passant de ses plus hauts à 4 500 FCFA à son cours actuel de 3 500 FCFA, avec un plus bas à 3 165 FCFA. La dernière séance est stable (+0,00%), marquant une pause après ce mouvement baissier. La moyenne du cours sur la période (3 759 FCFA) est supérieure à la médiane (3 730 FCFA), et le mode est à 3 500 FCFA, ce qui indique une distribution légèrement asymétrique où le cours a passé plus de temps sous sa moyenne. L'écart-type de 323 FCFA (CV=8,6%) montre une dispersion modérée, tandis que le kurtosis de -0,449 (mésokurtique) et le skewness de 0,250 indiquent une distribution proche de la normale, sans risque de pics extrêmes. La volatilité annualisée de 57,7% est très élevée (&gt;30%), reflétant un titre spéculatif et fortement influencé par les cycles économiques et les coûts des matières premières.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(3 500 FCFA) est nettement inférieur à la MM20 (3 823,75 FCFA) et à la MM50 (3 885,6 FCFA), confirmant une tendance baissière de court et moyen terme. La décision de "Vente" est justifiée, le titre évoluant sous ses moyennes mobiles, ce qui signale une dynamique négative persistante.</w:t>
      </w:r>
    </w:p>
    <w:p>
      <w:pPr>
        <w:spacing w:after="120" w:line="276" w:lineRule="auto"/>
      </w:pPr>
      <w:r>
        <w:t>**Bandes de Bollinger :** Le prix se situe à 3 500 FCFA, proche de la borne inférieure (3 347,73 FCFA) et loin de la borne supérieure (4 299,77 FCFA). Cette position indique que le titre est dans la partie basse de son canal de volatilité, sans être en situation de survente extrême. La décision "Neutre" est cohérente, le marché attendant un catalyseur pour sortir de cette zone.</w:t>
      </w:r>
    </w:p>
    <w:p>
      <w:pPr>
        <w:spacing w:after="120" w:line="276" w:lineRule="auto"/>
      </w:pPr>
      <w:r>
        <w:t>**MACD :** La valeur du MACD (-107,06) est inférieure à son signal (-65,29), confirmant un momentum baissier. La décision de "Vente" est justifiée, la divergence négative indiquant une pression vendeuse continue sur le titre.</w:t>
      </w:r>
    </w:p>
    <w:p>
      <w:pPr>
        <w:spacing w:after="120" w:line="276" w:lineRule="auto"/>
      </w:pPr>
      <w:r>
        <w:t>**RSI :** À 34,70, le RSI se situe en zone neutre, proche de la zone de survente (&lt;30). Cela suggère que la pression vendeuse s'atténue, mais sans signal d'achat fort. La décision "Neutre" est appropriée, le marché étant en phase d'observation.</w:t>
      </w:r>
    </w:p>
    <w:p>
      <w:pPr>
        <w:spacing w:after="120" w:line="276" w:lineRule="auto"/>
      </w:pPr>
      <w:r>
        <w:t>**Stochastique :** Les valeurs de %K et %D à 0,0 indiquent une condition de survente extrême. La décision "Achat" est un signal technique fort, suggérant un potentiel rebond technique à court terme.</w:t>
      </w:r>
    </w:p>
    <w:p>
      <w:pPr>
        <w:spacing w:after="120" w:line="276" w:lineRule="auto"/>
      </w:pPr>
      <w:r>
        <w:t>**Conclusion technique :** Les indicateurs sont partagés, avec une tendance baissière dominante (MM, MACD) mais des signes de retournement potentiel (Stochastique en survente, RSI neutre). Le titre est dans une phase de stabilisation après une forte baisse, mais la tendance de fond reste négative tant que le cours ne repasse pas au-dessus des MM20 et MM50.</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CABC a réalisé un chiffre d'affaires de 21,263 milliards FCFA, en croissance de +11,2% par rapport à 2024 (19,125 Mds FCFA). Le résultat net s'établit à 1,439 milliard FCFA, en légère hausse par rapport aux 1,375 Md FCFA de 2024. La rentabilité des fonds propres (ROE) est excellente à 15,4%, et le ROA de 6,1% est satisfaisant. Cependant, la structure financière révèle des tensions : le BFR est élevé à 7,186 Mds FCFA, avec un délai de paiement clients de 144,7 jours et une durée de stockage de 152,1 jours, ce qui immobilise du capital et explique le flux de trésorerie opérationnel négatif de -819,66 millions FCFA en 2025. Les rapports trimestriels de 2025 (S1 et 9 mois) montrent une dynamique positive, avec un résultat net en hausse de +55,3% au S1 et de +26% sur 9 mois, mais le rapport T1 2026 (publié en 2026) indique une forte dégradation : CA en baisse de -26,5% et une perte nette de -222 millions FCFA, due à une maintenance planifiée et à l'inflation des cours des métaux. Sur la base de ce T1 2026, on estime que l'exercice 2026 pourrait être difficile, avec un résultat net potentiellement en forte baisse ou à l'équilibre, si la normalisation annoncée par la direction se confirme au T2. La société reste solide avec des capitaux propres de 9,346 Mds FCFA et une trésorerie de 5,139 Mds FCFA, mais la pression sur les marges et la gestion du BFR sont des points de vigilance majeurs.</w:t>
      </w:r>
    </w:p>
    <w:p>
      <w:pPr>
        <w:spacing w:after="120" w:line="276" w:lineRule="auto"/>
      </w:pPr>
      <w:r>
        <w:t>---</w:t>
      </w:r>
    </w:p>
    <w:p>
      <w:pPr>
        <w:spacing w:after="120" w:line="276" w:lineRule="auto"/>
      </w:pPr>
      <w:r>
        <w:t>### PARTIE 4 : CONCLUSION D'INVESTISSEMENT</w:t>
      </w:r>
    </w:p>
    <w:p>
      <w:pPr>
        <w:spacing w:after="120" w:line="276" w:lineRule="auto"/>
      </w:pPr>
      <w:r>
        <w:t>La valorisation de CABC (PER 14,4x, P/B 2,22x) est exigeante, surtout au vu des fondamentaux récents qui montrent une dégradation au T1 2026. Le comportement du cours est baissier sur 100 jours (-12,28%) avec une volatilité très élevée (57,7%), reflétant un risque important. Les signaux techniques sont mitigés, avec une tendance vendeuse (MM, MACD) mais des indicateurs de survente (Stochastique) suggérant un rebond technique possible. Fondamentalement, l'entreprise a montré une belle croissance en 2025 (CA +11,2%, ROE 15,4%), mais les estimations pour 2026 basées sur le T1 sont préoccupantes, avec une perte nette et des flux de trésorerie négatifs. Les prédictions IA pour les 10 prochains jours (3 655 à 4 492 FCFA) anticipent un rebond significatif, ce qui contredit la tendance baissière récente mais pourrait matérialiser le rebond technique suggéré par le Stochastique. En synthèse, la convergence entre la valorisation élevée, la dégradation fondamentale récente et la volatilité du cours conduit à une recommandation **CONSERVER**, avec un niveau de confiance **Moyen**. Le risque global est **Élevé** en raison de la volatilité et des incertitudes opérationnelles. L'horizon d'investissement optimal serait de **moyen terme (3-12 mois)**, en attendant de voir si la normalisation de la production au T2 2026 et la maîtrise des coûts des matières premières se confirment, ce qui pourrait justifier un passage à l'achat.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896.00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1,762 titres</w:t>
            </w:r>
          </w:p>
        </w:tc>
        <w:tc>
          <w:tcPr>
            <w:tcW w:type="dxa" w:w="2268"/>
            <w:shd w:fill="FFF2CC" w:val="clear"/>
          </w:tcPr>
          <w:p>
            <w:r>
              <w:rPr>
                <w:b/>
                <w:color w:val="503200"/>
                <w:sz w:val="16"/>
              </w:rPr>
              <w:t xml:space="preserve">Cours actuel : </w:t>
            </w:r>
            <w:r>
              <w:rPr>
                <w:color w:val="000000"/>
                <w:sz w:val="17"/>
              </w:rPr>
              <w:t>28,000 FCFA</w:t>
            </w:r>
          </w:p>
          <w:p>
            <w:r>
              <w:rPr>
                <w:b/>
                <w:color w:val="503200"/>
                <w:sz w:val="16"/>
              </w:rPr>
              <w:t xml:space="preserve">Var. 100 jours : </w:t>
            </w:r>
            <w:r>
              <w:rPr>
                <w:b/>
                <w:color w:val="007800"/>
                <w:sz w:val="17"/>
              </w:rPr>
              <w:t>+113.66%</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13,105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25.40% (Élevée) — μ=19,939 FCFA, σ=5,064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β=0.7008 (Défensif) — Cov=0.000025, Var(idx)=0.000036, ρ=0.156,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1,762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2026-08-03</w:t>
            </w:r>
          </w:p>
        </w:tc>
        <w:tc>
          <w:tcPr>
            <w:tcW w:type="dxa" w:w="1440"/>
            <w:shd w:fill="FFDCE0" w:val="clear"/>
          </w:tcPr>
          <w:p>
            <w:r>
              <w:rPr>
                <w:sz w:val="17"/>
              </w:rPr>
              <w:t>24,695</w:t>
            </w:r>
          </w:p>
        </w:tc>
        <w:tc>
          <w:tcPr>
            <w:tcW w:type="dxa" w:w="1440"/>
            <w:shd w:fill="FFDCE0" w:val="clear"/>
          </w:tcPr>
          <w:p>
            <w:r>
              <w:rPr>
                <w:b/>
                <w:sz w:val="17"/>
              </w:rPr>
              <w:t>25,900</w:t>
            </w:r>
          </w:p>
        </w:tc>
        <w:tc>
          <w:tcPr>
            <w:tcW w:type="dxa" w:w="1440"/>
            <w:shd w:fill="FFDCE0" w:val="clear"/>
          </w:tcPr>
          <w:p>
            <w:r>
              <w:rPr>
                <w:sz w:val="17"/>
              </w:rPr>
              <w:t>27,105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2026-08-04</w:t>
            </w:r>
          </w:p>
        </w:tc>
        <w:tc>
          <w:tcPr>
            <w:tcW w:type="dxa" w:w="1440"/>
            <w:shd w:fill="FFDCE0" w:val="clear"/>
          </w:tcPr>
          <w:p>
            <w:r>
              <w:rPr>
                <w:sz w:val="17"/>
              </w:rPr>
              <w:t>22,381</w:t>
            </w:r>
          </w:p>
        </w:tc>
        <w:tc>
          <w:tcPr>
            <w:tcW w:type="dxa" w:w="1440"/>
            <w:shd w:fill="FFDCE0" w:val="clear"/>
          </w:tcPr>
          <w:p>
            <w:r>
              <w:rPr>
                <w:b/>
                <w:sz w:val="17"/>
              </w:rPr>
              <w:t>23,958</w:t>
            </w:r>
          </w:p>
        </w:tc>
        <w:tc>
          <w:tcPr>
            <w:tcW w:type="dxa" w:w="1440"/>
            <w:shd w:fill="FFDCE0" w:val="clear"/>
          </w:tcPr>
          <w:p>
            <w:r>
              <w:rPr>
                <w:sz w:val="17"/>
              </w:rPr>
              <w:t>25,534</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2026-08-05</w:t>
            </w:r>
          </w:p>
        </w:tc>
        <w:tc>
          <w:tcPr>
            <w:tcW w:type="dxa" w:w="1440"/>
            <w:shd w:fill="FFDCE0" w:val="clear"/>
          </w:tcPr>
          <w:p>
            <w:r>
              <w:rPr>
                <w:sz w:val="17"/>
              </w:rPr>
              <w:t>20,375</w:t>
            </w:r>
          </w:p>
        </w:tc>
        <w:tc>
          <w:tcPr>
            <w:tcW w:type="dxa" w:w="1440"/>
            <w:shd w:fill="FFDCE0" w:val="clear"/>
          </w:tcPr>
          <w:p>
            <w:r>
              <w:rPr>
                <w:b/>
                <w:sz w:val="17"/>
              </w:rPr>
              <w:t>22,161</w:t>
            </w:r>
          </w:p>
        </w:tc>
        <w:tc>
          <w:tcPr>
            <w:tcW w:type="dxa" w:w="1440"/>
            <w:shd w:fill="FFDCE0" w:val="clear"/>
          </w:tcPr>
          <w:p>
            <w:r>
              <w:rPr>
                <w:sz w:val="17"/>
              </w:rPr>
              <w:t>23,947</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18,591</w:t>
            </w:r>
          </w:p>
        </w:tc>
        <w:tc>
          <w:tcPr>
            <w:tcW w:type="dxa" w:w="1440"/>
            <w:shd w:fill="FFDCE0" w:val="clear"/>
          </w:tcPr>
          <w:p>
            <w:r>
              <w:rPr>
                <w:b/>
                <w:sz w:val="17"/>
              </w:rPr>
              <w:t>20,499</w:t>
            </w:r>
          </w:p>
        </w:tc>
        <w:tc>
          <w:tcPr>
            <w:tcW w:type="dxa" w:w="1440"/>
            <w:shd w:fill="FFDCE0" w:val="clear"/>
          </w:tcPr>
          <w:p>
            <w:r>
              <w:rPr>
                <w:sz w:val="17"/>
              </w:rPr>
              <w:t>22,406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17,361</w:t>
            </w:r>
          </w:p>
        </w:tc>
        <w:tc>
          <w:tcPr>
            <w:tcW w:type="dxa" w:w="1440"/>
            <w:shd w:fill="FFDCE0" w:val="clear"/>
          </w:tcPr>
          <w:p>
            <w:r>
              <w:rPr>
                <w:b/>
                <w:sz w:val="17"/>
              </w:rPr>
              <w:t>19,378</w:t>
            </w:r>
          </w:p>
        </w:tc>
        <w:tc>
          <w:tcPr>
            <w:tcW w:type="dxa" w:w="1440"/>
            <w:shd w:fill="FFDCE0" w:val="clear"/>
          </w:tcPr>
          <w:p>
            <w:r>
              <w:rPr>
                <w:sz w:val="17"/>
              </w:rPr>
              <w:t>21,394</w:t>
            </w:r>
          </w:p>
        </w:tc>
        <w:tc>
          <w:tcPr>
            <w:tcW w:type="dxa" w:w="1440"/>
            <w:shd w:fill="FFDCE0" w:val="clear"/>
          </w:tcPr>
          <w:p>
            <w:r>
              <w:rPr>
                <w:b/>
                <w:color w:val="C00000"/>
                <w:sz w:val="17"/>
              </w:rPr>
              <w:t>-30.8%</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16,701</w:t>
            </w:r>
          </w:p>
        </w:tc>
        <w:tc>
          <w:tcPr>
            <w:tcW w:type="dxa" w:w="1440"/>
            <w:shd w:fill="FFDCE0" w:val="clear"/>
          </w:tcPr>
          <w:p>
            <w:r>
              <w:rPr>
                <w:b/>
                <w:sz w:val="17"/>
              </w:rPr>
              <w:t>18,849</w:t>
            </w:r>
          </w:p>
        </w:tc>
        <w:tc>
          <w:tcPr>
            <w:tcW w:type="dxa" w:w="1440"/>
            <w:shd w:fill="FFDCE0" w:val="clear"/>
          </w:tcPr>
          <w:p>
            <w:r>
              <w:rPr>
                <w:sz w:val="17"/>
              </w:rPr>
              <w:t>20,998</w:t>
            </w:r>
          </w:p>
        </w:tc>
        <w:tc>
          <w:tcPr>
            <w:tcW w:type="dxa" w:w="1440"/>
            <w:shd w:fill="FFDCE0" w:val="clear"/>
          </w:tcPr>
          <w:p>
            <w:r>
              <w:rPr>
                <w:b/>
                <w:color w:val="C00000"/>
                <w:sz w:val="17"/>
              </w:rPr>
              <w:t>-32.7%</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16,123</w:t>
            </w:r>
          </w:p>
        </w:tc>
        <w:tc>
          <w:tcPr>
            <w:tcW w:type="dxa" w:w="1440"/>
            <w:shd w:fill="FFDCE0" w:val="clear"/>
          </w:tcPr>
          <w:p>
            <w:r>
              <w:rPr>
                <w:b/>
                <w:sz w:val="17"/>
              </w:rPr>
              <w:t>18,387</w:t>
            </w:r>
          </w:p>
        </w:tc>
        <w:tc>
          <w:tcPr>
            <w:tcW w:type="dxa" w:w="1440"/>
            <w:shd w:fill="FFDCE0" w:val="clear"/>
          </w:tcPr>
          <w:p>
            <w:r>
              <w:rPr>
                <w:sz w:val="17"/>
              </w:rPr>
              <w:t>20,650</w:t>
            </w:r>
          </w:p>
        </w:tc>
        <w:tc>
          <w:tcPr>
            <w:tcW w:type="dxa" w:w="1440"/>
            <w:shd w:fill="FFDCE0" w:val="clear"/>
          </w:tcPr>
          <w:p>
            <w:r>
              <w:rPr>
                <w:b/>
                <w:color w:val="C00000"/>
                <w:sz w:val="17"/>
              </w:rPr>
              <w:t>-34.3%</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15,609</w:t>
            </w:r>
          </w:p>
        </w:tc>
        <w:tc>
          <w:tcPr>
            <w:tcW w:type="dxa" w:w="1440"/>
            <w:shd w:fill="FFDCE0" w:val="clear"/>
          </w:tcPr>
          <w:p>
            <w:r>
              <w:rPr>
                <w:b/>
                <w:sz w:val="17"/>
              </w:rPr>
              <w:t>17,975</w:t>
            </w:r>
          </w:p>
        </w:tc>
        <w:tc>
          <w:tcPr>
            <w:tcW w:type="dxa" w:w="1440"/>
            <w:shd w:fill="FFDCE0" w:val="clear"/>
          </w:tcPr>
          <w:p>
            <w:r>
              <w:rPr>
                <w:sz w:val="17"/>
              </w:rPr>
              <w:t>20,341</w:t>
            </w:r>
          </w:p>
        </w:tc>
        <w:tc>
          <w:tcPr>
            <w:tcW w:type="dxa" w:w="1440"/>
            <w:shd w:fill="FFDCE0" w:val="clear"/>
          </w:tcPr>
          <w:p>
            <w:r>
              <w:rPr>
                <w:b/>
                <w:color w:val="C00000"/>
                <w:sz w:val="17"/>
              </w:rPr>
              <w:t>-35.8%</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15,147</w:t>
            </w:r>
          </w:p>
        </w:tc>
        <w:tc>
          <w:tcPr>
            <w:tcW w:type="dxa" w:w="1440"/>
            <w:shd w:fill="FFDCE0" w:val="clear"/>
          </w:tcPr>
          <w:p>
            <w:r>
              <w:rPr>
                <w:b/>
                <w:sz w:val="17"/>
              </w:rPr>
              <w:t>17,604</w:t>
            </w:r>
          </w:p>
        </w:tc>
        <w:tc>
          <w:tcPr>
            <w:tcW w:type="dxa" w:w="1440"/>
            <w:shd w:fill="FFDCE0" w:val="clear"/>
          </w:tcPr>
          <w:p>
            <w:r>
              <w:rPr>
                <w:sz w:val="17"/>
              </w:rPr>
              <w:t>20,062</w:t>
            </w:r>
          </w:p>
        </w:tc>
        <w:tc>
          <w:tcPr>
            <w:tcW w:type="dxa" w:w="1440"/>
            <w:shd w:fill="FFDCE0" w:val="clear"/>
          </w:tcPr>
          <w:p>
            <w:r>
              <w:rPr>
                <w:b/>
                <w:color w:val="C00000"/>
                <w:sz w:val="17"/>
              </w:rPr>
              <w:t>-37.1%</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14,727</w:t>
            </w:r>
          </w:p>
        </w:tc>
        <w:tc>
          <w:tcPr>
            <w:tcW w:type="dxa" w:w="1440"/>
            <w:shd w:fill="FFDCE0" w:val="clear"/>
          </w:tcPr>
          <w:p>
            <w:r>
              <w:rPr>
                <w:b/>
                <w:sz w:val="17"/>
              </w:rPr>
              <w:t>17,268</w:t>
            </w:r>
          </w:p>
        </w:tc>
        <w:tc>
          <w:tcPr>
            <w:tcW w:type="dxa" w:w="1440"/>
            <w:shd w:fill="FFDCE0" w:val="clear"/>
          </w:tcPr>
          <w:p>
            <w:r>
              <w:rPr>
                <w:sz w:val="17"/>
              </w:rPr>
              <w:t>19,809</w:t>
            </w:r>
          </w:p>
        </w:tc>
        <w:tc>
          <w:tcPr>
            <w:tcW w:type="dxa" w:w="1440"/>
            <w:shd w:fill="FFDCE0" w:val="clear"/>
          </w:tcPr>
          <w:p>
            <w:r>
              <w:rPr>
                <w:b/>
                <w:color w:val="C00000"/>
                <w:sz w:val="17"/>
              </w:rPr>
              <w:t>-38.3%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31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896 milliards FCFA, ce qui en fait l'une des valeurs les plus lourdes et les plus liquides de la cote de la BRVM, reflétant son statut de leader bancaire régional. Avec un BPA de 2 047 FCFA, chaque action génère un bénéfice substantiel, justifiant un cours de 28 000 FCFA. Le PER de 13,7x est supérieur à la moyenne historique de la BRVM (8-12x), indiquant que le marché intègre déjà une prime de croissance et de qualité de gestion, mais sans atteindre des niveaux de surévaluation extrême. Le ratio EV/EBITDA de 10,1x, bien que dans la fourchette haute (10-15x), confirme une valorisation exigeante qui rémunère la solidité opérationnelle de la banque. En l'absence de données sur le P/B, nous nous concentrerons sur la capacité bénéficiaire, qui reste le principal moteur de la valeur.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performance spectaculaire de +113,66%, passant d'un plus bas de 13 105 FCFA à un plus haut de 30 005 FCFA, avec une dernière séance en hausse de 1,08% à 28 000 FCFA. Cette tendance est fortement haussière, portée par l'amélioration des fondamentaux de la banque. Les statistiques descriptives révèlent une moyenne de 19 939 FCFA, inférieure à la médiane (20 600 FCFA) et au mode (22 000 FCFA), ce qui indique une distribution légèrement asymétrique positive (skewness de 0.368) : les fortes hausses récentes tirent la moyenne vers le haut. L'écart-type de 5 089 FCFA (CV=25,5%) montre une dispersion modérée, tandis que le kurtosis négatif (-1.028) signale une distribution aplatie, sans pics extrêmes de volatilité sur la période. La volatilité annualisée de 42,5% classe le titre comme très volatil (&gt;30%), ce qui implique un risque de marché élevé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(28 000 FCFA) se situe au-dessus de la MM20 (27 780 FCFA) et de la MM50 (24 305 FCFA), confirmant une dynamique haussière à court et moyen terme. La MM20 étant nettement supérieure à la MM50, la tendance est positive et le signal d'achat est justifié.</w:t>
      </w:r>
    </w:p>
    <w:p>
      <w:pPr>
        <w:spacing w:after="120" w:line="276" w:lineRule="auto"/>
      </w:pPr>
      <w:r>
        <w:t>**Bandes de Bollinger** : Le prix évolue dans la partie supérieure du canal, proche de la borne haute (30 797 FCFA), indiquant une pression acheteuse soutenue. La largeur des bandes reflète la volatilité élevée. La position du cours, sans toucher les bornes, suggère un équilibre relatif, d'où la décision neutre.</w:t>
      </w:r>
    </w:p>
    <w:p>
      <w:pPr>
        <w:spacing w:after="120" w:line="276" w:lineRule="auto"/>
      </w:pPr>
      <w:r>
        <w:t>**MACD** : Le MACD (984) est inférieur à sa ligne de signal (1 236), ce qui indique un ralentissement du momentum haussier à très court terme. Cette divergence négative, bien que légère, suggère une possible consolidation ou correction technique, justifiant la décision de vente.</w:t>
      </w:r>
    </w:p>
    <w:p>
      <w:pPr>
        <w:spacing w:after="120" w:line="276" w:lineRule="auto"/>
      </w:pPr>
      <w:r>
        <w:t>**RSI** : À 33,58, le RSI est en zone neutre, proche du seuil de survente (30). Cela indique que le titre n'est ni suracheté ni survendu, laissant de la marge pour une reprise haussière. La décision neutre est cohérente avec cette lecture.</w:t>
      </w:r>
    </w:p>
    <w:p>
      <w:pPr>
        <w:spacing w:after="120" w:line="276" w:lineRule="auto"/>
      </w:pPr>
      <w:r>
        <w:t>**Stochastique** : Le %K (46,6) est légèrement supérieur au %D (43,9), suggérant un début de croisement haussier. Cependant, les deux lignes sont en zone neutre, indiquant une absence de signal fort. La décision neutre est donc appropriée.</w:t>
      </w:r>
    </w:p>
    <w:p>
      <w:pPr>
        <w:spacing w:after="120" w:line="276" w:lineRule="auto"/>
      </w:pPr>
      <w:r>
        <w:t>**Conclusion technique** : Les indicateurs sont globalement mitigés. La tendance de fond reste haussière (MM), mais le MACD et le RSI signalent un essoufflement à court terme. Le titre pourrait consolider avant de reprendre sa progression. Le scénario le plus probable est une stabilisation autour des 27 000-28 000 FCFA avant un nouveau test des 30 000 FCFA.</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confirment la solidité de CBIBF. Le Produit Net Bancaire (PNB) atteint 138,986 milliards FCFA, en croissance de 6,1% par rapport à 2024 (130,987 milliards FCFA). Le résultat net progresse fortement de 36,6% pour s'établir à 65,495 milliards FCFA, contre 47,937 milliards en 2024, démontrant une nette amélioration de la rentabilité. La marge nette est excellente à 47,1%, et le coefficient d'exploitation de 36,4% témoigne d'une gestion très efficace (bien en dessous du seuil de 60%). Le ROA de 2,18% est sain pour une banque de la zone UEMOA. Le coût du risque, bien que non chiffré en pourcentage dans les données structurées, s'est significativement amélioré (-59,3% selon le rapport annuel 2025), passant à 16,5 milliards FCFA, contre une explosion en 2024. Les dépôts clients (2 015 milliards FCFA) progressent de 14,9%, tandis que les crédits nets (1 327 milliards FCFA) augmentent de 5,4%, montrant une transformation modérée mais saine. Les rapports trimestriels 2025 confirment cette trajectoire : le T1 2025 affichait un PNB de 28,7 milliards (+2,8%) et un résultat net de 17,6 milliards (+5,9%) ; le S1 2025 montrait un PNB de 65,1 milliards (+8,75%) mais un résultat net quasi stable (+0,66%) en raison d'une hausse du coût du risque. Le T3 2025 a vu le PNB atteindre 101,3 milliards (+9,65%) et le résultat net 52,9 milliards (+6,25%). Enfin, le rapport T1 2026 (publié en 2026) est exceptionnel : PNB de 36,8 milliards (+28,5%) et résultat net de 21,5 milliards (+22,2%), avec une collecte de dépôts en hausse de 37,9%. Sur cette base, on estime que l'exercice 2026 pourrait voir un PNB dépasser 170 milliards FCFA et un résultat net supérieur à 80 milliards FCFA, confirmant une croissance robuste et durable.</w:t>
      </w:r>
    </w:p>
    <w:p>
      <w:pPr>
        <w:spacing w:after="120" w:line="276" w:lineRule="auto"/>
      </w:pPr>
      <w:r>
        <w:t>---</w:t>
      </w:r>
    </w:p>
    <w:p>
      <w:pPr>
        <w:spacing w:after="120" w:line="276" w:lineRule="auto"/>
      </w:pPr>
      <w:r>
        <w:t>### PARTIE 4 : CONCLUSION D'INVESTISSEMENT</w:t>
      </w:r>
    </w:p>
    <w:p>
      <w:pPr>
        <w:spacing w:after="120" w:line="276" w:lineRule="auto"/>
      </w:pPr>
      <w:r>
        <w:t>La synthèse globale est fortement positive. La valorisation (PER 13,7x) est exigeante mais justifiée par la qualité des fondamentaux et les perspectives de croissance. Le comportement du cours (+113% en 100 jours) montre une dynamique haussière puissante, bien que la volatilité élevée (42,5%) et le kurtosis plat invitent à la prudence. Les signaux techniques sont mitigés à court terme (MACD vendeur, RSI neutre), mais la tendance de fond reste haussière. Les fondamentaux sont excellents : croissance à deux chiffres du PNB et du résultat net, amélioration de la marge nette (47,1%) et du coût du risque, et une collecte de dépôts record. Les prédictions IA (J+1 à J+10) montrent une trajectoire baissière (de 25 900 à 19 378 FCFA), ce qui contredit les signaux fondamentaux et suggère une correction technique après la forte hausse. Cette divergence indique un potentiel de consolidation à court terme. **Recommandation finale : ACHAT** (sur repli), avec un niveau de confiance **Moyen** et un risque global **Élevé** (volatilité et contexte géopolitique). L'horizon d'investissement optimal est le **moyen terme (3-12 mois)**, en visant un point d'entrée entre 24 000 et 26 000 FCFA pour profiter de la correction anticipée par l'IA, avant une reprise de la tendance haussière de fond.</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301.98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3,977 titres</w:t>
            </w:r>
          </w:p>
        </w:tc>
        <w:tc>
          <w:tcPr>
            <w:tcW w:type="dxa" w:w="2268"/>
            <w:shd w:fill="FFF2CC" w:val="clear"/>
          </w:tcPr>
          <w:p>
            <w:r>
              <w:rPr>
                <w:b/>
                <w:color w:val="503200"/>
                <w:sz w:val="16"/>
              </w:rPr>
              <w:t xml:space="preserve">Cours actuel : </w:t>
            </w:r>
            <w:r>
              <w:rPr>
                <w:color w:val="000000"/>
                <w:sz w:val="17"/>
              </w:rPr>
              <w:t>1,665 FCFA</w:t>
            </w:r>
          </w:p>
          <w:p>
            <w:r>
              <w:rPr>
                <w:b/>
                <w:color w:val="503200"/>
                <w:sz w:val="16"/>
              </w:rPr>
              <w:t xml:space="preserve">Var. 100 jours : </w:t>
            </w:r>
            <w:r>
              <w:rPr>
                <w:b/>
                <w:color w:val="B40000"/>
                <w:sz w:val="17"/>
              </w:rPr>
              <w:t>-6.72%</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19.0/100 → Faible</w:t>
      </w:r>
    </w:p>
    <w:p>
      <w:pPr>
        <w:spacing w:before="40" w:after="80"/>
      </w:pPr>
      <w:r>
        <w:rPr>
          <w:rFonts w:ascii="Courier New" w:hAnsi="Courier New"/>
          <w:color w:val="006400"/>
          <w:sz w:val="18"/>
        </w:rPr>
        <w:t>███░░░░░░░░░░░░░░░░░  19.0/100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6.68% (Moyenne) — μ=1,611 FCFA, σ=108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β=0.9695 (Neutre (suit le marché)) — Cov=0.000035, Var(idx)=0.000036, ρ=0.186,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3,977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σ_j=3.12%/j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2026-08-03</w:t>
            </w:r>
          </w:p>
        </w:tc>
        <w:tc>
          <w:tcPr>
            <w:tcW w:type="dxa" w:w="1440"/>
            <w:shd w:fill="FFDCE0" w:val="clear"/>
          </w:tcPr>
          <w:p>
            <w:r>
              <w:rPr>
                <w:sz w:val="17"/>
              </w:rPr>
              <w:t>1,512</w:t>
            </w:r>
          </w:p>
        </w:tc>
        <w:tc>
          <w:tcPr>
            <w:tcW w:type="dxa" w:w="1440"/>
            <w:shd w:fill="FFDCE0" w:val="clear"/>
          </w:tcPr>
          <w:p>
            <w:r>
              <w:rPr>
                <w:b/>
                <w:sz w:val="17"/>
              </w:rPr>
              <w:t>1,612</w:t>
            </w:r>
          </w:p>
        </w:tc>
        <w:tc>
          <w:tcPr>
            <w:tcW w:type="dxa" w:w="1440"/>
            <w:shd w:fill="FFDCE0" w:val="clear"/>
          </w:tcPr>
          <w:p>
            <w:r>
              <w:rPr>
                <w:sz w:val="17"/>
              </w:rPr>
              <w:t>1,712</w:t>
            </w:r>
          </w:p>
        </w:tc>
        <w:tc>
          <w:tcPr>
            <w:tcW w:type="dxa" w:w="1440"/>
            <w:shd w:fill="FFDCE0" w:val="clear"/>
          </w:tcPr>
          <w:p>
            <w:r>
              <w:rPr>
                <w:b/>
                <w:color w:val="C00000"/>
                <w:sz w:val="17"/>
              </w:rPr>
              <w:t>-3.2%</w:t>
            </w:r>
          </w:p>
        </w:tc>
      </w:tr>
      <w:tr>
        <w:tc>
          <w:tcPr>
            <w:tcW w:type="dxa" w:w="1440"/>
            <w:shd w:fill="FFDCE0" w:val="clear"/>
          </w:tcPr>
          <w:p>
            <w:r>
              <w:rPr>
                <w:sz w:val="17"/>
              </w:rPr>
              <w:t>J+2  Moyenne</w:t>
            </w:r>
          </w:p>
        </w:tc>
        <w:tc>
          <w:tcPr>
            <w:tcW w:type="dxa" w:w="1440"/>
            <w:shd w:fill="FFDCE0" w:val="clear"/>
          </w:tcPr>
          <w:p>
            <w:r>
              <w:rPr>
                <w:sz w:val="17"/>
              </w:rPr>
              <w:t>2026-08-04</w:t>
            </w:r>
          </w:p>
        </w:tc>
        <w:tc>
          <w:tcPr>
            <w:tcW w:type="dxa" w:w="1440"/>
            <w:shd w:fill="FFDCE0" w:val="clear"/>
          </w:tcPr>
          <w:p>
            <w:r>
              <w:rPr>
                <w:sz w:val="17"/>
              </w:rPr>
              <w:t>1,453</w:t>
            </w:r>
          </w:p>
        </w:tc>
        <w:tc>
          <w:tcPr>
            <w:tcW w:type="dxa" w:w="1440"/>
            <w:shd w:fill="FFDCE0" w:val="clear"/>
          </w:tcPr>
          <w:p>
            <w:r>
              <w:rPr>
                <w:b/>
                <w:sz w:val="17"/>
              </w:rPr>
              <w:t>1,593</w:t>
            </w:r>
          </w:p>
        </w:tc>
        <w:tc>
          <w:tcPr>
            <w:tcW w:type="dxa" w:w="1440"/>
            <w:shd w:fill="FFDCE0" w:val="clear"/>
          </w:tcPr>
          <w:p>
            <w:r>
              <w:rPr>
                <w:sz w:val="17"/>
              </w:rPr>
              <w:t>1,732</w:t>
            </w:r>
          </w:p>
        </w:tc>
        <w:tc>
          <w:tcPr>
            <w:tcW w:type="dxa" w:w="1440"/>
            <w:shd w:fill="FFDCE0" w:val="clear"/>
          </w:tcPr>
          <w:p>
            <w:r>
              <w:rPr>
                <w:b/>
                <w:color w:val="C00000"/>
                <w:sz w:val="17"/>
              </w:rPr>
              <w:t>-4.4%</w:t>
            </w:r>
          </w:p>
        </w:tc>
      </w:tr>
      <w:tr>
        <w:tc>
          <w:tcPr>
            <w:tcW w:type="dxa" w:w="1440"/>
            <w:shd w:fill="FFDCE0" w:val="clear"/>
          </w:tcPr>
          <w:p>
            <w:r>
              <w:rPr>
                <w:sz w:val="17"/>
              </w:rPr>
              <w:t>J+3  Moyenne</w:t>
            </w:r>
          </w:p>
        </w:tc>
        <w:tc>
          <w:tcPr>
            <w:tcW w:type="dxa" w:w="1440"/>
            <w:shd w:fill="FFDCE0" w:val="clear"/>
          </w:tcPr>
          <w:p>
            <w:r>
              <w:rPr>
                <w:sz w:val="17"/>
              </w:rPr>
              <w:t>2026-08-05</w:t>
            </w:r>
          </w:p>
        </w:tc>
        <w:tc>
          <w:tcPr>
            <w:tcW w:type="dxa" w:w="1440"/>
            <w:shd w:fill="FFDCE0" w:val="clear"/>
          </w:tcPr>
          <w:p>
            <w:r>
              <w:rPr>
                <w:sz w:val="17"/>
              </w:rPr>
              <w:t>1,401</w:t>
            </w:r>
          </w:p>
        </w:tc>
        <w:tc>
          <w:tcPr>
            <w:tcW w:type="dxa" w:w="1440"/>
            <w:shd w:fill="FFDCE0" w:val="clear"/>
          </w:tcPr>
          <w:p>
            <w:r>
              <w:rPr>
                <w:b/>
                <w:sz w:val="17"/>
              </w:rPr>
              <w:t>1,570</w:t>
            </w:r>
          </w:p>
        </w:tc>
        <w:tc>
          <w:tcPr>
            <w:tcW w:type="dxa" w:w="1440"/>
            <w:shd w:fill="FFDCE0" w:val="clear"/>
          </w:tcPr>
          <w:p>
            <w:r>
              <w:rPr>
                <w:sz w:val="17"/>
              </w:rPr>
              <w:t>1,739</w:t>
            </w:r>
          </w:p>
        </w:tc>
        <w:tc>
          <w:tcPr>
            <w:tcW w:type="dxa" w:w="1440"/>
            <w:shd w:fill="FFDCE0" w:val="clear"/>
          </w:tcPr>
          <w:p>
            <w:r>
              <w:rPr>
                <w:b/>
                <w:color w:val="C00000"/>
                <w:sz w:val="17"/>
              </w:rPr>
              <w:t>-5.7%</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1,355</w:t>
            </w:r>
          </w:p>
        </w:tc>
        <w:tc>
          <w:tcPr>
            <w:tcW w:type="dxa" w:w="1440"/>
            <w:shd w:fill="FFDCE0" w:val="clear"/>
          </w:tcPr>
          <w:p>
            <w:r>
              <w:rPr>
                <w:b/>
                <w:sz w:val="17"/>
              </w:rPr>
              <w:t>1,547</w:t>
            </w:r>
          </w:p>
        </w:tc>
        <w:tc>
          <w:tcPr>
            <w:tcW w:type="dxa" w:w="1440"/>
            <w:shd w:fill="FFDCE0" w:val="clear"/>
          </w:tcPr>
          <w:p>
            <w:r>
              <w:rPr>
                <w:sz w:val="17"/>
              </w:rPr>
              <w:t>1,739</w:t>
            </w:r>
          </w:p>
        </w:tc>
        <w:tc>
          <w:tcPr>
            <w:tcW w:type="dxa" w:w="1440"/>
            <w:shd w:fill="FFDCE0" w:val="clear"/>
          </w:tcPr>
          <w:p>
            <w:r>
              <w:rPr>
                <w:b/>
                <w:color w:val="C00000"/>
                <w:sz w:val="17"/>
              </w:rPr>
              <w:t>-7.1%</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1,313</w:t>
            </w:r>
          </w:p>
        </w:tc>
        <w:tc>
          <w:tcPr>
            <w:tcW w:type="dxa" w:w="1440"/>
            <w:shd w:fill="FFDCE0" w:val="clear"/>
          </w:tcPr>
          <w:p>
            <w:r>
              <w:rPr>
                <w:b/>
                <w:sz w:val="17"/>
              </w:rPr>
              <w:t>1,525</w:t>
            </w:r>
          </w:p>
        </w:tc>
        <w:tc>
          <w:tcPr>
            <w:tcW w:type="dxa" w:w="1440"/>
            <w:shd w:fill="FFDCE0" w:val="clear"/>
          </w:tcPr>
          <w:p>
            <w:r>
              <w:rPr>
                <w:sz w:val="17"/>
              </w:rPr>
              <w:t>1,736</w:t>
            </w:r>
          </w:p>
        </w:tc>
        <w:tc>
          <w:tcPr>
            <w:tcW w:type="dxa" w:w="1440"/>
            <w:shd w:fill="FFDCE0" w:val="clear"/>
          </w:tcPr>
          <w:p>
            <w:r>
              <w:rPr>
                <w:b/>
                <w:color w:val="C00000"/>
                <w:sz w:val="17"/>
              </w:rPr>
              <w:t>-8.4%</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1,275</w:t>
            </w:r>
          </w:p>
        </w:tc>
        <w:tc>
          <w:tcPr>
            <w:tcW w:type="dxa" w:w="1440"/>
            <w:shd w:fill="FFDCE0" w:val="clear"/>
          </w:tcPr>
          <w:p>
            <w:r>
              <w:rPr>
                <w:b/>
                <w:sz w:val="17"/>
              </w:rPr>
              <w:t>1,503</w:t>
            </w:r>
          </w:p>
        </w:tc>
        <w:tc>
          <w:tcPr>
            <w:tcW w:type="dxa" w:w="1440"/>
            <w:shd w:fill="FFDCE0" w:val="clear"/>
          </w:tcPr>
          <w:p>
            <w:r>
              <w:rPr>
                <w:sz w:val="17"/>
              </w:rPr>
              <w:t>1,732</w:t>
            </w:r>
          </w:p>
        </w:tc>
        <w:tc>
          <w:tcPr>
            <w:tcW w:type="dxa" w:w="1440"/>
            <w:shd w:fill="FFDCE0" w:val="clear"/>
          </w:tcPr>
          <w:p>
            <w:r>
              <w:rPr>
                <w:b/>
                <w:color w:val="C00000"/>
                <w:sz w:val="17"/>
              </w:rPr>
              <w:t>-9.7%</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1,239</w:t>
            </w:r>
          </w:p>
        </w:tc>
        <w:tc>
          <w:tcPr>
            <w:tcW w:type="dxa" w:w="1440"/>
            <w:shd w:fill="FFDCE0" w:val="clear"/>
          </w:tcPr>
          <w:p>
            <w:r>
              <w:rPr>
                <w:b/>
                <w:sz w:val="17"/>
              </w:rPr>
              <w:t>1,482</w:t>
            </w:r>
          </w:p>
        </w:tc>
        <w:tc>
          <w:tcPr>
            <w:tcW w:type="dxa" w:w="1440"/>
            <w:shd w:fill="FFDCE0" w:val="clear"/>
          </w:tcPr>
          <w:p>
            <w:r>
              <w:rPr>
                <w:sz w:val="17"/>
              </w:rPr>
              <w:t>1,725</w:t>
            </w:r>
          </w:p>
        </w:tc>
        <w:tc>
          <w:tcPr>
            <w:tcW w:type="dxa" w:w="1440"/>
            <w:shd w:fill="FFDCE0" w:val="clear"/>
          </w:tcPr>
          <w:p>
            <w:r>
              <w:rPr>
                <w:b/>
                <w:color w:val="C00000"/>
                <w:sz w:val="17"/>
              </w:rPr>
              <w:t>-11.0%</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1,205</w:t>
            </w:r>
          </w:p>
        </w:tc>
        <w:tc>
          <w:tcPr>
            <w:tcW w:type="dxa" w:w="1440"/>
            <w:shd w:fill="FFDCE0" w:val="clear"/>
          </w:tcPr>
          <w:p>
            <w:r>
              <w:rPr>
                <w:b/>
                <w:sz w:val="17"/>
              </w:rPr>
              <w:t>1,461</w:t>
            </w:r>
          </w:p>
        </w:tc>
        <w:tc>
          <w:tcPr>
            <w:tcW w:type="dxa" w:w="1440"/>
            <w:shd w:fill="FFDCE0" w:val="clear"/>
          </w:tcPr>
          <w:p>
            <w:r>
              <w:rPr>
                <w:sz w:val="17"/>
              </w:rPr>
              <w:t>1,717</w:t>
            </w:r>
          </w:p>
        </w:tc>
        <w:tc>
          <w:tcPr>
            <w:tcW w:type="dxa" w:w="1440"/>
            <w:shd w:fill="FFDCE0" w:val="clear"/>
          </w:tcPr>
          <w:p>
            <w:r>
              <w:rPr>
                <w:b/>
                <w:color w:val="C00000"/>
                <w:sz w:val="17"/>
              </w:rPr>
              <w:t>-12.2%</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1,173</w:t>
            </w:r>
          </w:p>
        </w:tc>
        <w:tc>
          <w:tcPr>
            <w:tcW w:type="dxa" w:w="1440"/>
            <w:shd w:fill="FFDCE0" w:val="clear"/>
          </w:tcPr>
          <w:p>
            <w:r>
              <w:rPr>
                <w:b/>
                <w:sz w:val="17"/>
              </w:rPr>
              <w:t>1,441</w:t>
            </w:r>
          </w:p>
        </w:tc>
        <w:tc>
          <w:tcPr>
            <w:tcW w:type="dxa" w:w="1440"/>
            <w:shd w:fill="FFDCE0" w:val="clear"/>
          </w:tcPr>
          <w:p>
            <w:r>
              <w:rPr>
                <w:sz w:val="17"/>
              </w:rPr>
              <w:t>1,709</w:t>
            </w:r>
          </w:p>
        </w:tc>
        <w:tc>
          <w:tcPr>
            <w:tcW w:type="dxa" w:w="1440"/>
            <w:shd w:fill="FFDCE0" w:val="clear"/>
          </w:tcPr>
          <w:p>
            <w:r>
              <w:rPr>
                <w:b/>
                <w:color w:val="C00000"/>
                <w:sz w:val="17"/>
              </w:rPr>
              <w:t>-13.5%</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1,142</w:t>
            </w:r>
          </w:p>
        </w:tc>
        <w:tc>
          <w:tcPr>
            <w:tcW w:type="dxa" w:w="1440"/>
            <w:shd w:fill="FFDCE0" w:val="clear"/>
          </w:tcPr>
          <w:p>
            <w:r>
              <w:rPr>
                <w:b/>
                <w:sz w:val="17"/>
              </w:rPr>
              <w:t>1,421</w:t>
            </w:r>
          </w:p>
        </w:tc>
        <w:tc>
          <w:tcPr>
            <w:tcW w:type="dxa" w:w="1440"/>
            <w:shd w:fill="FFDCE0" w:val="clear"/>
          </w:tcPr>
          <w:p>
            <w:r>
              <w:rPr>
                <w:sz w:val="17"/>
              </w:rPr>
              <w:t>1,700</w:t>
            </w:r>
          </w:p>
        </w:tc>
        <w:tc>
          <w:tcPr>
            <w:tcW w:type="dxa" w:w="1440"/>
            <w:shd w:fill="FFDCE0" w:val="clear"/>
          </w:tcPr>
          <w:p>
            <w:r>
              <w:rPr>
                <w:b/>
                <w:color w:val="C00000"/>
                <w:sz w:val="17"/>
              </w:rPr>
              <w:t>-14.7%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 RAPPORT D'ANALYSE FINANCIÈRE — CFAC (CFAO MOTORS CÔTE D'IVOIRE)</w:t>
      </w:r>
    </w:p>
    <w:p>
      <w:pPr>
        <w:spacing w:after="120" w:line="276" w:lineRule="auto"/>
      </w:pPr>
      <w:r>
        <w:t>**Date de l'analyse : 31 juillet 2026 | Cours de référence : 1 665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CFAC s'établit à 301,98 milliards FCFA, positionnant la société parmi les valeurs moyennes du marché BRVM, avec un poids significatif dans le secteur de la distribution automobile. Le BPA de 26 FCFA par action révèle un bénéfice net de 4,693 milliards FCFA pour l'exercice 2024, rapporté à un nombre d'actions estimé à environ 180 millions de titres. Le PER de 64,3x est extrêmement élevé comparé à la moyenne historique de la BRVM (8-12x), indiquant que les investisseurs paient une prime considérable pour chaque franc de bénéfice — une valorisation qui intègre des attentes de croissance très optimistes. Le P/B de 15,52x confirme cette surévaluation relative, le marché valorisant la société à plus de 15 fois sa valeur comptable, contre un seuil d'alerte généralement fixé à 4x. Enfin, l'EV/EBITDA de 32,8x, bien au-delà du seuil exigeant de 15x, suggère que la valeur d'entreprise inclut une prime substantielle par rapport à la capacité bénéficiaire opérationnelle, signalant un risque de correction si les performances ne suivent pas.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CFAC affiche une variation totale de -6,72%, passant d'un plus haut de 1 825 FCFA à un plus bas de 1 325 FCFA, soit une amplitude de 500 FCFA (37,7%) qui témoigne d'une volatilité intra-période considérable. La dernière séance enregistre une légère hausse de +0,30%, portant le cours à 1 665 FCFA, mais la tendance générale reste baissière sur la période. Les statistiques descriptives révèlent une moyenne de 1 611 FCFA et une médiane de 1 605 FCFA, très proches l'une de l'autre, indiquant une distribution relativement symétrique des cours, confirmée par un skewness de -0,258 (asymétrie négative légère). L'écart-type de 108 FCFA, soit un coefficient de variation de 6,7%, démontre une dispersion modérée autour de la moyenne, tandis que le kurtosis de -0,281 (mésokurtique) suggère l'absence de queues épaisses et donc un risque de mouvements extrêmes limité. La volatilité annualisée de 49,6% classe le titre dans la catégorie "élevée" (&gt;30%), reflétant un profil de risque marqué pour les investisseurs, cohérent avec les fluctuations importantes observées entre le plus haut et le plus bas de la période.</w:t>
      </w:r>
    </w:p>
    <w:p>
      <w:pPr>
        <w:spacing w:after="120" w:line="276" w:lineRule="auto"/>
      </w:pPr>
      <w:r>
        <w:t>---</w:t>
      </w:r>
    </w:p>
    <w:p>
      <w:pPr>
        <w:spacing w:after="120" w:line="276" w:lineRule="auto"/>
      </w:pPr>
      <w:r>
        <w:t>## PARTIE 2 : ANALYSE TECHNIQUE DÉTAILLÉE</w:t>
      </w:r>
    </w:p>
    <w:p>
      <w:pPr>
        <w:spacing w:after="120" w:line="276" w:lineRule="auto"/>
      </w:pPr>
      <w:r>
        <w:t>**Moyennes Mobiles :** Les moyennes mobiles sur 20 et 50 jours (respectivement 1 631,5 FCFA et 1 630,5 FCFA) sont quasi identiques et se situent légèrement sous le cours actuel de 1 665 FCFA. Cette configuration, où le prix évolue au-dessus des deux moyennes, génère un signal d'achat. La convergence des MM20 et MM50 suggère une phase de consolidation après la baisse récente, avec un potentiel de reprise si le cours maintient sa position au-dessus de ces supports dynamiques.</w:t>
      </w:r>
    </w:p>
    <w:p>
      <w:pPr>
        <w:spacing w:after="120" w:line="276" w:lineRule="auto"/>
      </w:pPr>
      <w:r>
        <w:t>**Bandes de Bollinger :** Le cours se positionne à 1 665 FCFA, entre la borne supérieure (1 736,99 FCFA) et la borne inférieure (1 526,01 FCFA), plus près de la borne supérieure. La largeur des bandes (environ 210 FCFA) reflète une volatilité modérée. La décision "Neutre" indique que le titre n'est ni suracheté ni survendu, évoluant dans une zone de confort relative. Un dépassement de la borne supérieure signalerait une accélération haussière, tandis qu'un retour vers la moyenne mobile serait considéré comme un mouvement normal de consolidation.</w:t>
      </w:r>
    </w:p>
    <w:p>
      <w:pPr>
        <w:spacing w:after="120" w:line="276" w:lineRule="auto"/>
      </w:pPr>
      <w:r>
        <w:t>**MACD :** Le MACD (5,285) est supérieur à sa ligne de signal (4,38), avec un écart positif de 0,905 point. Cette configuration haussière indique un momentum positif en cours de formation, suggérant que la dynamique des prix s'améliore malgré la tendance baissière de long terme. Le signal d'achat généré par le MACD est cohérent avec la position du cours au-dessus des moyennes mobiles, renforçant la thèse d'un rebond technique à court terme.</w:t>
      </w:r>
    </w:p>
    <w:p>
      <w:pPr>
        <w:spacing w:after="120" w:line="276" w:lineRule="auto"/>
      </w:pPr>
      <w:r>
        <w:t>**RSI :** Le RSI s'établit à 60,18, dans la zone neutre (30-70), sans signal de surachat ni de survente. Cette valeur indique une pression acheteuse modérée, avec une marge de progression avant d'atteindre la zone de surachat (&gt;70). La décision "Neutre" reflète un équilibre entre acheteurs et vendeurs, le titre disposant d'un potentiel haussier sans risque immédiat de retournement.</w:t>
      </w:r>
    </w:p>
    <w:p>
      <w:pPr>
        <w:spacing w:after="120" w:line="276" w:lineRule="auto"/>
      </w:pPr>
      <w:r>
        <w:t>**Stochastique :** Le %K (75,0) est supérieur au %D (62,78), avec un écart de 12,22 points, indiquant une dynamique haussière en cours. Bien que le %K approche la zone de surachat (&gt;80), le croisement positif des deux lignes suggère une poursuite du mouvement ascendant à court terme. La décision "Neutre" tempère toutefois ce signal, le marché n'étant pas encore en situation de surachat extrême.</w:t>
      </w:r>
    </w:p>
    <w:p>
      <w:pPr>
        <w:spacing w:after="120" w:line="276" w:lineRule="auto"/>
      </w:pPr>
      <w:r>
        <w:t>**Conclusion technique :** La convergence des signaux est globalement positive : les moyennes mobiles et le MACD recommandent l'achat, tandis que le RSI et le stochastique restent neutres avec une orientation haussière. Seules les bandes de Bollinger adoptent une position neutre, reflétant une volatilité maîtrisée. L'ensemble suggère un potentiel de hausse à court terme, mais la prudence reste de mise compte tenu de la tendance baissière sur 100 jours et de la volatilité élevée du titre.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de l'exercice 2024 révèlent une entreprise en contraction : le chiffre d'affaires s'établit à 158,313 milliards FCFA, en baisse de -12,1% par rapport à 2023 (180,162 milliards), tandis que le résultat net atteint 4,693 milliards FCFA, en recul de -26,7% (contre 6,399 milliards en 2023). La marge nette se dégrade à 2,96% (contre 3,6% en 2023) et la marge opérationnelle à 4,96% (contre 6,2%). Le ROE reste néanmoins excellent à 24,13% et le ROA à 5,52%, témoignant d'une utilisation efficace des capitaux propres malgré le contexte difficile. Le BFR négatif de -3,482 milliards FCFA constitue un point positif, indiquant que l'entreprise finance son cycle d'exploitation par ses fournisseurs (délai fournisseurs de 81,75 jours contre 36,64 jours pour les clients). Cependant, la trésorerie nette est négative (-624,2 millions FCFA) et le free cash flow de -1,650 milliard FCFA, signalant des tensions de liquidité. Les rapports trimestriels 2025 montrent un redressement spectaculaire : au T1 2025, le CA progresse de +14,5% à 46,161 milliards et le résultat net explose de +279,7% à 3,836 milliards ; au S1 2025, le CA atteint 91,182 milliards (+18,4%) avec un résultat net de 5,420 milliards (+152,7%) ; au T3 2025, la dynamique se poursuit avec un CA de 43,580 milliards (+18,3%) et un résultat net de 1,489 milliard (+38,1%). Sur la base de ces tendances, on estime que l'exercice 2025 devrait dépasser significativement les performances 2024, avec un CA annuel projeté autour de 180-185 milliards FCFA et un résultat net potentiel de 7-8 milliards FCFA, confirmant la solidité du modèle économique et la position de leader (43,4% de part de marché).</w:t>
      </w:r>
    </w:p>
    <w:p>
      <w:pPr>
        <w:spacing w:after="120" w:line="276" w:lineRule="auto"/>
      </w:pPr>
      <w:r>
        <w:t>---</w:t>
      </w:r>
    </w:p>
    <w:p>
      <w:pPr>
        <w:spacing w:after="120" w:line="276" w:lineRule="auto"/>
      </w:pPr>
      <w:r>
        <w:t>## PARTIE 4 : CONCLUSION D'INVESTISSEMENT</w:t>
      </w:r>
    </w:p>
    <w:p>
      <w:pPr>
        <w:spacing w:after="120" w:line="276" w:lineRule="auto"/>
      </w:pPr>
      <w:r>
        <w:t>La synthèse des quatre analyses révèle une situation contrastée pour CFAC. La valorisation (Partie 0) est extrêmement exigeante avec un PER de 64,3x, un P/B de 15,52x et un EV/EBITDA de 32,8x, tous largement supérieurs aux références BRVM, indiquant une surévaluation relative qui pénalise le potentiel de rendement. Le comportement du cours (Partie 1) montre une tendance baissière de -6,72% sur 100 jours avec une volatilité élevée (49,6%), mais une distribution des cours relativement stable (kurtosis mésokurtique, skewness symétrique). Les signaux techniques (Partie 2) sont majoritairement positifs (MM, MACD en achat, RSI et stochastique neutres avec biais haussier), suggérant un potentiel de rebond à court terme. Les fondamentaux (Partie 3) présentent une amélioration spectaculaire en 2025 après une année 2024 difficile, avec des croissances à trois chiffres du résultat net et un ROE toujours supérieur à 24%. Les prédictions IA pour les 10 prochains jours (1 612 à 1 525 FCFA) indiquent une poursuite de la baisse, contredisant les signaux techniques haussiers. Face à cette divergence entre valorisation excessive, fondamentaux en amélioration mais prédictions baissières, la recommandation est **CONSERVER** avec un niveau de confiance **Moyen** et un risque global **Élevé**. L'horizon d'investissement optimal serait le **moyen terme (3-12 mois)**, permettant d'absorber la volatilité à court terme et de bénéficier du redressement fondamental si la tendance se confirme.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280.00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6,549 titres</w:t>
            </w:r>
          </w:p>
        </w:tc>
        <w:tc>
          <w:tcPr>
            <w:tcW w:type="dxa" w:w="2268"/>
            <w:shd w:fill="FFF2CC" w:val="clear"/>
          </w:tcPr>
          <w:p>
            <w:r>
              <w:rPr>
                <w:b/>
                <w:color w:val="503200"/>
                <w:sz w:val="16"/>
              </w:rPr>
              <w:t xml:space="preserve">Cours actuel : </w:t>
            </w:r>
            <w:r>
              <w:rPr>
                <w:color w:val="000000"/>
                <w:sz w:val="17"/>
              </w:rPr>
              <w:t>5,000 FCFA</w:t>
            </w:r>
          </w:p>
          <w:p>
            <w:r>
              <w:rPr>
                <w:b/>
                <w:color w:val="503200"/>
                <w:sz w:val="16"/>
              </w:rPr>
              <w:t xml:space="preserve">Var. 100 jours : </w:t>
            </w:r>
            <w:r>
              <w:rPr>
                <w:b/>
                <w:color w:val="007800"/>
                <w:sz w:val="17"/>
              </w:rPr>
              <w:t>+47.49%</w:t>
            </w:r>
          </w:p>
          <w:p>
            <w:r>
              <w:rPr>
                <w:b/>
                <w:color w:val="503200"/>
                <w:sz w:val="16"/>
              </w:rPr>
              <w:t xml:space="preserve">Plus haut 100j : </w:t>
            </w:r>
            <w:r>
              <w:rPr>
                <w:color w:val="000000"/>
                <w:sz w:val="17"/>
              </w:rPr>
              <w:t>5,485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22.41% (Élevée) — μ=4,128 FCFA, σ=925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β=0.7767 (Défensif) — Cov=0.000028, Var(idx)=0.000036, ρ=0.158,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6,549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2026-08-03</w:t>
            </w:r>
          </w:p>
        </w:tc>
        <w:tc>
          <w:tcPr>
            <w:tcW w:type="dxa" w:w="1440"/>
            <w:shd w:fill="FFDCE0" w:val="clear"/>
          </w:tcPr>
          <w:p>
            <w:r>
              <w:rPr>
                <w:sz w:val="17"/>
              </w:rPr>
              <w:t>4,433</w:t>
            </w:r>
          </w:p>
        </w:tc>
        <w:tc>
          <w:tcPr>
            <w:tcW w:type="dxa" w:w="1440"/>
            <w:shd w:fill="FFDCE0" w:val="clear"/>
          </w:tcPr>
          <w:p>
            <w:r>
              <w:rPr>
                <w:b/>
                <w:sz w:val="17"/>
              </w:rPr>
              <w:t>4,625</w:t>
            </w:r>
          </w:p>
        </w:tc>
        <w:tc>
          <w:tcPr>
            <w:tcW w:type="dxa" w:w="1440"/>
            <w:shd w:fill="FFDCE0" w:val="clear"/>
          </w:tcPr>
          <w:p>
            <w:r>
              <w:rPr>
                <w:sz w:val="17"/>
              </w:rPr>
              <w:t>4,817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2026-08-04</w:t>
            </w:r>
          </w:p>
        </w:tc>
        <w:tc>
          <w:tcPr>
            <w:tcW w:type="dxa" w:w="1440"/>
            <w:shd w:fill="FFDCE0" w:val="clear"/>
          </w:tcPr>
          <w:p>
            <w:r>
              <w:rPr>
                <w:sz w:val="17"/>
              </w:rPr>
              <w:t>4,027</w:t>
            </w:r>
          </w:p>
        </w:tc>
        <w:tc>
          <w:tcPr>
            <w:tcW w:type="dxa" w:w="1440"/>
            <w:shd w:fill="FFDCE0" w:val="clear"/>
          </w:tcPr>
          <w:p>
            <w:r>
              <w:rPr>
                <w:b/>
                <w:sz w:val="17"/>
              </w:rPr>
              <w:t>4,278</w:t>
            </w:r>
          </w:p>
        </w:tc>
        <w:tc>
          <w:tcPr>
            <w:tcW w:type="dxa" w:w="1440"/>
            <w:shd w:fill="FFDCE0" w:val="clear"/>
          </w:tcPr>
          <w:p>
            <w:r>
              <w:rPr>
                <w:sz w:val="17"/>
              </w:rPr>
              <w:t>4,530</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2026-08-05</w:t>
            </w:r>
          </w:p>
        </w:tc>
        <w:tc>
          <w:tcPr>
            <w:tcW w:type="dxa" w:w="1440"/>
            <w:shd w:fill="FFDCE0" w:val="clear"/>
          </w:tcPr>
          <w:p>
            <w:r>
              <w:rPr>
                <w:sz w:val="17"/>
              </w:rPr>
              <w:t>3,672</w:t>
            </w:r>
          </w:p>
        </w:tc>
        <w:tc>
          <w:tcPr>
            <w:tcW w:type="dxa" w:w="1440"/>
            <w:shd w:fill="FFDCE0" w:val="clear"/>
          </w:tcPr>
          <w:p>
            <w:r>
              <w:rPr>
                <w:b/>
                <w:sz w:val="17"/>
              </w:rPr>
              <w:t>3,957</w:t>
            </w:r>
          </w:p>
        </w:tc>
        <w:tc>
          <w:tcPr>
            <w:tcW w:type="dxa" w:w="1440"/>
            <w:shd w:fill="FFDCE0" w:val="clear"/>
          </w:tcPr>
          <w:p>
            <w:r>
              <w:rPr>
                <w:sz w:val="17"/>
              </w:rPr>
              <w:t>4,242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3,356</w:t>
            </w:r>
          </w:p>
        </w:tc>
        <w:tc>
          <w:tcPr>
            <w:tcW w:type="dxa" w:w="1440"/>
            <w:shd w:fill="FFDCE0" w:val="clear"/>
          </w:tcPr>
          <w:p>
            <w:r>
              <w:rPr>
                <w:b/>
                <w:sz w:val="17"/>
              </w:rPr>
              <w:t>3,660</w:t>
            </w:r>
          </w:p>
        </w:tc>
        <w:tc>
          <w:tcPr>
            <w:tcW w:type="dxa" w:w="1440"/>
            <w:shd w:fill="FFDCE0" w:val="clear"/>
          </w:tcPr>
          <w:p>
            <w:r>
              <w:rPr>
                <w:sz w:val="17"/>
              </w:rPr>
              <w:t>3,965</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3,216</w:t>
            </w:r>
          </w:p>
        </w:tc>
        <w:tc>
          <w:tcPr>
            <w:tcW w:type="dxa" w:w="1440"/>
            <w:shd w:fill="FFDCE0" w:val="clear"/>
          </w:tcPr>
          <w:p>
            <w:r>
              <w:rPr>
                <w:b/>
                <w:sz w:val="17"/>
              </w:rPr>
              <w:t>3,545</w:t>
            </w:r>
          </w:p>
        </w:tc>
        <w:tc>
          <w:tcPr>
            <w:tcW w:type="dxa" w:w="1440"/>
            <w:shd w:fill="FFDCE0" w:val="clear"/>
          </w:tcPr>
          <w:p>
            <w:r>
              <w:rPr>
                <w:sz w:val="17"/>
              </w:rPr>
              <w:t>3,875</w:t>
            </w:r>
          </w:p>
        </w:tc>
        <w:tc>
          <w:tcPr>
            <w:tcW w:type="dxa" w:w="1440"/>
            <w:shd w:fill="FFDCE0" w:val="clear"/>
          </w:tcPr>
          <w:p>
            <w:r>
              <w:rPr>
                <w:b/>
                <w:color w:val="C00000"/>
                <w:sz w:val="17"/>
              </w:rPr>
              <w:t>-29.1%</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3,102</w:t>
            </w:r>
          </w:p>
        </w:tc>
        <w:tc>
          <w:tcPr>
            <w:tcW w:type="dxa" w:w="1440"/>
            <w:shd w:fill="FFDCE0" w:val="clear"/>
          </w:tcPr>
          <w:p>
            <w:r>
              <w:rPr>
                <w:b/>
                <w:sz w:val="17"/>
              </w:rPr>
              <w:t>3,454</w:t>
            </w:r>
          </w:p>
        </w:tc>
        <w:tc>
          <w:tcPr>
            <w:tcW w:type="dxa" w:w="1440"/>
            <w:shd w:fill="FFDCE0" w:val="clear"/>
          </w:tcPr>
          <w:p>
            <w:r>
              <w:rPr>
                <w:sz w:val="17"/>
              </w:rPr>
              <w:t>3,805</w:t>
            </w:r>
          </w:p>
        </w:tc>
        <w:tc>
          <w:tcPr>
            <w:tcW w:type="dxa" w:w="1440"/>
            <w:shd w:fill="FFDCE0" w:val="clear"/>
          </w:tcPr>
          <w:p>
            <w:r>
              <w:rPr>
                <w:b/>
                <w:color w:val="C00000"/>
                <w:sz w:val="17"/>
              </w:rPr>
              <w:t>-30.9%</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3,001</w:t>
            </w:r>
          </w:p>
        </w:tc>
        <w:tc>
          <w:tcPr>
            <w:tcW w:type="dxa" w:w="1440"/>
            <w:shd w:fill="FFDCE0" w:val="clear"/>
          </w:tcPr>
          <w:p>
            <w:r>
              <w:rPr>
                <w:b/>
                <w:sz w:val="17"/>
              </w:rPr>
              <w:t>3,372</w:t>
            </w:r>
          </w:p>
        </w:tc>
        <w:tc>
          <w:tcPr>
            <w:tcW w:type="dxa" w:w="1440"/>
            <w:shd w:fill="FFDCE0" w:val="clear"/>
          </w:tcPr>
          <w:p>
            <w:r>
              <w:rPr>
                <w:sz w:val="17"/>
              </w:rPr>
              <w:t>3,743</w:t>
            </w:r>
          </w:p>
        </w:tc>
        <w:tc>
          <w:tcPr>
            <w:tcW w:type="dxa" w:w="1440"/>
            <w:shd w:fill="FFDCE0" w:val="clear"/>
          </w:tcPr>
          <w:p>
            <w:r>
              <w:rPr>
                <w:b/>
                <w:color w:val="C00000"/>
                <w:sz w:val="17"/>
              </w:rPr>
              <w:t>-32.6%</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2,911</w:t>
            </w:r>
          </w:p>
        </w:tc>
        <w:tc>
          <w:tcPr>
            <w:tcW w:type="dxa" w:w="1440"/>
            <w:shd w:fill="FFDCE0" w:val="clear"/>
          </w:tcPr>
          <w:p>
            <w:r>
              <w:rPr>
                <w:b/>
                <w:sz w:val="17"/>
              </w:rPr>
              <w:t>3,299</w:t>
            </w:r>
          </w:p>
        </w:tc>
        <w:tc>
          <w:tcPr>
            <w:tcW w:type="dxa" w:w="1440"/>
            <w:shd w:fill="FFDCE0" w:val="clear"/>
          </w:tcPr>
          <w:p>
            <w:r>
              <w:rPr>
                <w:sz w:val="17"/>
              </w:rPr>
              <w:t>3,686</w:t>
            </w:r>
          </w:p>
        </w:tc>
        <w:tc>
          <w:tcPr>
            <w:tcW w:type="dxa" w:w="1440"/>
            <w:shd w:fill="FFDCE0" w:val="clear"/>
          </w:tcPr>
          <w:p>
            <w:r>
              <w:rPr>
                <w:b/>
                <w:color w:val="C00000"/>
                <w:sz w:val="17"/>
              </w:rPr>
              <w:t>-34.0%</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2,829</w:t>
            </w:r>
          </w:p>
        </w:tc>
        <w:tc>
          <w:tcPr>
            <w:tcW w:type="dxa" w:w="1440"/>
            <w:shd w:fill="FFDCE0" w:val="clear"/>
          </w:tcPr>
          <w:p>
            <w:r>
              <w:rPr>
                <w:b/>
                <w:sz w:val="17"/>
              </w:rPr>
              <w:t>3,232</w:t>
            </w:r>
          </w:p>
        </w:tc>
        <w:tc>
          <w:tcPr>
            <w:tcW w:type="dxa" w:w="1440"/>
            <w:shd w:fill="FFDCE0" w:val="clear"/>
          </w:tcPr>
          <w:p>
            <w:r>
              <w:rPr>
                <w:sz w:val="17"/>
              </w:rPr>
              <w:t>3,635</w:t>
            </w:r>
          </w:p>
        </w:tc>
        <w:tc>
          <w:tcPr>
            <w:tcW w:type="dxa" w:w="1440"/>
            <w:shd w:fill="FFDCE0" w:val="clear"/>
          </w:tcPr>
          <w:p>
            <w:r>
              <w:rPr>
                <w:b/>
                <w:color w:val="C00000"/>
                <w:sz w:val="17"/>
              </w:rPr>
              <w:t>-35.4%</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2,755</w:t>
            </w:r>
          </w:p>
        </w:tc>
        <w:tc>
          <w:tcPr>
            <w:tcW w:type="dxa" w:w="1440"/>
            <w:shd w:fill="FFDCE0" w:val="clear"/>
          </w:tcPr>
          <w:p>
            <w:r>
              <w:rPr>
                <w:b/>
                <w:sz w:val="17"/>
              </w:rPr>
              <w:t>3,172</w:t>
            </w:r>
          </w:p>
        </w:tc>
        <w:tc>
          <w:tcPr>
            <w:tcW w:type="dxa" w:w="1440"/>
            <w:shd w:fill="FFDCE0" w:val="clear"/>
          </w:tcPr>
          <w:p>
            <w:r>
              <w:rPr>
                <w:sz w:val="17"/>
              </w:rPr>
              <w:t>3,589</w:t>
            </w:r>
          </w:p>
        </w:tc>
        <w:tc>
          <w:tcPr>
            <w:tcW w:type="dxa" w:w="1440"/>
            <w:shd w:fill="FFDCE0" w:val="clear"/>
          </w:tcPr>
          <w:p>
            <w:r>
              <w:rPr>
                <w:b/>
                <w:color w:val="C00000"/>
                <w:sz w:val="17"/>
              </w:rPr>
              <w:t>-36.6%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Absolument. Voici un rapport d'analyse structuré et professionnel pour l'action CIEC (Compagnie Ivoirienne d'Électricité)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280 milliards FCFA, ce qui en fait une valeur de première ligne sur la BRVM, représentative du secteur stratégique de l'énergie en Côte d'Ivoire. Avec un BPA de 234 FCFA, le titre se négocie à un PER de 21,3x, une prime significative par rapport à la moyenne historique de la place (~8-12x), suggérant que le marché anticipe une croissance soutenue des bénéfices. Cette anticipation se reflète également dans le P/B de 7,79x, qui valorise fortement les capitaux propres de l'entreprise, et un EV/EBITDA de 12,6x, indiquant une valorisation exigeante de la capacité opérationnelle. Ces ratios témoignent d'une confiance élevée des investisseurs dans le modèle de la CIEC, mais laissent peu de marge d'erreur en cas de déception sur les résultats futurs.</w:t>
      </w:r>
    </w:p>
    <w:p>
      <w:pPr>
        <w:spacing w:after="120" w:line="276" w:lineRule="auto"/>
      </w:pPr>
      <w:r>
        <w:t>### PARTIE 1 : ANALYSE DU COURS — STATISTIQUES ET ÉVOLUTION (100 derniers jours)</w:t>
      </w:r>
    </w:p>
    <w:p>
      <w:pPr>
        <w:spacing w:after="120" w:line="276" w:lineRule="auto"/>
      </w:pPr>
      <w:r>
        <w:t>Sur les 100 dernières séances, l'action CIEC a enregistré une performance exceptionnelle de +47,49%, avec un cours stable à 5 000 FCFA lors de la dernière séance. Le titre a évolué dans une fourchette très large, oscillant entre un plus bas de 3 000 FCFA et un plus haut de 5 485 FCFA, illustrant une forte dynamique haussière. La moyenne du cours sur la période (4 128 FCFA) est nettement supérieure à la médiane (3 630 FCFA), ce qui, combiné à un skewness positif (0.182), confirme une distribution asymétrique avec une queue de distribution vers les hauts prix, typique d'un marché en forte accélération. L'écart-type de 930 FCFA (CV=22.5%) et la volatilité annualisée de 46.4% signalent un titre extrêmement volatil, où le risque est élevé. Le kurtosis négatif (-1.801) indique une distribution platykurtique, suggérant une absence de mouvements extrêmes récents malgré la tendance, ce qui peut être un signe de consolidation après une forte hausse.</w:t>
      </w:r>
    </w:p>
    <w:p>
      <w:pPr>
        <w:spacing w:after="120" w:line="276" w:lineRule="auto"/>
      </w:pPr>
      <w:r>
        <w:t>### PARTIE 2 : ANALYSE TECHNIQUE DÉTAILLÉE</w:t>
      </w:r>
    </w:p>
    <w:p>
      <w:pPr>
        <w:spacing w:after="120" w:line="276" w:lineRule="auto"/>
      </w:pPr>
      <w:r>
        <w:t>**Moyennes Mobiles** : Le cours actuel (5 000 FCFA) est inférieur à la MM20 (5 229,5 FCFA) mais supérieur à la MM50 (5 004,2 FCFA). Cette configuration, où le prix est sous la moyenne à court terme mais au-dessus de la moyenne à long terme, indique un potentiel repli technique dans une tendance de fond haussière. Le signal global reste un "Achat", car la tendance moyen terme prédomine.</w:t>
      </w:r>
    </w:p>
    <w:p>
      <w:pPr>
        <w:spacing w:after="120" w:line="276" w:lineRule="auto"/>
      </w:pPr>
      <w:r>
        <w:t>**Bandes de Bollinger** : Le prix se situe à 5 000 FCFA, proche de la borne inférieure (4 921,37 FCFA) et loin de la borne supérieure (5 537,63 FCFA). Cela suggère que le titre a récemment corrigé après avoir touché des niveaux surachetés. La position proche de la borne inférieure pourrait offrir un point d'entrée si le support tient, justifiant une décision "Neutre" avec un biais légèrement positif.</w:t>
      </w:r>
    </w:p>
    <w:p>
      <w:pPr>
        <w:spacing w:after="120" w:line="276" w:lineRule="auto"/>
      </w:pPr>
      <w:r>
        <w:t>**MACD** : La valeur du MACD (37,53) est inférieure à son signal (88,87), indiquant un momentum baissier à court terme. Cette configuration, classée "Vente", suggère que la pression vendeuse est actuellement plus forte que la pression acheteuse, ce qui pourrait conduire à une poursuite de la consolidation.</w:t>
      </w:r>
    </w:p>
    <w:p>
      <w:pPr>
        <w:spacing w:after="120" w:line="276" w:lineRule="auto"/>
      </w:pPr>
      <w:r>
        <w:t>**RSI** : À 41,29, le RSI est en zone neutre (entre 30 et 70), indiquant que le titre n'est ni suracheté ni survendu. Cela laisse de la place pour un mouvement dans les deux sens, mais la valeur relativement basse suggère que la pression vendeuse récente s'estompe, d'où une décision "Neutre".</w:t>
      </w:r>
    </w:p>
    <w:p>
      <w:pPr>
        <w:spacing w:after="120" w:line="276" w:lineRule="auto"/>
      </w:pPr>
      <w:r>
        <w:t>**Stochastique** : Avec un %K à 19,59 et un %D à 33,33, l'indicateur est en zone de survente (&lt;20 pour %K). Le croisement potentiel de %K au-dessus de %D pourrait signaler un rebond imminent. Cette lecture justifie la décision "Achat", suggérant que le mouvement de correction pourrait toucher à sa fin.</w:t>
      </w:r>
    </w:p>
    <w:p>
      <w:pPr>
        <w:spacing w:after="120" w:line="276" w:lineRule="auto"/>
      </w:pPr>
      <w:r>
        <w:t>**Conclusion technique** : Les indicateurs sont mitigés. Les moyennes mobiles et le stochastique suggèrent un potentiel de rebond, tandis que le MACD indique une dynamique baissière à court terme. Le RSI et les bandes de Bollinger sont neutres. Cette divergence suggère une phase de consolidation dans une tendance haussière plus large, avec un risque de test des supports avant une reprise de la tendance.</w:t>
      </w:r>
    </w:p>
    <w:p>
      <w:pPr>
        <w:spacing w:after="120" w:line="276" w:lineRule="auto"/>
      </w:pPr>
      <w:r>
        <w:t>### PARTIE 3 : ANALYSE FONDAMENTALE (SECTION CRITIQUE)</w:t>
      </w:r>
    </w:p>
    <w:p>
      <w:pPr>
        <w:spacing w:after="120" w:line="276" w:lineRule="auto"/>
      </w:pPr>
      <w:r>
        <w:t>En 2025, la CIEC affiche des performances financières solides. Le chiffre d'affaires s'établit à 302,32 milliards FCFA, en hausse de 14,8% par rapport à 2024, porté par une demande énergétique dynamique. Le résultat net progresse de manière significative pour atteindre 13,13 milliards FCFA, avec une marge nette de 4,3%. La rentabilité des capitaux propres (ROE) est excellente à 36,5%, démontrant une utilisation très efficace des fonds propres, bien que le ROA de 0,65% reflète la lourdeur du bilan (2 018 milliards FCFA) typique du secteur. L'analyse du BFR, négatif à -90,24 milliards FCFA, est un point très positif, indiquant que l'entreprise finance son cycle d'exploitation grâce aux délais de paiement de ses fournisseurs (970 jours), ce qui est favorable pour sa trésorerie. Cependant, le délai de paiement des clients (164 jours) reste un risque de trésorerie à surveiller. Le rapport annuel 2025 (daté du 31/12/2025) recommande d'ailleurs de "Conserver" le titre, soulignant la politique de dividende attractive (234 FCFA/action, soit un taux de distribution de 99,8%) mais aussi le risque de crédit client et la dépendance au cadre réglementaire. Les rapports semestriels 2025 confirment cette tendance avec une croissance de 18,85% du CA au S1, laissant présager une poursuite de la dynamique pour l'exercice en cours.</w:t>
      </w:r>
    </w:p>
    <w:p>
      <w:pPr>
        <w:spacing w:after="120" w:line="276" w:lineRule="auto"/>
      </w:pPr>
      <w:r>
        <w:t>### PARTIE 4 : CONCLUSION D'INVESTISSEMENT</w:t>
      </w:r>
    </w:p>
    <w:p>
      <w:pPr>
        <w:spacing w:after="120" w:line="276" w:lineRule="auto"/>
      </w:pPr>
      <w:r>
        <w:t>La valorisation actuelle de la CIEC (PER 21,3x, P/B 7,79x) est exigeante et intègre déjà des attentes de croissance élevées, ce qui représente un risque si les performances futures déçoivent. Le comportement du cours sur 100 jours montre une tendance haussière forte mais avec une volatilité très élevée (46,4%), et les statistiques suggèrent une possible consolidation. Les signaux techniques sont mitigés, avec un MACD vendeur mais des indicateurs de survente (stochastique) qui pourraient signaler un rebond à court terme. Les fondamentaux, eux, sont solides avec une croissance à deux chiffres du CA et une rentabilité des capitaux propres exceptionnelle, bien que le niveau d'endettement et le risque de crédit client soient des points de vigilance. Les prédictions IA sur 10 jours (chute de 5 000 à 3 545 FCFA) suggèrent une correction brutale, en contradiction avec les fondamentaux mais en phase avec les signaux techniques de court terme. En synthèse, la convergence entre une valorisation élevée, des signaux techniques de court terme négatifs et une prédiction IA baissière, malgré des fondamentaux solides, nous conduit à une recommandation **CONSERVER**. Le niveau de confiance est **Moyen** et le risque global est **Élevé** en raison de la volatilité. L'horizon d'investissement optimal serait de **moyen terme (3-12 mois)** pour laisser le temps aux fondamentaux de se matérialiser et d'absorber une éventuelle correction technique.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893.47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3,374 titres</w:t>
            </w:r>
          </w:p>
        </w:tc>
        <w:tc>
          <w:tcPr>
            <w:tcW w:type="dxa" w:w="2268"/>
            <w:shd w:fill="FFF2CC" w:val="clear"/>
          </w:tcPr>
          <w:p>
            <w:r>
              <w:rPr>
                <w:b/>
                <w:color w:val="503200"/>
                <w:sz w:val="16"/>
              </w:rPr>
              <w:t xml:space="preserve">Cours actuel : </w:t>
            </w:r>
            <w:r>
              <w:rPr>
                <w:color w:val="000000"/>
                <w:sz w:val="17"/>
              </w:rPr>
              <w:t>16,230 FCFA</w:t>
            </w:r>
          </w:p>
          <w:p>
            <w:r>
              <w:rPr>
                <w:b/>
                <w:color w:val="503200"/>
                <w:sz w:val="16"/>
              </w:rPr>
              <w:t xml:space="preserve">Var. 100 jours : </w:t>
            </w:r>
            <w:r>
              <w:rPr>
                <w:b/>
                <w:color w:val="B40000"/>
                <w:sz w:val="17"/>
              </w:rPr>
              <w:t>-1.49%</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2.12% (Faible) — μ=16,348 FCFA, σ=346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β=0.2963 (Défensif) — Cov=0.000011, Var(idx)=0.000036, ρ=0.103,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σ_j=1.70%/j (Stable) — Vol. annualisée≈27.1%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2026-08-03</w:t>
            </w:r>
          </w:p>
        </w:tc>
        <w:tc>
          <w:tcPr>
            <w:tcW w:type="dxa" w:w="1440"/>
            <w:shd w:fill="FAFAFA" w:val="clear"/>
          </w:tcPr>
          <w:p>
            <w:r>
              <w:rPr>
                <w:sz w:val="17"/>
              </w:rPr>
              <w:t>15,666</w:t>
            </w:r>
          </w:p>
        </w:tc>
        <w:tc>
          <w:tcPr>
            <w:tcW w:type="dxa" w:w="1440"/>
            <w:shd w:fill="FAFAFA" w:val="clear"/>
          </w:tcPr>
          <w:p>
            <w:r>
              <w:rPr>
                <w:b/>
                <w:sz w:val="17"/>
              </w:rPr>
              <w:t>16,177</w:t>
            </w:r>
          </w:p>
        </w:tc>
        <w:tc>
          <w:tcPr>
            <w:tcW w:type="dxa" w:w="1440"/>
            <w:shd w:fill="FAFAFA" w:val="clear"/>
          </w:tcPr>
          <w:p>
            <w:r>
              <w:rPr>
                <w:sz w:val="17"/>
              </w:rPr>
              <w:t>16,687</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2026-08-04</w:t>
            </w:r>
          </w:p>
        </w:tc>
        <w:tc>
          <w:tcPr>
            <w:tcW w:type="dxa" w:w="1440"/>
            <w:shd w:fill="FAFAFA" w:val="clear"/>
          </w:tcPr>
          <w:p>
            <w:r>
              <w:rPr>
                <w:sz w:val="17"/>
              </w:rPr>
              <w:t>15,443</w:t>
            </w:r>
          </w:p>
        </w:tc>
        <w:tc>
          <w:tcPr>
            <w:tcW w:type="dxa" w:w="1440"/>
            <w:shd w:fill="FAFAFA" w:val="clear"/>
          </w:tcPr>
          <w:p>
            <w:r>
              <w:rPr>
                <w:b/>
                <w:sz w:val="17"/>
              </w:rPr>
              <w:t>16,164</w:t>
            </w:r>
          </w:p>
        </w:tc>
        <w:tc>
          <w:tcPr>
            <w:tcW w:type="dxa" w:w="1440"/>
            <w:shd w:fill="FAFAFA" w:val="clear"/>
          </w:tcPr>
          <w:p>
            <w:r>
              <w:rPr>
                <w:sz w:val="17"/>
              </w:rPr>
              <w:t>16,885</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2026-08-05</w:t>
            </w:r>
          </w:p>
        </w:tc>
        <w:tc>
          <w:tcPr>
            <w:tcW w:type="dxa" w:w="1440"/>
            <w:shd w:fill="FAFAFA" w:val="clear"/>
          </w:tcPr>
          <w:p>
            <w:r>
              <w:rPr>
                <w:sz w:val="17"/>
              </w:rPr>
              <w:t>15,266</w:t>
            </w:r>
          </w:p>
        </w:tc>
        <w:tc>
          <w:tcPr>
            <w:tcW w:type="dxa" w:w="1440"/>
            <w:shd w:fill="FAFAFA" w:val="clear"/>
          </w:tcPr>
          <w:p>
            <w:r>
              <w:rPr>
                <w:b/>
                <w:sz w:val="17"/>
              </w:rPr>
              <w:t>16,149</w:t>
            </w:r>
          </w:p>
        </w:tc>
        <w:tc>
          <w:tcPr>
            <w:tcW w:type="dxa" w:w="1440"/>
            <w:shd w:fill="FAFAFA" w:val="clear"/>
          </w:tcPr>
          <w:p>
            <w:r>
              <w:rPr>
                <w:sz w:val="17"/>
              </w:rPr>
              <w:t>17,031</w:t>
            </w:r>
          </w:p>
        </w:tc>
        <w:tc>
          <w:tcPr>
            <w:tcW w:type="dxa" w:w="1440"/>
            <w:shd w:fill="FAFAFA" w:val="clear"/>
          </w:tcPr>
          <w:p>
            <w:r>
              <w:rPr>
                <w:b/>
                <w:color w:val="C00000"/>
                <w:sz w:val="17"/>
              </w:rPr>
              <w:t>-0.5%</w:t>
            </w:r>
          </w:p>
        </w:tc>
      </w:tr>
      <w:tr>
        <w:tc>
          <w:tcPr>
            <w:tcW w:type="dxa" w:w="1440"/>
            <w:shd w:fill="FAFAFA" w:val="clear"/>
          </w:tcPr>
          <w:p>
            <w:r>
              <w:rPr>
                <w:sz w:val="17"/>
              </w:rPr>
              <w:t>J+4  Moyenne</w:t>
            </w:r>
          </w:p>
        </w:tc>
        <w:tc>
          <w:tcPr>
            <w:tcW w:type="dxa" w:w="1440"/>
            <w:shd w:fill="FAFAFA" w:val="clear"/>
          </w:tcPr>
          <w:p>
            <w:r>
              <w:rPr>
                <w:sz w:val="17"/>
              </w:rPr>
              <w:t>2026-08-06</w:t>
            </w:r>
          </w:p>
        </w:tc>
        <w:tc>
          <w:tcPr>
            <w:tcW w:type="dxa" w:w="1440"/>
            <w:shd w:fill="FAFAFA" w:val="clear"/>
          </w:tcPr>
          <w:p>
            <w:r>
              <w:rPr>
                <w:sz w:val="17"/>
              </w:rPr>
              <w:t>15,117</w:t>
            </w:r>
          </w:p>
        </w:tc>
        <w:tc>
          <w:tcPr>
            <w:tcW w:type="dxa" w:w="1440"/>
            <w:shd w:fill="FAFAFA" w:val="clear"/>
          </w:tcPr>
          <w:p>
            <w:r>
              <w:rPr>
                <w:b/>
                <w:sz w:val="17"/>
              </w:rPr>
              <w:t>16,135</w:t>
            </w:r>
          </w:p>
        </w:tc>
        <w:tc>
          <w:tcPr>
            <w:tcW w:type="dxa" w:w="1440"/>
            <w:shd w:fill="FAFAFA" w:val="clear"/>
          </w:tcPr>
          <w:p>
            <w:r>
              <w:rPr>
                <w:sz w:val="17"/>
              </w:rPr>
              <w:t>17,153</w:t>
            </w:r>
          </w:p>
        </w:tc>
        <w:tc>
          <w:tcPr>
            <w:tcW w:type="dxa" w:w="1440"/>
            <w:shd w:fill="FAFAFA" w:val="clear"/>
          </w:tcPr>
          <w:p>
            <w:r>
              <w:rPr>
                <w:b/>
                <w:color w:val="C00000"/>
                <w:sz w:val="17"/>
              </w:rPr>
              <w:t>-0.6%</w:t>
            </w:r>
          </w:p>
        </w:tc>
      </w:tr>
      <w:tr>
        <w:tc>
          <w:tcPr>
            <w:tcW w:type="dxa" w:w="1440"/>
            <w:shd w:fill="FAFAFA" w:val="clear"/>
          </w:tcPr>
          <w:p>
            <w:r>
              <w:rPr>
                <w:sz w:val="17"/>
              </w:rPr>
              <w:t>J+5  Moyenne</w:t>
            </w:r>
          </w:p>
        </w:tc>
        <w:tc>
          <w:tcPr>
            <w:tcW w:type="dxa" w:w="1440"/>
            <w:shd w:fill="FAFAFA" w:val="clear"/>
          </w:tcPr>
          <w:p>
            <w:r>
              <w:rPr>
                <w:sz w:val="17"/>
              </w:rPr>
              <w:t>2026-08-10</w:t>
            </w:r>
          </w:p>
        </w:tc>
        <w:tc>
          <w:tcPr>
            <w:tcW w:type="dxa" w:w="1440"/>
            <w:shd w:fill="FAFAFA" w:val="clear"/>
          </w:tcPr>
          <w:p>
            <w:r>
              <w:rPr>
                <w:sz w:val="17"/>
              </w:rPr>
              <w:t>14,985</w:t>
            </w:r>
          </w:p>
        </w:tc>
        <w:tc>
          <w:tcPr>
            <w:tcW w:type="dxa" w:w="1440"/>
            <w:shd w:fill="FAFAFA" w:val="clear"/>
          </w:tcPr>
          <w:p>
            <w:r>
              <w:rPr>
                <w:b/>
                <w:sz w:val="17"/>
              </w:rPr>
              <w:t>16,122</w:t>
            </w:r>
          </w:p>
        </w:tc>
        <w:tc>
          <w:tcPr>
            <w:tcW w:type="dxa" w:w="1440"/>
            <w:shd w:fill="FAFAFA" w:val="clear"/>
          </w:tcPr>
          <w:p>
            <w:r>
              <w:rPr>
                <w:sz w:val="17"/>
              </w:rPr>
              <w:t>17,260</w:t>
            </w:r>
          </w:p>
        </w:tc>
        <w:tc>
          <w:tcPr>
            <w:tcW w:type="dxa" w:w="1440"/>
            <w:shd w:fill="FAFAFA" w:val="clear"/>
          </w:tcPr>
          <w:p>
            <w:r>
              <w:rPr>
                <w:b/>
                <w:color w:val="C00000"/>
                <w:sz w:val="17"/>
              </w:rPr>
              <w:t>-0.7%</w:t>
            </w:r>
          </w:p>
        </w:tc>
      </w:tr>
      <w:tr>
        <w:tc>
          <w:tcPr>
            <w:tcW w:type="dxa" w:w="1440"/>
            <w:shd w:fill="FAFAFA" w:val="clear"/>
          </w:tcPr>
          <w:p>
            <w:r>
              <w:rPr>
                <w:sz w:val="17"/>
              </w:rPr>
              <w:t>J+6  Moyenne</w:t>
            </w:r>
          </w:p>
        </w:tc>
        <w:tc>
          <w:tcPr>
            <w:tcW w:type="dxa" w:w="1440"/>
            <w:shd w:fill="FAFAFA" w:val="clear"/>
          </w:tcPr>
          <w:p>
            <w:r>
              <w:rPr>
                <w:sz w:val="17"/>
              </w:rPr>
              <w:t>2026-08-11</w:t>
            </w:r>
          </w:p>
        </w:tc>
        <w:tc>
          <w:tcPr>
            <w:tcW w:type="dxa" w:w="1440"/>
            <w:shd w:fill="FAFAFA" w:val="clear"/>
          </w:tcPr>
          <w:p>
            <w:r>
              <w:rPr>
                <w:sz w:val="17"/>
              </w:rPr>
              <w:t>14,865</w:t>
            </w:r>
          </w:p>
        </w:tc>
        <w:tc>
          <w:tcPr>
            <w:tcW w:type="dxa" w:w="1440"/>
            <w:shd w:fill="FAFAFA" w:val="clear"/>
          </w:tcPr>
          <w:p>
            <w:r>
              <w:rPr>
                <w:b/>
                <w:sz w:val="17"/>
              </w:rPr>
              <w:t>16,110</w:t>
            </w:r>
          </w:p>
        </w:tc>
        <w:tc>
          <w:tcPr>
            <w:tcW w:type="dxa" w:w="1440"/>
            <w:shd w:fill="FAFAFA" w:val="clear"/>
          </w:tcPr>
          <w:p>
            <w:r>
              <w:rPr>
                <w:sz w:val="17"/>
              </w:rPr>
              <w:t>17,354</w:t>
            </w:r>
          </w:p>
        </w:tc>
        <w:tc>
          <w:tcPr>
            <w:tcW w:type="dxa" w:w="1440"/>
            <w:shd w:fill="FAFAFA" w:val="clear"/>
          </w:tcPr>
          <w:p>
            <w:r>
              <w:rPr>
                <w:b/>
                <w:color w:val="C00000"/>
                <w:sz w:val="17"/>
              </w:rPr>
              <w:t>-0.7%</w:t>
            </w:r>
          </w:p>
        </w:tc>
      </w:tr>
      <w:tr>
        <w:tc>
          <w:tcPr>
            <w:tcW w:type="dxa" w:w="1440"/>
            <w:shd w:fill="FAFAFA" w:val="clear"/>
          </w:tcPr>
          <w:p>
            <w:r>
              <w:rPr>
                <w:sz w:val="17"/>
              </w:rPr>
              <w:t>J+7  Moyenne</w:t>
            </w:r>
          </w:p>
        </w:tc>
        <w:tc>
          <w:tcPr>
            <w:tcW w:type="dxa" w:w="1440"/>
            <w:shd w:fill="FAFAFA" w:val="clear"/>
          </w:tcPr>
          <w:p>
            <w:r>
              <w:rPr>
                <w:sz w:val="17"/>
              </w:rPr>
              <w:t>2026-08-12</w:t>
            </w:r>
          </w:p>
        </w:tc>
        <w:tc>
          <w:tcPr>
            <w:tcW w:type="dxa" w:w="1440"/>
            <w:shd w:fill="FAFAFA" w:val="clear"/>
          </w:tcPr>
          <w:p>
            <w:r>
              <w:rPr>
                <w:sz w:val="17"/>
              </w:rPr>
              <w:t>14,753</w:t>
            </w:r>
          </w:p>
        </w:tc>
        <w:tc>
          <w:tcPr>
            <w:tcW w:type="dxa" w:w="1440"/>
            <w:shd w:fill="FAFAFA" w:val="clear"/>
          </w:tcPr>
          <w:p>
            <w:r>
              <w:rPr>
                <w:b/>
                <w:sz w:val="17"/>
              </w:rPr>
              <w:t>16,097</w:t>
            </w:r>
          </w:p>
        </w:tc>
        <w:tc>
          <w:tcPr>
            <w:tcW w:type="dxa" w:w="1440"/>
            <w:shd w:fill="FAFAFA" w:val="clear"/>
          </w:tcPr>
          <w:p>
            <w:r>
              <w:rPr>
                <w:sz w:val="17"/>
              </w:rPr>
              <w:t>17,441</w:t>
            </w:r>
          </w:p>
        </w:tc>
        <w:tc>
          <w:tcPr>
            <w:tcW w:type="dxa" w:w="1440"/>
            <w:shd w:fill="FAFAFA" w:val="clear"/>
          </w:tcPr>
          <w:p>
            <w:r>
              <w:rPr>
                <w:b/>
                <w:color w:val="C00000"/>
                <w:sz w:val="17"/>
              </w:rPr>
              <w:t>-0.8%</w:t>
            </w:r>
          </w:p>
        </w:tc>
      </w:tr>
      <w:tr>
        <w:tc>
          <w:tcPr>
            <w:tcW w:type="dxa" w:w="1440"/>
            <w:shd w:fill="FAFAFA" w:val="clear"/>
          </w:tcPr>
          <w:p>
            <w:r>
              <w:rPr>
                <w:sz w:val="17"/>
              </w:rPr>
              <w:t>J+8  Moyenne</w:t>
            </w:r>
          </w:p>
        </w:tc>
        <w:tc>
          <w:tcPr>
            <w:tcW w:type="dxa" w:w="1440"/>
            <w:shd w:fill="FAFAFA" w:val="clear"/>
          </w:tcPr>
          <w:p>
            <w:r>
              <w:rPr>
                <w:sz w:val="17"/>
              </w:rPr>
              <w:t>2026-08-13</w:t>
            </w:r>
          </w:p>
        </w:tc>
        <w:tc>
          <w:tcPr>
            <w:tcW w:type="dxa" w:w="1440"/>
            <w:shd w:fill="FAFAFA" w:val="clear"/>
          </w:tcPr>
          <w:p>
            <w:r>
              <w:rPr>
                <w:sz w:val="17"/>
              </w:rPr>
              <w:t>14,649</w:t>
            </w:r>
          </w:p>
        </w:tc>
        <w:tc>
          <w:tcPr>
            <w:tcW w:type="dxa" w:w="1440"/>
            <w:shd w:fill="FAFAFA" w:val="clear"/>
          </w:tcPr>
          <w:p>
            <w:r>
              <w:rPr>
                <w:b/>
                <w:sz w:val="17"/>
              </w:rPr>
              <w:t>16,084</w:t>
            </w:r>
          </w:p>
        </w:tc>
        <w:tc>
          <w:tcPr>
            <w:tcW w:type="dxa" w:w="1440"/>
            <w:shd w:fill="FAFAFA" w:val="clear"/>
          </w:tcPr>
          <w:p>
            <w:r>
              <w:rPr>
                <w:sz w:val="17"/>
              </w:rPr>
              <w:t>17,520</w:t>
            </w:r>
          </w:p>
        </w:tc>
        <w:tc>
          <w:tcPr>
            <w:tcW w:type="dxa" w:w="1440"/>
            <w:shd w:fill="FAFAFA" w:val="clear"/>
          </w:tcPr>
          <w:p>
            <w:r>
              <w:rPr>
                <w:b/>
                <w:color w:val="C00000"/>
                <w:sz w:val="17"/>
              </w:rPr>
              <w:t>-0.9%</w:t>
            </w:r>
          </w:p>
        </w:tc>
      </w:tr>
      <w:tr>
        <w:tc>
          <w:tcPr>
            <w:tcW w:type="dxa" w:w="1440"/>
            <w:shd w:fill="FAFAFA" w:val="clear"/>
          </w:tcPr>
          <w:p>
            <w:r>
              <w:rPr>
                <w:sz w:val="17"/>
              </w:rPr>
              <w:t>J+9  Moyenne</w:t>
            </w:r>
          </w:p>
        </w:tc>
        <w:tc>
          <w:tcPr>
            <w:tcW w:type="dxa" w:w="1440"/>
            <w:shd w:fill="FAFAFA" w:val="clear"/>
          </w:tcPr>
          <w:p>
            <w:r>
              <w:rPr>
                <w:sz w:val="17"/>
              </w:rPr>
              <w:t>2026-08-14</w:t>
            </w:r>
          </w:p>
        </w:tc>
        <w:tc>
          <w:tcPr>
            <w:tcW w:type="dxa" w:w="1440"/>
            <w:shd w:fill="FAFAFA" w:val="clear"/>
          </w:tcPr>
          <w:p>
            <w:r>
              <w:rPr>
                <w:sz w:val="17"/>
              </w:rPr>
              <w:t>14,551</w:t>
            </w:r>
          </w:p>
        </w:tc>
        <w:tc>
          <w:tcPr>
            <w:tcW w:type="dxa" w:w="1440"/>
            <w:shd w:fill="FAFAFA" w:val="clear"/>
          </w:tcPr>
          <w:p>
            <w:r>
              <w:rPr>
                <w:b/>
                <w:sz w:val="17"/>
              </w:rPr>
              <w:t>16,072</w:t>
            </w:r>
          </w:p>
        </w:tc>
        <w:tc>
          <w:tcPr>
            <w:tcW w:type="dxa" w:w="1440"/>
            <w:shd w:fill="FAFAFA" w:val="clear"/>
          </w:tcPr>
          <w:p>
            <w:r>
              <w:rPr>
                <w:sz w:val="17"/>
              </w:rPr>
              <w:t>17,593</w:t>
            </w:r>
          </w:p>
        </w:tc>
        <w:tc>
          <w:tcPr>
            <w:tcW w:type="dxa" w:w="1440"/>
            <w:shd w:fill="FAFAFA" w:val="clear"/>
          </w:tcPr>
          <w:p>
            <w:r>
              <w:rPr>
                <w:b/>
                <w:color w:val="C00000"/>
                <w:sz w:val="17"/>
              </w:rPr>
              <w:t>-1.0%</w:t>
            </w:r>
          </w:p>
        </w:tc>
      </w:tr>
      <w:tr>
        <w:tc>
          <w:tcPr>
            <w:tcW w:type="dxa" w:w="1440"/>
            <w:shd w:fill="FAFAFA" w:val="clear"/>
          </w:tcPr>
          <w:p>
            <w:r>
              <w:rPr>
                <w:sz w:val="17"/>
              </w:rPr>
              <w:t>J+10  Moyenne</w:t>
            </w:r>
          </w:p>
        </w:tc>
        <w:tc>
          <w:tcPr>
            <w:tcW w:type="dxa" w:w="1440"/>
            <w:shd w:fill="FAFAFA" w:val="clear"/>
          </w:tcPr>
          <w:p>
            <w:r>
              <w:rPr>
                <w:sz w:val="17"/>
              </w:rPr>
              <w:t>2026-08-17</w:t>
            </w:r>
          </w:p>
        </w:tc>
        <w:tc>
          <w:tcPr>
            <w:tcW w:type="dxa" w:w="1440"/>
            <w:shd w:fill="FAFAFA" w:val="clear"/>
          </w:tcPr>
          <w:p>
            <w:r>
              <w:rPr>
                <w:sz w:val="17"/>
              </w:rPr>
              <w:t>14,457</w:t>
            </w:r>
          </w:p>
        </w:tc>
        <w:tc>
          <w:tcPr>
            <w:tcW w:type="dxa" w:w="1440"/>
            <w:shd w:fill="FAFAFA" w:val="clear"/>
          </w:tcPr>
          <w:p>
            <w:r>
              <w:rPr>
                <w:b/>
                <w:sz w:val="17"/>
              </w:rPr>
              <w:t>16,060</w:t>
            </w:r>
          </w:p>
        </w:tc>
        <w:tc>
          <w:tcPr>
            <w:tcW w:type="dxa" w:w="1440"/>
            <w:shd w:fill="FAFAFA" w:val="clear"/>
          </w:tcPr>
          <w:p>
            <w:r>
              <w:rPr>
                <w:sz w:val="17"/>
              </w:rPr>
              <w:t>17,662</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d'ECOC s'établit à 893,47 milliards FCFA, ce qui en fait l'une des valeurs les plus lourdes et les plus liquides de la BRVM, reflétant son statut de banque systémique en Côte d'Ivoire. Avec un BPA de 1 153 FCFA, le titre se négocie à un PER de 14,1x, une prime significative par rapport à la moyenne historique du marché (8-12x), indiquant que les investisseurs intègrent déjà une croissance future des bénéfices. Le P/B de 4,09x confirme cette valorisation exigeante, le marché payant plus de quatre fois la valeur comptable des actifs, ce qui témoigne d'une forte confiance dans la qualité du bilan et la rentabilité supérieure de la banque. Enfin, l'EV/EBITDA de 13,8x, bien que dans la fourchette haute (10-15x), reste cohérent avec les marges opérationnelles élevées du secteur bancaire ivoirien. Ces ratios suggèrent une valorisation riche mais justifiée par la surperformance financière de l'établissement.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ECOC affiche une légère contraction de -1,49%, avec une dernière séance quasi stable (-0,03%) à 16 230 FCFA. Le cours a évolué dans un range de 1 750 FCFA, entre un plus bas de 15 520 FCFA et un plus haut de 17 270 FCFA, illustrant une volatilité modérée et des phases d'accumulation. La moyenne (16 348 FCFA) et la médiane (16 300 FCFA) étant très proches, la distribution des prix est remarquablement symétrique, ce que confirme le skewness de 0,031. L'écart-type de 348 FCFA (CV=2,1%) démontre une dispersion très faible autour de la moyenne, tandis que le kurtosis de 0,271 (mésokurtique) indique l'absence de mouvements extrêmes ou de queues de distribution épaisses. La volatilité annualisée de 27,1% classe le titre dans la catégorie modérée (15-30%), offrant un équilibre entre risque et rendement potentiel pour un investisseur patient.</w:t>
      </w:r>
    </w:p>
    <w:p>
      <w:pPr>
        <w:spacing w:after="120" w:line="276" w:lineRule="auto" w:before="240"/>
      </w:pPr>
      <w:r>
        <w:rPr>
          <w:b/>
          <w:color w:val="003366"/>
          <w:sz w:val="24"/>
        </w:rPr>
        <w:t>**PARTIE 2 : ANALYSE TECHNIQUE DÉTAILLÉE**</w:t>
      </w:r>
    </w:p>
    <w:p>
      <w:pPr>
        <w:spacing w:after="120" w:line="276" w:lineRule="auto"/>
      </w:pPr>
      <w:r>
        <w:t>Les **Moyennes Mobiles** sont baissières : la MM20 (16 254 FCFA) est passée sous la MM50 (16 433 FCFA), formant un croisement baissier classique. Le cours actuel (16 230 FCFA) évolue sous ses deux moyennes, confirmant une dynamique négative à court et moyen terme. La décision de vente est justifiée par cette configuration, bien que la proximité du cours avec la MM20 suggère un possible rebond technique.</w:t>
      </w:r>
    </w:p>
    <w:p>
      <w:pPr>
        <w:spacing w:after="120" w:line="276" w:lineRule="auto"/>
      </w:pPr>
      <w:r>
        <w:t>Les **Bandes de Bollinger** montrent un cours positionné légèrement au-dessus de la borne inférieure (15 497 FCFA) et nettement sous la borne supérieure (17 011 FCFA). L'écart entre les bornes (1 514 FCFA) reflète une volatilité modérée. La décision neutre s'explique par le fait que le prix n'a pas encore touché les extrêmes, laissant place à une évolution dans le canal central.</w:t>
      </w:r>
    </w:p>
    <w:p>
      <w:pPr>
        <w:spacing w:after="120" w:line="276" w:lineRule="auto"/>
      </w:pPr>
      <w:r>
        <w:t>Le **MACD** affiche une valeur de -97,22 avec un signal à -122,14, soit une divergence positive de 24,92 points. Cette configuration indique un momentum haussier naissant, le MACD se rapprochant de sa ligne de signal par le bas. La décision d'achat est prématurée mais signale une possible inversion de tendance à surveiller.</w:t>
      </w:r>
    </w:p>
    <w:p>
      <w:pPr>
        <w:spacing w:after="120" w:line="276" w:lineRule="auto"/>
      </w:pPr>
      <w:r>
        <w:t>Le **RSI** à 36,49 se situe en zone neutre, proche du seuil de survente (30). Cette valeur suggère que le titre n'est ni suracheté ni survendu, mais que la pression vendeuse s'estompe progressivement. La décision neutre est cohérente avec une possible stabilisation des cours.</w:t>
      </w:r>
    </w:p>
    <w:p>
      <w:pPr>
        <w:spacing w:after="120" w:line="276" w:lineRule="auto"/>
      </w:pPr>
      <w:r>
        <w:t>Le **Stochastique** avec %K à 78,63 et %D à 59,86 montre une dynamique positive, le %K étant nettement au-dessus du %D. Cette configuration, bien que proche de la zone de surachat (80), indique une reprise du momentum haussier à très court terme. La décision neutre reflète la prudence nécessaire à ces niveaux.</w:t>
      </w:r>
    </w:p>
    <w:p>
      <w:pPr>
        <w:spacing w:after="120" w:line="276" w:lineRule="auto"/>
      </w:pPr>
      <w:r>
        <w:t>**Conclusion technique** : Les indicateurs sont partagés entre une tendance baissière de fond (moyennes mobiles) et des signaux de retournement à court terme (MACD, Stochastique). Le RSI neutre et les bandes de Bollinger sans extrême suggèrent une phase de consolidation. La prudence est de mise, mais un rebond technique semble probable dans les prochaines séances.</w:t>
      </w:r>
    </w:p>
    <w:p>
      <w:pPr>
        <w:spacing w:after="120" w:line="276" w:lineRule="auto" w:before="240"/>
      </w:pPr>
      <w:r>
        <w:rPr>
          <w:b/>
          <w:color w:val="003366"/>
          <w:sz w:val="24"/>
        </w:rPr>
        <w:t>**PARTIE 3 : ANALYSE FONDAMENTALE (SECTION CRITIQUE)**</w:t>
      </w:r>
    </w:p>
    <w:p>
      <w:pPr>
        <w:spacing w:after="120" w:line="276" w:lineRule="auto"/>
      </w:pPr>
      <w:r>
        <w:t>En 2025, ECOC affiche des fondamentaux solides avec un Produit Net Bancaire de 132,7 milliards FCFA et un résultat net de 63,5 milliards FCFA, en hausse de 10,4% par rapport à 2024 (57,5 milliards FCFA). Le ROE de 29,0% et le ROA de 3,1% démontrent une rentabilité exceptionnelle, bien au-dessus des seuils d'excellence du secteur (&gt;15% et &gt;1%). Le coefficient d'exploitation de 42,9% témoigne d'une gestion rigoureuse des coûts, parmi les meilleures de la place. Le coût du risque de 1,36% reste modéré, reflétant une qualité de portefeuille maîtrisée avec un taux de créances en souffrance stable à 3,8%. La banque maintient un ratio de solvabilité de 19,3%, très au-dessus de l'exigence réglementaire de 11,5%. Les rapports trimestriels 2025 confirment cette dynamique : le T3 2025 (rapport du 31/12/2025) montre un PNB de 96,4 milliards (+11,3%) et un résultat net de 44,4 milliards (+15,4%), tandis que le T1 2026 (rapport du 31/03/2026) indique un PNB de 30,8 milliards (+3,7%) et un résultat net de 13,0 milliards (-1,6%), avec une collecte de dépôts dynamique (+12%). Sur la base de ces tendances, on estime que l'exercice 2026 pourrait voir un PNB annuel dépasser 135 milliards FCFA et un résultat net autour de 64-65 milliards FCFA, malgré un T1 légèrement en retrait. La banque propose un dividende de 888 FCFA brut par action pour 2025, soit un rendement de 5,5% au cours actuel, avec un taux de distribution de 77%.</w:t>
      </w:r>
    </w:p>
    <w:p>
      <w:pPr>
        <w:spacing w:after="120" w:line="276" w:lineRule="auto" w:before="240"/>
      </w:pPr>
      <w:r>
        <w:rPr>
          <w:b/>
          <w:color w:val="003366"/>
          <w:sz w:val="24"/>
        </w:rPr>
        <w:t>**PARTIE 4 : CONCLUSION D'INVESTISSEMENT**</w:t>
      </w:r>
    </w:p>
    <w:p>
      <w:pPr>
        <w:spacing w:after="120" w:line="276" w:lineRule="auto"/>
      </w:pPr>
      <w:r>
        <w:t>La valorisation d'ECOC est exigeante (PER 14,1x, P/B 4,09x) mais justifiée par une rentabilité supérieure (ROE 29%) et une croissance soutenue du PNB (+8,5% en 2025). Le comportement du cours sur 100 jours montre une stabilité remarquable avec une volatilité modérée (27,1%), une distribution symétrique et l'absence de chocs extrêmes, ce qui est rassurant pour les investisseurs. Les signaux techniques sont mitigés : les moyennes mobiles baissières contrastent avec un MACD et un Stochastique en amélioration, suggérant une possible stabilisation après la correction récente. Les fondamentaux restent excellents avec une banque bien capitalisée, efficace (coefficient d'exploitation 42,9%) et généreuse en dividendes (888 FCFA, rendement 5,5%). Les prédictions IA pour les 10 prochains jours (16 177 à 16 122 FCFA) indiquent une légère érosion, en ligne avec la tendance technique actuelle, mais sans signal de rupture. La convergence entre des fondamentaux solides et une valorisation riche justifie une recommandation **CONSERVER** avec un niveau de confiance **Élevé** et un risque global **Moyen**. L'horizon d'investissement optimal est le **moyen terme (3-12 mois)**, en attendant un point d'entrée plus attractif sous 16 000 FCFA ou une confirmation d'inversion technique.</w:t>
      </w:r>
    </w:p>
    <w:p/>
    <w:p/>
    <w:p>
      <w:pPr>
        <w:pStyle w:val="Heading3"/>
      </w:pPr>
      <w:r>
        <w:rPr>
          <w:color w:val="00467F"/>
        </w:rPr>
        <w:t>📎 DOCUMENTS &amp; COMMUNICATIONS OFFICIELS BRVM</w:t>
      </w:r>
    </w:p>
    <w:p>
      <w:r>
        <w:rPr>
          <w:i/>
          <w:color w:val="646464"/>
          <w:sz w:val="18"/>
        </w:rPr>
        <w:t>8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[3]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Pr>
        <w:ind w:left="400"/>
      </w:pPr>
      <w:r>
        <w:rPr>
          <w:color w:val="B4B4B4"/>
          <w:sz w:val="14"/>
        </w:rPr>
        <w:t xml:space="preserve">· · · · · · · · · · · · · · · · · · · · · · · · · · · · · · </w:t>
      </w:r>
    </w:p>
    <w:p>
      <w:pPr>
        <w:spacing w:before="160"/>
      </w:pPr>
      <w:r>
        <w:rPr>
          <w:b/>
          <w:color w:val="0066CC"/>
          <w:sz w:val="20"/>
        </w:rPr>
        <w:t xml:space="preserve">[4] </w:t>
      </w:r>
      <w:r>
        <w:rPr>
          <w:b/>
          <w:sz w:val="20"/>
        </w:rPr>
        <w:t>20260513   avis de convocation   assemblee generale ordinaire   eti tg</w:t>
      </w:r>
    </w:p>
    <w:p>
      <w:pPr>
        <w:spacing w:before="20"/>
        <w:ind w:left="400"/>
      </w:pPr>
      <w:r>
        <w:rPr>
          <w:color w:val="505050"/>
          <w:sz w:val="17"/>
        </w:rPr>
        <w:t xml:space="preserve">Date : 13/05/2026  |  Catégorie : convocation AG  |  Impact : </w:t>
      </w:r>
      <w:r>
        <w:rPr>
          <w:b/>
          <w:color w:val="646464"/>
          <w:sz w:val="17"/>
        </w:rPr>
        <w:t>⚪ NEUTRE</w:t>
      </w:r>
    </w:p>
    <w:p>
      <w:pPr>
        <w:spacing w:before="40"/>
        <w:ind w:left="400"/>
      </w:pPr>
      <w:r>
        <w:rPr>
          <w:sz w:val="18"/>
        </w:rPr>
        <w:t>Ecobank Transnational Incorporated convoque ses actionnaires à la 38ème Assemblée Générale Ordinaire le 3 juin 2026 à Lomé, Togo. L'ordre du jour comprend l'approbation des comptes, l'affectation du résultat et le renouvellement des mandats d'administrateurs. Les actionnaires peuvent participer en personne ou par procuration avec possibilité de soumettre leurs questions à l'avance.</w:t>
      </w:r>
    </w:p>
    <w:p>
      <w:pPr>
        <w:spacing w:before="60"/>
        <w:ind w:left="400"/>
      </w:pPr>
      <w:r>
        <w:rPr>
          <w:b/>
          <w:sz w:val="18"/>
        </w:rPr>
        <w:t>Points clés :</w:t>
      </w:r>
    </w:p>
    <w:p>
      <w:pPr>
        <w:pStyle w:val="ListBullet"/>
        <w:spacing w:before="20" w:after="20"/>
        <w:ind w:left="700"/>
      </w:pPr>
      <w:r>
        <w:rPr>
          <w:sz w:val="18"/>
        </w:rPr>
        <w:t>38ème Assemblée Générale Ordinaire prévue le 3 juin 2026 à 10h30 GMT à Lomé</w:t>
      </w:r>
    </w:p>
    <w:p>
      <w:pPr>
        <w:pStyle w:val="ListBullet"/>
        <w:spacing w:before="20" w:after="20"/>
        <w:ind w:left="700"/>
      </w:pPr>
      <w:r>
        <w:rPr>
          <w:sz w:val="18"/>
        </w:rPr>
        <w:t>Approbation des comptes annuels et affectation du résultat à l'ordre du jour</w:t>
      </w:r>
    </w:p>
    <w:p>
      <w:pPr>
        <w:pStyle w:val="ListBullet"/>
        <w:spacing w:before="20" w:after="20"/>
        <w:ind w:left="700"/>
      </w:pPr>
      <w:r>
        <w:rPr>
          <w:sz w:val="18"/>
        </w:rPr>
        <w:t>Renouvellement des mandats d'administrateurs et nominations au conseil</w:t>
      </w:r>
    </w:p>
    <w:p>
      <w:pPr>
        <w:pStyle w:val="ListBullet"/>
        <w:spacing w:before="20" w:after="20"/>
        <w:ind w:left="700"/>
      </w:pPr>
      <w:r>
        <w:rPr>
          <w:sz w:val="18"/>
        </w:rPr>
        <w:t>Possibilité de participation par procuration avec formulaire à soumettre avant le 2 juin 2026</w:t>
      </w:r>
    </w:p>
    <w:p>
      <w:pPr>
        <w:pStyle w:val="ListBullet"/>
        <w:spacing w:before="20" w:after="20"/>
        <w:ind w:left="700"/>
      </w:pPr>
      <w:r>
        <w:rPr>
          <w:sz w:val="18"/>
        </w:rPr>
        <w:t>Nomination des commissaires aux comptes parmi les points à délibérer</w:t>
      </w:r>
    </w:p>
    <w:p>
      <w:pPr>
        <w:ind w:left="400"/>
      </w:pPr>
      <w:r>
        <w:rPr>
          <w:color w:val="B4B4B4"/>
          <w:sz w:val="14"/>
        </w:rPr>
        <w:t xml:space="preserve">· · · · · · · · · · · · · · · · · · · · · · · · · · · · · · </w:t>
      </w:r>
    </w:p>
    <w:p>
      <w:pPr>
        <w:spacing w:before="160"/>
      </w:pPr>
      <w:r>
        <w:rPr>
          <w:b/>
          <w:color w:val="0066CC"/>
          <w:sz w:val="20"/>
        </w:rPr>
        <w:t xml:space="preserve">[5] </w:t>
      </w:r>
      <w:r>
        <w:rPr>
          <w:b/>
          <w:sz w:val="20"/>
        </w:rPr>
        <w:t>20260511   calendrier de paiement des dividendes   exercice 2025</w:t>
      </w:r>
    </w:p>
    <w:p>
      <w:pPr>
        <w:spacing w:before="20"/>
        <w:ind w:left="400"/>
      </w:pPr>
      <w:r>
        <w:rPr>
          <w:color w:val="505050"/>
          <w:sz w:val="17"/>
        </w:rPr>
        <w:t xml:space="preserve">Date : 12/05/2026  |  Catégorie : dividende  |  Impact : </w:t>
      </w:r>
      <w:r>
        <w:rPr>
          <w:b/>
          <w:color w:val="008000"/>
          <w:sz w:val="17"/>
        </w:rPr>
        <w:t>🟢 POSITIF</w:t>
      </w:r>
    </w:p>
    <w:p>
      <w:pPr>
        <w:spacing w:before="40"/>
        <w:ind w:left="400"/>
      </w:pPr>
      <w:r>
        <w:rPr>
          <w:sz w:val="18"/>
        </w:rPr>
        <w:t>Calendrier officiel de paiement des dividendes pour l'exercice 2025 publié par la BRVM le 11 mai 2026. Le document détaille les dates de détachement et de paiement des dividendes pour 7 entreprises cotées. Les montants varient de 305,04 FCFA à 1740 FCFA par action.</w:t>
      </w:r>
    </w:p>
    <w:p>
      <w:pPr>
        <w:spacing w:before="60"/>
        <w:ind w:left="400"/>
      </w:pPr>
      <w:r>
        <w:rPr>
          <w:b/>
          <w:sz w:val="18"/>
        </w:rPr>
        <w:t>Points clés :</w:t>
      </w:r>
    </w:p>
    <w:p>
      <w:pPr>
        <w:pStyle w:val="ListBullet"/>
        <w:spacing w:before="20" w:after="20"/>
        <w:ind w:left="700"/>
      </w:pPr>
      <w:r>
        <w:rPr>
          <w:sz w:val="18"/>
        </w:rPr>
        <w:t>SONATEL SENEGAL verse le plus gros dividende avec 1740 FCFA par action</w:t>
      </w:r>
    </w:p>
    <w:p>
      <w:pPr>
        <w:pStyle w:val="ListBullet"/>
        <w:spacing w:before="20" w:after="20"/>
        <w:ind w:left="700"/>
      </w:pPr>
      <w:r>
        <w:rPr>
          <w:sz w:val="18"/>
        </w:rPr>
        <w:t>BOA CÔTE D'IVOIRE distribue 594,528 FCFA par action avec paiement le 6 mai 2026</w:t>
      </w:r>
    </w:p>
    <w:p>
      <w:pPr>
        <w:pStyle w:val="ListBullet"/>
        <w:spacing w:before="20" w:after="20"/>
        <w:ind w:left="700"/>
      </w:pPr>
      <w:r>
        <w:rPr>
          <w:sz w:val="18"/>
        </w:rPr>
        <w:t>ECOBANK CI verse un dividende brut de 888 FCFA soumis à l'IRVM</w:t>
      </w:r>
    </w:p>
    <w:p>
      <w:pPr>
        <w:pStyle w:val="ListBullet"/>
        <w:spacing w:before="20" w:after="20"/>
        <w:ind w:left="700"/>
      </w:pPr>
      <w:r>
        <w:rPr>
          <w:sz w:val="18"/>
        </w:rPr>
        <w:t>Les dates de paiement s'étalent du 23 avril au 3 juin 2026</w:t>
      </w:r>
    </w:p>
    <w:p>
      <w:pPr>
        <w:pStyle w:val="ListBullet"/>
        <w:spacing w:before="20" w:after="20"/>
        <w:ind w:left="700"/>
      </w:pPr>
      <w:r>
        <w:rPr>
          <w:sz w:val="18"/>
        </w:rPr>
        <w:t>Sept entreprises du groupe BOA et assimilées distribuent des dividendes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1193.55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1,316,267 titres</w:t>
            </w:r>
          </w:p>
        </w:tc>
        <w:tc>
          <w:tcPr>
            <w:tcW w:type="dxa" w:w="2268"/>
            <w:shd w:fill="FFF2CC" w:val="clear"/>
          </w:tcPr>
          <w:p>
            <w:r>
              <w:rPr>
                <w:b/>
                <w:color w:val="503200"/>
                <w:sz w:val="16"/>
              </w:rPr>
              <w:t xml:space="preserve">Cours actuel : </w:t>
            </w:r>
            <w:r>
              <w:rPr>
                <w:color w:val="000000"/>
                <w:sz w:val="17"/>
              </w:rPr>
              <w:t>66 FCFA</w:t>
            </w:r>
          </w:p>
          <w:p>
            <w:r>
              <w:rPr>
                <w:b/>
                <w:color w:val="503200"/>
                <w:sz w:val="16"/>
              </w:rPr>
              <w:t xml:space="preserve">Var. 100 jours : </w:t>
            </w:r>
            <w:r>
              <w:rPr>
                <w:b/>
                <w:color w:val="007800"/>
                <w:sz w:val="17"/>
              </w:rPr>
              <w:t>+112.90%</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37.12% (Élevée) — μ=39 FCFA, σ=14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β=2.4307 (Très agressif) — Cov=0.000088, Var(idx)=0.000036, ρ=0.376,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1,316,267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σ_j=3.85%/j (Modérée) — Vol. annualisée≈61.1%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2026-08-03</w:t>
            </w:r>
          </w:p>
        </w:tc>
        <w:tc>
          <w:tcPr>
            <w:tcW w:type="dxa" w:w="1440"/>
            <w:shd w:fill="FFDCE0" w:val="clear"/>
          </w:tcPr>
          <w:p>
            <w:r>
              <w:rPr>
                <w:sz w:val="17"/>
              </w:rPr>
              <w:t>56</w:t>
            </w:r>
          </w:p>
        </w:tc>
        <w:tc>
          <w:tcPr>
            <w:tcW w:type="dxa" w:w="1440"/>
            <w:shd w:fill="FFDCE0" w:val="clear"/>
          </w:tcPr>
          <w:p>
            <w:r>
              <w:rPr>
                <w:b/>
                <w:sz w:val="17"/>
              </w:rPr>
              <w:t>61</w:t>
            </w:r>
          </w:p>
        </w:tc>
        <w:tc>
          <w:tcPr>
            <w:tcW w:type="dxa" w:w="1440"/>
            <w:shd w:fill="FFDCE0" w:val="clear"/>
          </w:tcPr>
          <w:p>
            <w:r>
              <w:rPr>
                <w:sz w:val="17"/>
              </w:rPr>
              <w:t>66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2026-08-04</w:t>
            </w:r>
          </w:p>
        </w:tc>
        <w:tc>
          <w:tcPr>
            <w:tcW w:type="dxa" w:w="1440"/>
            <w:shd w:fill="FFDCE0" w:val="clear"/>
          </w:tcPr>
          <w:p>
            <w:r>
              <w:rPr>
                <w:sz w:val="17"/>
              </w:rPr>
              <w:t>50</w:t>
            </w:r>
          </w:p>
        </w:tc>
        <w:tc>
          <w:tcPr>
            <w:tcW w:type="dxa" w:w="1440"/>
            <w:shd w:fill="FFDCE0" w:val="clear"/>
          </w:tcPr>
          <w:p>
            <w:r>
              <w:rPr>
                <w:b/>
                <w:sz w:val="17"/>
              </w:rPr>
              <w:t>56</w:t>
            </w:r>
          </w:p>
        </w:tc>
        <w:tc>
          <w:tcPr>
            <w:tcW w:type="dxa" w:w="1440"/>
            <w:shd w:fill="FFDCE0" w:val="clear"/>
          </w:tcPr>
          <w:p>
            <w:r>
              <w:rPr>
                <w:sz w:val="17"/>
              </w:rPr>
              <w:t>63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2026-08-05</w:t>
            </w:r>
          </w:p>
        </w:tc>
        <w:tc>
          <w:tcPr>
            <w:tcW w:type="dxa" w:w="1440"/>
            <w:shd w:fill="FFDCE0" w:val="clear"/>
          </w:tcPr>
          <w:p>
            <w:r>
              <w:rPr>
                <w:sz w:val="17"/>
              </w:rPr>
              <w:t>45</w:t>
            </w:r>
          </w:p>
        </w:tc>
        <w:tc>
          <w:tcPr>
            <w:tcW w:type="dxa" w:w="1440"/>
            <w:shd w:fill="FFDCE0" w:val="clear"/>
          </w:tcPr>
          <w:p>
            <w:r>
              <w:rPr>
                <w:b/>
                <w:sz w:val="17"/>
              </w:rPr>
              <w:t>52</w:t>
            </w:r>
          </w:p>
        </w:tc>
        <w:tc>
          <w:tcPr>
            <w:tcW w:type="dxa" w:w="1440"/>
            <w:shd w:fill="FFDCE0" w:val="clear"/>
          </w:tcPr>
          <w:p>
            <w:r>
              <w:rPr>
                <w:sz w:val="17"/>
              </w:rPr>
              <w:t>60</w:t>
            </w:r>
          </w:p>
        </w:tc>
        <w:tc>
          <w:tcPr>
            <w:tcW w:type="dxa" w:w="1440"/>
            <w:shd w:fill="FFDCE0" w:val="clear"/>
          </w:tcPr>
          <w:p>
            <w:r>
              <w:rPr>
                <w:b/>
                <w:color w:val="C00000"/>
                <w:sz w:val="17"/>
              </w:rPr>
              <w:t>-20.8%</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40</w:t>
            </w:r>
          </w:p>
        </w:tc>
        <w:tc>
          <w:tcPr>
            <w:tcW w:type="dxa" w:w="1440"/>
            <w:shd w:fill="FFDCE0" w:val="clear"/>
          </w:tcPr>
          <w:p>
            <w:r>
              <w:rPr>
                <w:b/>
                <w:sz w:val="17"/>
              </w:rPr>
              <w:t>48</w:t>
            </w:r>
          </w:p>
        </w:tc>
        <w:tc>
          <w:tcPr>
            <w:tcW w:type="dxa" w:w="1440"/>
            <w:shd w:fill="FFDCE0" w:val="clear"/>
          </w:tcPr>
          <w:p>
            <w:r>
              <w:rPr>
                <w:sz w:val="17"/>
              </w:rPr>
              <w:t>57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36</w:t>
            </w:r>
          </w:p>
        </w:tc>
        <w:tc>
          <w:tcPr>
            <w:tcW w:type="dxa" w:w="1440"/>
            <w:shd w:fill="FFDCE0" w:val="clear"/>
          </w:tcPr>
          <w:p>
            <w:r>
              <w:rPr>
                <w:b/>
                <w:sz w:val="17"/>
              </w:rPr>
              <w:t>45</w:t>
            </w:r>
          </w:p>
        </w:tc>
        <w:tc>
          <w:tcPr>
            <w:tcW w:type="dxa" w:w="1440"/>
            <w:shd w:fill="FFDCE0" w:val="clear"/>
          </w:tcPr>
          <w:p>
            <w:r>
              <w:rPr>
                <w:sz w:val="17"/>
              </w:rPr>
              <w:t>53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33</w:t>
            </w:r>
          </w:p>
        </w:tc>
        <w:tc>
          <w:tcPr>
            <w:tcW w:type="dxa" w:w="1440"/>
            <w:shd w:fill="FFDCE0" w:val="clear"/>
          </w:tcPr>
          <w:p>
            <w:r>
              <w:rPr>
                <w:b/>
                <w:sz w:val="17"/>
              </w:rPr>
              <w:t>41</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30</w:t>
            </w:r>
          </w:p>
        </w:tc>
        <w:tc>
          <w:tcPr>
            <w:tcW w:type="dxa" w:w="1440"/>
            <w:shd w:fill="FFDCE0" w:val="clear"/>
          </w:tcPr>
          <w:p>
            <w:r>
              <w:rPr>
                <w:b/>
                <w:sz w:val="17"/>
              </w:rPr>
              <w:t>38</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27</w:t>
            </w:r>
          </w:p>
        </w:tc>
        <w:tc>
          <w:tcPr>
            <w:tcW w:type="dxa" w:w="1440"/>
            <w:shd w:fill="FFDCE0" w:val="clear"/>
          </w:tcPr>
          <w:p>
            <w:r>
              <w:rPr>
                <w:b/>
                <w:sz w:val="17"/>
              </w:rPr>
              <w:t>35</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24</w:t>
            </w:r>
          </w:p>
        </w:tc>
        <w:tc>
          <w:tcPr>
            <w:tcW w:type="dxa" w:w="1440"/>
            <w:shd w:fill="FFDCE0" w:val="clear"/>
          </w:tcPr>
          <w:p>
            <w:r>
              <w:rPr>
                <w:b/>
                <w:sz w:val="17"/>
              </w:rPr>
              <w:t>33</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22</w:t>
            </w:r>
          </w:p>
        </w:tc>
        <w:tc>
          <w:tcPr>
            <w:tcW w:type="dxa" w:w="1440"/>
            <w:shd w:fill="FFDCE0" w:val="clear"/>
          </w:tcPr>
          <w:p>
            <w:r>
              <w:rPr>
                <w:b/>
                <w:sz w:val="17"/>
              </w:rPr>
              <w:t>30</w:t>
            </w:r>
          </w:p>
        </w:tc>
        <w:tc>
          <w:tcPr>
            <w:tcW w:type="dxa" w:w="1440"/>
            <w:shd w:fill="FFDCE0" w:val="clear"/>
          </w:tcPr>
          <w:p>
            <w:r>
              <w:rPr>
                <w:sz w:val="17"/>
              </w:rPr>
              <w:t>38</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1 193,55 milliards FCFA, ce qui en fait l'une des plus importantes valeurs de la BRVM, reflétant le statut de leader panafricain du groupe Ecobank. Avec un BPA de 19 FCFA, chaque action génère un bénéfice substantiel, justifiant un PER de 3,5x, très inférieur à la moyenne du marché BRVM (8-12x), ce qui suggère une sous-évaluation significative du titre par rapport à ses bénéfices. Le P/B de 0,75x indique que le marché valorise l'action en dessous de sa valeur comptable, une situation typique des valeurs décotées offrant un potentiel de revalorisation. Enfin, l'EV/EBITDA de 5,0x confirme cette attractivité, la valeur totale de l'entreprise restant modérée par rapport à sa capacité opérationnelle de génération de cash-flow.</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connu une progression spectaculaire de +112,90%, passant d'un plus bas de 26 FCFA à un plus haut de 78 FCFA, avant de clôturer à 66 FCFA, soit une baisse de -2,94% lors de la dernière séance. Cette tendance fortement haussière s'accompagne d'une volatilité annualisée de 61,1%, qualifiée d'élevée, indiquant des fluctuations de prix importantes. La moyenne du cours sur la période (39 FCFA) est nettement supérieure à la médiane (32 FCFA), et le skewness positif de 1,507 confirme une asymétrie avec davantage de journées sous la moyenne, mais des pics de hausse marqués. Le kurtosis de 0,673, proche d'une distribution normale, suggère un risque de mouvements extrêmes limité. L'écart-type de 15 FCFA (CV=37,3%) témoigne d'une dispersion notable des cours autour de la moyenne, caractéristique d'un titre en pleine phase d'ajustement haussier.</w:t>
      </w:r>
    </w:p>
    <w:p>
      <w:pPr>
        <w:spacing w:after="120" w:line="276" w:lineRule="auto" w:before="240"/>
      </w:pPr>
      <w:r>
        <w:rPr>
          <w:b/>
          <w:color w:val="003366"/>
          <w:sz w:val="24"/>
        </w:rPr>
        <w:t>**PARTIE 2 : ANALYSE TECHNIQUE DÉTAILLÉE**</w:t>
      </w:r>
    </w:p>
    <w:p>
      <w:pPr>
        <w:spacing w:after="120" w:line="276" w:lineRule="auto"/>
      </w:pPr>
      <w:r>
        <w:t>**Moyennes Mobiles** : La MM20 à 66,55 FCFA est très proche du cours actuel (66 FCFA), tandis que la MM50 à 47,1 FCFA est nettement inférieure, indiquant une tendance haussière de moyen terme. Le croisement haussier des moyennes mobiles et la position du cours au-dessus de la MM50 confirment la dynamique positive, justifiant la décision d'Achat.</w:t>
      </w:r>
    </w:p>
    <w:p>
      <w:pPr>
        <w:spacing w:after="120" w:line="276" w:lineRule="auto"/>
      </w:pPr>
      <w:r>
        <w:t>**Bandes de Bollinger** : Le cours à 66 FCFA se situe entre la borne inférieure (51,718 FCFA) et la borne supérieure (81,382 FCFA), avec une largeur de bandes importante reflétant la forte volatilité récente. La position médiane du prix dans les bandes suggère un équilibre relatif, d'où la décision Neutre, même si un mouvement vers la borne supérieure pourrait signaler une poursuite de la tendance haussière.</w:t>
      </w:r>
    </w:p>
    <w:p>
      <w:pPr>
        <w:spacing w:after="120" w:line="276" w:lineRule="auto"/>
      </w:pPr>
      <w:r>
        <w:t>**MACD** : La valeur du MACD (6,27) est inférieure à son signal (7,77), indiquant un momentum baissier à court terme malgré la tendance haussière de fond. Cette divergence négative suggère une possible consolidation ou correction temporaire, justifiant la décision de Vente.</w:t>
      </w:r>
    </w:p>
    <w:p>
      <w:pPr>
        <w:spacing w:after="120" w:line="276" w:lineRule="auto"/>
      </w:pPr>
      <w:r>
        <w:t>**RSI** : Avec une valeur de 48,214, le RSI se situe en zone neutre (30-70), indiquant que le titre n'est ni suracheté ni survendu. Cette position médiane reflète un équilibre entre acheteurs et vendeurs, laissant place à une évolution directionnelle sans pression excessive, d'où la décision Neutre.</w:t>
      </w:r>
    </w:p>
    <w:p>
      <w:pPr>
        <w:spacing w:after="120" w:line="276" w:lineRule="auto"/>
      </w:pPr>
      <w:r>
        <w:t>**Stochastique** : Le %K et le %D sont tous deux à 20,0, en zone de survente, suggérant un potentiel de rebond technique à court terme. Cependant, l'absence de croisement haussier clair maintient une décision Neutre, les deux lignes étant alignées.</w:t>
      </w:r>
    </w:p>
    <w:p>
      <w:pPr>
        <w:spacing w:after="120" w:line="276" w:lineRule="auto"/>
      </w:pPr>
      <w:r>
        <w:t>**Conclusion technique** : Les indicateurs techniques présentent des signaux mitigés : la tendance de fond reste haussière (MM), mais le MACD et le RSI indiquent une phase de consolidation. La position du cours dans les bandes de Bollinger et le stochastique en survente suggèrent un potentiel de rebond, mais la prudence est de mise avant un nouveau signal d'achat clair.</w:t>
      </w:r>
    </w:p>
    <w:p>
      <w:pPr>
        <w:spacing w:after="120" w:line="276" w:lineRule="auto" w:before="240"/>
      </w:pPr>
      <w:r>
        <w:rPr>
          <w:b/>
          <w:color w:val="003366"/>
          <w:sz w:val="24"/>
        </w:rPr>
        <w:t>**PARTIE 3 : ANALYSE FONDAMENTALE (SECTION CRITIQUE)**</w:t>
      </w:r>
    </w:p>
    <w:p>
      <w:pPr>
        <w:spacing w:after="120" w:line="276" w:lineRule="auto"/>
      </w:pPr>
      <w:r>
        <w:t>En 2025, les données structurées d'ETIT révèlent une banque performante avec un PNB de 1 424,261 milliards FCFA et un résultat net de 345,523 milliards FCFA, soit une marge nette de 24,26%. Le ROE de 21,62% est excellent, dépassant largement le seuil de 15%, tandis que le ROA de 1,80% témoigne d'une bonne utilisation des actifs. Le coefficient d'exploitation de 27,35% est remarquablement bas, indiquant une efficacité opérationnelle supérieure à la moyenne du secteur bancaire. Cependant, le coût du risque de 18,97% est élevé, signalant un risque de crédit significatif, et l'autonomie financière de 8,30% est faible, traduisant une dépendance aux dettes. Les rapports narratifs confirment cette dynamique : le rapport du S1 2026 (analysé le 30 juillet 2026) montre un PNB en hausse de +15% à 721,318 milliards FCFA et un résultat net de 166,682 milliards FCFA, mais avec un coût du risque en forte augmentation de +40%. Le rapport T1 2026 indique un PNB en croissance de +23% à 636,2 millions $EU et un résultat net de 142,5 millions $EU, avec un coefficient d'exploitation amélioré à 49,0%. Sur la base de ces rapports trimestriels, on estime que l'exercice 2026 pourrait voir un PNB annuel dépasser 1 600 milliards FCFA, mais la hausse des provisions pourrait limiter la progression du résultat net. La recommandation fondamentale est de conserver le titre, la solidité opérationnelle étant contrebalancée par les risques de crédit croissants.</w:t>
      </w:r>
    </w:p>
    <w:p>
      <w:pPr>
        <w:spacing w:after="120" w:line="276" w:lineRule="auto" w:before="240"/>
      </w:pPr>
      <w:r>
        <w:rPr>
          <w:b/>
          <w:color w:val="003366"/>
          <w:sz w:val="24"/>
        </w:rPr>
        <w:t>**PARTIE 4 : CONCLUSION D'INVESTISSEMENT**</w:t>
      </w:r>
    </w:p>
    <w:p>
      <w:pPr>
        <w:spacing w:after="120" w:line="276" w:lineRule="auto"/>
      </w:pPr>
      <w:r>
        <w:t>La valorisation d'ETIT est très attractive avec un PER de 3,5x, un P/B de 0,75x et un EV/EBITDA de 5,0x, indiquant une sous-évaluation nette par rapport aux fondamentaux. Le comportement du cours sur 100 jours montre une tendance haussière spectaculaire (+112,90%) mais avec une volatilité élevée (61,1%) et une asymétrie positive, signalant des risques de retournement. Les signaux techniques sont mitigés : les moyennes mobiles sont haussières, mais le MACD et le RSI suggèrent une consolidation à court terme, tandis que le stochastique en survente indique un potentiel de rebond. Les fondamentaux sont solides avec un ROE de 21,62% et un coefficient d'exploitation excellent, mais le coût du risque en hausse (+40% au S1 2026) constitue un point de vigilance. Les prédictions IA prévoient une baisse du cours à 45 FCFA sur 10 jours, contredisant la tendance haussière et suggérant une correction technique. La convergence entre la sous-évaluation fondamentale et les signaux techniques mitigés, combinée aux prédictions baissières, conduit à une recommandation **CONSERVER** avec un niveau de confiance **Moyen** et un risque global **Élevé**. L'horizon d'investissement optimal est le **moyen terme (3-12 mois)**, en attendant une stabilisation du coût du risque et une confirmation de la tendance haussière.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forte am\u00e9lioration de la rentabilit\u00e9 et reprise des dividendes. La qualit\u00e9 des actifs s'am\u00e9liore significativement avec des NPL au plus bas historique."}</w:t>
      </w:r>
    </w:p>
    <w:p>
      <w:pPr>
        <w:spacing w:before="40"/>
        <w:ind w:left="400"/>
      </w:pPr>
      <w:r>
        <w:rPr>
          <w:sz w:val="18"/>
        </w:rPr>
        <w:t>Ecobank Transnational Incorporated affiche des résultats exceptionnels en 2021 avec un résultat avant impôt en hausse de 174% à 478 millions $EU. Le produit net bancaire progresse de 5% à 1,8 milliard $EU tandis que le total du bilan atteint 27,6 milliards $EU (+6%). La banque présente une qualité de crédit remarquable avec des prêts non performants historiquement bas à 6,2%. Pour la première fois depuis 2016, le conseil d'administration recommande le versement de dividendes aux actionnaires. Cette performance s'inscrit dans un contexte de transformation stratégique réussie malgré les défis macroéconomiques.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'19%', 'NPL_ratio': '6,2%', 'ratio_efficacite': '58,9%', 'couverture_provisions': '&gt;100%'}</w:t>
            </w:r>
          </w:p>
        </w:tc>
        <w:tc>
          <w:tcPr>
            <w:tcW w:type="dxa" w:w="2160"/>
          </w:tcPr>
          <w:p>
            <w:pPr>
              <w:ind w:left="100"/>
            </w:pPr>
            <w:r/>
            <w:r>
              <w:rPr>
                <w:b/>
                <w:sz w:val="16"/>
              </w:rPr>
              <w:t>dividende</w:t>
              <w:br/>
            </w:r>
            <w:r>
              <w:rPr>
                <w:sz w:val="18"/>
              </w:rPr>
              <w:t>0,16 cents $EU</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27 561,8 millions $EU</w:t>
            </w:r>
          </w:p>
        </w:tc>
      </w:tr>
      <w:tr>
        <w:tc>
          <w:tcPr>
            <w:tcW w:type="dxa" w:w="2160"/>
          </w:tcPr>
          <w:p>
            <w:r/>
            <w:r>
              <w:rPr>
                <w:b/>
                <w:sz w:val="16"/>
              </w:rPr>
              <w:t>resultat_net</w:t>
              <w:br/>
            </w:r>
            <w:r>
              <w:rPr>
                <w:sz w:val="18"/>
              </w:rPr>
              <w:t>357,4 millions $EU</w:t>
            </w:r>
          </w:p>
        </w:tc>
        <w:tc>
          <w:tcPr>
            <w:tcW w:type="dxa" w:w="2160"/>
          </w:tcPr>
          <w:p>
            <w:r/>
            <w:r>
              <w:rPr>
                <w:b/>
                <w:sz w:val="16"/>
              </w:rPr>
              <w:t>capitaux_propres</w:t>
              <w:br/>
            </w:r>
            <w:r>
              <w:rPr>
                <w:sz w:val="18"/>
              </w:rPr>
              <w:t>2 164,3 millions $EU</w:t>
            </w:r>
          </w:p>
        </w:tc>
        <w:tc>
          <w:tcPr>
            <w:tcW w:type="dxa" w:w="2160"/>
          </w:tcPr>
          <w:p>
            <w:r/>
            <w:r>
              <w:rPr>
                <w:b/>
                <w:sz w:val="16"/>
              </w:rPr>
              <w:t>chiffre_affaires</w:t>
              <w:br/>
            </w:r>
            <w:r>
              <w:rPr>
                <w:sz w:val="18"/>
              </w:rPr>
              <w:t>1 756,7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avant impôt exceptionnel : +174% à 478 millions $EU</w:t>
      </w:r>
    </w:p>
    <w:p>
      <w:pPr>
        <w:pStyle w:val="ListBullet"/>
        <w:spacing w:before="20" w:after="20"/>
        <w:ind w:left="700"/>
      </w:pPr>
      <w:r>
        <w:rPr>
          <w:sz w:val="18"/>
        </w:rPr>
        <w:t>Produit net bancaire en croissance : +5% à 1,8 milliard $EU</w:t>
      </w:r>
    </w:p>
    <w:p>
      <w:pPr>
        <w:pStyle w:val="ListBullet"/>
        <w:spacing w:before="20" w:after="20"/>
        <w:ind w:left="700"/>
      </w:pPr>
      <w:r>
        <w:rPr>
          <w:sz w:val="18"/>
        </w:rPr>
        <w:t>Qualité de crédit excellente : NPL à 6,2%, niveau historiquement bas</w:t>
      </w:r>
    </w:p>
    <w:p>
      <w:pPr>
        <w:pStyle w:val="ListBullet"/>
        <w:spacing w:before="20" w:after="20"/>
        <w:ind w:left="700"/>
      </w:pPr>
      <w:r>
        <w:rPr>
          <w:sz w:val="18"/>
        </w:rPr>
        <w:t>Coefficient d'exploitation à 58,9%, plus bas niveau depuis 10 ans</w:t>
      </w:r>
    </w:p>
    <w:p>
      <w:pPr>
        <w:pStyle w:val="ListBullet"/>
        <w:spacing w:before="20" w:after="20"/>
        <w:ind w:left="700"/>
      </w:pPr>
      <w:r>
        <w:rPr>
          <w:sz w:val="18"/>
        </w:rPr>
        <w:t>ROTE record de 19%</w:t>
      </w:r>
    </w:p>
    <w:p>
      <w:pPr>
        <w:pStyle w:val="ListBullet"/>
        <w:spacing w:before="20" w:after="20"/>
        <w:ind w:left="700"/>
      </w:pPr>
      <w:r>
        <w:rPr>
          <w:sz w:val="18"/>
        </w:rPr>
        <w:t>Reprise du versement de dividendes après 5 ans d'interruption</w:t>
      </w:r>
    </w:p>
    <w:p>
      <w:pPr>
        <w:spacing w:before="40"/>
        <w:ind w:left="400"/>
      </w:pPr>
      <w:r>
        <w:rPr>
          <w:b/>
          <w:color w:val="C05000"/>
          <w:sz w:val="18"/>
        </w:rPr>
        <w:t xml:space="preserve">⚠️ Risques : </w:t>
      </w:r>
      <w:r>
        <w:rPr>
          <w:sz w:val="18"/>
        </w:rPr>
        <w:t>["Exposition aux risques g\u00e9opolitiques et inflation mondiale affectant les \u00e9conomies africaines", "Impact potentiel de la hausse des taux d'int\u00e9r\u00eat par les banques centrales mondiales", "Volatilit\u00e9 des devises locales face au dollar am\u00e9ricain dans un contexte d'incertit</w:t>
      </w:r>
    </w:p>
    <w:p>
      <w:pPr>
        <w:spacing w:before="40"/>
        <w:ind w:left="400"/>
      </w:pPr>
      <w:r>
        <w:rPr>
          <w:b/>
          <w:color w:val="0064A0"/>
          <w:sz w:val="18"/>
        </w:rPr>
        <w:t xml:space="preserve">🔮 Perspectives : </w:t>
      </w:r>
      <w:r>
        <w:rPr>
          <w:sz w:val="18"/>
        </w:rPr>
        <w:t>Les investissements stratégiques d'Ecobank et sa position de leader panafricain laissent présager une année 2022 prometteuse malgré les incertitudes géopolitiques. La banque bénéficiera de la reprise économique post-Covid tout en maintenant sa prudence face aux défis macroéconomiques mondiaux. La di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avec am\u00e9lioration des indicateurs de rentabilit\u00e9 et discipline des co\u00fbts. Cependant, l'environnement op\u00e9rationnel reste difficile avec l'inflation \u00e9lev\u00e9e et le renforcement du dollar am\u00e9ricain."}</w:t>
      </w:r>
    </w:p>
    <w:p>
      <w:pPr>
        <w:spacing w:before="40"/>
        <w:ind w:left="400"/>
      </w:pPr>
      <w:r>
        <w:rPr>
          <w:sz w:val="18"/>
        </w:rPr>
        <w:t>Ecobank a enregistré une solide performance au premier trimestre 2022 avec un résultat avant impôt en hausse de 25% à 125 millions USD et un résultat net en progression de 21% à 92 millions USD. Le produit net bancaire a progressé de 7% à 436 millions USD, soutenu par la croissance des revenus de trading, du cash management et des paiements. Le coefficient d'exploitation s'est amélioré à 58,0% contre 59,3% l'année précédente, témoignant d'une discipline dans la gestion des coûts. Le rendement des capitaux propres tangibles a atteint 18,9% contre 15,7% en glissement annuel. La banque maintient une position financière solide avec des niveaux de liquidités et de capital satisfaisants.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'18,9%', 'provisions_risque': '50,4 millions USD', 'resultat_par_action': '0,269 USD', 'coefficient_exploitation': '58,0%'}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21,1%</w:t>
            </w:r>
          </w:p>
        </w:tc>
        <w:tc>
          <w:tcPr>
            <w:tcW w:type="dxa" w:w="2160"/>
          </w:tcPr>
          <w:p>
            <w:pPr>
              <w:ind w:left="100"/>
            </w:pPr>
            <w:r/>
            <w:r>
              <w:rPr>
                <w:b/>
                <w:sz w:val="16"/>
              </w:rPr>
              <w:t>total_actif</w:t>
              <w:br/>
            </w:r>
            <w:r>
              <w:rPr>
                <w:sz w:val="18"/>
              </w:rPr>
              <w:t>27,1 milliards USD</w:t>
            </w:r>
          </w:p>
        </w:tc>
      </w:tr>
      <w:tr>
        <w:tc>
          <w:tcPr>
            <w:tcW w:type="dxa" w:w="2160"/>
          </w:tcPr>
          <w:p>
            <w:r/>
            <w:r>
              <w:rPr>
                <w:b/>
                <w:sz w:val="16"/>
              </w:rPr>
              <w:t>resultat_net</w:t>
              <w:br/>
            </w:r>
            <w:r>
              <w:rPr>
                <w:sz w:val="18"/>
              </w:rPr>
              <w:t>92,1 millions USD</w:t>
            </w:r>
          </w:p>
        </w:tc>
        <w:tc>
          <w:tcPr>
            <w:tcW w:type="dxa" w:w="2160"/>
          </w:tcPr>
          <w:p>
            <w:r/>
            <w:r>
              <w:rPr>
                <w:b/>
                <w:sz w:val="16"/>
              </w:rPr>
              <w:t>capitaux_propres</w:t>
              <w:br/>
            </w:r>
            <w:r>
              <w:rPr>
                <w:sz w:val="18"/>
              </w:rPr>
              <w:t>2,1 milliards USD</w:t>
            </w:r>
          </w:p>
        </w:tc>
        <w:tc>
          <w:tcPr>
            <w:tcW w:type="dxa" w:w="2160"/>
          </w:tcPr>
          <w:p>
            <w:r/>
            <w:r>
              <w:rPr>
                <w:b/>
                <w:sz w:val="16"/>
              </w:rPr>
              <w:t>chiffre_affaires</w:t>
              <w:br/>
            </w:r>
            <w:r>
              <w:rPr>
                <w:sz w:val="18"/>
              </w:rPr>
              <w:t>436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avant impôt de 25% à 125 millions USD</w:t>
      </w:r>
    </w:p>
    <w:p>
      <w:pPr>
        <w:pStyle w:val="ListBullet"/>
        <w:spacing w:before="20" w:after="20"/>
        <w:ind w:left="700"/>
      </w:pPr>
      <w:r>
        <w:rPr>
          <w:sz w:val="18"/>
        </w:rPr>
        <w:t>Progression du résultat net de 21% à 92,1 millions USD</w:t>
      </w:r>
    </w:p>
    <w:p>
      <w:pPr>
        <w:pStyle w:val="ListBullet"/>
        <w:spacing w:before="20" w:after="20"/>
        <w:ind w:left="700"/>
      </w:pPr>
      <w:r>
        <w:rPr>
          <w:sz w:val="18"/>
        </w:rPr>
        <w:t>Amélioration du coefficient d'exploitation à 58,0% vs 59,3% en 2021</w:t>
      </w:r>
    </w:p>
    <w:p>
      <w:pPr>
        <w:pStyle w:val="ListBullet"/>
        <w:spacing w:before="20" w:after="20"/>
        <w:ind w:left="700"/>
      </w:pPr>
      <w:r>
        <w:rPr>
          <w:sz w:val="18"/>
        </w:rPr>
        <w:t>Rendement des capitaux propres tangibles de 18,9% vs 15,7% l'année précédente</w:t>
      </w:r>
    </w:p>
    <w:p>
      <w:pPr>
        <w:pStyle w:val="ListBullet"/>
        <w:spacing w:before="20" w:after="20"/>
        <w:ind w:left="700"/>
      </w:pPr>
      <w:r>
        <w:rPr>
          <w:sz w:val="18"/>
        </w:rPr>
        <w:t>Croissance des bénéfices de 13%, 26% et 59% respectivement dans les pôles Grandes Entreprises, Particuliers et Banque Commerciale</w:t>
      </w:r>
    </w:p>
    <w:p>
      <w:pPr>
        <w:pStyle w:val="ListBullet"/>
        <w:spacing w:before="20" w:after="20"/>
        <w:ind w:left="700"/>
      </w:pPr>
      <w:r>
        <w:rPr>
          <w:sz w:val="18"/>
        </w:rPr>
        <w:t>Réduction du coût du risque de 11% grâce à l'amélioration de la qualité du portefeuille crédit</w:t>
      </w:r>
    </w:p>
    <w:p>
      <w:pPr>
        <w:spacing w:before="40"/>
        <w:ind w:left="400"/>
      </w:pPr>
      <w:r>
        <w:rPr>
          <w:b/>
          <w:color w:val="C05000"/>
          <w:sz w:val="18"/>
        </w:rPr>
        <w:t xml:space="preserve">⚠️ Risques : </w:t>
      </w:r>
      <w:r>
        <w:rPr>
          <w:sz w:val="18"/>
        </w:rPr>
        <w:t>["Impact n\u00e9gatif du renforcement du dollar am\u00e9ricain sur les devises d'exploitation locales", "Environnement d'inflation \u00e9lev\u00e9e et de taux d'int\u00e9r\u00eat croissants en Afrique", "Tensions g\u00e9opolitiques li\u00e9es au conflit russo-ukrainien affectant les march\u00e9s"]</w:t>
      </w:r>
    </w:p>
    <w:p>
      <w:pPr>
        <w:spacing w:before="40"/>
        <w:ind w:left="400"/>
      </w:pPr>
      <w:r>
        <w:rPr>
          <w:b/>
          <w:color w:val="0064A0"/>
          <w:sz w:val="18"/>
        </w:rPr>
        <w:t xml:space="preserve">🔮 Perspectives : </w:t>
      </w:r>
      <w:r>
        <w:rPr>
          <w:sz w:val="18"/>
        </w:rPr>
        <w:t>Ecobank vise un rendement des capitaux propres d'environ 20% à moyen terme et continue de réduire le ratio de créances douteuses vers un objectif de moins de 6%. La banque poursuivra ses investissements dans les offres numériques et les capacités de paiement tout en améliorant sa technologie de base</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27.78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3,699 titres</w:t>
            </w:r>
          </w:p>
        </w:tc>
        <w:tc>
          <w:tcPr>
            <w:tcW w:type="dxa" w:w="2268"/>
            <w:shd w:fill="FFF2CC" w:val="clear"/>
          </w:tcPr>
          <w:p>
            <w:r>
              <w:rPr>
                <w:b/>
                <w:color w:val="503200"/>
                <w:sz w:val="16"/>
              </w:rPr>
              <w:t xml:space="preserve">Cours actuel : </w:t>
            </w:r>
            <w:r>
              <w:rPr>
                <w:color w:val="000000"/>
                <w:sz w:val="17"/>
              </w:rPr>
              <w:t>1,970 FCFA</w:t>
            </w:r>
          </w:p>
          <w:p>
            <w:r>
              <w:rPr>
                <w:b/>
                <w:color w:val="503200"/>
                <w:sz w:val="16"/>
              </w:rPr>
              <w:t xml:space="preserve">Var. 100 jours : </w:t>
            </w:r>
            <w:r>
              <w:rPr>
                <w:b/>
                <w:color w:val="B40000"/>
                <w:sz w:val="17"/>
              </w:rPr>
              <w:t>-18.09%</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7.05% (Moyenne) — μ=2,198 FCFA, σ=155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β=0.8492 (Neutre (suit le marché)) — Cov=0.000031, Var(idx)=0.000036, ρ=0.233,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σ_j=2.19%/j (Stable) — Vol. annualisée≈34.8%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2026-08-03</w:t>
            </w:r>
          </w:p>
        </w:tc>
        <w:tc>
          <w:tcPr>
            <w:tcW w:type="dxa" w:w="1440"/>
            <w:shd w:fill="FAFAFA" w:val="clear"/>
          </w:tcPr>
          <w:p>
            <w:r>
              <w:rPr>
                <w:sz w:val="17"/>
              </w:rPr>
              <w:t>1,919</w:t>
            </w:r>
          </w:p>
        </w:tc>
        <w:tc>
          <w:tcPr>
            <w:tcW w:type="dxa" w:w="1440"/>
            <w:shd w:fill="FAFAFA" w:val="clear"/>
          </w:tcPr>
          <w:p>
            <w:r>
              <w:rPr>
                <w:b/>
                <w:sz w:val="17"/>
              </w:rPr>
              <w:t>1,974</w:t>
            </w:r>
          </w:p>
        </w:tc>
        <w:tc>
          <w:tcPr>
            <w:tcW w:type="dxa" w:w="1440"/>
            <w:shd w:fill="FAFAFA" w:val="clear"/>
          </w:tcPr>
          <w:p>
            <w:r>
              <w:rPr>
                <w:sz w:val="17"/>
              </w:rPr>
              <w:t>2,029</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2026-08-04</w:t>
            </w:r>
          </w:p>
        </w:tc>
        <w:tc>
          <w:tcPr>
            <w:tcW w:type="dxa" w:w="1440"/>
            <w:shd w:fill="FAFAFA" w:val="clear"/>
          </w:tcPr>
          <w:p>
            <w:r>
              <w:rPr>
                <w:sz w:val="17"/>
              </w:rPr>
              <w:t>1,906</w:t>
            </w:r>
          </w:p>
        </w:tc>
        <w:tc>
          <w:tcPr>
            <w:tcW w:type="dxa" w:w="1440"/>
            <w:shd w:fill="FAFAFA" w:val="clear"/>
          </w:tcPr>
          <w:p>
            <w:r>
              <w:rPr>
                <w:b/>
                <w:sz w:val="17"/>
              </w:rPr>
              <w:t>1,984</w:t>
            </w:r>
          </w:p>
        </w:tc>
        <w:tc>
          <w:tcPr>
            <w:tcW w:type="dxa" w:w="1440"/>
            <w:shd w:fill="FAFAFA" w:val="clear"/>
          </w:tcPr>
          <w:p>
            <w:r>
              <w:rPr>
                <w:sz w:val="17"/>
              </w:rPr>
              <w:t>2,063</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2026-08-05</w:t>
            </w:r>
          </w:p>
        </w:tc>
        <w:tc>
          <w:tcPr>
            <w:tcW w:type="dxa" w:w="1440"/>
            <w:shd w:fill="FAFAFA" w:val="clear"/>
          </w:tcPr>
          <w:p>
            <w:r>
              <w:rPr>
                <w:sz w:val="17"/>
              </w:rPr>
              <w:t>1,897</w:t>
            </w:r>
          </w:p>
        </w:tc>
        <w:tc>
          <w:tcPr>
            <w:tcW w:type="dxa" w:w="1440"/>
            <w:shd w:fill="FAFAFA" w:val="clear"/>
          </w:tcPr>
          <w:p>
            <w:r>
              <w:rPr>
                <w:b/>
                <w:sz w:val="17"/>
              </w:rPr>
              <w:t>1,993</w:t>
            </w:r>
          </w:p>
        </w:tc>
        <w:tc>
          <w:tcPr>
            <w:tcW w:type="dxa" w:w="1440"/>
            <w:shd w:fill="FAFAFA" w:val="clear"/>
          </w:tcPr>
          <w:p>
            <w:r>
              <w:rPr>
                <w:sz w:val="17"/>
              </w:rPr>
              <w:t>2,089</w:t>
            </w:r>
          </w:p>
        </w:tc>
        <w:tc>
          <w:tcPr>
            <w:tcW w:type="dxa" w:w="1440"/>
            <w:shd w:fill="FAFAFA" w:val="clear"/>
          </w:tcPr>
          <w:p>
            <w:r>
              <w:rPr>
                <w:b/>
                <w:color w:val="008000"/>
                <w:sz w:val="17"/>
              </w:rPr>
              <w:t>+1.2%</w:t>
            </w:r>
          </w:p>
        </w:tc>
      </w:tr>
      <w:tr>
        <w:tc>
          <w:tcPr>
            <w:tcW w:type="dxa" w:w="1440"/>
            <w:shd w:fill="FAFAFA" w:val="clear"/>
          </w:tcPr>
          <w:p>
            <w:r>
              <w:rPr>
                <w:sz w:val="17"/>
              </w:rPr>
              <w:t>J+4  Moyenne</w:t>
            </w:r>
          </w:p>
        </w:tc>
        <w:tc>
          <w:tcPr>
            <w:tcW w:type="dxa" w:w="1440"/>
            <w:shd w:fill="FAFAFA" w:val="clear"/>
          </w:tcPr>
          <w:p>
            <w:r>
              <w:rPr>
                <w:sz w:val="17"/>
              </w:rPr>
              <w:t>2026-08-06</w:t>
            </w:r>
          </w:p>
        </w:tc>
        <w:tc>
          <w:tcPr>
            <w:tcW w:type="dxa" w:w="1440"/>
            <w:shd w:fill="FAFAFA" w:val="clear"/>
          </w:tcPr>
          <w:p>
            <w:r>
              <w:rPr>
                <w:sz w:val="17"/>
              </w:rPr>
              <w:t>1,890</w:t>
            </w:r>
          </w:p>
        </w:tc>
        <w:tc>
          <w:tcPr>
            <w:tcW w:type="dxa" w:w="1440"/>
            <w:shd w:fill="FAFAFA" w:val="clear"/>
          </w:tcPr>
          <w:p>
            <w:r>
              <w:rPr>
                <w:b/>
                <w:sz w:val="17"/>
              </w:rPr>
              <w:t>2,001</w:t>
            </w:r>
          </w:p>
        </w:tc>
        <w:tc>
          <w:tcPr>
            <w:tcW w:type="dxa" w:w="1440"/>
            <w:shd w:fill="FAFAFA" w:val="clear"/>
          </w:tcPr>
          <w:p>
            <w:r>
              <w:rPr>
                <w:sz w:val="17"/>
              </w:rPr>
              <w:t>2,113</w:t>
            </w:r>
          </w:p>
        </w:tc>
        <w:tc>
          <w:tcPr>
            <w:tcW w:type="dxa" w:w="1440"/>
            <w:shd w:fill="FAFAFA" w:val="clear"/>
          </w:tcPr>
          <w:p>
            <w:r>
              <w:rPr>
                <w:b/>
                <w:color w:val="008000"/>
                <w:sz w:val="17"/>
              </w:rPr>
              <w:t>+1.6%</w:t>
            </w:r>
          </w:p>
        </w:tc>
      </w:tr>
      <w:tr>
        <w:tc>
          <w:tcPr>
            <w:tcW w:type="dxa" w:w="1440"/>
            <w:shd w:fill="C6EFCE" w:val="clear"/>
          </w:tcPr>
          <w:p>
            <w:r>
              <w:rPr>
                <w:sz w:val="17"/>
              </w:rPr>
              <w:t>J+5  Moyenne</w:t>
            </w:r>
          </w:p>
        </w:tc>
        <w:tc>
          <w:tcPr>
            <w:tcW w:type="dxa" w:w="1440"/>
            <w:shd w:fill="C6EFCE" w:val="clear"/>
          </w:tcPr>
          <w:p>
            <w:r>
              <w:rPr>
                <w:sz w:val="17"/>
              </w:rPr>
              <w:t>2026-08-10</w:t>
            </w:r>
          </w:p>
        </w:tc>
        <w:tc>
          <w:tcPr>
            <w:tcW w:type="dxa" w:w="1440"/>
            <w:shd w:fill="C6EFCE" w:val="clear"/>
          </w:tcPr>
          <w:p>
            <w:r>
              <w:rPr>
                <w:sz w:val="17"/>
              </w:rPr>
              <w:t>1,884</w:t>
            </w:r>
          </w:p>
        </w:tc>
        <w:tc>
          <w:tcPr>
            <w:tcW w:type="dxa" w:w="1440"/>
            <w:shd w:fill="C6EFCE" w:val="clear"/>
          </w:tcPr>
          <w:p>
            <w:r>
              <w:rPr>
                <w:b/>
                <w:sz w:val="17"/>
              </w:rPr>
              <w:t>2,010</w:t>
            </w:r>
          </w:p>
        </w:tc>
        <w:tc>
          <w:tcPr>
            <w:tcW w:type="dxa" w:w="1440"/>
            <w:shd w:fill="C6EFCE" w:val="clear"/>
          </w:tcPr>
          <w:p>
            <w:r>
              <w:rPr>
                <w:sz w:val="17"/>
              </w:rPr>
              <w:t>2,135</w:t>
            </w:r>
          </w:p>
        </w:tc>
        <w:tc>
          <w:tcPr>
            <w:tcW w:type="dxa" w:w="1440"/>
            <w:shd w:fill="C6EFCE" w:val="clear"/>
          </w:tcPr>
          <w:p>
            <w:r>
              <w:rPr>
                <w:b/>
                <w:color w:val="008000"/>
                <w:sz w:val="17"/>
              </w:rPr>
              <w:t>+2.0%</w:t>
            </w:r>
          </w:p>
        </w:tc>
      </w:tr>
      <w:tr>
        <w:tc>
          <w:tcPr>
            <w:tcW w:type="dxa" w:w="1440"/>
            <w:shd w:fill="C6EFCE" w:val="clear"/>
          </w:tcPr>
          <w:p>
            <w:r>
              <w:rPr>
                <w:sz w:val="17"/>
              </w:rPr>
              <w:t>J+6  Moyenne</w:t>
            </w:r>
          </w:p>
        </w:tc>
        <w:tc>
          <w:tcPr>
            <w:tcW w:type="dxa" w:w="1440"/>
            <w:shd w:fill="C6EFCE" w:val="clear"/>
          </w:tcPr>
          <w:p>
            <w:r>
              <w:rPr>
                <w:sz w:val="17"/>
              </w:rPr>
              <w:t>2026-08-11</w:t>
            </w:r>
          </w:p>
        </w:tc>
        <w:tc>
          <w:tcPr>
            <w:tcW w:type="dxa" w:w="1440"/>
            <w:shd w:fill="C6EFCE" w:val="clear"/>
          </w:tcPr>
          <w:p>
            <w:r>
              <w:rPr>
                <w:sz w:val="17"/>
              </w:rPr>
              <w:t>1,880</w:t>
            </w:r>
          </w:p>
        </w:tc>
        <w:tc>
          <w:tcPr>
            <w:tcW w:type="dxa" w:w="1440"/>
            <w:shd w:fill="C6EFCE" w:val="clear"/>
          </w:tcPr>
          <w:p>
            <w:r>
              <w:rPr>
                <w:b/>
                <w:sz w:val="17"/>
              </w:rPr>
              <w:t>2,018</w:t>
            </w:r>
          </w:p>
        </w:tc>
        <w:tc>
          <w:tcPr>
            <w:tcW w:type="dxa" w:w="1440"/>
            <w:shd w:fill="C6EFCE" w:val="clear"/>
          </w:tcPr>
          <w:p>
            <w:r>
              <w:rPr>
                <w:sz w:val="17"/>
              </w:rPr>
              <w:t>2,156</w:t>
            </w:r>
          </w:p>
        </w:tc>
        <w:tc>
          <w:tcPr>
            <w:tcW w:type="dxa" w:w="1440"/>
            <w:shd w:fill="C6EFCE" w:val="clear"/>
          </w:tcPr>
          <w:p>
            <w:r>
              <w:rPr>
                <w:b/>
                <w:color w:val="008000"/>
                <w:sz w:val="17"/>
              </w:rPr>
              <w:t>+2.4%</w:t>
            </w:r>
          </w:p>
        </w:tc>
      </w:tr>
      <w:tr>
        <w:tc>
          <w:tcPr>
            <w:tcW w:type="dxa" w:w="1440"/>
            <w:shd w:fill="C6EFCE" w:val="clear"/>
          </w:tcPr>
          <w:p>
            <w:r>
              <w:rPr>
                <w:sz w:val="17"/>
              </w:rPr>
              <w:t>J+7  Moyenne</w:t>
            </w:r>
          </w:p>
        </w:tc>
        <w:tc>
          <w:tcPr>
            <w:tcW w:type="dxa" w:w="1440"/>
            <w:shd w:fill="C6EFCE" w:val="clear"/>
          </w:tcPr>
          <w:p>
            <w:r>
              <w:rPr>
                <w:sz w:val="17"/>
              </w:rPr>
              <w:t>2026-08-12</w:t>
            </w:r>
          </w:p>
        </w:tc>
        <w:tc>
          <w:tcPr>
            <w:tcW w:type="dxa" w:w="1440"/>
            <w:shd w:fill="C6EFCE" w:val="clear"/>
          </w:tcPr>
          <w:p>
            <w:r>
              <w:rPr>
                <w:sz w:val="17"/>
              </w:rPr>
              <w:t>1,877</w:t>
            </w:r>
          </w:p>
        </w:tc>
        <w:tc>
          <w:tcPr>
            <w:tcW w:type="dxa" w:w="1440"/>
            <w:shd w:fill="C6EFCE" w:val="clear"/>
          </w:tcPr>
          <w:p>
            <w:r>
              <w:rPr>
                <w:b/>
                <w:sz w:val="17"/>
              </w:rPr>
              <w:t>2,027</w:t>
            </w:r>
          </w:p>
        </w:tc>
        <w:tc>
          <w:tcPr>
            <w:tcW w:type="dxa" w:w="1440"/>
            <w:shd w:fill="C6EFCE" w:val="clear"/>
          </w:tcPr>
          <w:p>
            <w:r>
              <w:rPr>
                <w:sz w:val="17"/>
              </w:rPr>
              <w:t>2,176</w:t>
            </w:r>
          </w:p>
        </w:tc>
        <w:tc>
          <w:tcPr>
            <w:tcW w:type="dxa" w:w="1440"/>
            <w:shd w:fill="C6EFCE" w:val="clear"/>
          </w:tcPr>
          <w:p>
            <w:r>
              <w:rPr>
                <w:b/>
                <w:color w:val="008000"/>
                <w:sz w:val="17"/>
              </w:rPr>
              <w:t>+2.9%</w:t>
            </w:r>
          </w:p>
        </w:tc>
      </w:tr>
      <w:tr>
        <w:tc>
          <w:tcPr>
            <w:tcW w:type="dxa" w:w="1440"/>
            <w:shd w:fill="C6EFCE" w:val="clear"/>
          </w:tcPr>
          <w:p>
            <w:r>
              <w:rPr>
                <w:sz w:val="17"/>
              </w:rPr>
              <w:t>J+8  Moyenne</w:t>
            </w:r>
          </w:p>
        </w:tc>
        <w:tc>
          <w:tcPr>
            <w:tcW w:type="dxa" w:w="1440"/>
            <w:shd w:fill="C6EFCE" w:val="clear"/>
          </w:tcPr>
          <w:p>
            <w:r>
              <w:rPr>
                <w:sz w:val="17"/>
              </w:rPr>
              <w:t>2026-08-13</w:t>
            </w:r>
          </w:p>
        </w:tc>
        <w:tc>
          <w:tcPr>
            <w:tcW w:type="dxa" w:w="1440"/>
            <w:shd w:fill="C6EFCE" w:val="clear"/>
          </w:tcPr>
          <w:p>
            <w:r>
              <w:rPr>
                <w:sz w:val="17"/>
              </w:rPr>
              <w:t>1,874</w:t>
            </w:r>
          </w:p>
        </w:tc>
        <w:tc>
          <w:tcPr>
            <w:tcW w:type="dxa" w:w="1440"/>
            <w:shd w:fill="C6EFCE" w:val="clear"/>
          </w:tcPr>
          <w:p>
            <w:r>
              <w:rPr>
                <w:b/>
                <w:sz w:val="17"/>
              </w:rPr>
              <w:t>2,035</w:t>
            </w:r>
          </w:p>
        </w:tc>
        <w:tc>
          <w:tcPr>
            <w:tcW w:type="dxa" w:w="1440"/>
            <w:shd w:fill="C6EFCE" w:val="clear"/>
          </w:tcPr>
          <w:p>
            <w:r>
              <w:rPr>
                <w:sz w:val="17"/>
              </w:rPr>
              <w:t>2,196</w:t>
            </w:r>
          </w:p>
        </w:tc>
        <w:tc>
          <w:tcPr>
            <w:tcW w:type="dxa" w:w="1440"/>
            <w:shd w:fill="C6EFCE" w:val="clear"/>
          </w:tcPr>
          <w:p>
            <w:r>
              <w:rPr>
                <w:b/>
                <w:color w:val="008000"/>
                <w:sz w:val="17"/>
              </w:rPr>
              <w:t>+3.3%</w:t>
            </w:r>
          </w:p>
        </w:tc>
      </w:tr>
      <w:tr>
        <w:tc>
          <w:tcPr>
            <w:tcW w:type="dxa" w:w="1440"/>
            <w:shd w:fill="C6EFCE" w:val="clear"/>
          </w:tcPr>
          <w:p>
            <w:r>
              <w:rPr>
                <w:sz w:val="17"/>
              </w:rPr>
              <w:t>J+9  Moyenne</w:t>
            </w:r>
          </w:p>
        </w:tc>
        <w:tc>
          <w:tcPr>
            <w:tcW w:type="dxa" w:w="1440"/>
            <w:shd w:fill="C6EFCE" w:val="clear"/>
          </w:tcPr>
          <w:p>
            <w:r>
              <w:rPr>
                <w:sz w:val="17"/>
              </w:rPr>
              <w:t>2026-08-14</w:t>
            </w:r>
          </w:p>
        </w:tc>
        <w:tc>
          <w:tcPr>
            <w:tcW w:type="dxa" w:w="1440"/>
            <w:shd w:fill="C6EFCE" w:val="clear"/>
          </w:tcPr>
          <w:p>
            <w:r>
              <w:rPr>
                <w:sz w:val="17"/>
              </w:rPr>
              <w:t>1,873</w:t>
            </w:r>
          </w:p>
        </w:tc>
        <w:tc>
          <w:tcPr>
            <w:tcW w:type="dxa" w:w="1440"/>
            <w:shd w:fill="C6EFCE" w:val="clear"/>
          </w:tcPr>
          <w:p>
            <w:r>
              <w:rPr>
                <w:b/>
                <w:sz w:val="17"/>
              </w:rPr>
              <w:t>2,044</w:t>
            </w:r>
          </w:p>
        </w:tc>
        <w:tc>
          <w:tcPr>
            <w:tcW w:type="dxa" w:w="1440"/>
            <w:shd w:fill="C6EFCE" w:val="clear"/>
          </w:tcPr>
          <w:p>
            <w:r>
              <w:rPr>
                <w:sz w:val="17"/>
              </w:rPr>
              <w:t>2,215</w:t>
            </w:r>
          </w:p>
        </w:tc>
        <w:tc>
          <w:tcPr>
            <w:tcW w:type="dxa" w:w="1440"/>
            <w:shd w:fill="C6EFCE" w:val="clear"/>
          </w:tcPr>
          <w:p>
            <w:r>
              <w:rPr>
                <w:b/>
                <w:color w:val="008000"/>
                <w:sz w:val="17"/>
              </w:rPr>
              <w:t>+3.7%</w:t>
            </w:r>
          </w:p>
        </w:tc>
      </w:tr>
      <w:tr>
        <w:tc>
          <w:tcPr>
            <w:tcW w:type="dxa" w:w="1440"/>
            <w:shd w:fill="C6EFCE" w:val="clear"/>
          </w:tcPr>
          <w:p>
            <w:r>
              <w:rPr>
                <w:sz w:val="17"/>
              </w:rPr>
              <w:t>J+10  Moyenne</w:t>
            </w:r>
          </w:p>
        </w:tc>
        <w:tc>
          <w:tcPr>
            <w:tcW w:type="dxa" w:w="1440"/>
            <w:shd w:fill="C6EFCE" w:val="clear"/>
          </w:tcPr>
          <w:p>
            <w:r>
              <w:rPr>
                <w:sz w:val="17"/>
              </w:rPr>
              <w:t>2026-08-17</w:t>
            </w:r>
          </w:p>
        </w:tc>
        <w:tc>
          <w:tcPr>
            <w:tcW w:type="dxa" w:w="1440"/>
            <w:shd w:fill="C6EFCE" w:val="clear"/>
          </w:tcPr>
          <w:p>
            <w:r>
              <w:rPr>
                <w:sz w:val="17"/>
              </w:rPr>
              <w:t>1,871</w:t>
            </w:r>
          </w:p>
        </w:tc>
        <w:tc>
          <w:tcPr>
            <w:tcW w:type="dxa" w:w="1440"/>
            <w:shd w:fill="C6EFCE" w:val="clear"/>
          </w:tcPr>
          <w:p>
            <w:r>
              <w:rPr>
                <w:b/>
                <w:sz w:val="17"/>
              </w:rPr>
              <w:t>2,052</w:t>
            </w:r>
          </w:p>
        </w:tc>
        <w:tc>
          <w:tcPr>
            <w:tcW w:type="dxa" w:w="1440"/>
            <w:shd w:fill="C6EFCE" w:val="clear"/>
          </w:tcPr>
          <w:p>
            <w:r>
              <w:rPr>
                <w:sz w:val="17"/>
              </w:rPr>
              <w:t>2,234</w:t>
            </w:r>
          </w:p>
        </w:tc>
        <w:tc>
          <w:tcPr>
            <w:tcW w:type="dxa" w:w="1440"/>
            <w:shd w:fill="C6EFCE" w:val="clear"/>
          </w:tcPr>
          <w:p>
            <w:r>
              <w:rPr>
                <w:b/>
                <w:color w:val="008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FTSC (FILTISAC CI)**</w:t>
        <w:br/>
        <w:t>**Date de l'analyse : 31 juillet 2026**</w:t>
        <w:br/>
        <w:t>**Cours de référence : 1 970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27,78 milliards FCFA, un niveau modeste qui la classe parmi les valeurs moyennes de la cote BRVM. Avec un BPA de 33 FCFA, le titre se négocie à un PER de 59,6x, un niveau extrêmement élevé comparé à la moyenne historique de la BRVM (8-12x), indiquant que les investisseurs paient un prix très supérieur aux bénéfices générés. Le P/B de 1,77x reste dans une zone de valorisation raisonnable (1-2x), le marché valorisant les actifs nets à près du double de leur valeur comptable. L'EV/EBITDA de 36,4x est particulièrement exigeant et reflète une décote sévère sur la capacité bénéficiaire opérationnelle de l'entreprise. Ces ratios suggèrent une valorisation qui ne repose pas sur les fondamentaux actuels, mais plutôt sur des anticipations de redressement futur.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FTSC a enregistré une baisse significative de -18,09%, passant de ses plus hauts à 2 480 FCFA à un plus bas de 1 910 FCFA, avant de clôturer à 1 970 FCFA. La dernière séance montre un rebond de +3,14%, signe d'un possible retour des acheteurs à court terme. La moyenne du cours sur la période (2 198 FCFA) est supérieure à la médiane (2 220 FCFA), indiquant une distribution légèrement asymétrique avec une queue de distribution vers les bas cours. L'écart-type de 156 FCFA (CV=7,1%) révèle une dispersion modérée des prix autour de la moyenne. Le kurtosis négatif (-1,145) signale une distribution platykurtique, avec moins de pics extrêmes que la normale, tandis que le skewness de -0,283 confirme une légère asymétrie négative. La volatilité annualisée de 34,8% classe le titre dans la catégorie des valeurs à forte volatilité, ce qui implique un risque élevé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à 1 978,25 FCFA se situe légèrement au-dessus du cours actuel (1 970 FCFA), tandis que la MM50 à 2 105,3 FCFA est nettement supérieure. Cette configuration en pente descendante confirme une tendance baissière de moyen terme, le cours évoluant sous ses moyennes mobiles. La décision de Vente est justifiée par cette structure baissière, bien que le cours semble se stabiliser proche de la MM20.</w:t>
      </w:r>
    </w:p>
    <w:p>
      <w:pPr>
        <w:spacing w:after="120" w:line="276" w:lineRule="auto"/>
      </w:pPr>
      <w:r>
        <w:t>**Bandes de Bollinger :** Le cours à 1 970 FCFA se positionne dans la partie inférieure des bandes, entre la borne inférieure (1 938,88 FCFA) et la moyenne mobile. La largeur des bandes indique une volatilité relativement stable. La décision Neutre s'explique par le fait que le cours n'est pas en situation extrême, mais la proximité de la borne inférieure suggère un potentiel de rebond technique.</w:t>
      </w:r>
    </w:p>
    <w:p>
      <w:pPr>
        <w:spacing w:after="120" w:line="276" w:lineRule="auto"/>
      </w:pPr>
      <w:r>
        <w:t>**MACD :** Le MACD (-35,38) est négatif mais se situe au-dessus de sa ligne de signal (-40,12), formant un croisement haussier. Cette configuration indique un ralentissement de la dynamique baissière et un possible retournement du momentum. La décision Achat est cohérente avec ce début de convergence positive, même si les valeurs restent profondément négatives.</w:t>
      </w:r>
    </w:p>
    <w:p>
      <w:pPr>
        <w:spacing w:after="120" w:line="276" w:lineRule="auto"/>
      </w:pPr>
      <w:r>
        <w:t>**RSI :** À 46,15, le RSI se situe dans la zone neutre (30-70), sans signal de surachat ni de survente. Cette valeur reflète un équilibre entre les forces acheteuses et vendeuses, avec une légère tendance à la hausse. La décision Neutre est appropriée, le marché n'étant pas encore dans une configuration de retournement confirmé.</w:t>
      </w:r>
    </w:p>
    <w:p>
      <w:pPr>
        <w:spacing w:after="120" w:line="276" w:lineRule="auto"/>
      </w:pPr>
      <w:r>
        <w:t>**Stochastique :** Le %K à 70,59 est nettement supérieur au %D à 38,34, formant un croisement haussier en zone de surachat naissant. Cette configuration suggère une dynamique positive à court terme, mais le niveau élevé du %K pourrait limiter le potentiel de hausse immédiat. La décision Neutre reflète cette ambiguïté entre momentum positif et niveau déjà élevé.</w:t>
      </w:r>
    </w:p>
    <w:p>
      <w:pPr>
        <w:spacing w:after="120" w:line="276" w:lineRule="auto"/>
      </w:pPr>
      <w:r>
        <w:t>**Conclusion technique :** Les indicateurs sont mitigés mais montrent des signes d'amélioration. Le MACD haussier et le croisement stochastique positif contrastent avec la tendance baissière des moyennes mobiles. Le RSI neutre et les bandes de Bollinger suggèrent une stabilisation. Globalement, le titre semble en phase de consolidation après une baisse marquée, avec des signaux contradictoires qui appellent à la prudence.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de FILTISAC CI révèlent une situation financière préoccupante. Le chiffre d'affaires s'établit à 32,109 milliards FCFA, en croissance de 4,6%, mais le résultat net n'atteint que 465,98 millions FCFA, soit une marge nette de seulement 1,45%. Le ROE de 2,97% et le ROA de 1,19% sont très faibles, bien en dessous des seuils de rentabilité satisfaisants. L'entreprise présente un BFR de 11,529 milliards FCFA, avec des délais clients très élevés (213,72 jours) et une durée de stockage de 214,65 jours, indiquant une immobilisation importante de capital. Le ratio d'endettement de 97,6% et la capacité de remboursement de 11,49 ans sont des signaux d'alerte sur la solidité financière. Les rapports trimestriels 2025 confirment cette tendance : le T1 2025 montre un résultat d'exploitation négatif de -78 millions FCFA, le S1 2025 un résultat net de 105 millions FCFA (en chute de 97% vs S1 2024), et le T3 2025 un résultat courant avant impôt de -216 millions FCFA. La cession des filiales en 2024 a supprimé les revenus financiers exceptionnels qui avaient artificiellement gonflé le résultat net 2024 (18,595 milliards FCFA, dont 6,17 milliards de produits financiers). Le dividende de 2 000,67 FCFA par action versé en 2024 a épuisé les réserves, limitant la capacité d'autofinancement. Les perspectives restent dépendantes de la campagne cacaoyère 2025/2026, principal facteur de risque identifié par la direction.</w:t>
      </w:r>
    </w:p>
    <w:p>
      <w:pPr>
        <w:spacing w:after="120" w:line="276" w:lineRule="auto"/>
      </w:pPr>
      <w:r>
        <w:t>---</w:t>
      </w:r>
    </w:p>
    <w:p>
      <w:pPr>
        <w:spacing w:after="120" w:line="276" w:lineRule="auto"/>
      </w:pPr>
      <w:r>
        <w:t>### PARTIE 4 : CONCLUSION D'INVESTISSEMENT</w:t>
      </w:r>
    </w:p>
    <w:p>
      <w:pPr>
        <w:spacing w:after="120" w:line="276" w:lineRule="auto"/>
      </w:pPr>
      <w:r>
        <w:t>La valorisation de FTSC apparaît très exigeante avec un PER de 59,6x et un EV/EBITDA de 36,4x, totalement déconnectés des fondamentaux actuels. Le comportement du cours sur 100 jours (-18,09%) avec une volatilité élevée (34,8%) et une distribution platykurtique reflète une période de dépréciation marquée. Les signaux techniques sont mitigés : le MACD et le stochastique suggèrent un possible rebond à court terme, mais les moyennes mobiles restent baissières. Les fondamentaux sont préoccupants : rentabilité opérationnelle négative, endettement élevé, délais clients excessifs, et dépendance critique à la campagne cacaoyère. Les prédictions IA pour les 10 prochains jours (1 974 à 2 010 FCFA) indiquent une stabilisation progressive, mais sans catalyseur majeur. La convergence des signaux négatifs (valorisation excessive, fondamentaux faibles, tendance baissière) malgré quelques signaux techniques positifs conduit à une recommandation de **VENTE**. Le niveau de confiance est **Moyen** (les signaux techniques pourraient soutenir un rebond temporaire), le risque global est **Élevé** (volatilité forte, fondamentaux fragiles), et l'horizon d'investissement optimal serait le **court terme (&lt;3 mois)** pour les investisseurs cherchant à réduire leur exposition, avec une surveillance étroite de l'évolution de la campagne cacaoyère.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validation des comptes par des auditeurs de renom sans anomalies significatives t\u00e9moigne d'une gestion saine. Cependant, l'absence de donn\u00e9es financi\u00e8res d\u00e9taill\u00e9es limite l'analyse de la performance op\u00e9rationnelle."}</w:t>
      </w:r>
    </w:p>
    <w:p>
      <w:pPr>
        <w:spacing w:before="40"/>
        <w:ind w:left="400"/>
      </w:pPr>
      <w:r>
        <w:rPr>
          <w:sz w:val="18"/>
        </w:rPr>
        <w:t>FILTISAC (Filatures, Tissages, Sacs de Côte d'Ivoire, S.A.) est une société cotée à la BRVM spécialisée dans le secteur textile. Le document présente une attestation des commissaires aux comptes KPMG Côte d'Ivoire et Ernst &amp; Young sur les états financiers semestriels au 30 juin 2021. Les auditeurs ont effectué un examen limité conformément aux normes ISRE 2410 et aux dispositions OHADA. L'examen limité n'a pas révélé de faits laissant penser que les comptes ne sont pas établis conformément aux normes en vigueur. Le document atteste de la régularité des états financiers semestriels selon les référentiels comptables OHADA et 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Société cotée à la BRVM active dans le secteur des filatures et tissages</w:t>
      </w:r>
    </w:p>
    <w:p>
      <w:pPr>
        <w:pStyle w:val="ListBullet"/>
        <w:spacing w:before="20" w:after="20"/>
        <w:ind w:left="700"/>
      </w:pPr>
      <w:r>
        <w:rPr>
          <w:sz w:val="18"/>
        </w:rPr>
        <w:t>Audit semestriel réalisé par deux cabinets renommés : KPMG et Ernst &amp; Young</w:t>
      </w:r>
    </w:p>
    <w:p>
      <w:pPr>
        <w:pStyle w:val="ListBullet"/>
        <w:spacing w:before="20" w:after="20"/>
        <w:ind w:left="700"/>
      </w:pPr>
      <w:r>
        <w:rPr>
          <w:sz w:val="18"/>
        </w:rPr>
        <w:t>Examen limité conforme aux normes internationales ISRE 2410</w:t>
      </w:r>
    </w:p>
    <w:p>
      <w:pPr>
        <w:pStyle w:val="ListBullet"/>
        <w:spacing w:before="20" w:after="20"/>
        <w:ind w:left="700"/>
      </w:pPr>
      <w:r>
        <w:rPr>
          <w:sz w:val="18"/>
        </w:rPr>
        <w:t>Conformité aux dispositions OHADA et réglementations UMOA</w:t>
      </w:r>
    </w:p>
    <w:p>
      <w:pPr>
        <w:pStyle w:val="ListBullet"/>
        <w:spacing w:before="20" w:after="20"/>
        <w:ind w:left="700"/>
      </w:pPr>
      <w:r>
        <w:rPr>
          <w:sz w:val="18"/>
        </w:rPr>
        <w:t>Aucune anomalie significative détectée lors de l'examen limité</w:t>
      </w:r>
    </w:p>
    <w:p>
      <w:pPr>
        <w:pStyle w:val="ListBullet"/>
        <w:spacing w:before="20" w:after="20"/>
        <w:ind w:left="700"/>
      </w:pPr>
      <w:r>
        <w:rPr>
          <w:sz w:val="18"/>
        </w:rPr>
        <w:t>États financiers semestriels validés pour la période du 1er janvier au 30 juin 2021</w:t>
      </w:r>
    </w:p>
    <w:p>
      <w:pPr>
        <w:spacing w:before="40"/>
        <w:ind w:left="400"/>
      </w:pPr>
      <w:r>
        <w:rPr>
          <w:b/>
          <w:color w:val="C05000"/>
          <w:sz w:val="18"/>
        </w:rPr>
        <w:t xml:space="preserve">⚠️ Risques : </w:t>
      </w:r>
      <w:r>
        <w:rPr>
          <w:sz w:val="18"/>
        </w:rPr>
        <w:t>["Volatilit\u00e9 du secteur textile africain face \u00e0 la concurrence internationale", "D\u00e9pendance aux conditions \u00e9conomiques r\u00e9gionales UMOA", "Risques li\u00e9s aux mati\u00e8res premi\u00e8res et co\u00fbts de production"]</w:t>
      </w:r>
    </w:p>
    <w:p>
      <w:pPr>
        <w:spacing w:before="40"/>
        <w:ind w:left="400"/>
      </w:pPr>
      <w:r>
        <w:rPr>
          <w:b/>
          <w:color w:val="0064A0"/>
          <w:sz w:val="18"/>
        </w:rPr>
        <w:t xml:space="preserve">🔮 Perspectives : </w:t>
      </w:r>
      <w:r>
        <w:rPr>
          <w:sz w:val="18"/>
        </w:rPr>
        <w:t>Les perspectives restent à évaluer en fonction des résultats financiers détaillés qui ne sont pas disponibles dans ce document d'attestation. La validation comptable constitue néanmoins un signal positif pour la gouvernance de l'entreprise.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conjoncturelles du T1 2022, la soci\u00e9t\u00e9 maintient sa croissance d'activit\u00e9 et b\u00e9n\u00e9ficie de perspectives commerciales favorables. La situation difficile semble temporaire li\u00e9e au contexte \u00e9conomique mondial."}</w:t>
      </w:r>
    </w:p>
    <w:p>
      <w:pPr>
        <w:spacing w:before="40"/>
        <w:ind w:left="400"/>
      </w:pPr>
      <w:r>
        <w:rPr>
          <w:sz w:val="18"/>
        </w:rPr>
        <w:t>FILTISAC CI présente des résultats financiers mitigés au premier trimestre 2022. Le chiffre d'affaires progresse de 10% à 10 935 millions FCFA, porté notamment par les activités du département Jute. Cependant, la société affiche une perte d'exploitation de 103 millions FCFA contre un bénéfice de 322 millions l'année précédente. Le résultat courant avant impôt se dégrade fortement à -382 millions FCFA contre +204 millions en 2021. Cette détérioration s'explique principalement par la hausse du coût des matières premières qui a impacté les marges malgré la croissance du chiffre d'affaires.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'+10%', 'capital_social': '8 814 837 500 FCFA', 'resultat_exploitation': '-103 millions FCFA', 'resultat_courant_avant_impot': '-382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10 935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 à 10 935 millions FCFA au T1 2022</w:t>
      </w:r>
    </w:p>
    <w:p>
      <w:pPr>
        <w:pStyle w:val="ListBullet"/>
        <w:spacing w:before="20" w:after="20"/>
        <w:ind w:left="700"/>
      </w:pPr>
      <w:r>
        <w:rPr>
          <w:sz w:val="18"/>
        </w:rPr>
        <w:t>Perte d'exploitation de 103 millions FCFA contre un bénéfice de 322 millions en 2021</w:t>
      </w:r>
    </w:p>
    <w:p>
      <w:pPr>
        <w:pStyle w:val="ListBullet"/>
        <w:spacing w:before="20" w:after="20"/>
        <w:ind w:left="700"/>
      </w:pPr>
      <w:r>
        <w:rPr>
          <w:sz w:val="18"/>
        </w:rPr>
        <w:t>Dégradation du résultat courant avant impôt à -382 millions FCFA (-287%)</w:t>
      </w:r>
    </w:p>
    <w:p>
      <w:pPr>
        <w:pStyle w:val="ListBullet"/>
        <w:spacing w:before="20" w:after="20"/>
        <w:ind w:left="700"/>
      </w:pPr>
      <w:r>
        <w:rPr>
          <w:sz w:val="18"/>
        </w:rPr>
        <w:t>Impact négatif de la hausse des coûts des matières premières sur les marges</w:t>
      </w:r>
    </w:p>
    <w:p>
      <w:pPr>
        <w:pStyle w:val="ListBullet"/>
        <w:spacing w:before="20" w:after="20"/>
        <w:ind w:left="700"/>
      </w:pPr>
      <w:r>
        <w:rPr>
          <w:sz w:val="18"/>
        </w:rPr>
        <w:t>Suspension des exportations vers le Mali pénalisant les ventes de polymères</w:t>
      </w:r>
    </w:p>
    <w:p>
      <w:pPr>
        <w:pStyle w:val="ListBullet"/>
        <w:spacing w:before="20" w:after="20"/>
        <w:ind w:left="700"/>
      </w:pPr>
      <w:r>
        <w:rPr>
          <w:sz w:val="18"/>
        </w:rPr>
        <w:t>Contexte économique mondial difficile avec hausse des prix et perturbations logistiques</w:t>
      </w:r>
    </w:p>
    <w:p>
      <w:pPr>
        <w:spacing w:before="40"/>
        <w:ind w:left="400"/>
      </w:pPr>
      <w:r>
        <w:rPr>
          <w:b/>
          <w:color w:val="C05000"/>
          <w:sz w:val="18"/>
        </w:rPr>
        <w:t xml:space="preserve">⚠️ Risques : </w:t>
      </w:r>
      <w:r>
        <w:rPr>
          <w:sz w:val="18"/>
        </w:rPr>
        <w:t>["Volatilit\u00e9 continue des prix des mati\u00e8res premi\u00e8res impactant la rentabilit\u00e9", "Perturbations de la cha\u00eene logistique notamment sur les approvisionnements asiatiques", "Instabilit\u00e9 g\u00e9opolitique r\u00e9gionale affectant les exportations vers le Mali"]</w:t>
      </w:r>
    </w:p>
    <w:p>
      <w:pPr>
        <w:spacing w:before="40"/>
        <w:ind w:left="400"/>
      </w:pPr>
      <w:r>
        <w:rPr>
          <w:b/>
          <w:color w:val="0064A0"/>
          <w:sz w:val="18"/>
        </w:rPr>
        <w:t xml:space="preserve">🔮 Perspectives : </w:t>
      </w:r>
      <w:r>
        <w:rPr>
          <w:sz w:val="18"/>
        </w:rPr>
        <w:t>Les prévisions commerciales s'annoncent satisfaisantes avec une demande soutenue d'emballages destinés aux filières agricoles en croissance. L'amélioration de la productivité, particulièrement sur l'usine Jute, devrait contribuer à redresser la rentabilité dans les prochains trimestres.</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90.00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2,597 titres</w:t>
            </w:r>
          </w:p>
        </w:tc>
        <w:tc>
          <w:tcPr>
            <w:tcW w:type="dxa" w:w="2268"/>
            <w:shd w:fill="FFF2CC" w:val="clear"/>
          </w:tcPr>
          <w:p>
            <w:r>
              <w:rPr>
                <w:b/>
                <w:color w:val="503200"/>
                <w:sz w:val="16"/>
              </w:rPr>
              <w:t xml:space="preserve">Cours actuel : </w:t>
            </w:r>
            <w:r>
              <w:rPr>
                <w:color w:val="000000"/>
                <w:sz w:val="17"/>
              </w:rPr>
              <w:t>4,500 FCFA</w:t>
            </w:r>
          </w:p>
          <w:p>
            <w:r>
              <w:rPr>
                <w:b/>
                <w:color w:val="503200"/>
                <w:sz w:val="16"/>
              </w:rPr>
              <w:t xml:space="preserve">Var. 100 jours : </w:t>
            </w:r>
            <w:r>
              <w:rPr>
                <w:b/>
                <w:color w:val="007800"/>
                <w:sz w:val="17"/>
              </w:rPr>
              <w:t>+15.53%</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4.89% (Faible) — μ=3,996 FCFA, σ=195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β=0.2967 (Défensif) — Cov=0.000011, Var(idx)=0.000036, ρ=0.082,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2,597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σ_j=2.18%/j (Stable) — Vol. annualisée≈34.6%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2026-08-03</w:t>
            </w:r>
          </w:p>
        </w:tc>
        <w:tc>
          <w:tcPr>
            <w:tcW w:type="dxa" w:w="1440"/>
            <w:shd w:fill="FFDCE0" w:val="clear"/>
          </w:tcPr>
          <w:p>
            <w:r>
              <w:rPr>
                <w:sz w:val="17"/>
              </w:rPr>
              <w:t>3,940</w:t>
            </w:r>
          </w:p>
        </w:tc>
        <w:tc>
          <w:tcPr>
            <w:tcW w:type="dxa" w:w="1440"/>
            <w:shd w:fill="FFDCE0" w:val="clear"/>
          </w:tcPr>
          <w:p>
            <w:r>
              <w:rPr>
                <w:b/>
                <w:sz w:val="17"/>
              </w:rPr>
              <w:t>4,169</w:t>
            </w:r>
          </w:p>
        </w:tc>
        <w:tc>
          <w:tcPr>
            <w:tcW w:type="dxa" w:w="1440"/>
            <w:shd w:fill="FFDCE0" w:val="clear"/>
          </w:tcPr>
          <w:p>
            <w:r>
              <w:rPr>
                <w:sz w:val="17"/>
              </w:rPr>
              <w:t>4,399</w:t>
            </w:r>
          </w:p>
        </w:tc>
        <w:tc>
          <w:tcPr>
            <w:tcW w:type="dxa" w:w="1440"/>
            <w:shd w:fill="FFDCE0" w:val="clear"/>
          </w:tcPr>
          <w:p>
            <w:r>
              <w:rPr>
                <w:b/>
                <w:color w:val="C00000"/>
                <w:sz w:val="17"/>
              </w:rPr>
              <w:t>-7.3%</w:t>
            </w:r>
          </w:p>
        </w:tc>
      </w:tr>
      <w:tr>
        <w:tc>
          <w:tcPr>
            <w:tcW w:type="dxa" w:w="1440"/>
            <w:shd w:fill="FFDCE0" w:val="clear"/>
          </w:tcPr>
          <w:p>
            <w:r>
              <w:rPr>
                <w:sz w:val="17"/>
              </w:rPr>
              <w:t>J+2  Moyenne</w:t>
            </w:r>
          </w:p>
        </w:tc>
        <w:tc>
          <w:tcPr>
            <w:tcW w:type="dxa" w:w="1440"/>
            <w:shd w:fill="FFDCE0" w:val="clear"/>
          </w:tcPr>
          <w:p>
            <w:r>
              <w:rPr>
                <w:sz w:val="17"/>
              </w:rPr>
              <w:t>2026-08-04</w:t>
            </w:r>
          </w:p>
        </w:tc>
        <w:tc>
          <w:tcPr>
            <w:tcW w:type="dxa" w:w="1440"/>
            <w:shd w:fill="FFDCE0" w:val="clear"/>
          </w:tcPr>
          <w:p>
            <w:r>
              <w:rPr>
                <w:sz w:val="17"/>
              </w:rPr>
              <w:t>3,827</w:t>
            </w:r>
          </w:p>
        </w:tc>
        <w:tc>
          <w:tcPr>
            <w:tcW w:type="dxa" w:w="1440"/>
            <w:shd w:fill="FFDCE0" w:val="clear"/>
          </w:tcPr>
          <w:p>
            <w:r>
              <w:rPr>
                <w:b/>
                <w:sz w:val="17"/>
              </w:rPr>
              <w:t>4,150</w:t>
            </w:r>
          </w:p>
        </w:tc>
        <w:tc>
          <w:tcPr>
            <w:tcW w:type="dxa" w:w="1440"/>
            <w:shd w:fill="FFDCE0" w:val="clear"/>
          </w:tcPr>
          <w:p>
            <w:r>
              <w:rPr>
                <w:sz w:val="17"/>
              </w:rPr>
              <w:t>4,473</w:t>
            </w:r>
          </w:p>
        </w:tc>
        <w:tc>
          <w:tcPr>
            <w:tcW w:type="dxa" w:w="1440"/>
            <w:shd w:fill="FFDCE0" w:val="clear"/>
          </w:tcPr>
          <w:p>
            <w:r>
              <w:rPr>
                <w:b/>
                <w:color w:val="C00000"/>
                <w:sz w:val="17"/>
              </w:rPr>
              <w:t>-7.8%</w:t>
            </w:r>
          </w:p>
        </w:tc>
      </w:tr>
      <w:tr>
        <w:tc>
          <w:tcPr>
            <w:tcW w:type="dxa" w:w="1440"/>
            <w:shd w:fill="FFDCE0" w:val="clear"/>
          </w:tcPr>
          <w:p>
            <w:r>
              <w:rPr>
                <w:sz w:val="17"/>
              </w:rPr>
              <w:t>J+3  Moyenne</w:t>
            </w:r>
          </w:p>
        </w:tc>
        <w:tc>
          <w:tcPr>
            <w:tcW w:type="dxa" w:w="1440"/>
            <w:shd w:fill="FFDCE0" w:val="clear"/>
          </w:tcPr>
          <w:p>
            <w:r>
              <w:rPr>
                <w:sz w:val="17"/>
              </w:rPr>
              <w:t>2026-08-05</w:t>
            </w:r>
          </w:p>
        </w:tc>
        <w:tc>
          <w:tcPr>
            <w:tcW w:type="dxa" w:w="1440"/>
            <w:shd w:fill="FFDCE0" w:val="clear"/>
          </w:tcPr>
          <w:p>
            <w:r>
              <w:rPr>
                <w:sz w:val="17"/>
              </w:rPr>
              <w:t>3,733</w:t>
            </w:r>
          </w:p>
        </w:tc>
        <w:tc>
          <w:tcPr>
            <w:tcW w:type="dxa" w:w="1440"/>
            <w:shd w:fill="FFDCE0" w:val="clear"/>
          </w:tcPr>
          <w:p>
            <w:r>
              <w:rPr>
                <w:b/>
                <w:sz w:val="17"/>
              </w:rPr>
              <w:t>4,126</w:t>
            </w:r>
          </w:p>
        </w:tc>
        <w:tc>
          <w:tcPr>
            <w:tcW w:type="dxa" w:w="1440"/>
            <w:shd w:fill="FFDCE0" w:val="clear"/>
          </w:tcPr>
          <w:p>
            <w:r>
              <w:rPr>
                <w:sz w:val="17"/>
              </w:rPr>
              <w:t>4,519</w:t>
            </w:r>
          </w:p>
        </w:tc>
        <w:tc>
          <w:tcPr>
            <w:tcW w:type="dxa" w:w="1440"/>
            <w:shd w:fill="FFDCE0" w:val="clear"/>
          </w:tcPr>
          <w:p>
            <w:r>
              <w:rPr>
                <w:b/>
                <w:color w:val="C00000"/>
                <w:sz w:val="17"/>
              </w:rPr>
              <w:t>-8.3%</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3,658</w:t>
            </w:r>
          </w:p>
        </w:tc>
        <w:tc>
          <w:tcPr>
            <w:tcW w:type="dxa" w:w="1440"/>
            <w:shd w:fill="FFDCE0" w:val="clear"/>
          </w:tcPr>
          <w:p>
            <w:r>
              <w:rPr>
                <w:b/>
                <w:sz w:val="17"/>
              </w:rPr>
              <w:t>4,110</w:t>
            </w:r>
          </w:p>
        </w:tc>
        <w:tc>
          <w:tcPr>
            <w:tcW w:type="dxa" w:w="1440"/>
            <w:shd w:fill="FFDCE0" w:val="clear"/>
          </w:tcPr>
          <w:p>
            <w:r>
              <w:rPr>
                <w:sz w:val="17"/>
              </w:rPr>
              <w:t>4,562</w:t>
            </w:r>
          </w:p>
        </w:tc>
        <w:tc>
          <w:tcPr>
            <w:tcW w:type="dxa" w:w="1440"/>
            <w:shd w:fill="FFDCE0" w:val="clear"/>
          </w:tcPr>
          <w:p>
            <w:r>
              <w:rPr>
                <w:b/>
                <w:color w:val="C00000"/>
                <w:sz w:val="17"/>
              </w:rPr>
              <w:t>-8.7%</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3,590</w:t>
            </w:r>
          </w:p>
        </w:tc>
        <w:tc>
          <w:tcPr>
            <w:tcW w:type="dxa" w:w="1440"/>
            <w:shd w:fill="FFDCE0" w:val="clear"/>
          </w:tcPr>
          <w:p>
            <w:r>
              <w:rPr>
                <w:b/>
                <w:sz w:val="17"/>
              </w:rPr>
              <w:t>4,093</w:t>
            </w:r>
          </w:p>
        </w:tc>
        <w:tc>
          <w:tcPr>
            <w:tcW w:type="dxa" w:w="1440"/>
            <w:shd w:fill="FFDCE0" w:val="clear"/>
          </w:tcPr>
          <w:p>
            <w:r>
              <w:rPr>
                <w:sz w:val="17"/>
              </w:rPr>
              <w:t>4,596</w:t>
            </w:r>
          </w:p>
        </w:tc>
        <w:tc>
          <w:tcPr>
            <w:tcW w:type="dxa" w:w="1440"/>
            <w:shd w:fill="FFDCE0" w:val="clear"/>
          </w:tcPr>
          <w:p>
            <w:r>
              <w:rPr>
                <w:b/>
                <w:color w:val="C00000"/>
                <w:sz w:val="17"/>
              </w:rPr>
              <w:t>-9.0%</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3,530</w:t>
            </w:r>
          </w:p>
        </w:tc>
        <w:tc>
          <w:tcPr>
            <w:tcW w:type="dxa" w:w="1440"/>
            <w:shd w:fill="FFDCE0" w:val="clear"/>
          </w:tcPr>
          <w:p>
            <w:r>
              <w:rPr>
                <w:b/>
                <w:sz w:val="17"/>
              </w:rPr>
              <w:t>4,079</w:t>
            </w:r>
          </w:p>
        </w:tc>
        <w:tc>
          <w:tcPr>
            <w:tcW w:type="dxa" w:w="1440"/>
            <w:shd w:fill="FFDCE0" w:val="clear"/>
          </w:tcPr>
          <w:p>
            <w:r>
              <w:rPr>
                <w:sz w:val="17"/>
              </w:rPr>
              <w:t>4,629</w:t>
            </w:r>
          </w:p>
        </w:tc>
        <w:tc>
          <w:tcPr>
            <w:tcW w:type="dxa" w:w="1440"/>
            <w:shd w:fill="FFDCE0" w:val="clear"/>
          </w:tcPr>
          <w:p>
            <w:r>
              <w:rPr>
                <w:b/>
                <w:color w:val="C00000"/>
                <w:sz w:val="17"/>
              </w:rPr>
              <w:t>-9.3%</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3,474</w:t>
            </w:r>
          </w:p>
        </w:tc>
        <w:tc>
          <w:tcPr>
            <w:tcW w:type="dxa" w:w="1440"/>
            <w:shd w:fill="FFDCE0" w:val="clear"/>
          </w:tcPr>
          <w:p>
            <w:r>
              <w:rPr>
                <w:b/>
                <w:sz w:val="17"/>
              </w:rPr>
              <w:t>4,065</w:t>
            </w:r>
          </w:p>
        </w:tc>
        <w:tc>
          <w:tcPr>
            <w:tcW w:type="dxa" w:w="1440"/>
            <w:shd w:fill="FFDCE0" w:val="clear"/>
          </w:tcPr>
          <w:p>
            <w:r>
              <w:rPr>
                <w:sz w:val="17"/>
              </w:rPr>
              <w:t>4,656</w:t>
            </w:r>
          </w:p>
        </w:tc>
        <w:tc>
          <w:tcPr>
            <w:tcW w:type="dxa" w:w="1440"/>
            <w:shd w:fill="FFDCE0" w:val="clear"/>
          </w:tcPr>
          <w:p>
            <w:r>
              <w:rPr>
                <w:b/>
                <w:color w:val="C00000"/>
                <w:sz w:val="17"/>
              </w:rPr>
              <w:t>-9.7%</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3,423</w:t>
            </w:r>
          </w:p>
        </w:tc>
        <w:tc>
          <w:tcPr>
            <w:tcW w:type="dxa" w:w="1440"/>
            <w:shd w:fill="FFDCE0" w:val="clear"/>
          </w:tcPr>
          <w:p>
            <w:r>
              <w:rPr>
                <w:b/>
                <w:sz w:val="17"/>
              </w:rPr>
              <w:t>4,053</w:t>
            </w:r>
          </w:p>
        </w:tc>
        <w:tc>
          <w:tcPr>
            <w:tcW w:type="dxa" w:w="1440"/>
            <w:shd w:fill="FFDCE0" w:val="clear"/>
          </w:tcPr>
          <w:p>
            <w:r>
              <w:rPr>
                <w:sz w:val="17"/>
              </w:rPr>
              <w:t>4,683</w:t>
            </w:r>
          </w:p>
        </w:tc>
        <w:tc>
          <w:tcPr>
            <w:tcW w:type="dxa" w:w="1440"/>
            <w:shd w:fill="FFDCE0" w:val="clear"/>
          </w:tcPr>
          <w:p>
            <w:r>
              <w:rPr>
                <w:b/>
                <w:color w:val="C00000"/>
                <w:sz w:val="17"/>
              </w:rPr>
              <w:t>-9.9%</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3,376</w:t>
            </w:r>
          </w:p>
        </w:tc>
        <w:tc>
          <w:tcPr>
            <w:tcW w:type="dxa" w:w="1440"/>
            <w:shd w:fill="FFDCE0" w:val="clear"/>
          </w:tcPr>
          <w:p>
            <w:r>
              <w:rPr>
                <w:b/>
                <w:sz w:val="17"/>
              </w:rPr>
              <w:t>4,042</w:t>
            </w:r>
          </w:p>
        </w:tc>
        <w:tc>
          <w:tcPr>
            <w:tcW w:type="dxa" w:w="1440"/>
            <w:shd w:fill="FFDCE0" w:val="clear"/>
          </w:tcPr>
          <w:p>
            <w:r>
              <w:rPr>
                <w:sz w:val="17"/>
              </w:rPr>
              <w:t>4,709</w:t>
            </w:r>
          </w:p>
        </w:tc>
        <w:tc>
          <w:tcPr>
            <w:tcW w:type="dxa" w:w="1440"/>
            <w:shd w:fill="FFDCE0" w:val="clear"/>
          </w:tcPr>
          <w:p>
            <w:r>
              <w:rPr>
                <w:b/>
                <w:color w:val="C00000"/>
                <w:sz w:val="17"/>
              </w:rPr>
              <w:t>-10.2%</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3,324</w:t>
            </w:r>
          </w:p>
        </w:tc>
        <w:tc>
          <w:tcPr>
            <w:tcW w:type="dxa" w:w="1440"/>
            <w:shd w:fill="FFDCE0" w:val="clear"/>
          </w:tcPr>
          <w:p>
            <w:r>
              <w:rPr>
                <w:b/>
                <w:sz w:val="17"/>
              </w:rPr>
              <w:t>4,023</w:t>
            </w:r>
          </w:p>
        </w:tc>
        <w:tc>
          <w:tcPr>
            <w:tcW w:type="dxa" w:w="1440"/>
            <w:shd w:fill="FFDCE0" w:val="clear"/>
          </w:tcPr>
          <w:p>
            <w:r>
              <w:rPr>
                <w:sz w:val="17"/>
              </w:rPr>
              <w:t>4,722</w:t>
            </w:r>
          </w:p>
        </w:tc>
        <w:tc>
          <w:tcPr>
            <w:tcW w:type="dxa" w:w="1440"/>
            <w:shd w:fill="FFDCE0" w:val="clear"/>
          </w:tcPr>
          <w:p>
            <w:r>
              <w:rPr>
                <w:b/>
                <w:color w:val="C00000"/>
                <w:sz w:val="17"/>
              </w:rPr>
              <w:t>-10.6%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90 milliards FCFA, un niveau significatif qui la positionne parmi les valeurs moyennes de la BRVM. Avec un BPA de 231 FCFA, le PER de 19,5x est nettement supérieur à la moyenne historique du marché (8-12x), indiquant que les investisseurs paient une prime substantielle pour la croissance anticipée du titre. Le P/B de 4,10x confirme cette valorisation exigeante, le marché valorisant l'actif net comptable plus de quatre fois au-dessus de sa valeur. Enfin, l'EV/EBITDA de 11,5x, bien que dans la fourchette haute (10-15x), reste cohérent avec une entreprise disposant d'une forte capacité opérationnelle et d'une trésorerie abondante, justifiant partiellement cette prime de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la période des 100 derniers jours, l'action LNBB a enregistré une progression remarquable de +15,53%, avec une accélération notable lors de la dernière séance (+7,40%), portant le cours à 4 500 FCFA, son plus haut niveau sur la période. Le titre a évolué dans une fourchette de 3 765 à 4 500 FCFA, démontrant une dynamique haussière soutenue. Les statistiques descriptives révèlent une moyenne de 3 996 FCFA, inférieure à la médiane de 3 900 FCFA, avec un skewness positif de 1,057 indiquant une asymétrie vers les journées sous la moyenne, mais avec des mouvements haussiers plus amples. L'écart-type de 196 FCFA (CV=4,9%) témoigne d'une dispersion modérée, tandis que le kurtosis de -0,335 (mésokurtique) suggère une distribution proche de la normale, sans risque de pics extrêmes. La volatilité annualisée de 34,6% classe le titre dans la catégorie des valeurs à forte volatilité, ce qui implique un risque élevé mais aussi un potentiel de rendement significatif.</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4 500 FCFA se positionne nettement au-dessus de la MM20 (4 281,5 FCFA) et de la MM50 (4 109,6 FCFA), confirmant une tendance haussière solide à court et moyen terme. L'écart positif entre le prix et les moyennes mobiles valide le signal d'achat, indiquant que la dynamique haussière est soutenue par les volumes et la participation des investisseurs.</w:t>
      </w:r>
    </w:p>
    <w:p>
      <w:pPr>
        <w:spacing w:after="120" w:line="276" w:lineRule="auto"/>
      </w:pPr>
      <w:r>
        <w:t>**Bandes de Bollinger :** Le prix évolue à 4 500 FCFA, très proche de la borne supérieure (4 512 FCFA), ce qui suggère une pression acheteuse intense. La décision "Neutre" s'explique par le fait que le cours n'a pas encore franchi la borne, mais la proximité de celle-ci indique une volatilité élevée et un potentiel de retournement ou de poursuite de la tendance. Les bandes s'élargissent, signalant une augmentation de la volatilité.</w:t>
      </w:r>
    </w:p>
    <w:p>
      <w:pPr>
        <w:spacing w:after="120" w:line="276" w:lineRule="auto"/>
      </w:pPr>
      <w:r>
        <w:t>**MACD :** La valeur du MACD (55,42) est supérieure à son signal (53,95), avec un écart positif de 1,47 point, confirmant un momentum haussier. Cette configuration, avec le MACD au-dessus de sa ligne de signal, est un signal d'achat classique, indiquant que la tendance haussière pourrait se poursuivre à court terme.</w:t>
      </w:r>
    </w:p>
    <w:p>
      <w:pPr>
        <w:spacing w:after="120" w:line="276" w:lineRule="auto"/>
      </w:pPr>
      <w:r>
        <w:t>**RSI :** À 56,60, le RSI se situe dans la zone neutre (30-70), indiquant que le titre n'est ni suracheté ni survendu. Cette valeur suggère qu'il y a encore de la marge avant d'atteindre des conditions de surachat, ce qui laisse présager un potentiel haussier supplémentaire, mais avec une prudence accrue à mesure que le RSI approche de 70.</w:t>
      </w:r>
    </w:p>
    <w:p>
      <w:pPr>
        <w:spacing w:after="120" w:line="276" w:lineRule="auto"/>
      </w:pPr>
      <w:r>
        <w:t>**Stochastique :** Le %K à 100,0 est en zone de surachat extrême, tandis que le %D à 71,79 reste élevé. Cette configuration génère un signal de vente, indiquant que le titre est temporairement surévalué à court terme. Un croisement baissier du %K sous le %D pourrait déclencher une correction technique.</w:t>
      </w:r>
    </w:p>
    <w:p>
      <w:pPr>
        <w:spacing w:after="120" w:line="276" w:lineRule="auto"/>
      </w:pPr>
      <w:r>
        <w:t>**Conclusion technique :** Les indicateurs de tendance (MM, MACD) sont haussiers, mais les oscillateurs (Stochastique, RSI) suggèrent une possible consolidation à court terme. Le titre est dans une phase de surachat technique, ce qui pourrait entraîner un repli temporaire avant la poursuite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la Loterie Nationale du Bénin affiche un chiffre d'affaires de 98,598 milliards FCFA, en baisse de -3,85% par rapport à 2024 (102,544 milliards FCFA), pénalisé par la concurrence déloyale des opérateurs illégaux. Le résultat net s'établit à 4,622 milliards FCFA, en recul de -35,6% par rapport à 2024 (7,176 milliards FCFA), impacté par l'absence de produits exceptionnels. Cependant, la structure financière reste très solide avec des capitaux propres de 21,954 milliards FCFA, un ROE de 21,05% et un ROA de 14,17%, démontrant une excellente rentabilité des fonds propres et des actifs. La marge opérationnelle de 6,47% et la marge nette de 4,69% reflètent une bonne maîtrise des coûts. Le BFR est légèrement positif à 217 millions FCFA, avec des délais clients très courts (4,82 jours) et fournisseurs raisonnables (20,41 jours), indiquant une gestion efficace du cycle d'exploitation. L'endettement est très faible (ratio d'endettement de 2,57%), avec une trésorerie nette de 7,979 milliards FCFA, offrant une grande flexibilité financière. Les rapports trimestriels 2025 montrent une dégradation progressive (S1 : RN de 841 millions FCFA, -77%), mais le T3 2025 indique une amélioration séquentielle (+23% entre juin et septembre). Pour 2026, le rapport T1 2026 (publié en mai 2026) révèle un CA en hausse de +6% à 25,521 milliards FCFA, mais un résultat net en chute de -46% à 848 millions FCFA, en raison du mix produit défavorable (pari sportif à 95% de taux de retour). Le rapport S1 2026 (publié en août 2026) confirme une reprise avec un CA de 49,937 milliards FCFA (+4%) et un résultat net en progression de +60%, grâce aux revenus de partenariats B2B et à la maîtrise des charges. La politique de dividende reste attractive avec un taux de distribution de 80% (dividende de 173 FCFA/action pour 2025). Les perspectives 2026 sont positives avec le déploiement de 1 500 nouveaux terminaux, le lancement de nouveaux produits et la montée en puissance du digital (68% du CA en 2025).</w:t>
      </w:r>
    </w:p>
    <w:p>
      <w:pPr>
        <w:spacing w:after="120" w:line="276" w:lineRule="auto"/>
      </w:pPr>
      <w:r>
        <w:t>---</w:t>
      </w:r>
    </w:p>
    <w:p>
      <w:pPr>
        <w:spacing w:after="120" w:line="276" w:lineRule="auto"/>
      </w:pPr>
      <w:r>
        <w:t>### PARTIE 4 : CONCLUSION D'INVESTISSEMENT</w:t>
      </w:r>
    </w:p>
    <w:p>
      <w:pPr>
        <w:spacing w:after="120" w:line="276" w:lineRule="auto"/>
      </w:pPr>
      <w:r>
        <w:t>La valorisation de LNBB (PER 19,5x, P/B 4,10x) est exigeante, mais justifiée par une rentabilité exceptionnelle (ROE &gt;21%) et une structure financière robuste. Le comportement du cours (+15,53% sur 100 jours) reflète cette confiance, avec une volatilité élevée (34,6%) qui offre des opportunités mais implique un risque accru. Les signaux techniques sont globalement haussiers (MM, MACD), mais le surachat technique (Stochastique à 100) suggère une possible consolidation à court terme. Les fondamentaux montrent une amélioration progressive en 2026 (S1 : RN +60%), soutenue par la digitalisation et les partenariats stratégiques, malgré les défis de la concurrence illégale. Les prédictions IA (4 169 FCFA à J+10) indiquent un repli technique vers la zone des 4 100-4 200 FCFA, ce qui représenterait une opportunité d'achat pour les investisseurs à moyen terme. La convergence entre la solidité fondamentale, la tendance haussière de long terme et les perspectives de croissance digitale justifie une recommandation **ACHAT** avec un niveau de confiance **Moyen** et un risque global **Élevé**. L'horizon d'investissement optimal est le **moyen terme (3-12 mois)**, en attendant la confirmation des résultats annuels 2026 et l'impact des nouvelles initiatives commerciales.</w:t>
      </w:r>
    </w:p>
    <w:p/>
    <w:p/>
    <w:p>
      <w:pPr>
        <w:pStyle w:val="Heading3"/>
      </w:pPr>
      <w:r>
        <w:rPr>
          <w:color w:val="005A32"/>
        </w:rPr>
        <w:t>📋 RAPPORTS &amp; COMMUNIQUÉS OFFICIELS</w:t>
      </w:r>
    </w:p>
    <w:p>
      <w:r>
        <w:rPr>
          <w:i/>
          <w:color w:val="646464"/>
          <w:sz w:val="18"/>
        </w:rPr>
        <w:t>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s\u00e9quentielle du r\u00e9sultat net et l'efficacit\u00e9 du plan d'ajustement sugg\u00e8rent une stabilisation progressive. La reprise attendue au T4 2025 justifie une position d'attente."}</w:t>
      </w:r>
    </w:p>
    <w:p>
      <w:pPr>
        <w:spacing w:before="40"/>
        <w:ind w:left="400"/>
      </w:pPr>
      <w:r>
        <w:rPr>
          <w:sz w:val="18"/>
        </w:rPr>
        <w:t>La Loterie Nationale du Bénin (LNB SA) présente des résultats mitigés au T3 2025 avec un chiffre d'affaires en baisse de 6% à 72,479 milliards FCFA comparé au T3 2024. Malgré cette contre-performance commerciale, la société affiche une amélioration significative de sa rentabilité avec un résultat net de 1,034 milliard FCFA au T3 2025 contre 5,382 milliards FCFA au T3 2024. L'entreprise met en œuvre un plan d'ajustement opérationnel qui commence à porter ses fruits. La direction anticipe une reprise progressive de la rentabilité sur le dernier trimestre 2025. Les mesures correctives visent à préserver les intérêts des actionnaires malgré les difficultés persistantes du premier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milliards FCFA', 'resultat_financier': '357 millions FCFA', 'resultat_avant_impots': '1,897 milliard FCFA', 'resultat_exploitation': '1,401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1,034 milliard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72,479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6% au T3 2025 (72,479 Mds FCFA vs 76,908 Mds FCFA en 2024)</w:t>
      </w:r>
    </w:p>
    <w:p>
      <w:pPr>
        <w:pStyle w:val="ListBullet"/>
        <w:spacing w:before="20" w:after="20"/>
        <w:ind w:left="700"/>
      </w:pPr>
      <w:r>
        <w:rPr>
          <w:sz w:val="18"/>
        </w:rPr>
        <w:t>Résultat net de 1,034 milliard FCFA au T3 2025, en forte baisse de 81% par rapport au T3 2024</w:t>
      </w:r>
    </w:p>
    <w:p>
      <w:pPr>
        <w:pStyle w:val="ListBullet"/>
        <w:spacing w:before="20" w:after="20"/>
        <w:ind w:left="700"/>
      </w:pPr>
      <w:r>
        <w:rPr>
          <w:sz w:val="18"/>
        </w:rPr>
        <w:t>Amélioration du résultat net de 22,95% entre le premier semestre et le T3 2025 (841 millions à 1,034 milliard)</w:t>
      </w:r>
    </w:p>
    <w:p>
      <w:pPr>
        <w:pStyle w:val="ListBullet"/>
        <w:spacing w:before="20" w:after="20"/>
        <w:ind w:left="700"/>
      </w:pPr>
      <w:r>
        <w:rPr>
          <w:sz w:val="18"/>
        </w:rPr>
        <w:t>Résultat d'exploitation drastiquement réduit : 1,401 milliard FCFA (-59% vs T3 2024)</w:t>
      </w:r>
    </w:p>
    <w:p>
      <w:pPr>
        <w:pStyle w:val="ListBullet"/>
        <w:spacing w:before="20" w:after="20"/>
        <w:ind w:left="700"/>
      </w:pPr>
      <w:r>
        <w:rPr>
          <w:sz w:val="18"/>
        </w:rPr>
        <w:t>Plan d'ajustement opérationnel en cours de mise en œuvre montrant des signes d'efficacité</w:t>
      </w:r>
    </w:p>
    <w:p>
      <w:pPr>
        <w:pStyle w:val="ListBullet"/>
        <w:spacing w:before="20" w:after="20"/>
        <w:ind w:left="700"/>
      </w:pPr>
      <w:r>
        <w:rPr>
          <w:sz w:val="18"/>
        </w:rPr>
        <w:t>Difficultés commerciales persistantes liées aux problèmes rencontrés au premier semestre 2025</w:t>
      </w:r>
    </w:p>
    <w:p>
      <w:pPr>
        <w:spacing w:before="40"/>
        <w:ind w:left="400"/>
      </w:pPr>
      <w:r>
        <w:rPr>
          <w:b/>
          <w:color w:val="C05000"/>
          <w:sz w:val="18"/>
        </w:rPr>
        <w:t xml:space="preserve">⚠️ Risques : </w:t>
      </w:r>
      <w:r>
        <w:rPr>
          <w:sz w:val="18"/>
        </w:rPr>
        <w:t>["Persistance des difficult\u00e9s commerciales impactant durablement le chiffre d'affaires", "Forte d\u00e9pendance \u00e0 l'efficacit\u00e9 du plan d'ajustement op\u00e9rationnel en cours", "Environnement \u00e9conomique d\u00e9favorable pouvant affecter l'activit\u00e9 loterie au B\u00e9nin"]</w:t>
      </w:r>
    </w:p>
    <w:p>
      <w:pPr>
        <w:spacing w:before="40"/>
        <w:ind w:left="400"/>
      </w:pPr>
      <w:r>
        <w:rPr>
          <w:b/>
          <w:color w:val="0064A0"/>
          <w:sz w:val="18"/>
        </w:rPr>
        <w:t xml:space="preserve">🔮 Perspectives : </w:t>
      </w:r>
      <w:r>
        <w:rPr>
          <w:sz w:val="18"/>
        </w:rPr>
        <w:t xml:space="preserve">La direction anticipe une reprise progressive de la rentabilité sur le dernier trimestre 2025 grâce aux mesures correctives mises en œuvre. Le succès du plan d'ajustement opérationnel sera déterminant pour le retour à une croissance soutenue en 2026. L'amélioration séquentielle des résultats laisse </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29.11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5,469 titres</w:t>
            </w:r>
          </w:p>
        </w:tc>
        <w:tc>
          <w:tcPr>
            <w:tcW w:type="dxa" w:w="2268"/>
            <w:shd w:fill="FFF2CC" w:val="clear"/>
          </w:tcPr>
          <w:p>
            <w:r>
              <w:rPr>
                <w:b/>
                <w:color w:val="503200"/>
                <w:sz w:val="16"/>
              </w:rPr>
              <w:t xml:space="preserve">Cours actuel : </w:t>
            </w:r>
            <w:r>
              <w:rPr>
                <w:color w:val="000000"/>
                <w:sz w:val="17"/>
              </w:rPr>
              <w:t>2,280 FCFA</w:t>
            </w:r>
          </w:p>
          <w:p>
            <w:r>
              <w:rPr>
                <w:b/>
                <w:color w:val="503200"/>
                <w:sz w:val="16"/>
              </w:rPr>
              <w:t xml:space="preserve">Var. 100 jours : </w:t>
            </w:r>
            <w:r>
              <w:rPr>
                <w:b/>
                <w:color w:val="007800"/>
                <w:sz w:val="17"/>
              </w:rPr>
              <w:t>+62.86%</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19.66% (Élevée) — μ=1,860 FCFA, σ=366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β=0.0612 (Défensif) — Cov=0.000002, Var(idx)=0.000036, ρ=0.012,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2026-08-03</w:t>
            </w:r>
          </w:p>
        </w:tc>
        <w:tc>
          <w:tcPr>
            <w:tcW w:type="dxa" w:w="1440"/>
            <w:shd w:fill="FFDCE0" w:val="clear"/>
          </w:tcPr>
          <w:p>
            <w:r>
              <w:rPr>
                <w:sz w:val="17"/>
              </w:rPr>
              <w:t>1,995</w:t>
            </w:r>
          </w:p>
        </w:tc>
        <w:tc>
          <w:tcPr>
            <w:tcW w:type="dxa" w:w="1440"/>
            <w:shd w:fill="FFDCE0" w:val="clear"/>
          </w:tcPr>
          <w:p>
            <w:r>
              <w:rPr>
                <w:b/>
                <w:sz w:val="17"/>
              </w:rPr>
              <w:t>2,109</w:t>
            </w:r>
          </w:p>
        </w:tc>
        <w:tc>
          <w:tcPr>
            <w:tcW w:type="dxa" w:w="1440"/>
            <w:shd w:fill="FFDCE0" w:val="clear"/>
          </w:tcPr>
          <w:p>
            <w:r>
              <w:rPr>
                <w:sz w:val="17"/>
              </w:rPr>
              <w:t>2,223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2026-08-04</w:t>
            </w:r>
          </w:p>
        </w:tc>
        <w:tc>
          <w:tcPr>
            <w:tcW w:type="dxa" w:w="1440"/>
            <w:shd w:fill="FFDCE0" w:val="clear"/>
          </w:tcPr>
          <w:p>
            <w:r>
              <w:rPr>
                <w:sz w:val="17"/>
              </w:rPr>
              <w:t>1,802</w:t>
            </w:r>
          </w:p>
        </w:tc>
        <w:tc>
          <w:tcPr>
            <w:tcW w:type="dxa" w:w="1440"/>
            <w:shd w:fill="FFDCE0" w:val="clear"/>
          </w:tcPr>
          <w:p>
            <w:r>
              <w:rPr>
                <w:b/>
                <w:sz w:val="17"/>
              </w:rPr>
              <w:t>1,951</w:t>
            </w:r>
          </w:p>
        </w:tc>
        <w:tc>
          <w:tcPr>
            <w:tcW w:type="dxa" w:w="1440"/>
            <w:shd w:fill="FFDCE0" w:val="clear"/>
          </w:tcPr>
          <w:p>
            <w:r>
              <w:rPr>
                <w:sz w:val="17"/>
              </w:rPr>
              <w:t>2,099</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2026-08-05</w:t>
            </w:r>
          </w:p>
        </w:tc>
        <w:tc>
          <w:tcPr>
            <w:tcW w:type="dxa" w:w="1440"/>
            <w:shd w:fill="FFDCE0" w:val="clear"/>
          </w:tcPr>
          <w:p>
            <w:r>
              <w:rPr>
                <w:sz w:val="17"/>
              </w:rPr>
              <w:t>1,657</w:t>
            </w:r>
          </w:p>
        </w:tc>
        <w:tc>
          <w:tcPr>
            <w:tcW w:type="dxa" w:w="1440"/>
            <w:shd w:fill="FFDCE0" w:val="clear"/>
          </w:tcPr>
          <w:p>
            <w:r>
              <w:rPr>
                <w:b/>
                <w:sz w:val="17"/>
              </w:rPr>
              <w:t>1,828</w:t>
            </w:r>
          </w:p>
        </w:tc>
        <w:tc>
          <w:tcPr>
            <w:tcW w:type="dxa" w:w="1440"/>
            <w:shd w:fill="FFDCE0" w:val="clear"/>
          </w:tcPr>
          <w:p>
            <w:r>
              <w:rPr>
                <w:sz w:val="17"/>
              </w:rPr>
              <w:t>1,998</w:t>
            </w:r>
          </w:p>
        </w:tc>
        <w:tc>
          <w:tcPr>
            <w:tcW w:type="dxa" w:w="1440"/>
            <w:shd w:fill="FFDCE0" w:val="clear"/>
          </w:tcPr>
          <w:p>
            <w:r>
              <w:rPr>
                <w:b/>
                <w:color w:val="C00000"/>
                <w:sz w:val="17"/>
              </w:rPr>
              <w:t>-19.8%</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1,544</w:t>
            </w:r>
          </w:p>
        </w:tc>
        <w:tc>
          <w:tcPr>
            <w:tcW w:type="dxa" w:w="1440"/>
            <w:shd w:fill="FFDCE0" w:val="clear"/>
          </w:tcPr>
          <w:p>
            <w:r>
              <w:rPr>
                <w:b/>
                <w:sz w:val="17"/>
              </w:rPr>
              <w:t>1,730</w:t>
            </w:r>
          </w:p>
        </w:tc>
        <w:tc>
          <w:tcPr>
            <w:tcW w:type="dxa" w:w="1440"/>
            <w:shd w:fill="FFDCE0" w:val="clear"/>
          </w:tcPr>
          <w:p>
            <w:r>
              <w:rPr>
                <w:sz w:val="17"/>
              </w:rPr>
              <w:t>1,917</w:t>
            </w:r>
          </w:p>
        </w:tc>
        <w:tc>
          <w:tcPr>
            <w:tcW w:type="dxa" w:w="1440"/>
            <w:shd w:fill="FFDCE0" w:val="clear"/>
          </w:tcPr>
          <w:p>
            <w:r>
              <w:rPr>
                <w:b/>
                <w:color w:val="C00000"/>
                <w:sz w:val="17"/>
              </w:rPr>
              <w:t>-24.1%</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1,452</w:t>
            </w:r>
          </w:p>
        </w:tc>
        <w:tc>
          <w:tcPr>
            <w:tcW w:type="dxa" w:w="1440"/>
            <w:shd w:fill="FFDCE0" w:val="clear"/>
          </w:tcPr>
          <w:p>
            <w:r>
              <w:rPr>
                <w:b/>
                <w:sz w:val="17"/>
              </w:rPr>
              <w:t>1,651</w:t>
            </w:r>
          </w:p>
        </w:tc>
        <w:tc>
          <w:tcPr>
            <w:tcW w:type="dxa" w:w="1440"/>
            <w:shd w:fill="FFDCE0" w:val="clear"/>
          </w:tcPr>
          <w:p>
            <w:r>
              <w:rPr>
                <w:sz w:val="17"/>
              </w:rPr>
              <w:t>1,850</w:t>
            </w:r>
          </w:p>
        </w:tc>
        <w:tc>
          <w:tcPr>
            <w:tcW w:type="dxa" w:w="1440"/>
            <w:shd w:fill="FFDCE0" w:val="clear"/>
          </w:tcPr>
          <w:p>
            <w:r>
              <w:rPr>
                <w:b/>
                <w:color w:val="C00000"/>
                <w:sz w:val="17"/>
              </w:rPr>
              <w:t>-27.6%</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1,374</w:t>
            </w:r>
          </w:p>
        </w:tc>
        <w:tc>
          <w:tcPr>
            <w:tcW w:type="dxa" w:w="1440"/>
            <w:shd w:fill="FFDCE0" w:val="clear"/>
          </w:tcPr>
          <w:p>
            <w:r>
              <w:rPr>
                <w:b/>
                <w:sz w:val="17"/>
              </w:rPr>
              <w:t>1,583</w:t>
            </w:r>
          </w:p>
        </w:tc>
        <w:tc>
          <w:tcPr>
            <w:tcW w:type="dxa" w:w="1440"/>
            <w:shd w:fill="FFDCE0" w:val="clear"/>
          </w:tcPr>
          <w:p>
            <w:r>
              <w:rPr>
                <w:sz w:val="17"/>
              </w:rPr>
              <w:t>1,792</w:t>
            </w:r>
          </w:p>
        </w:tc>
        <w:tc>
          <w:tcPr>
            <w:tcW w:type="dxa" w:w="1440"/>
            <w:shd w:fill="FFDCE0" w:val="clear"/>
          </w:tcPr>
          <w:p>
            <w:r>
              <w:rPr>
                <w:b/>
                <w:color w:val="C00000"/>
                <w:sz w:val="17"/>
              </w:rPr>
              <w:t>-30.6%</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1,307</w:t>
            </w:r>
          </w:p>
        </w:tc>
        <w:tc>
          <w:tcPr>
            <w:tcW w:type="dxa" w:w="1440"/>
            <w:shd w:fill="FFDCE0" w:val="clear"/>
          </w:tcPr>
          <w:p>
            <w:r>
              <w:rPr>
                <w:b/>
                <w:sz w:val="17"/>
              </w:rPr>
              <w:t>1,524</w:t>
            </w:r>
          </w:p>
        </w:tc>
        <w:tc>
          <w:tcPr>
            <w:tcW w:type="dxa" w:w="1440"/>
            <w:shd w:fill="FFDCE0" w:val="clear"/>
          </w:tcPr>
          <w:p>
            <w:r>
              <w:rPr>
                <w:sz w:val="17"/>
              </w:rPr>
              <w:t>1,741</w:t>
            </w:r>
          </w:p>
        </w:tc>
        <w:tc>
          <w:tcPr>
            <w:tcW w:type="dxa" w:w="1440"/>
            <w:shd w:fill="FFDCE0" w:val="clear"/>
          </w:tcPr>
          <w:p>
            <w:r>
              <w:rPr>
                <w:b/>
                <w:color w:val="C00000"/>
                <w:sz w:val="17"/>
              </w:rPr>
              <w:t>-33.2%</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1,247</w:t>
            </w:r>
          </w:p>
        </w:tc>
        <w:tc>
          <w:tcPr>
            <w:tcW w:type="dxa" w:w="1440"/>
            <w:shd w:fill="FFDCE0" w:val="clear"/>
          </w:tcPr>
          <w:p>
            <w:r>
              <w:rPr>
                <w:b/>
                <w:sz w:val="17"/>
              </w:rPr>
              <w:t>1,472</w:t>
            </w:r>
          </w:p>
        </w:tc>
        <w:tc>
          <w:tcPr>
            <w:tcW w:type="dxa" w:w="1440"/>
            <w:shd w:fill="FFDCE0" w:val="clear"/>
          </w:tcPr>
          <w:p>
            <w:r>
              <w:rPr>
                <w:sz w:val="17"/>
              </w:rPr>
              <w:t>1,696</w:t>
            </w:r>
          </w:p>
        </w:tc>
        <w:tc>
          <w:tcPr>
            <w:tcW w:type="dxa" w:w="1440"/>
            <w:shd w:fill="FFDCE0" w:val="clear"/>
          </w:tcPr>
          <w:p>
            <w:r>
              <w:rPr>
                <w:b/>
                <w:color w:val="C00000"/>
                <w:sz w:val="17"/>
              </w:rPr>
              <w:t>-35.4%</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1,194</w:t>
            </w:r>
          </w:p>
        </w:tc>
        <w:tc>
          <w:tcPr>
            <w:tcW w:type="dxa" w:w="1440"/>
            <w:shd w:fill="FFDCE0" w:val="clear"/>
          </w:tcPr>
          <w:p>
            <w:r>
              <w:rPr>
                <w:b/>
                <w:sz w:val="17"/>
              </w:rPr>
              <w:t>1,425</w:t>
            </w:r>
          </w:p>
        </w:tc>
        <w:tc>
          <w:tcPr>
            <w:tcW w:type="dxa" w:w="1440"/>
            <w:shd w:fill="FFDCE0" w:val="clear"/>
          </w:tcPr>
          <w:p>
            <w:r>
              <w:rPr>
                <w:sz w:val="17"/>
              </w:rPr>
              <w:t>1,655</w:t>
            </w:r>
          </w:p>
        </w:tc>
        <w:tc>
          <w:tcPr>
            <w:tcW w:type="dxa" w:w="1440"/>
            <w:shd w:fill="FFDCE0" w:val="clear"/>
          </w:tcPr>
          <w:p>
            <w:r>
              <w:rPr>
                <w:b/>
                <w:color w:val="C00000"/>
                <w:sz w:val="17"/>
              </w:rPr>
              <w:t>-37.5%</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1,146</w:t>
            </w:r>
          </w:p>
        </w:tc>
        <w:tc>
          <w:tcPr>
            <w:tcW w:type="dxa" w:w="1440"/>
            <w:shd w:fill="FFDCE0" w:val="clear"/>
          </w:tcPr>
          <w:p>
            <w:r>
              <w:rPr>
                <w:b/>
                <w:sz w:val="17"/>
              </w:rPr>
              <w:t>1,382</w:t>
            </w:r>
          </w:p>
        </w:tc>
        <w:tc>
          <w:tcPr>
            <w:tcW w:type="dxa" w:w="1440"/>
            <w:shd w:fill="FFDCE0" w:val="clear"/>
          </w:tcPr>
          <w:p>
            <w:r>
              <w:rPr>
                <w:sz w:val="17"/>
              </w:rPr>
              <w:t>1,617</w:t>
            </w:r>
          </w:p>
        </w:tc>
        <w:tc>
          <w:tcPr>
            <w:tcW w:type="dxa" w:w="1440"/>
            <w:shd w:fill="FFDCE0" w:val="clear"/>
          </w:tcPr>
          <w:p>
            <w:r>
              <w:rPr>
                <w:b/>
                <w:color w:val="C00000"/>
                <w:sz w:val="17"/>
              </w:rPr>
              <w:t>-39.4%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(BRVM)**</w:t>
      </w:r>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29,11 milliards FCFA, un niveau modeste dans l'écosystème de la BRVM, positionnant la société comme une valeur de petite à moyenne capitalisation. Le BPA de 160 FCFA indique que chaque action génère un bénéfice de 160 FCFA, ce qui, rapporté au cours de 2 280 FCFA, donne un PER de 14,3x. Ce ratio est supérieur à la moyenne historique de la BRVM (8-12x), suggérant que le marché valorise déjà une partie des perspectives de croissance. Le P/B de 5,06x est particulièrement élevé, signifiant que les investisseurs paient une prime de plus de 400% par rapport à la valeur comptable des actifs, ce qui est exigeant. Enfin, l'EV/EBITDA de 21,2x confirme cette valorisation tendue, la valeur d'entreprise représentant plus de 21 fois le résultat opérationnel brut, un niveau qui laisse peu de marge d'erreur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 enregistré une progression spectaculaire de +62,86%, passant d'un plus bas de 1 350 FCFA à un plus haut de 2 400 FCFA, avant de clôturer à 2 280 FCFA, soit une légère baisse de -0,87% sur la dernière séance. Cette tendance est clairement haussière, mais la récente correction suggère un essoufflement à court terme. La moyenne du cours sur la période (1 860 FCFA) est inférieure à la médiane (1 938 FCFA), indiquant une asymétrie positive avec une concentration des valeurs vers le haut de la fourchette. L'écart-type de 368 FCFA (CV=19,8%) révèle une dispersion modérée, tandis que le kurtosis de -1,511 (distribution platykurtique) signale une absence de pics extrêmes, réduisant le risque de mouvements violents. Le skewness de -0,152 confirme une distribution quasi symétrique. La volatilité annualisée de 48,0% est élevée (&gt;30%), classant NEIC comme un actif à fort risque, nécessitant une gestion attentive.</w:t>
      </w:r>
    </w:p>
    <w:p>
      <w:pPr>
        <w:spacing w:after="120" w:line="276" w:lineRule="auto" w:before="240"/>
      </w:pPr>
      <w:r>
        <w:rPr>
          <w:b/>
          <w:color w:val="003366"/>
          <w:sz w:val="24"/>
        </w:rPr>
        <w:t>**PARTIE 2 : ANALYSE TECHNIQUE DÉTAILLÉE**</w:t>
      </w:r>
    </w:p>
    <w:p>
      <w:pPr>
        <w:spacing w:after="120" w:line="276" w:lineRule="auto"/>
      </w:pPr>
      <w:r>
        <w:t>**Moyennes Mobiles** : Le cours actuel (2 280 FCFA) se positionne au-dessus de la MM20 (2 212,5 FCFA) et de la MM50 (2 175,5 FCFA), confirmant une dynamique haussière de court et moyen terme. La configuration des MM, avec la MM20 au-dessus de la MM50, valide la tendance haussière et justifie la décision d'achat, bien que l'écart relativement faible entre les deux moyennes indique une possible consolidation.</w:t>
      </w:r>
    </w:p>
    <w:p>
      <w:pPr>
        <w:spacing w:after="120" w:line="276" w:lineRule="auto"/>
      </w:pPr>
      <w:r>
        <w:t>**Bandes de Bollinger** : Le cours se situe à 2 280 FCFA, entre la borne supérieure (2 380 FCFA) et la borne inférieure (2 045 FCFA), proche de la partie haute. Cette position suggère une pression acheteuse persistante, mais sans atteindre la zone de surachat extrême. La décision neutre reflète un équilibre entre la tendance haussière et le risque de retour vers la moyenne.</w:t>
      </w:r>
    </w:p>
    <w:p>
      <w:pPr>
        <w:spacing w:after="120" w:line="276" w:lineRule="auto"/>
      </w:pPr>
      <w:r>
        <w:t>**MACD** : Le MACD (28,89) est supérieur à son signal (24,80), indiquant un momentum haussier positif. La divergence positive entre les deux lignes, bien que modérée, confirme la poursuite de la tendance haussière. La décision d'achat est justifiée par cette configuration, mais la prudence est de mise car l'écart pourrait se resserrer en cas de consolidation.</w:t>
      </w:r>
    </w:p>
    <w:p>
      <w:pPr>
        <w:spacing w:after="120" w:line="276" w:lineRule="auto"/>
      </w:pPr>
      <w:r>
        <w:t>**RSI** : Le RSI de 59,03 se situe en zone neutre (30-70), indiquant un équilibre entre les forces acheteuses et vendeuses. Cette valeur suggère que le titre n'est ni suracheté ni survendu, laissant une marge de manœuvre pour une poursuite de la hausse. La décision neutre est cohérente avec cette lecture.</w:t>
      </w:r>
    </w:p>
    <w:p>
      <w:pPr>
        <w:spacing w:after="120" w:line="276" w:lineRule="auto"/>
      </w:pPr>
      <w:r>
        <w:t>**Stochastique** : Le %K (81,25) est inférieur au %D (89,52), formant un croisement baissier en zone de surachat (&gt;80). Ce signal indique un essoufflement du momentum haussier à court terme, justifiant la décision de vente. Les investisseurs devraient surveiller un éventuel repli vers la zone des 2 200 FCFA.</w:t>
      </w:r>
    </w:p>
    <w:p>
      <w:pPr>
        <w:spacing w:after="120" w:line="276" w:lineRule="auto"/>
      </w:pPr>
      <w:r>
        <w:t>**Conclusion technique** : Les indicateurs sont mitigés, avec une tendance haussière de fond (MM, MACD) mais des signaux de surachat à court terme (Stochastique, position dans les bandes). La prudence est recommandée à court terme, avec un possible repli technique avant une reprise de la tendance.</w:t>
      </w:r>
    </w:p>
    <w:p>
      <w:pPr>
        <w:spacing w:after="120" w:line="276" w:lineRule="auto" w:before="240"/>
      </w:pPr>
      <w:r>
        <w:rPr>
          <w:b/>
          <w:color w:val="003366"/>
          <w:sz w:val="24"/>
        </w:rPr>
        <w:t>**PARTIE 3 : ANALYSE FONDAMENTALE (SECTION CRITIQUE)**</w:t>
      </w:r>
    </w:p>
    <w:p>
      <w:pPr>
        <w:spacing w:after="120" w:line="276" w:lineRule="auto"/>
      </w:pPr>
      <w:r>
        <w:t>En 2025, NEIC affiche des données financières solides, avec un chiffre d'affaires de 5,139 milliards FCFA, en baisse de -23,8% par rapport à l'exercice précédent, mais un résultat net de 2,037 milliards FCFA, porté par des éléments exceptionnels. Le ROE de 35,4% et le ROA de 27,3% sont excellents, bien au-dessus des seuils de 15%, témoignant d'une gestion efficace des fonds propres et des actifs. La marge nette de 39,6% est exceptionnellement élevée, mais elle est en partie due à la reprise de provision pour redressement fiscal, comme le souligne le rapport du T3 2025. Le BFR de 1,498 milliard FCFA est positif, mais le délai client de 154,7 jours est préoccupant, indiquant un risque de trésorerie. La trésorerie nette de 4,196 milliards FCFA offre une marge de sécurité confortable. Selon le rapport annuel 2025 (daté de 2026), le résultat net a explosé de +169% à 2,04 milliards FCFA, avec un CA en hausse de 29% à 6,74 milliards FCFA, et un dividende de 2,04 milliards FCFA (100% du résultat). Cependant, le rapport T1 2026 (daté de 2026) montre un CA de 115,1 millions FCFA, en hausse de +137% par rapport au T1 2025, mais une perte nette de -168,9 millions FCFA, bien qu'en amélioration. On estime que l'exercice 2026 pourrait voir une poursuite du redressement, mais la rentabilité dépendra de la capacité à maintenir la croissance du CA et à contrôler les charges opérationnelles.</w:t>
      </w:r>
    </w:p>
    <w:p>
      <w:pPr>
        <w:spacing w:after="120" w:line="276" w:lineRule="auto" w:before="240"/>
      </w:pPr>
      <w:r>
        <w:rPr>
          <w:b/>
          <w:color w:val="003366"/>
          <w:sz w:val="24"/>
        </w:rPr>
        <w:t>**PARTIE 4 : CONCLUSION D'INVESTISSEMENT**</w:t>
      </w:r>
    </w:p>
    <w:p>
      <w:pPr>
        <w:spacing w:after="120" w:line="276" w:lineRule="auto"/>
      </w:pPr>
      <w:r>
        <w:t>La valorisation de NEIC est exigeante, avec un PER de 14,3x et un P/B de 5,06x, indiquant une surévaluation relative par rapport aux fondamentaux historiques. Le comportement du cours, avec une hausse de +62,86% sur 100 jours et une volatilité de 48%, reflète un optimisme marqué, mais les statistiques (kurtosis platykurtique, skewness symétrique) suggèrent un risque de correction. Les signaux techniques sont mitigés, avec une tendance haussière de fond (MM, MACD) mais des signaux de surachat à court terme (Stochastique). Les fondamentaux sont solides, avec un ROE de 35,4%, mais la dépendance aux éléments exceptionnels et la baisse du CA en 2025 (hors reprise) sont des points de vigilance. Les prédictions IA (J+1 à J+10) anticipent une baisse progressive du cours de 2 109 à 1 651 FCFA, contredisant la tendance haussière récente et suggérant un repli technique. En synthèse, la convergence entre la valorisation élevée, les signaux techniques de surachat et les prédictions IA baissières justifie une recommandation de **VENTE** à court terme, avec un niveau de confiance **Moyen** et un risque global **Élevé**. L'horizon d'investissement optimal serait de **court terme (&lt;3 mois)** pour les investisseurs cherchant à sécuriser leurs gains, tandis que les investisseurs à long terme pourraient attendre un repli vers 1 800-1 900 FCFA pour renforcer leur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576.93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2,059 titres</w:t>
            </w:r>
          </w:p>
        </w:tc>
        <w:tc>
          <w:tcPr>
            <w:tcW w:type="dxa" w:w="2268"/>
            <w:shd w:fill="FFF2CC" w:val="clear"/>
          </w:tcPr>
          <w:p>
            <w:r>
              <w:rPr>
                <w:b/>
                <w:color w:val="503200"/>
                <w:sz w:val="16"/>
              </w:rPr>
              <w:t xml:space="preserve">Cours actuel : </w:t>
            </w:r>
            <w:r>
              <w:rPr>
                <w:color w:val="000000"/>
                <w:sz w:val="17"/>
              </w:rPr>
              <w:t>23,325 FCFA</w:t>
            </w:r>
          </w:p>
          <w:p>
            <w:r>
              <w:rPr>
                <w:b/>
                <w:color w:val="503200"/>
                <w:sz w:val="16"/>
              </w:rPr>
              <w:t xml:space="preserve">Var. 100 jours : </w:t>
            </w:r>
            <w:r>
              <w:rPr>
                <w:b/>
                <w:color w:val="007800"/>
                <w:sz w:val="17"/>
              </w:rPr>
              <w:t>+61.98%</w:t>
            </w:r>
          </w:p>
          <w:p>
            <w:r>
              <w:rPr>
                <w:b/>
                <w:color w:val="503200"/>
                <w:sz w:val="16"/>
              </w:rPr>
              <w:t xml:space="preserve">Plus haut 100j : </w:t>
            </w:r>
            <w:r>
              <w:rPr>
                <w:color w:val="000000"/>
                <w:sz w:val="17"/>
              </w:rPr>
              <w:t>23,650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19.30% (Élevée) — μ=17,310 FCFA, σ=3,341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β=1.4272 (Agressif) — Cov=0.000052, Var(idx)=0.000036, ρ=0.363,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2,059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2026-08-03</w:t>
            </w:r>
          </w:p>
        </w:tc>
        <w:tc>
          <w:tcPr>
            <w:tcW w:type="dxa" w:w="1440"/>
            <w:shd w:fill="C6EFCE" w:val="clear"/>
          </w:tcPr>
          <w:p>
            <w:r>
              <w:rPr>
                <w:sz w:val="17"/>
              </w:rPr>
              <w:t>22,858</w:t>
            </w:r>
          </w:p>
        </w:tc>
        <w:tc>
          <w:tcPr>
            <w:tcW w:type="dxa" w:w="1440"/>
            <w:shd w:fill="C6EFCE" w:val="clear"/>
          </w:tcPr>
          <w:p>
            <w:r>
              <w:rPr>
                <w:b/>
                <w:sz w:val="17"/>
              </w:rPr>
              <w:t>23,844</w:t>
            </w:r>
          </w:p>
        </w:tc>
        <w:tc>
          <w:tcPr>
            <w:tcW w:type="dxa" w:w="1440"/>
            <w:shd w:fill="C6EFCE" w:val="clear"/>
          </w:tcPr>
          <w:p>
            <w:r>
              <w:rPr>
                <w:sz w:val="17"/>
              </w:rPr>
              <w:t>24,829</w:t>
            </w:r>
          </w:p>
        </w:tc>
        <w:tc>
          <w:tcPr>
            <w:tcW w:type="dxa" w:w="1440"/>
            <w:shd w:fill="C6EFCE" w:val="clear"/>
          </w:tcPr>
          <w:p>
            <w:r>
              <w:rPr>
                <w:b/>
                <w:color w:val="008000"/>
                <w:sz w:val="17"/>
              </w:rPr>
              <w:t>+2.2%</w:t>
            </w:r>
          </w:p>
        </w:tc>
      </w:tr>
      <w:tr>
        <w:tc>
          <w:tcPr>
            <w:tcW w:type="dxa" w:w="1440"/>
            <w:shd w:fill="C6EFCE" w:val="clear"/>
          </w:tcPr>
          <w:p>
            <w:r>
              <w:rPr>
                <w:sz w:val="17"/>
              </w:rPr>
              <w:t>J+2  Moyenne</w:t>
            </w:r>
          </w:p>
        </w:tc>
        <w:tc>
          <w:tcPr>
            <w:tcW w:type="dxa" w:w="1440"/>
            <w:shd w:fill="C6EFCE" w:val="clear"/>
          </w:tcPr>
          <w:p>
            <w:r>
              <w:rPr>
                <w:sz w:val="17"/>
              </w:rPr>
              <w:t>2026-08-04</w:t>
            </w:r>
          </w:p>
        </w:tc>
        <w:tc>
          <w:tcPr>
            <w:tcW w:type="dxa" w:w="1440"/>
            <w:shd w:fill="C6EFCE" w:val="clear"/>
          </w:tcPr>
          <w:p>
            <w:r>
              <w:rPr>
                <w:sz w:val="17"/>
              </w:rPr>
              <w:t>22,837</w:t>
            </w:r>
          </w:p>
        </w:tc>
        <w:tc>
          <w:tcPr>
            <w:tcW w:type="dxa" w:w="1440"/>
            <w:shd w:fill="C6EFCE" w:val="clear"/>
          </w:tcPr>
          <w:p>
            <w:r>
              <w:rPr>
                <w:b/>
                <w:sz w:val="17"/>
              </w:rPr>
              <w:t>24,255</w:t>
            </w:r>
          </w:p>
        </w:tc>
        <w:tc>
          <w:tcPr>
            <w:tcW w:type="dxa" w:w="1440"/>
            <w:shd w:fill="C6EFCE" w:val="clear"/>
          </w:tcPr>
          <w:p>
            <w:r>
              <w:rPr>
                <w:sz w:val="17"/>
              </w:rPr>
              <w:t>25,672</w:t>
            </w:r>
          </w:p>
        </w:tc>
        <w:tc>
          <w:tcPr>
            <w:tcW w:type="dxa" w:w="1440"/>
            <w:shd w:fill="C6EFCE" w:val="clear"/>
          </w:tcPr>
          <w:p>
            <w:r>
              <w:rPr>
                <w:b/>
                <w:color w:val="008000"/>
                <w:sz w:val="17"/>
              </w:rPr>
              <w:t>+4.0%</w:t>
            </w:r>
          </w:p>
        </w:tc>
      </w:tr>
      <w:tr>
        <w:tc>
          <w:tcPr>
            <w:tcW w:type="dxa" w:w="1440"/>
            <w:shd w:fill="C6EFCE" w:val="clear"/>
          </w:tcPr>
          <w:p>
            <w:r>
              <w:rPr>
                <w:sz w:val="17"/>
              </w:rPr>
              <w:t>J+3  Moyenne</w:t>
            </w:r>
          </w:p>
        </w:tc>
        <w:tc>
          <w:tcPr>
            <w:tcW w:type="dxa" w:w="1440"/>
            <w:shd w:fill="C6EFCE" w:val="clear"/>
          </w:tcPr>
          <w:p>
            <w:r>
              <w:rPr>
                <w:sz w:val="17"/>
              </w:rPr>
              <w:t>2026-08-05</w:t>
            </w:r>
          </w:p>
        </w:tc>
        <w:tc>
          <w:tcPr>
            <w:tcW w:type="dxa" w:w="1440"/>
            <w:shd w:fill="C6EFCE" w:val="clear"/>
          </w:tcPr>
          <w:p>
            <w:r>
              <w:rPr>
                <w:sz w:val="17"/>
              </w:rPr>
              <w:t>22,890</w:t>
            </w:r>
          </w:p>
        </w:tc>
        <w:tc>
          <w:tcPr>
            <w:tcW w:type="dxa" w:w="1440"/>
            <w:shd w:fill="C6EFCE" w:val="clear"/>
          </w:tcPr>
          <w:p>
            <w:r>
              <w:rPr>
                <w:b/>
                <w:sz w:val="17"/>
              </w:rPr>
              <w:t>24,655</w:t>
            </w:r>
          </w:p>
        </w:tc>
        <w:tc>
          <w:tcPr>
            <w:tcW w:type="dxa" w:w="1440"/>
            <w:shd w:fill="C6EFCE" w:val="clear"/>
          </w:tcPr>
          <w:p>
            <w:r>
              <w:rPr>
                <w:sz w:val="17"/>
              </w:rPr>
              <w:t>26,420</w:t>
            </w:r>
          </w:p>
        </w:tc>
        <w:tc>
          <w:tcPr>
            <w:tcW w:type="dxa" w:w="1440"/>
            <w:shd w:fill="C6EFCE" w:val="clear"/>
          </w:tcPr>
          <w:p>
            <w:r>
              <w:rPr>
                <w:b/>
                <w:color w:val="008000"/>
                <w:sz w:val="17"/>
              </w:rPr>
              <w:t>+5.7%</w:t>
            </w:r>
          </w:p>
        </w:tc>
      </w:tr>
      <w:tr>
        <w:tc>
          <w:tcPr>
            <w:tcW w:type="dxa" w:w="1440"/>
            <w:shd w:fill="C6EFCE" w:val="clear"/>
          </w:tcPr>
          <w:p>
            <w:r>
              <w:rPr>
                <w:sz w:val="17"/>
              </w:rPr>
              <w:t>J+4  ⭐</w:t>
            </w:r>
          </w:p>
        </w:tc>
        <w:tc>
          <w:tcPr>
            <w:tcW w:type="dxa" w:w="1440"/>
            <w:shd w:fill="C6EFCE" w:val="clear"/>
          </w:tcPr>
          <w:p>
            <w:r>
              <w:rPr>
                <w:sz w:val="17"/>
              </w:rPr>
              <w:t>2026-08-06</w:t>
            </w:r>
          </w:p>
        </w:tc>
        <w:tc>
          <w:tcPr>
            <w:tcW w:type="dxa" w:w="1440"/>
            <w:shd w:fill="C6EFCE" w:val="clear"/>
          </w:tcPr>
          <w:p>
            <w:r>
              <w:rPr>
                <w:sz w:val="17"/>
              </w:rPr>
              <w:t>22,975</w:t>
            </w:r>
          </w:p>
        </w:tc>
        <w:tc>
          <w:tcPr>
            <w:tcW w:type="dxa" w:w="1440"/>
            <w:shd w:fill="C6EFCE" w:val="clear"/>
          </w:tcPr>
          <w:p>
            <w:r>
              <w:rPr>
                <w:b/>
                <w:sz w:val="17"/>
              </w:rPr>
              <w:t>25,046</w:t>
            </w:r>
          </w:p>
        </w:tc>
        <w:tc>
          <w:tcPr>
            <w:tcW w:type="dxa" w:w="1440"/>
            <w:shd w:fill="C6EFCE" w:val="clear"/>
          </w:tcPr>
          <w:p>
            <w:r>
              <w:rPr>
                <w:sz w:val="17"/>
              </w:rPr>
              <w:t>27,116</w:t>
            </w:r>
          </w:p>
        </w:tc>
        <w:tc>
          <w:tcPr>
            <w:tcW w:type="dxa" w:w="1440"/>
            <w:shd w:fill="C6EFCE" w:val="clear"/>
          </w:tcPr>
          <w:p>
            <w:r>
              <w:rPr>
                <w:b/>
                <w:color w:val="008000"/>
                <w:sz w:val="17"/>
              </w:rPr>
              <w:t>+7.4%</w:t>
            </w:r>
          </w:p>
        </w:tc>
      </w:tr>
      <w:tr>
        <w:tc>
          <w:tcPr>
            <w:tcW w:type="dxa" w:w="1440"/>
            <w:shd w:fill="C6EFCE" w:val="clear"/>
          </w:tcPr>
          <w:p>
            <w:r>
              <w:rPr>
                <w:sz w:val="17"/>
              </w:rPr>
              <w:t>J+5  ⭐</w:t>
            </w:r>
          </w:p>
        </w:tc>
        <w:tc>
          <w:tcPr>
            <w:tcW w:type="dxa" w:w="1440"/>
            <w:shd w:fill="C6EFCE" w:val="clear"/>
          </w:tcPr>
          <w:p>
            <w:r>
              <w:rPr>
                <w:sz w:val="17"/>
              </w:rPr>
              <w:t>2026-08-10</w:t>
            </w:r>
          </w:p>
        </w:tc>
        <w:tc>
          <w:tcPr>
            <w:tcW w:type="dxa" w:w="1440"/>
            <w:shd w:fill="C6EFCE" w:val="clear"/>
          </w:tcPr>
          <w:p>
            <w:r>
              <w:rPr>
                <w:sz w:val="17"/>
              </w:rPr>
              <w:t>23,083</w:t>
            </w:r>
          </w:p>
        </w:tc>
        <w:tc>
          <w:tcPr>
            <w:tcW w:type="dxa" w:w="1440"/>
            <w:shd w:fill="C6EFCE" w:val="clear"/>
          </w:tcPr>
          <w:p>
            <w:r>
              <w:rPr>
                <w:b/>
                <w:sz w:val="17"/>
              </w:rPr>
              <w:t>25,434</w:t>
            </w:r>
          </w:p>
        </w:tc>
        <w:tc>
          <w:tcPr>
            <w:tcW w:type="dxa" w:w="1440"/>
            <w:shd w:fill="C6EFCE" w:val="clear"/>
          </w:tcPr>
          <w:p>
            <w:r>
              <w:rPr>
                <w:sz w:val="17"/>
              </w:rPr>
              <w:t>27,784</w:t>
            </w:r>
          </w:p>
        </w:tc>
        <w:tc>
          <w:tcPr>
            <w:tcW w:type="dxa" w:w="1440"/>
            <w:shd w:fill="C6EFCE" w:val="clear"/>
          </w:tcPr>
          <w:p>
            <w:r>
              <w:rPr>
                <w:b/>
                <w:color w:val="008000"/>
                <w:sz w:val="17"/>
              </w:rPr>
              <w:t>+9.0%</w:t>
            </w:r>
          </w:p>
        </w:tc>
      </w:tr>
      <w:tr>
        <w:tc>
          <w:tcPr>
            <w:tcW w:type="dxa" w:w="1440"/>
            <w:shd w:fill="C6EFCE" w:val="clear"/>
          </w:tcPr>
          <w:p>
            <w:r>
              <w:rPr>
                <w:sz w:val="17"/>
              </w:rPr>
              <w:t>J+6  ⭐</w:t>
            </w:r>
          </w:p>
        </w:tc>
        <w:tc>
          <w:tcPr>
            <w:tcW w:type="dxa" w:w="1440"/>
            <w:shd w:fill="C6EFCE" w:val="clear"/>
          </w:tcPr>
          <w:p>
            <w:r>
              <w:rPr>
                <w:sz w:val="17"/>
              </w:rPr>
              <w:t>2026-08-11</w:t>
            </w:r>
          </w:p>
        </w:tc>
        <w:tc>
          <w:tcPr>
            <w:tcW w:type="dxa" w:w="1440"/>
            <w:shd w:fill="C6EFCE" w:val="clear"/>
          </w:tcPr>
          <w:p>
            <w:r>
              <w:rPr>
                <w:sz w:val="17"/>
              </w:rPr>
              <w:t>23,207</w:t>
            </w:r>
          </w:p>
        </w:tc>
        <w:tc>
          <w:tcPr>
            <w:tcW w:type="dxa" w:w="1440"/>
            <w:shd w:fill="C6EFCE" w:val="clear"/>
          </w:tcPr>
          <w:p>
            <w:r>
              <w:rPr>
                <w:b/>
                <w:sz w:val="17"/>
              </w:rPr>
              <w:t>25,821</w:t>
            </w:r>
          </w:p>
        </w:tc>
        <w:tc>
          <w:tcPr>
            <w:tcW w:type="dxa" w:w="1440"/>
            <w:shd w:fill="C6EFCE" w:val="clear"/>
          </w:tcPr>
          <w:p>
            <w:r>
              <w:rPr>
                <w:sz w:val="17"/>
              </w:rPr>
              <w:t>28,435</w:t>
            </w:r>
          </w:p>
        </w:tc>
        <w:tc>
          <w:tcPr>
            <w:tcW w:type="dxa" w:w="1440"/>
            <w:shd w:fill="C6EFCE" w:val="clear"/>
          </w:tcPr>
          <w:p>
            <w:r>
              <w:rPr>
                <w:b/>
                <w:color w:val="008000"/>
                <w:sz w:val="17"/>
              </w:rPr>
              <w:t>+10.7%</w:t>
            </w:r>
          </w:p>
        </w:tc>
      </w:tr>
      <w:tr>
        <w:tc>
          <w:tcPr>
            <w:tcW w:type="dxa" w:w="1440"/>
            <w:shd w:fill="C6EFCE" w:val="clear"/>
          </w:tcPr>
          <w:p>
            <w:r>
              <w:rPr>
                <w:sz w:val="17"/>
              </w:rPr>
              <w:t>J+7  ⭐</w:t>
            </w:r>
          </w:p>
        </w:tc>
        <w:tc>
          <w:tcPr>
            <w:tcW w:type="dxa" w:w="1440"/>
            <w:shd w:fill="C6EFCE" w:val="clear"/>
          </w:tcPr>
          <w:p>
            <w:r>
              <w:rPr>
                <w:sz w:val="17"/>
              </w:rPr>
              <w:t>2026-08-12</w:t>
            </w:r>
          </w:p>
        </w:tc>
        <w:tc>
          <w:tcPr>
            <w:tcW w:type="dxa" w:w="1440"/>
            <w:shd w:fill="C6EFCE" w:val="clear"/>
          </w:tcPr>
          <w:p>
            <w:r>
              <w:rPr>
                <w:sz w:val="17"/>
              </w:rPr>
              <w:t>23,341</w:t>
            </w:r>
          </w:p>
        </w:tc>
        <w:tc>
          <w:tcPr>
            <w:tcW w:type="dxa" w:w="1440"/>
            <w:shd w:fill="C6EFCE" w:val="clear"/>
          </w:tcPr>
          <w:p>
            <w:r>
              <w:rPr>
                <w:b/>
                <w:sz w:val="17"/>
              </w:rPr>
              <w:t>26,207</w:t>
            </w:r>
          </w:p>
        </w:tc>
        <w:tc>
          <w:tcPr>
            <w:tcW w:type="dxa" w:w="1440"/>
            <w:shd w:fill="C6EFCE" w:val="clear"/>
          </w:tcPr>
          <w:p>
            <w:r>
              <w:rPr>
                <w:sz w:val="17"/>
              </w:rPr>
              <w:t>29,073</w:t>
            </w:r>
          </w:p>
        </w:tc>
        <w:tc>
          <w:tcPr>
            <w:tcW w:type="dxa" w:w="1440"/>
            <w:shd w:fill="C6EFCE" w:val="clear"/>
          </w:tcPr>
          <w:p>
            <w:r>
              <w:rPr>
                <w:b/>
                <w:color w:val="008000"/>
                <w:sz w:val="17"/>
              </w:rPr>
              <w:t>+12.4%</w:t>
            </w:r>
          </w:p>
        </w:tc>
      </w:tr>
      <w:tr>
        <w:tc>
          <w:tcPr>
            <w:tcW w:type="dxa" w:w="1440"/>
            <w:shd w:fill="C6EFCE" w:val="clear"/>
          </w:tcPr>
          <w:p>
            <w:r>
              <w:rPr>
                <w:sz w:val="17"/>
              </w:rPr>
              <w:t>J+8  ⭐</w:t>
            </w:r>
          </w:p>
        </w:tc>
        <w:tc>
          <w:tcPr>
            <w:tcW w:type="dxa" w:w="1440"/>
            <w:shd w:fill="C6EFCE" w:val="clear"/>
          </w:tcPr>
          <w:p>
            <w:r>
              <w:rPr>
                <w:sz w:val="17"/>
              </w:rPr>
              <w:t>2026-08-13</w:t>
            </w:r>
          </w:p>
        </w:tc>
        <w:tc>
          <w:tcPr>
            <w:tcW w:type="dxa" w:w="1440"/>
            <w:shd w:fill="C6EFCE" w:val="clear"/>
          </w:tcPr>
          <w:p>
            <w:r>
              <w:rPr>
                <w:sz w:val="17"/>
              </w:rPr>
              <w:t>23,483</w:t>
            </w:r>
          </w:p>
        </w:tc>
        <w:tc>
          <w:tcPr>
            <w:tcW w:type="dxa" w:w="1440"/>
            <w:shd w:fill="C6EFCE" w:val="clear"/>
          </w:tcPr>
          <w:p>
            <w:r>
              <w:rPr>
                <w:b/>
                <w:sz w:val="17"/>
              </w:rPr>
              <w:t>26,592</w:t>
            </w:r>
          </w:p>
        </w:tc>
        <w:tc>
          <w:tcPr>
            <w:tcW w:type="dxa" w:w="1440"/>
            <w:shd w:fill="C6EFCE" w:val="clear"/>
          </w:tcPr>
          <w:p>
            <w:r>
              <w:rPr>
                <w:sz w:val="17"/>
              </w:rPr>
              <w:t>29,701</w:t>
            </w:r>
          </w:p>
        </w:tc>
        <w:tc>
          <w:tcPr>
            <w:tcW w:type="dxa" w:w="1440"/>
            <w:shd w:fill="C6EFCE" w:val="clear"/>
          </w:tcPr>
          <w:p>
            <w:r>
              <w:rPr>
                <w:b/>
                <w:color w:val="008000"/>
                <w:sz w:val="17"/>
              </w:rPr>
              <w:t>+14.0%</w:t>
            </w:r>
          </w:p>
        </w:tc>
      </w:tr>
      <w:tr>
        <w:tc>
          <w:tcPr>
            <w:tcW w:type="dxa" w:w="1440"/>
            <w:shd w:fill="C6EFCE" w:val="clear"/>
          </w:tcPr>
          <w:p>
            <w:r>
              <w:rPr>
                <w:sz w:val="17"/>
              </w:rPr>
              <w:t>J+9  ⭐</w:t>
            </w:r>
          </w:p>
        </w:tc>
        <w:tc>
          <w:tcPr>
            <w:tcW w:type="dxa" w:w="1440"/>
            <w:shd w:fill="C6EFCE" w:val="clear"/>
          </w:tcPr>
          <w:p>
            <w:r>
              <w:rPr>
                <w:sz w:val="17"/>
              </w:rPr>
              <w:t>2026-08-14</w:t>
            </w:r>
          </w:p>
        </w:tc>
        <w:tc>
          <w:tcPr>
            <w:tcW w:type="dxa" w:w="1440"/>
            <w:shd w:fill="C6EFCE" w:val="clear"/>
          </w:tcPr>
          <w:p>
            <w:r>
              <w:rPr>
                <w:sz w:val="17"/>
              </w:rPr>
              <w:t>23,631</w:t>
            </w:r>
          </w:p>
        </w:tc>
        <w:tc>
          <w:tcPr>
            <w:tcW w:type="dxa" w:w="1440"/>
            <w:shd w:fill="C6EFCE" w:val="clear"/>
          </w:tcPr>
          <w:p>
            <w:r>
              <w:rPr>
                <w:b/>
                <w:sz w:val="17"/>
              </w:rPr>
              <w:t>26,976</w:t>
            </w:r>
          </w:p>
        </w:tc>
        <w:tc>
          <w:tcPr>
            <w:tcW w:type="dxa" w:w="1440"/>
            <w:shd w:fill="C6EFCE" w:val="clear"/>
          </w:tcPr>
          <w:p>
            <w:r>
              <w:rPr>
                <w:sz w:val="17"/>
              </w:rPr>
              <w:t>30,321</w:t>
            </w:r>
          </w:p>
        </w:tc>
        <w:tc>
          <w:tcPr>
            <w:tcW w:type="dxa" w:w="1440"/>
            <w:shd w:fill="C6EFCE" w:val="clear"/>
          </w:tcPr>
          <w:p>
            <w:r>
              <w:rPr>
                <w:b/>
                <w:color w:val="008000"/>
                <w:sz w:val="17"/>
              </w:rPr>
              <w:t>+15.7%</w:t>
            </w:r>
          </w:p>
        </w:tc>
      </w:tr>
      <w:tr>
        <w:tc>
          <w:tcPr>
            <w:tcW w:type="dxa" w:w="1440"/>
            <w:shd w:fill="C6EFCE" w:val="clear"/>
          </w:tcPr>
          <w:p>
            <w:r>
              <w:rPr>
                <w:sz w:val="17"/>
              </w:rPr>
              <w:t>J+10  ⭐</w:t>
            </w:r>
          </w:p>
        </w:tc>
        <w:tc>
          <w:tcPr>
            <w:tcW w:type="dxa" w:w="1440"/>
            <w:shd w:fill="C6EFCE" w:val="clear"/>
          </w:tcPr>
          <w:p>
            <w:r>
              <w:rPr>
                <w:sz w:val="17"/>
              </w:rPr>
              <w:t>2026-08-17</w:t>
            </w:r>
          </w:p>
        </w:tc>
        <w:tc>
          <w:tcPr>
            <w:tcW w:type="dxa" w:w="1440"/>
            <w:shd w:fill="C6EFCE" w:val="clear"/>
          </w:tcPr>
          <w:p>
            <w:r>
              <w:rPr>
                <w:sz w:val="17"/>
              </w:rPr>
              <w:t>23,782</w:t>
            </w:r>
          </w:p>
        </w:tc>
        <w:tc>
          <w:tcPr>
            <w:tcW w:type="dxa" w:w="1440"/>
            <w:shd w:fill="C6EFCE" w:val="clear"/>
          </w:tcPr>
          <w:p>
            <w:r>
              <w:rPr>
                <w:b/>
                <w:sz w:val="17"/>
              </w:rPr>
              <w:t>27,358</w:t>
            </w:r>
          </w:p>
        </w:tc>
        <w:tc>
          <w:tcPr>
            <w:tcW w:type="dxa" w:w="1440"/>
            <w:shd w:fill="C6EFCE" w:val="clear"/>
          </w:tcPr>
          <w:p>
            <w:r>
              <w:rPr>
                <w:sz w:val="17"/>
              </w:rPr>
              <w:t>30,934</w:t>
            </w:r>
          </w:p>
        </w:tc>
        <w:tc>
          <w:tcPr>
            <w:tcW w:type="dxa" w:w="1440"/>
            <w:shd w:fill="C6EFCE" w:val="clear"/>
          </w:tcPr>
          <w:p>
            <w:r>
              <w:rPr>
                <w:b/>
                <w:color w:val="008000"/>
                <w:sz w:val="17"/>
              </w:rPr>
              <w:t>+17.3%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**Date de l'analyse : 31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NSBC s'établit à 576,93 milliards FCFA, ce qui positionne le titre parmi les valeurs bancaires majeures de la BRVM. Avec un BPA de 1 646 FCFA, chaque action génère un bénéfice substantiel, justifiant un PER de 14,2x. Ce ratio, bien que supérieur à la moyenne historique du marché (~8-12x), reste modéré pour une banque affichant une croissance à deux chiffres, indiquant que les investisseurs acceptent de payer une prime raisonnable pour la qualité des bénéfices. Le P/B de 2,47x confirme cette prime de croissance, le marché valorisant la société à 2,5 fois ses capitaux propres, ce qui reflète une confiance dans la création de valeur future. En revanche, l'EV/EBITDA de 21,6x est nettement plus exigeant, signalant que la valorisation totale de l'entreprise, rapportée à sa capacité opérationnelle, est élevée et intègre des anticipations de performance soutenue.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NSBC a enregistré une progression spectaculaire de +61,98%, avec une légère hausse de +0,52% lors de la dernière séance, clôturant à 23 325 FCFA. Le titre a évolué dans une fourchette très large, entre un plus bas de 13 810 FCFA et un plus haut de 23 650 FCFA, démontrant une forte dynamique haussière. La moyenne du cours sur la période (17 310 FCFA) est inférieure à la médiane (17 940 FCFA), ce qui, combiné à un skewness positif de 0,384, indique une distribution légèrement asymétrique avec une queue de distribution vers les valeurs hautes, typique d'un marché en forte accélération. L'écart-type de 3 358 FCFA (CV de 19,4%) révèle une dispersion modérée des prix autour de la moyenne. Le kurtosis négatif (-1,311) signale une distribution platykurtique, avec moins de valeurs extrêmes que la normale, suggérant des mouvements de prix relativement réguliers. Enfin, la volatilité annualisée de 37,5% classe NSBC comme un titre à forte volatilité, offrant un potentiel de rendement élevé mais également un risque accru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23 325 FCFA se situe nettement au-dessus de la MM20 (22 318 FCFA) et de la MM50 (20 364 FCFA), confirmant une tendance haussière solide à court et moyen terme. L'écart positif entre le prix et les moyennes indique une forte pression acheteuse, justifiant la décision d'achat.</w:t>
      </w:r>
    </w:p>
    <w:p>
      <w:pPr>
        <w:spacing w:after="120" w:line="276" w:lineRule="auto"/>
      </w:pPr>
      <w:r>
        <w:t>**Bandes de Bollinger** : Le prix évolue dans la partie supérieure des bandes, proche de la borne haute (24 352 FCFA) et loin de la borne basse (20 283 FCFA). Cette configuration signale une volatilité élevée et une dynamique positive, mais le fait que le prix ne touche pas la borne supérieure suggère une possible consolidation, d'où la décision neutre.</w:t>
      </w:r>
    </w:p>
    <w:p>
      <w:pPr>
        <w:spacing w:after="120" w:line="276" w:lineRule="auto"/>
      </w:pPr>
      <w:r>
        <w:t>**MACD** : Le MACD (973,46) est légèrement inférieur à son signal (1 009,80), indiquant un affaiblissement du momentum haussier à très court terme. Cette divergence négative, bien que mineure, suggère une possible pause dans la tendance, justifiant la décision de vente.</w:t>
      </w:r>
    </w:p>
    <w:p>
      <w:pPr>
        <w:spacing w:after="120" w:line="276" w:lineRule="auto"/>
      </w:pPr>
      <w:r>
        <w:t>**RSI** : À 59,58, le RSI se situe en zone neutre, sans signal de surachat ni de survente. Cette valeur indique que le titre dispose encore d'une marge de progression avant d'atteindre des conditions de surachat, d'où la décision neutre.</w:t>
      </w:r>
    </w:p>
    <w:p>
      <w:pPr>
        <w:spacing w:after="120" w:line="276" w:lineRule="auto"/>
      </w:pPr>
      <w:r>
        <w:t>**Stochastique** : Le %K (87,74) et le %D (83,40) sont tous deux en zone de surachat, avec un %K au-dessus de %D. Cette configuration signale une possible correction à venir, justifiant la décision de vente.</w:t>
      </w:r>
    </w:p>
    <w:p>
      <w:pPr>
        <w:spacing w:after="120" w:line="276" w:lineRule="auto"/>
      </w:pPr>
      <w:r>
        <w:t>**Conclusion technique** : Les indicateurs sont mitigés : la tendance de fond reste haussière (MM), mais les oscillateurs (MACD, Stochastique) montrent des signes d'essoufflement à court terme. Le RSI neutre et les bandes de Bollinger suggèrent une consolidation possible avant la poursuite de la hausse. La prudence est donc de mise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2025, NSBC a réalisé un Produit Net Bancaire (PNB) de 112,93 milliards FCFA, en hausse de 15% par rapport à 2024, avec un résultat net de 40,71 milliards FCFA (+7%). La rentabilité des fonds propres (ROE) s'établit à un excellent niveau de 17,45%, et le ROA à 1,32%. Le coefficient d'exploitation de 54,59% témoigne d'une gestion efficace, bien que le coût du risque de 7,54% des charges financières soit un point de vigilance. Les dépôts clientèle (2 242 milliards FCFA) couvrent largement les créances clientèle (1 818 milliards FCFA), assurant une transformation saine. Selon le rapport T1 2026 (daté du 31 mars 2026), la dynamique s'accélère : le PNB progresse de 28% à 28,6 milliards FCFA et le résultat net bondit de 53% à 10,9 milliards FCFA, porté par l'activité titres et une maîtrise du coût du risque. Sur la base de ces performances trimestrielles, on estime que l'exercice 2026 pourrait voir un PNB dépasser 130 milliards FCFA et un résultat net supérieur à 50 milliards FCFA, confirmant la trajectoire de croissance. La banque, bien capitalisée (capitaux propres de 233,3 milliards FCFA), est solidement positionnée pour bénéficier du Plan National de Développement 2026-2030 de la Côte d'Ivoire.</w:t>
      </w:r>
    </w:p>
    <w:p>
      <w:pPr>
        <w:spacing w:after="120" w:line="276" w:lineRule="auto"/>
      </w:pPr>
      <w:r>
        <w:t>---</w:t>
      </w:r>
    </w:p>
    <w:p>
      <w:pPr>
        <w:spacing w:after="120" w:line="276" w:lineRule="auto"/>
      </w:pPr>
      <w:r>
        <w:t>### PARTIE 4 : CONCLUSION D'INVESTISSEMENT</w:t>
      </w:r>
    </w:p>
    <w:p>
      <w:pPr>
        <w:spacing w:after="120" w:line="276" w:lineRule="auto"/>
      </w:pPr>
      <w:r>
        <w:t>La valorisation de NSBC (PER 14,2x, P/B 2,47x) est exigeante mais justifiée par des fondamentaux solides et une croissance soutenue. Le comportement du cours sur 100 jours (+62%) avec une volatilité élevée (37,5%) reflète un fort intérêt des investisseurs, mais les statistiques (kurtosis platykurtique) suggèrent une certaine régularité dans les mouvements. Les signaux techniques sont partagés : la tendance de fond est haussière, mais les indicateurs de momentum (MACD, Stochastique) appellent à une prudence à court terme. Les fondamentaux sont excellents, avec une croissance du résultat net de 53% au T1 2026 et des perspectives 2026 très favorables. Les prédictions IA (23 844 à 25 434 FCFA sur 10 jours) confirment une poursuite de la hausse, en cohérence avec la tendance et les fondamentaux. En synthèse, la convergence entre la solidité financière, la dynamique de croissance et les prévisions de cours plaide pour une recommandation **ACHAT**, avec un niveau de confiance **Élevé**. Le risque global est **Moyen**, principalement lié à la volatilité du titre et à la concentration de la performance sur l'activité titres. L'horizon d'investissement optimal est le **moyen terme (3-12 mois)** pour capitaliser sur la croissance tout en gérant la volatilité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364.16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1,962 titres</w:t>
            </w:r>
          </w:p>
        </w:tc>
        <w:tc>
          <w:tcPr>
            <w:tcW w:type="dxa" w:w="2268"/>
            <w:shd w:fill="FFF2CC" w:val="clear"/>
          </w:tcPr>
          <w:p>
            <w:r>
              <w:rPr>
                <w:b/>
                <w:color w:val="503200"/>
                <w:sz w:val="16"/>
              </w:rPr>
              <w:t xml:space="preserve">Cours actuel : </w:t>
            </w:r>
            <w:r>
              <w:rPr>
                <w:color w:val="000000"/>
                <w:sz w:val="17"/>
              </w:rPr>
              <w:t>16,500 FCFA</w:t>
            </w:r>
          </w:p>
          <w:p>
            <w:r>
              <w:rPr>
                <w:b/>
                <w:color w:val="503200"/>
                <w:sz w:val="16"/>
              </w:rPr>
              <w:t xml:space="preserve">Var. 100 jours : </w:t>
            </w:r>
            <w:r>
              <w:rPr>
                <w:b/>
                <w:color w:val="007800"/>
                <w:sz w:val="17"/>
              </w:rPr>
              <w:t>+32.00%</w:t>
            </w:r>
          </w:p>
          <w:p>
            <w:r>
              <w:rPr>
                <w:b/>
                <w:color w:val="503200"/>
                <w:sz w:val="16"/>
              </w:rPr>
              <w:t xml:space="preserve">Plus haut 100j : </w:t>
            </w:r>
            <w:r>
              <w:rPr>
                <w:color w:val="000000"/>
                <w:sz w:val="17"/>
              </w:rPr>
              <w:t>16,550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12.49% (Moyenne) — μ=13,727 FCFA, σ=1,714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β=0.3052 (Défensif) — Cov=0.000011, Var(idx)=0.000036, ρ=0.086,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1,962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σ_j=2.11%/j (Stable) — Vol. annualisée≈33.5%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2026-08-03</w:t>
            </w:r>
          </w:p>
        </w:tc>
        <w:tc>
          <w:tcPr>
            <w:tcW w:type="dxa" w:w="1440"/>
            <w:shd w:fill="FAFAFA" w:val="clear"/>
          </w:tcPr>
          <w:p>
            <w:r>
              <w:rPr>
                <w:sz w:val="17"/>
              </w:rPr>
              <w:t>15,917</w:t>
            </w:r>
          </w:p>
        </w:tc>
        <w:tc>
          <w:tcPr>
            <w:tcW w:type="dxa" w:w="1440"/>
            <w:shd w:fill="FAFAFA" w:val="clear"/>
          </w:tcPr>
          <w:p>
            <w:r>
              <w:rPr>
                <w:b/>
                <w:sz w:val="17"/>
              </w:rPr>
              <w:t>16,291</w:t>
            </w:r>
          </w:p>
        </w:tc>
        <w:tc>
          <w:tcPr>
            <w:tcW w:type="dxa" w:w="1440"/>
            <w:shd w:fill="FAFAFA" w:val="clear"/>
          </w:tcPr>
          <w:p>
            <w:r>
              <w:rPr>
                <w:sz w:val="17"/>
              </w:rPr>
              <w:t>16,665</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2026-08-04</w:t>
            </w:r>
          </w:p>
        </w:tc>
        <w:tc>
          <w:tcPr>
            <w:tcW w:type="dxa" w:w="1440"/>
            <w:shd w:fill="FAFAFA" w:val="clear"/>
          </w:tcPr>
          <w:p>
            <w:r>
              <w:rPr>
                <w:sz w:val="17"/>
              </w:rPr>
              <w:t>15,733</w:t>
            </w:r>
          </w:p>
        </w:tc>
        <w:tc>
          <w:tcPr>
            <w:tcW w:type="dxa" w:w="1440"/>
            <w:shd w:fill="FAFAFA" w:val="clear"/>
          </w:tcPr>
          <w:p>
            <w:r>
              <w:rPr>
                <w:b/>
                <w:sz w:val="17"/>
              </w:rPr>
              <w:t>16,261</w:t>
            </w:r>
          </w:p>
        </w:tc>
        <w:tc>
          <w:tcPr>
            <w:tcW w:type="dxa" w:w="1440"/>
            <w:shd w:fill="FAFAFA" w:val="clear"/>
          </w:tcPr>
          <w:p>
            <w:r>
              <w:rPr>
                <w:sz w:val="17"/>
              </w:rPr>
              <w:t>16,789</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2026-08-05</w:t>
            </w:r>
          </w:p>
        </w:tc>
        <w:tc>
          <w:tcPr>
            <w:tcW w:type="dxa" w:w="1440"/>
            <w:shd w:fill="FAFAFA" w:val="clear"/>
          </w:tcPr>
          <w:p>
            <w:r>
              <w:rPr>
                <w:sz w:val="17"/>
              </w:rPr>
              <w:t>15,572</w:t>
            </w:r>
          </w:p>
        </w:tc>
        <w:tc>
          <w:tcPr>
            <w:tcW w:type="dxa" w:w="1440"/>
            <w:shd w:fill="FAFAFA" w:val="clear"/>
          </w:tcPr>
          <w:p>
            <w:r>
              <w:rPr>
                <w:b/>
                <w:sz w:val="17"/>
              </w:rPr>
              <w:t>16,217</w:t>
            </w:r>
          </w:p>
        </w:tc>
        <w:tc>
          <w:tcPr>
            <w:tcW w:type="dxa" w:w="1440"/>
            <w:shd w:fill="FAFAFA" w:val="clear"/>
          </w:tcPr>
          <w:p>
            <w:r>
              <w:rPr>
                <w:sz w:val="17"/>
              </w:rPr>
              <w:t>16,862</w:t>
            </w:r>
          </w:p>
        </w:tc>
        <w:tc>
          <w:tcPr>
            <w:tcW w:type="dxa" w:w="1440"/>
            <w:shd w:fill="FAFAFA" w:val="clear"/>
          </w:tcPr>
          <w:p>
            <w:r>
              <w:rPr>
                <w:b/>
                <w:color w:val="C00000"/>
                <w:sz w:val="17"/>
              </w:rPr>
              <w:t>-1.7%</w:t>
            </w:r>
          </w:p>
        </w:tc>
      </w:tr>
      <w:tr>
        <w:tc>
          <w:tcPr>
            <w:tcW w:type="dxa" w:w="1440"/>
            <w:shd w:fill="FAFAFA" w:val="clear"/>
          </w:tcPr>
          <w:p>
            <w:r>
              <w:rPr>
                <w:sz w:val="17"/>
              </w:rPr>
              <w:t>J+4  ⭐</w:t>
            </w:r>
          </w:p>
        </w:tc>
        <w:tc>
          <w:tcPr>
            <w:tcW w:type="dxa" w:w="1440"/>
            <w:shd w:fill="FAFAFA" w:val="clear"/>
          </w:tcPr>
          <w:p>
            <w:r>
              <w:rPr>
                <w:sz w:val="17"/>
              </w:rPr>
              <w:t>2026-08-06</w:t>
            </w:r>
          </w:p>
        </w:tc>
        <w:tc>
          <w:tcPr>
            <w:tcW w:type="dxa" w:w="1440"/>
            <w:shd w:fill="FAFAFA" w:val="clear"/>
          </w:tcPr>
          <w:p>
            <w:r>
              <w:rPr>
                <w:sz w:val="17"/>
              </w:rPr>
              <w:t>15,428</w:t>
            </w:r>
          </w:p>
        </w:tc>
        <w:tc>
          <w:tcPr>
            <w:tcW w:type="dxa" w:w="1440"/>
            <w:shd w:fill="FAFAFA" w:val="clear"/>
          </w:tcPr>
          <w:p>
            <w:r>
              <w:rPr>
                <w:b/>
                <w:sz w:val="17"/>
              </w:rPr>
              <w:t>16,171</w:t>
            </w:r>
          </w:p>
        </w:tc>
        <w:tc>
          <w:tcPr>
            <w:tcW w:type="dxa" w:w="1440"/>
            <w:shd w:fill="FAFAFA" w:val="clear"/>
          </w:tcPr>
          <w:p>
            <w:r>
              <w:rPr>
                <w:sz w:val="17"/>
              </w:rPr>
              <w:t>16,913</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15,298</w:t>
            </w:r>
          </w:p>
        </w:tc>
        <w:tc>
          <w:tcPr>
            <w:tcW w:type="dxa" w:w="1440"/>
            <w:shd w:fill="FFDCE0" w:val="clear"/>
          </w:tcPr>
          <w:p>
            <w:r>
              <w:rPr>
                <w:b/>
                <w:sz w:val="17"/>
              </w:rPr>
              <w:t>16,126</w:t>
            </w:r>
          </w:p>
        </w:tc>
        <w:tc>
          <w:tcPr>
            <w:tcW w:type="dxa" w:w="1440"/>
            <w:shd w:fill="FFDCE0" w:val="clear"/>
          </w:tcPr>
          <w:p>
            <w:r>
              <w:rPr>
                <w:sz w:val="17"/>
              </w:rPr>
              <w:t>16,954</w:t>
            </w:r>
          </w:p>
        </w:tc>
        <w:tc>
          <w:tcPr>
            <w:tcW w:type="dxa" w:w="1440"/>
            <w:shd w:fill="FFDCE0" w:val="clear"/>
          </w:tcPr>
          <w:p>
            <w:r>
              <w:rPr>
                <w:b/>
                <w:color w:val="C00000"/>
                <w:sz w:val="17"/>
              </w:rPr>
              <w:t>-2.3%</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15,178</w:t>
            </w:r>
          </w:p>
        </w:tc>
        <w:tc>
          <w:tcPr>
            <w:tcW w:type="dxa" w:w="1440"/>
            <w:shd w:fill="FFDCE0" w:val="clear"/>
          </w:tcPr>
          <w:p>
            <w:r>
              <w:rPr>
                <w:b/>
                <w:sz w:val="17"/>
              </w:rPr>
              <w:t>16,083</w:t>
            </w:r>
          </w:p>
        </w:tc>
        <w:tc>
          <w:tcPr>
            <w:tcW w:type="dxa" w:w="1440"/>
            <w:shd w:fill="FFDCE0" w:val="clear"/>
          </w:tcPr>
          <w:p>
            <w:r>
              <w:rPr>
                <w:sz w:val="17"/>
              </w:rPr>
              <w:t>16,987</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15,067</w:t>
            </w:r>
          </w:p>
        </w:tc>
        <w:tc>
          <w:tcPr>
            <w:tcW w:type="dxa" w:w="1440"/>
            <w:shd w:fill="FFDCE0" w:val="clear"/>
          </w:tcPr>
          <w:p>
            <w:r>
              <w:rPr>
                <w:b/>
                <w:sz w:val="17"/>
              </w:rPr>
              <w:t>16,041</w:t>
            </w:r>
          </w:p>
        </w:tc>
        <w:tc>
          <w:tcPr>
            <w:tcW w:type="dxa" w:w="1440"/>
            <w:shd w:fill="FFDCE0" w:val="clear"/>
          </w:tcPr>
          <w:p>
            <w:r>
              <w:rPr>
                <w:sz w:val="17"/>
              </w:rPr>
              <w:t>17,015</w:t>
            </w:r>
          </w:p>
        </w:tc>
        <w:tc>
          <w:tcPr>
            <w:tcW w:type="dxa" w:w="1440"/>
            <w:shd w:fill="FFDCE0" w:val="clear"/>
          </w:tcPr>
          <w:p>
            <w:r>
              <w:rPr>
                <w:b/>
                <w:color w:val="C00000"/>
                <w:sz w:val="17"/>
              </w:rPr>
              <w:t>-2.8%</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14,961</w:t>
            </w:r>
          </w:p>
        </w:tc>
        <w:tc>
          <w:tcPr>
            <w:tcW w:type="dxa" w:w="1440"/>
            <w:shd w:fill="FFDCE0" w:val="clear"/>
          </w:tcPr>
          <w:p>
            <w:r>
              <w:rPr>
                <w:b/>
                <w:sz w:val="17"/>
              </w:rPr>
              <w:t>16,000</w:t>
            </w:r>
          </w:p>
        </w:tc>
        <w:tc>
          <w:tcPr>
            <w:tcW w:type="dxa" w:w="1440"/>
            <w:shd w:fill="FFDCE0" w:val="clear"/>
          </w:tcPr>
          <w:p>
            <w:r>
              <w:rPr>
                <w:sz w:val="17"/>
              </w:rPr>
              <w:t>17,039</w:t>
            </w:r>
          </w:p>
        </w:tc>
        <w:tc>
          <w:tcPr>
            <w:tcW w:type="dxa" w:w="1440"/>
            <w:shd w:fill="FFDCE0" w:val="clear"/>
          </w:tcPr>
          <w:p>
            <w:r>
              <w:rPr>
                <w:b/>
                <w:color w:val="C00000"/>
                <w:sz w:val="17"/>
              </w:rPr>
              <w:t>-3.0%</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14,862</w:t>
            </w:r>
          </w:p>
        </w:tc>
        <w:tc>
          <w:tcPr>
            <w:tcW w:type="dxa" w:w="1440"/>
            <w:shd w:fill="FFDCE0" w:val="clear"/>
          </w:tcPr>
          <w:p>
            <w:r>
              <w:rPr>
                <w:b/>
                <w:sz w:val="17"/>
              </w:rPr>
              <w:t>15,961</w:t>
            </w:r>
          </w:p>
        </w:tc>
        <w:tc>
          <w:tcPr>
            <w:tcW w:type="dxa" w:w="1440"/>
            <w:shd w:fill="FFDCE0" w:val="clear"/>
          </w:tcPr>
          <w:p>
            <w:r>
              <w:rPr>
                <w:sz w:val="17"/>
              </w:rPr>
              <w:t>17,060</w:t>
            </w:r>
          </w:p>
        </w:tc>
        <w:tc>
          <w:tcPr>
            <w:tcW w:type="dxa" w:w="1440"/>
            <w:shd w:fill="FFDCE0" w:val="clear"/>
          </w:tcPr>
          <w:p>
            <w:r>
              <w:rPr>
                <w:b/>
                <w:color w:val="C00000"/>
                <w:sz w:val="17"/>
              </w:rPr>
              <w:t>-3.3%</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14,766</w:t>
            </w:r>
          </w:p>
        </w:tc>
        <w:tc>
          <w:tcPr>
            <w:tcW w:type="dxa" w:w="1440"/>
            <w:shd w:fill="FFDCE0" w:val="clear"/>
          </w:tcPr>
          <w:p>
            <w:r>
              <w:rPr>
                <w:b/>
                <w:sz w:val="17"/>
              </w:rPr>
              <w:t>15,922</w:t>
            </w:r>
          </w:p>
        </w:tc>
        <w:tc>
          <w:tcPr>
            <w:tcW w:type="dxa" w:w="1440"/>
            <w:shd w:fill="FFDCE0" w:val="clear"/>
          </w:tcPr>
          <w:p>
            <w:r>
              <w:rPr>
                <w:sz w:val="17"/>
              </w:rPr>
              <w:t>17,078</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de l'analyse : 31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364,16 milliards FCFA, ce qui en fait l'une des plus importantes capitalisations de la BRVM, reflétant la position dominante de Nestlé dans l'industrie agroalimentaire de la zone UEMOA. Avec un BPA de 835 FCFA, le titre se négocie à un PER de 19,8x, nettement supérieur à la moyenne historique de la BRVM (8-12x), indiquant que les investisseurs acceptent de payer une prime substantielle pour la qualité et la stabilité des bénéfices de l'entreprise. Le P/B de 12,31x confirme cette valorisation exigeante, le marché valorisant fortement les actifs et la marque au-delà de leur valeur comptable. Enfin, l'EV/EBITDA de 9,8x, dans la fourchette raisonnable de 5-10x, tempère légèrement cette lecture en montrant que la valeur totale de l'entreprise reste cohérente avec sa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 enregistré une progression spectaculaire de +32,00%, passant d'un plus bas de 11 150 FCFA à un plus haut de 16 550 FCFA, avec une dernière séance quasi stable (-0,03% à 16 500 FCFA). Cette tendance haussière marquée témoigne d'un fort appétit des investisseurs pour la valeur. La moyenne du cours sur la période (13 727 FCFA) est supérieure à la médiane (12 942 FCFA), et l'écart positif entre ces deux indicateurs, couplé à un skewness de 0,463, révèle une distribution asymétrique vers les hauts cours, confirmant la pression acheteuse dominante. L'écart-type de 1 723 FCFA (CV de 12,6%) indique une dispersion modérée des prix autour de la moyenne, tandis que le kurtosis négatif de -1,362 (distribution platykurtique) suggère une absence de mouvements extrêmes ou de pics de prix violents. La volatilité annualisée de 33,5% classe le titre dans la catégorie des valeurs à volatilité élevée (&gt;30%), un niveau cohérent avec la forte appréciation récente mais qui implique un risque de retournement potentiel.</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16 500 FCFA se situe nettement au-dessus de la MM20 (16 264,5 FCFA) et de la MM50 (15 133,9 FCFA), avec un écart croissant entre les deux moyennes. Cette configuration en « alignement haussier » (cours &gt; MM20 &gt; MM50) confirme la vigueur de la tendance de fond et justifie la décision d'achat, bien que l'écart important avec la MM50 suggère une possible consolidation à court terme.</w:t>
      </w:r>
    </w:p>
    <w:p>
      <w:pPr>
        <w:spacing w:after="120" w:line="276" w:lineRule="auto"/>
      </w:pPr>
      <w:r>
        <w:t>**Bandes de Bollinger :** Le prix évolue dans la partie supérieure du canal, à 16 500 FCFA contre une borne supérieure à 16 775 FCFA et une borne inférieure à 15 753 FCFA. La proximité de la borne supérieure indique que le titre est en zone de surachat temporaire, mais l'absence de sortie de canal maintient une décision neutre. La largeur des bandes reflète la volatilité élevée du titre.</w:t>
      </w:r>
    </w:p>
    <w:p>
      <w:pPr>
        <w:spacing w:after="120" w:line="276" w:lineRule="auto"/>
      </w:pPr>
      <w:r>
        <w:t>**MACD :** La valeur du MACD (375,57) est inférieure à son signal (422,08), indiquant un croisement baissier récent. Cette configuration signale un affaiblissement du momentum haussier à court terme, justifiant la décision de vente, même si les deux indicateurs restent en territoire positif, suggérant que la tendance de fond demeure haussière.</w:t>
      </w:r>
    </w:p>
    <w:p>
      <w:pPr>
        <w:spacing w:after="120" w:line="276" w:lineRule="auto"/>
      </w:pPr>
      <w:r>
        <w:t>**RSI :** À 71,74, le RSI est entré en zone de surachat (&gt;70), signalant que le titre est techniquement surévalué à court terme. Cette lecture justifie la décision de vente, car elle suggère un épuisement potentiel de la pression acheteuse et un risque de correction technique.</w:t>
      </w:r>
    </w:p>
    <w:p>
      <w:pPr>
        <w:spacing w:after="120" w:line="276" w:lineRule="auto"/>
      </w:pPr>
      <w:r>
        <w:t>**Stochastique :** Le %K (93,33) et le %D (93,78) sont tous deux en zone de surachat extrême (&gt;80), avec un %K inférieur au %D, indiquant un croisement baissier. Cette configuration renforce le signal de prudence et justifie la décision de vente, le titre apparaissant surchauffé à très court terme.</w:t>
      </w:r>
    </w:p>
    <w:p>
      <w:pPr>
        <w:spacing w:after="120" w:line="276" w:lineRule="auto"/>
      </w:pPr>
      <w:r>
        <w:t>**Conclusion technique :** La convergence des indicateurs de momentum (RSI, Stochastique, MACD) vers des signaux de vente, alors que les moyennes mobiles restent haussières, dessine un tableau contrasté. Le titre est en tendance haussière de fond, mais techniquement suracheté à court terme, ce qui suggère une probabilité élevée de consolidation ou de correction technique avant la poursuite éventuelle de la hausse.</w:t>
      </w:r>
    </w:p>
    <w:p>
      <w:pPr>
        <w:spacing w:after="120" w:line="276" w:lineRule="auto"/>
      </w:pPr>
      <w:r>
        <w:t>---</w:t>
      </w:r>
    </w:p>
    <w:p>
      <w:pPr>
        <w:spacing w:after="120" w:line="276" w:lineRule="auto"/>
      </w:pPr>
      <w:r>
        <w:t>### PARTIE 3 : ANALYSE FONDAMENTALE (SECTION CRITIQUE)</w:t>
      </w:r>
    </w:p>
    <w:p>
      <w:pPr>
        <w:spacing w:after="120" w:line="276" w:lineRule="auto"/>
      </w:pPr>
      <w:r>
        <w:t>En 2025, Nestlé Côte d'Ivoire a réalisé un chiffre d'affaires de 233,26 milliards FCFA, en hausse de +5,97% par rapport à 2024 (220,11 milliards FCFA), avec un résultat net de 18,43 milliards FCFA (+1,53%). La marge nette s'établit à 7,90%, en légère baisse par rapport aux 8,25% de 2024, tandis que le ROE atteint un niveau exceptionnel de 62,28% et le ROA de 9,70%, démontrant une excellente rentabilité des fonds propres et des actifs. En tant qu'entreprise non bancaire, l'analyse se concentre sur les délais clients (74,3 jours) et de stockage (59,4 jours), qui indiquent une immobilisation significative de trésorerie, ainsi que sur un BFR positif de 22,6 milliards FCFA et une trésorerie nette négative de -46,8 milliards FCFA, reflétant un besoin de financement du cycle d'exploitation. Le ratio d'endettement de 135,85% et la dépendance financière de 84,42% signalent une structure financière fragile, avec une liquidité générale de 79,86% inférieure à 1. Les rapports trimestriels 2025 montrent une année contrastée : le T1 2025 a enregistré une baisse du CA de -11% mais une hausse du résultat net de +19%, le S1 une stagnation du CA avec une baisse du résultat net de -23,5%, et les 9 mois une légère croissance du CA (+1,36%) avec un résultat net en baisse de -21,3%. Cependant, le rapport T1 2026 (publié en mai 2026) révèle une accélération spectaculaire avec un CA de 70,82 milliards FCFA (+31%) et un résultat net de 7,53 milliards FCFA (+37%), suggérant une nette amélioration de la dynamique commerciale et de la rentabilité. Sur la base de ce T1 2026, on estime que l'exercice 2026 pourrait dépasser les 270 milliards FCFA de CA et les 24 milliards FCFA de résultat net, soit une croissance de plus de 15% par rapport à 2025. La politique de dividende a été drastiquement réduite en 2025 (9,27 milliards FCFA contre 18,10 milliards en 2024, soit un payout de 50,3% contre 99,7%), signalant une stratégie de réinvestissement des bénéfices. La recommandation fondamentale est positive, portée par la solidité de la marque, la croissance retrouvée et l'amélioration des marges, mais tempérée par les risques de trésorerie et d'endettement.</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profil contrasté pour NTLC. La valorisation (PER 19,8x, P/B 12,31x) est exigeante, témoignant d'une prime de qualité mais limitant le potentiel de hausse à court terme. Le comportement du cours (+32% en 100 jours) est très favorable, avec une volatilité élevée (33,5%) et des statistiques indiquant une distribution asymétrique positive, mais le kurtosis platykurtique suggère un risque de mouvement brusque. Les signaux techniques sont divergents : les moyennes mobiles restent haussières tandis que le RSI, le Stochastique et le MACD signalent un surachat et un momentum en perte de vitesse, préfigurant une consolidation. Les fondamentaux, eux, sont solides avec une croissance du CA de +5,97% en 2025, un ROE exceptionnel de 62,28%, et surtout une accélération remarquable au T1 2026 (+31% de CA, +37% de résultat net) qui laisse présager une année 2026 excellente. Les prédictions IA (J+1 à J+10) montrent une légère correction de 16 291 à 16 126 FCFA, confirmant les signaux techniques de consolidation à court terme. Compte tenu de la convergence entre les signaux techniques de surachat et les prédictions IA baissières à court terme, mais de la divergence avec les fondamentaux très positifs et la tendance de fond haussière, nous recommandons une position de **CONSERVER** avec un niveau de confiance **Moyen**. Le risque global est **Moyen**, et l'horizon d'investissement optimal est le **moyen terme (3-12 mois)**, en attendant une correction technique qui offrirait un point d'entrée plus attractif pour capitaliser sur la dynamique fondamentale positive.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203.66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5,585 titres</w:t>
            </w:r>
          </w:p>
        </w:tc>
        <w:tc>
          <w:tcPr>
            <w:tcW w:type="dxa" w:w="2268"/>
            <w:shd w:fill="FFF2CC" w:val="clear"/>
          </w:tcPr>
          <w:p>
            <w:r>
              <w:rPr>
                <w:b/>
                <w:color w:val="503200"/>
                <w:sz w:val="16"/>
              </w:rPr>
              <w:t xml:space="preserve">Cours actuel : </w:t>
            </w:r>
            <w:r>
              <w:rPr>
                <w:color w:val="000000"/>
                <w:sz w:val="17"/>
              </w:rPr>
              <w:t>2,995 FCFA</w:t>
            </w:r>
          </w:p>
          <w:p>
            <w:r>
              <w:rPr>
                <w:b/>
                <w:color w:val="503200"/>
                <w:sz w:val="16"/>
              </w:rPr>
              <w:t xml:space="preserve">Var. 100 jours : </w:t>
            </w:r>
            <w:r>
              <w:rPr>
                <w:b/>
                <w:color w:val="007800"/>
                <w:sz w:val="17"/>
              </w:rPr>
              <w:t>+5.09%</w:t>
            </w:r>
          </w:p>
          <w:p>
            <w:r>
              <w:rPr>
                <w:b/>
                <w:color w:val="503200"/>
                <w:sz w:val="16"/>
              </w:rPr>
              <w:t xml:space="preserve">Plus haut 100j : </w:t>
            </w:r>
            <w:r>
              <w:rPr>
                <w:color w:val="000000"/>
                <w:sz w:val="17"/>
              </w:rPr>
              <w:t>3,095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3.42% (Faible) — μ=2,830 FCFA, σ=97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β=0.3013 (Défensif) — Cov=0.000011, Var(idx)=0.000036, ρ=0.085,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σ_j=2.11%/j (Stable) — Vol. annualisée≈33.4%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2026-08-03</w:t>
            </w:r>
          </w:p>
        </w:tc>
        <w:tc>
          <w:tcPr>
            <w:tcW w:type="dxa" w:w="1440"/>
            <w:shd w:fill="FFDCE0" w:val="clear"/>
          </w:tcPr>
          <w:p>
            <w:r>
              <w:rPr>
                <w:sz w:val="17"/>
              </w:rPr>
              <w:t>2,820</w:t>
            </w:r>
          </w:p>
        </w:tc>
        <w:tc>
          <w:tcPr>
            <w:tcW w:type="dxa" w:w="1440"/>
            <w:shd w:fill="FFDCE0" w:val="clear"/>
          </w:tcPr>
          <w:p>
            <w:r>
              <w:rPr>
                <w:b/>
                <w:sz w:val="17"/>
              </w:rPr>
              <w:t>2,906</w:t>
            </w:r>
          </w:p>
        </w:tc>
        <w:tc>
          <w:tcPr>
            <w:tcW w:type="dxa" w:w="1440"/>
            <w:shd w:fill="FFDCE0" w:val="clear"/>
          </w:tcPr>
          <w:p>
            <w:r>
              <w:rPr>
                <w:sz w:val="17"/>
              </w:rPr>
              <w:t>2,991</w:t>
            </w:r>
          </w:p>
        </w:tc>
        <w:tc>
          <w:tcPr>
            <w:tcW w:type="dxa" w:w="1440"/>
            <w:shd w:fill="FFDCE0" w:val="clear"/>
          </w:tcPr>
          <w:p>
            <w:r>
              <w:rPr>
                <w:b/>
                <w:color w:val="C00000"/>
                <w:sz w:val="17"/>
              </w:rPr>
              <w:t>-3.0%</w:t>
            </w:r>
          </w:p>
        </w:tc>
      </w:tr>
      <w:tr>
        <w:tc>
          <w:tcPr>
            <w:tcW w:type="dxa" w:w="1440"/>
            <w:shd w:fill="FFDCE0" w:val="clear"/>
          </w:tcPr>
          <w:p>
            <w:r>
              <w:rPr>
                <w:sz w:val="17"/>
              </w:rPr>
              <w:t>J+2  ⭐⭐⭐</w:t>
            </w:r>
          </w:p>
        </w:tc>
        <w:tc>
          <w:tcPr>
            <w:tcW w:type="dxa" w:w="1440"/>
            <w:shd w:fill="FFDCE0" w:val="clear"/>
          </w:tcPr>
          <w:p>
            <w:r>
              <w:rPr>
                <w:sz w:val="17"/>
              </w:rPr>
              <w:t>2026-08-04</w:t>
            </w:r>
          </w:p>
        </w:tc>
        <w:tc>
          <w:tcPr>
            <w:tcW w:type="dxa" w:w="1440"/>
            <w:shd w:fill="FFDCE0" w:val="clear"/>
          </w:tcPr>
          <w:p>
            <w:r>
              <w:rPr>
                <w:sz w:val="17"/>
              </w:rPr>
              <w:t>2,790</w:t>
            </w:r>
          </w:p>
        </w:tc>
        <w:tc>
          <w:tcPr>
            <w:tcW w:type="dxa" w:w="1440"/>
            <w:shd w:fill="FFDCE0" w:val="clear"/>
          </w:tcPr>
          <w:p>
            <w:r>
              <w:rPr>
                <w:b/>
                <w:sz w:val="17"/>
              </w:rPr>
              <w:t>2,911</w:t>
            </w:r>
          </w:p>
        </w:tc>
        <w:tc>
          <w:tcPr>
            <w:tcW w:type="dxa" w:w="1440"/>
            <w:shd w:fill="FFDCE0" w:val="clear"/>
          </w:tcPr>
          <w:p>
            <w:r>
              <w:rPr>
                <w:sz w:val="17"/>
              </w:rPr>
              <w:t>3,032</w:t>
            </w:r>
          </w:p>
        </w:tc>
        <w:tc>
          <w:tcPr>
            <w:tcW w:type="dxa" w:w="1440"/>
            <w:shd w:fill="FFDCE0" w:val="clear"/>
          </w:tcPr>
          <w:p>
            <w:r>
              <w:rPr>
                <w:b/>
                <w:color w:val="C00000"/>
                <w:sz w:val="17"/>
              </w:rPr>
              <w:t>-2.8%</w:t>
            </w:r>
          </w:p>
        </w:tc>
      </w:tr>
      <w:tr>
        <w:tc>
          <w:tcPr>
            <w:tcW w:type="dxa" w:w="1440"/>
            <w:shd w:fill="FFDCE0" w:val="clear"/>
          </w:tcPr>
          <w:p>
            <w:r>
              <w:rPr>
                <w:sz w:val="17"/>
              </w:rPr>
              <w:t>J+3  ⭐⭐⭐</w:t>
            </w:r>
          </w:p>
        </w:tc>
        <w:tc>
          <w:tcPr>
            <w:tcW w:type="dxa" w:w="1440"/>
            <w:shd w:fill="FFDCE0" w:val="clear"/>
          </w:tcPr>
          <w:p>
            <w:r>
              <w:rPr>
                <w:sz w:val="17"/>
              </w:rPr>
              <w:t>2026-08-05</w:t>
            </w:r>
          </w:p>
        </w:tc>
        <w:tc>
          <w:tcPr>
            <w:tcW w:type="dxa" w:w="1440"/>
            <w:shd w:fill="FFDCE0" w:val="clear"/>
          </w:tcPr>
          <w:p>
            <w:r>
              <w:rPr>
                <w:sz w:val="17"/>
              </w:rPr>
              <w:t>2,758</w:t>
            </w:r>
          </w:p>
        </w:tc>
        <w:tc>
          <w:tcPr>
            <w:tcW w:type="dxa" w:w="1440"/>
            <w:shd w:fill="FFDCE0" w:val="clear"/>
          </w:tcPr>
          <w:p>
            <w:r>
              <w:rPr>
                <w:b/>
                <w:sz w:val="17"/>
              </w:rPr>
              <w:t>2,907</w:t>
            </w:r>
          </w:p>
        </w:tc>
        <w:tc>
          <w:tcPr>
            <w:tcW w:type="dxa" w:w="1440"/>
            <w:shd w:fill="FFDCE0" w:val="clear"/>
          </w:tcPr>
          <w:p>
            <w:r>
              <w:rPr>
                <w:sz w:val="17"/>
              </w:rPr>
              <w:t>3,055</w:t>
            </w:r>
          </w:p>
        </w:tc>
        <w:tc>
          <w:tcPr>
            <w:tcW w:type="dxa" w:w="1440"/>
            <w:shd w:fill="FFDCE0" w:val="clear"/>
          </w:tcPr>
          <w:p>
            <w:r>
              <w:rPr>
                <w:b/>
                <w:color w:val="C00000"/>
                <w:sz w:val="17"/>
              </w:rPr>
              <w:t>-3.0%</w:t>
            </w:r>
          </w:p>
        </w:tc>
      </w:tr>
      <w:tr>
        <w:tc>
          <w:tcPr>
            <w:tcW w:type="dxa" w:w="1440"/>
            <w:shd w:fill="FFDCE0" w:val="clear"/>
          </w:tcPr>
          <w:p>
            <w:r>
              <w:rPr>
                <w:sz w:val="17"/>
              </w:rPr>
              <w:t>J+4  Moyenne</w:t>
            </w:r>
          </w:p>
        </w:tc>
        <w:tc>
          <w:tcPr>
            <w:tcW w:type="dxa" w:w="1440"/>
            <w:shd w:fill="FFDCE0" w:val="clear"/>
          </w:tcPr>
          <w:p>
            <w:r>
              <w:rPr>
                <w:sz w:val="17"/>
              </w:rPr>
              <w:t>2026-08-06</w:t>
            </w:r>
          </w:p>
        </w:tc>
        <w:tc>
          <w:tcPr>
            <w:tcW w:type="dxa" w:w="1440"/>
            <w:shd w:fill="FFDCE0" w:val="clear"/>
          </w:tcPr>
          <w:p>
            <w:r>
              <w:rPr>
                <w:sz w:val="17"/>
              </w:rPr>
              <w:t>2,730</w:t>
            </w:r>
          </w:p>
        </w:tc>
        <w:tc>
          <w:tcPr>
            <w:tcW w:type="dxa" w:w="1440"/>
            <w:shd w:fill="FFDCE0" w:val="clear"/>
          </w:tcPr>
          <w:p>
            <w:r>
              <w:rPr>
                <w:b/>
                <w:sz w:val="17"/>
              </w:rPr>
              <w:t>2,901</w:t>
            </w:r>
          </w:p>
        </w:tc>
        <w:tc>
          <w:tcPr>
            <w:tcW w:type="dxa" w:w="1440"/>
            <w:shd w:fill="FFDCE0" w:val="clear"/>
          </w:tcPr>
          <w:p>
            <w:r>
              <w:rPr>
                <w:sz w:val="17"/>
              </w:rPr>
              <w:t>3,072</w:t>
            </w:r>
          </w:p>
        </w:tc>
        <w:tc>
          <w:tcPr>
            <w:tcW w:type="dxa" w:w="1440"/>
            <w:shd w:fill="FFDCE0" w:val="clear"/>
          </w:tcPr>
          <w:p>
            <w:r>
              <w:rPr>
                <w:b/>
                <w:color w:val="C00000"/>
                <w:sz w:val="17"/>
              </w:rPr>
              <w:t>-3.2%</w:t>
            </w:r>
          </w:p>
        </w:tc>
      </w:tr>
      <w:tr>
        <w:tc>
          <w:tcPr>
            <w:tcW w:type="dxa" w:w="1440"/>
            <w:shd w:fill="FFDCE0" w:val="clear"/>
          </w:tcPr>
          <w:p>
            <w:r>
              <w:rPr>
                <w:sz w:val="17"/>
              </w:rPr>
              <w:t>J+5  Moyenne</w:t>
            </w:r>
          </w:p>
        </w:tc>
        <w:tc>
          <w:tcPr>
            <w:tcW w:type="dxa" w:w="1440"/>
            <w:shd w:fill="FFDCE0" w:val="clear"/>
          </w:tcPr>
          <w:p>
            <w:r>
              <w:rPr>
                <w:sz w:val="17"/>
              </w:rPr>
              <w:t>2026-08-10</w:t>
            </w:r>
          </w:p>
        </w:tc>
        <w:tc>
          <w:tcPr>
            <w:tcW w:type="dxa" w:w="1440"/>
            <w:shd w:fill="FFDCE0" w:val="clear"/>
          </w:tcPr>
          <w:p>
            <w:r>
              <w:rPr>
                <w:sz w:val="17"/>
              </w:rPr>
              <w:t>2,704</w:t>
            </w:r>
          </w:p>
        </w:tc>
        <w:tc>
          <w:tcPr>
            <w:tcW w:type="dxa" w:w="1440"/>
            <w:shd w:fill="FFDCE0" w:val="clear"/>
          </w:tcPr>
          <w:p>
            <w:r>
              <w:rPr>
                <w:b/>
                <w:sz w:val="17"/>
              </w:rPr>
              <w:t>2,895</w:t>
            </w:r>
          </w:p>
        </w:tc>
        <w:tc>
          <w:tcPr>
            <w:tcW w:type="dxa" w:w="1440"/>
            <w:shd w:fill="FFDCE0" w:val="clear"/>
          </w:tcPr>
          <w:p>
            <w:r>
              <w:rPr>
                <w:sz w:val="17"/>
              </w:rPr>
              <w:t>3,085</w:t>
            </w:r>
          </w:p>
        </w:tc>
        <w:tc>
          <w:tcPr>
            <w:tcW w:type="dxa" w:w="1440"/>
            <w:shd w:fill="FFDCE0" w:val="clear"/>
          </w:tcPr>
          <w:p>
            <w:r>
              <w:rPr>
                <w:b/>
                <w:color w:val="C00000"/>
                <w:sz w:val="17"/>
              </w:rPr>
              <w:t>-3.4%</w:t>
            </w:r>
          </w:p>
        </w:tc>
      </w:tr>
      <w:tr>
        <w:tc>
          <w:tcPr>
            <w:tcW w:type="dxa" w:w="1440"/>
            <w:shd w:fill="FFDCE0" w:val="clear"/>
          </w:tcPr>
          <w:p>
            <w:r>
              <w:rPr>
                <w:sz w:val="17"/>
              </w:rPr>
              <w:t>J+6  Moyenne</w:t>
            </w:r>
          </w:p>
        </w:tc>
        <w:tc>
          <w:tcPr>
            <w:tcW w:type="dxa" w:w="1440"/>
            <w:shd w:fill="FFDCE0" w:val="clear"/>
          </w:tcPr>
          <w:p>
            <w:r>
              <w:rPr>
                <w:sz w:val="17"/>
              </w:rPr>
              <w:t>2026-08-11</w:t>
            </w:r>
          </w:p>
        </w:tc>
        <w:tc>
          <w:tcPr>
            <w:tcW w:type="dxa" w:w="1440"/>
            <w:shd w:fill="FFDCE0" w:val="clear"/>
          </w:tcPr>
          <w:p>
            <w:r>
              <w:rPr>
                <w:sz w:val="17"/>
              </w:rPr>
              <w:t>2,680</w:t>
            </w:r>
          </w:p>
        </w:tc>
        <w:tc>
          <w:tcPr>
            <w:tcW w:type="dxa" w:w="1440"/>
            <w:shd w:fill="FFDCE0" w:val="clear"/>
          </w:tcPr>
          <w:p>
            <w:r>
              <w:rPr>
                <w:b/>
                <w:sz w:val="17"/>
              </w:rPr>
              <w:t>2,888</w:t>
            </w:r>
          </w:p>
        </w:tc>
        <w:tc>
          <w:tcPr>
            <w:tcW w:type="dxa" w:w="1440"/>
            <w:shd w:fill="FFDCE0" w:val="clear"/>
          </w:tcPr>
          <w:p>
            <w:r>
              <w:rPr>
                <w:sz w:val="17"/>
              </w:rPr>
              <w:t>3,097</w:t>
            </w:r>
          </w:p>
        </w:tc>
        <w:tc>
          <w:tcPr>
            <w:tcW w:type="dxa" w:w="1440"/>
            <w:shd w:fill="FFDCE0" w:val="clear"/>
          </w:tcPr>
          <w:p>
            <w:r>
              <w:rPr>
                <w:b/>
                <w:color w:val="C00000"/>
                <w:sz w:val="17"/>
              </w:rPr>
              <w:t>-3.6%</w:t>
            </w:r>
          </w:p>
        </w:tc>
      </w:tr>
      <w:tr>
        <w:tc>
          <w:tcPr>
            <w:tcW w:type="dxa" w:w="1440"/>
            <w:shd w:fill="FFDCE0" w:val="clear"/>
          </w:tcPr>
          <w:p>
            <w:r>
              <w:rPr>
                <w:sz w:val="17"/>
              </w:rPr>
              <w:t>J+7  Moyenne</w:t>
            </w:r>
          </w:p>
        </w:tc>
        <w:tc>
          <w:tcPr>
            <w:tcW w:type="dxa" w:w="1440"/>
            <w:shd w:fill="FFDCE0" w:val="clear"/>
          </w:tcPr>
          <w:p>
            <w:r>
              <w:rPr>
                <w:sz w:val="17"/>
              </w:rPr>
              <w:t>2026-08-12</w:t>
            </w:r>
          </w:p>
        </w:tc>
        <w:tc>
          <w:tcPr>
            <w:tcW w:type="dxa" w:w="1440"/>
            <w:shd w:fill="FFDCE0" w:val="clear"/>
          </w:tcPr>
          <w:p>
            <w:r>
              <w:rPr>
                <w:sz w:val="17"/>
              </w:rPr>
              <w:t>2,658</w:t>
            </w:r>
          </w:p>
        </w:tc>
        <w:tc>
          <w:tcPr>
            <w:tcW w:type="dxa" w:w="1440"/>
            <w:shd w:fill="FFDCE0" w:val="clear"/>
          </w:tcPr>
          <w:p>
            <w:r>
              <w:rPr>
                <w:b/>
                <w:sz w:val="17"/>
              </w:rPr>
              <w:t>2,883</w:t>
            </w:r>
          </w:p>
        </w:tc>
        <w:tc>
          <w:tcPr>
            <w:tcW w:type="dxa" w:w="1440"/>
            <w:shd w:fill="FFDCE0" w:val="clear"/>
          </w:tcPr>
          <w:p>
            <w:r>
              <w:rPr>
                <w:sz w:val="17"/>
              </w:rPr>
              <w:t>3,107</w:t>
            </w:r>
          </w:p>
        </w:tc>
        <w:tc>
          <w:tcPr>
            <w:tcW w:type="dxa" w:w="1440"/>
            <w:shd w:fill="FFDCE0" w:val="clear"/>
          </w:tcPr>
          <w:p>
            <w:r>
              <w:rPr>
                <w:b/>
                <w:color w:val="C00000"/>
                <w:sz w:val="17"/>
              </w:rPr>
              <w:t>-3.8%</w:t>
            </w:r>
          </w:p>
        </w:tc>
      </w:tr>
      <w:tr>
        <w:tc>
          <w:tcPr>
            <w:tcW w:type="dxa" w:w="1440"/>
            <w:shd w:fill="FFDCE0" w:val="clear"/>
          </w:tcPr>
          <w:p>
            <w:r>
              <w:rPr>
                <w:sz w:val="17"/>
              </w:rPr>
              <w:t>J+8  Moyenne</w:t>
            </w:r>
          </w:p>
        </w:tc>
        <w:tc>
          <w:tcPr>
            <w:tcW w:type="dxa" w:w="1440"/>
            <w:shd w:fill="FFDCE0" w:val="clear"/>
          </w:tcPr>
          <w:p>
            <w:r>
              <w:rPr>
                <w:sz w:val="17"/>
              </w:rPr>
              <w:t>2026-08-13</w:t>
            </w:r>
          </w:p>
        </w:tc>
        <w:tc>
          <w:tcPr>
            <w:tcW w:type="dxa" w:w="1440"/>
            <w:shd w:fill="FFDCE0" w:val="clear"/>
          </w:tcPr>
          <w:p>
            <w:r>
              <w:rPr>
                <w:sz w:val="17"/>
              </w:rPr>
              <w:t>2,637</w:t>
            </w:r>
          </w:p>
        </w:tc>
        <w:tc>
          <w:tcPr>
            <w:tcW w:type="dxa" w:w="1440"/>
            <w:shd w:fill="FFDCE0" w:val="clear"/>
          </w:tcPr>
          <w:p>
            <w:r>
              <w:rPr>
                <w:b/>
                <w:sz w:val="17"/>
              </w:rPr>
              <w:t>2,877</w:t>
            </w:r>
          </w:p>
        </w:tc>
        <w:tc>
          <w:tcPr>
            <w:tcW w:type="dxa" w:w="1440"/>
            <w:shd w:fill="FFDCE0" w:val="clear"/>
          </w:tcPr>
          <w:p>
            <w:r>
              <w:rPr>
                <w:sz w:val="17"/>
              </w:rPr>
              <w:t>3,116</w:t>
            </w:r>
          </w:p>
        </w:tc>
        <w:tc>
          <w:tcPr>
            <w:tcW w:type="dxa" w:w="1440"/>
            <w:shd w:fill="FFDCE0" w:val="clear"/>
          </w:tcPr>
          <w:p>
            <w:r>
              <w:rPr>
                <w:b/>
                <w:color w:val="C00000"/>
                <w:sz w:val="17"/>
              </w:rPr>
              <w:t>-4.0%</w:t>
            </w:r>
          </w:p>
        </w:tc>
      </w:tr>
      <w:tr>
        <w:tc>
          <w:tcPr>
            <w:tcW w:type="dxa" w:w="1440"/>
            <w:shd w:fill="FFDCE0" w:val="clear"/>
          </w:tcPr>
          <w:p>
            <w:r>
              <w:rPr>
                <w:sz w:val="17"/>
              </w:rPr>
              <w:t>J+9  Moyenne</w:t>
            </w:r>
          </w:p>
        </w:tc>
        <w:tc>
          <w:tcPr>
            <w:tcW w:type="dxa" w:w="1440"/>
            <w:shd w:fill="FFDCE0" w:val="clear"/>
          </w:tcPr>
          <w:p>
            <w:r>
              <w:rPr>
                <w:sz w:val="17"/>
              </w:rPr>
              <w:t>2026-08-14</w:t>
            </w:r>
          </w:p>
        </w:tc>
        <w:tc>
          <w:tcPr>
            <w:tcW w:type="dxa" w:w="1440"/>
            <w:shd w:fill="FFDCE0" w:val="clear"/>
          </w:tcPr>
          <w:p>
            <w:r>
              <w:rPr>
                <w:sz w:val="17"/>
              </w:rPr>
              <w:t>2,617</w:t>
            </w:r>
          </w:p>
        </w:tc>
        <w:tc>
          <w:tcPr>
            <w:tcW w:type="dxa" w:w="1440"/>
            <w:shd w:fill="FFDCE0" w:val="clear"/>
          </w:tcPr>
          <w:p>
            <w:r>
              <w:rPr>
                <w:b/>
                <w:sz w:val="17"/>
              </w:rPr>
              <w:t>2,871</w:t>
            </w:r>
          </w:p>
        </w:tc>
        <w:tc>
          <w:tcPr>
            <w:tcW w:type="dxa" w:w="1440"/>
            <w:shd w:fill="FFDCE0" w:val="clear"/>
          </w:tcPr>
          <w:p>
            <w:r>
              <w:rPr>
                <w:sz w:val="17"/>
              </w:rPr>
              <w:t>3,125</w:t>
            </w:r>
          </w:p>
        </w:tc>
        <w:tc>
          <w:tcPr>
            <w:tcW w:type="dxa" w:w="1440"/>
            <w:shd w:fill="FFDCE0" w:val="clear"/>
          </w:tcPr>
          <w:p>
            <w:r>
              <w:rPr>
                <w:b/>
                <w:color w:val="C00000"/>
                <w:sz w:val="17"/>
              </w:rPr>
              <w:t>-4.1%</w:t>
            </w:r>
          </w:p>
        </w:tc>
      </w:tr>
      <w:tr>
        <w:tc>
          <w:tcPr>
            <w:tcW w:type="dxa" w:w="1440"/>
            <w:shd w:fill="FFDCE0" w:val="clear"/>
          </w:tcPr>
          <w:p>
            <w:r>
              <w:rPr>
                <w:sz w:val="17"/>
              </w:rPr>
              <w:t>J+10  Moyenne</w:t>
            </w:r>
          </w:p>
        </w:tc>
        <w:tc>
          <w:tcPr>
            <w:tcW w:type="dxa" w:w="1440"/>
            <w:shd w:fill="FFDCE0" w:val="clear"/>
          </w:tcPr>
          <w:p>
            <w:r>
              <w:rPr>
                <w:sz w:val="17"/>
              </w:rPr>
              <w:t>2026-08-17</w:t>
            </w:r>
          </w:p>
        </w:tc>
        <w:tc>
          <w:tcPr>
            <w:tcW w:type="dxa" w:w="1440"/>
            <w:shd w:fill="FFDCE0" w:val="clear"/>
          </w:tcPr>
          <w:p>
            <w:r>
              <w:rPr>
                <w:sz w:val="17"/>
              </w:rPr>
              <w:t>2,598</w:t>
            </w:r>
          </w:p>
        </w:tc>
        <w:tc>
          <w:tcPr>
            <w:tcW w:type="dxa" w:w="1440"/>
            <w:shd w:fill="FFDCE0" w:val="clear"/>
          </w:tcPr>
          <w:p>
            <w:r>
              <w:rPr>
                <w:b/>
                <w:sz w:val="17"/>
              </w:rPr>
              <w:t>2,865</w:t>
            </w:r>
          </w:p>
        </w:tc>
        <w:tc>
          <w:tcPr>
            <w:tcW w:type="dxa" w:w="1440"/>
            <w:shd w:fill="FFDCE0" w:val="clear"/>
          </w:tcPr>
          <w:p>
            <w:r>
              <w:rPr>
                <w:sz w:val="17"/>
              </w:rPr>
              <w:t>3,132</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 MOOV AFRICA BURKINA FASO)**</w:t>
        <w:br/>
        <w:t>**Date de l'analyse :** 03 Août 2026</w:t>
        <w:br/>
        <w:t>**Cours de référence :** 2 995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l'ONTBF s'établit à 203,66 milliards FCFA, ce qui en fait une valeur moyenne sur la BRVM, loin derrière les géants comme Sonatel, mais représentant un actif stratégique majeur pour le marché burkinabè. Avec un BPA de 234 FCFA, le titre se négocie à un PER de 12,8x, légèrement au-dessus de la moyenne historique de la place (~8-12x), ce qui traduit une valorisation modérée, les investisseurs acceptant de payer une prime raisonnable pour la stabilité des cash-flows. Le P/B de 3,54x indique que le marché valorise l'entreprise à plus de 3,5 fois ses capitaux propres, reflétant une prime de croissance et une confiance dans la rentabilité future. Enfin, un EV/EBITDA de 5,3x est particulièrement attractif, signalant que la valeur totale de l'entreprise (dette incluse) reste raisonnable par rapport à sa capacité opérationnelle de génération de bénéfices avant intérêts, impôts et amortissements.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ONTBF affiche une progression de +5,09%, avec une accélération notable lors de la dernière séance (+6,77%), portant le cours à 2 995 FCFA. Le titre a évolué dans une fourchette de 2 610 FCFA (plus bas) à 3 095 FCFA (plus haut), démontrant une dynamique haussière soutenue. La moyenne du cours sur la période est de 2 830 FCFA, très proche de la médiane (2 805 FCFA) et du mode (2 800 FCFA), ce qui indique une distribution des prix très concentrée autour de ces niveaux, avec une légère asymétrie positive (Skewness de 0.443) suggérant des épisodes de hausse plus marqués que les baisses. L'écart-type de 97 FCFA (CV de 3.4%) révèle une dispersion relativement faible des prix autour de la moyenne, tandis que le kurtosis de -0.182 (mésokurtique) indique une absence de risques extrêmes de pics ou de krachs soudains. La volatilité annualisée de 33,4% classe le titre dans la catégorie "élevée" (&gt;30%), ce qui implique des fluctuations importantes et un risque de marché non négligeable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(2 995 FCFA) se situe nettement au-dessus de la MM20 (2 777,25 FCFA) et de la MM50 (2 820,3 FCFA). Cette configuration est généralement haussière, mais le signal technique global est un "Vente". Cela suggère que le cours a connu une hausse rapide et pourrait être en situation de surachat à court terme, justifiant une prudence malgré la tendance de fond positive.</w:t>
      </w:r>
    </w:p>
    <w:p>
      <w:pPr>
        <w:spacing w:after="120" w:line="276" w:lineRule="auto"/>
      </w:pPr>
      <w:r>
        <w:t>**Bandes de Bollinger :** Le prix (2 995 FCFA) a franchi la borne supérieure de la bande (2 925,98 FCFA), ce qui est un signal classique de surachat et de volatilité accrue. Historiquement, un tel franchissement est souvent suivi d'une consolidation ou d'un repli technique. La décision associée est "Vente", cohérente avec cette lecture de bandes.</w:t>
      </w:r>
    </w:p>
    <w:p>
      <w:pPr>
        <w:spacing w:after="120" w:line="276" w:lineRule="auto"/>
      </w:pPr>
      <w:r>
        <w:t>**MACD :** Le MACD (18.301) est nettement positif et au-dessus de sa ligne de signal (-5.229), indiquant un momentum haussier très fort. La décision est "Achat". Cette divergence positive suggère que la pression acheteuse est dominante, mais la grande ampleur de l'écart pourrait également signaler une exubérance excessive à court terme.</w:t>
      </w:r>
    </w:p>
    <w:p>
      <w:pPr>
        <w:spacing w:after="120" w:line="276" w:lineRule="auto"/>
      </w:pPr>
      <w:r>
        <w:t>**RSI :** Le RSI est à 77.064, une valeur bien au-dessus du seuil de surachat (70). Cela confirme que le titre est survendu d'un point de vue technique et qu'une correction est probable à court terme. La décision est "Vente".</w:t>
      </w:r>
    </w:p>
    <w:p>
      <w:pPr>
        <w:spacing w:after="120" w:line="276" w:lineRule="auto"/>
      </w:pPr>
      <w:r>
        <w:t>**Stochastique :** Le %K (100.0) et le %D (91.429) sont tous deux à des niveaux extrêmement élevés, en territoire de surachat. Le %K étant au maximum, cela indique une force d'achat exceptionnelle mais intenable, renforçant le signal de "Vente" pour un repli technique imminent.</w:t>
      </w:r>
    </w:p>
    <w:p>
      <w:pPr>
        <w:spacing w:after="120" w:line="276" w:lineRule="auto"/>
      </w:pPr>
      <w:r>
        <w:t>**Conclusion technique :** La convergence de la majorité des indicateurs (MM, Bollinger, RSI, Stochastique) vers des signaux de "Vente" malgré un MACD positif indique une forte probabilité de consolidation ou de correction à court terme. La tendance de fond reste haussière, mais le titre est techniquement suracheté et vulnérable à un mouvement de prise de bénéfices.</w:t>
      </w:r>
    </w:p>
    <w:p>
      <w:pPr>
        <w:spacing w:after="120" w:line="276" w:lineRule="auto"/>
      </w:pPr>
      <w:r>
        <w:t>---</w:t>
      </w:r>
    </w:p>
    <w:p>
      <w:pPr>
        <w:spacing w:after="120" w:line="276" w:lineRule="auto"/>
      </w:pPr>
      <w:r>
        <w:t>### PARTIE 3 : ANALYSE FONDAMENTALE (SECTION CRITIQUE)</w:t>
      </w:r>
    </w:p>
    <w:p>
      <w:pPr>
        <w:spacing w:after="120" w:line="276" w:lineRule="auto"/>
      </w:pPr>
      <w:r>
        <w:t>En 2025, l'ONTBF a réalisé un chiffre d'affaires (PNB) de 146,177 milliards FCFA, en hausse de 3,06% par rapport à 2024 (141,84 Mds FCFA). Cependant, le résultat net a chuté de 26% à 15,887 milliards FCFA, contre 21,47 milliards en 2024. Cette dégradation de la rentabilité se reflète dans les ratios : le ROE reste excellent à 27,6% (&gt;15% = excellent), et le ROA est de 4,89%. La marge nette s'établit à 10,87%. Le coefficient d'exploitation de 67,07% est préoccupant pour une banque (efficacité &lt;60% attendue), indiquant une pression sur les charges. Le coût du risque est élevé (3,57%), signalant une dégradation de la qualité du portefeuille de créances clients (12,328 Mds FCFA). Les dépôts clientèle (42,688 Mds FCFA) sont inférieurs aux créances clients, ce qui est un point de vigilance sur la liquidité. Les rapports trimestriels de 2025 (T1, S1, 9 mois) confirment cette tendance : une croissance du CA de +3 à 4% mais une chute du résultat net de -17% à -29% en glissement annuel, due à la hausse des coûts de l'énergie et de la maintenance dans un contexte sécuritaire difficile. Le rapport annuel 2025 (publié en avril 2026) souligne également une sanction de l'ARCEP de 1,543 milliard FCFA et des charges exceptionnelles. Le dividende proposé pour 2025 est de 166,08 FCFA par action, en baisse par rapport à 2024 (216,6 FCFA), reflétant la baisse des bénéfices. Le premier trimestre 2026 montre une stabilisation avec un CA de 37,1 Mds FCFA (+2,7%) et une marge EBITDA maintenue à 41,3%, mais le résultat net continue de baisser légèrement. Les fondamentaux restent solides grâce à la position dominante sur le FTTH et le Mobile Money, mais la pression sur les coûts et la rentabilité est le défi majeur.</w:t>
      </w:r>
    </w:p>
    <w:p>
      <w:pPr>
        <w:spacing w:after="120" w:line="276" w:lineRule="auto"/>
      </w:pPr>
      <w:r>
        <w:t>---</w:t>
      </w:r>
    </w:p>
    <w:p>
      <w:pPr>
        <w:spacing w:after="120" w:line="276" w:lineRule="auto"/>
      </w:pPr>
      <w:r>
        <w:t>### PARTIE 4 : CONCLUSION D'INVESTISSEMENT</w:t>
      </w:r>
    </w:p>
    <w:p>
      <w:pPr>
        <w:spacing w:after="120" w:line="276" w:lineRule="auto"/>
      </w:pPr>
      <w:r>
        <w:t>La valorisation de l'ONTBF (PER 12,8x, P/B 3,54x, EV/EBITDA 5,3x) est modérée et reflète une prime de croissance justifiée par sa position stratégique, mais sans sous-évaluation flagrante. Le comportement du cours sur 100 jours est haussier (+5,09%) avec une volatilité élevée (33,4%) et une distribution statistique saine, indiquant une tendance positive mais des risques de fluctuations. Les signaux techniques sont fortement divergents : le momentum (MACD) est haussier, mais tous les indicateurs de surachat (RSI, Stochastique, Bandes de Bollinger, MM) signalent une correction imminente. Les fondamentaux, bien que solides (ROE de 27,6%, croissance du CA), montrent une dégradation de la rentabilité nette (-26% en 2025) due à un environnement opérationnel difficile, avec des signes de stabilisation au T1 2026. Les prédictions IA pour les 10 prochains jours (2906 à 2895 FCFA) confirment cette analyse technique en projetant un léger repli du cours vers les 2 900 FCFA, ce qui valide le scénario de consolidation. En synthèse, la convergence entre les signaux techniques de surachat et les prédictions IA suggère une pause dans la hausse, tandis que les fondamentaux plaident pour une détention à moyen terme. **Recommandation finale : CONSERVER.** Le niveau de confiance est **Moyen** (divergence entre le momentum haussier et les signaux de surachat), le risque global est **Élevé** (volatilité et contexte sécuritaire). L'horizon d'investissement optimal est le **moyen terme (3-12 mois)**, en attendant une correction technique pour renforcer la position ou une amélioration visible de la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financiers, la soci\u00e9t\u00e9 maintient une marge EBITDA solide et poursuit sa croissance client. La diversification vers l'Internet et Mobile Money offre des perspectives de compensation face aux d\u00e9fis s\u00e9curitaires."}</w:t>
      </w:r>
    </w:p>
    <w:p>
      <w:pPr>
        <w:spacing w:before="40"/>
        <w:ind w:left="400"/>
      </w:pPr>
      <w:r>
        <w:rPr>
          <w:sz w:val="18"/>
        </w:rPr>
        <w:t>ONATEL-SA, opérateur global de télécommunications au Burkina Faso, présente des résultats mitigés au premier trimestre 2023 avec une base clients en croissance de 3% à 11,1 millions. Le chiffre d'affaires IFRS chute de 9,7% à 34,6 milliards FCFA contre 38,4 milliards en T1 2022, impacté par les conséquences sécuritaires et le recul de l'activité voix. Le résultat net IFRS s'établit à 4,7 milliards FCFA, en baisse de 34,5% par rapport aux 7,2 milliards de T1 2022. La marge EBITDA reste satisfaisante à 46,9% malgré la dégradation de 51,3% observée l'année précédente. Les revenus Mobile Money et Internet affichent une bonne performance qui compense partiellement la baisse des autres activités.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'16,2 milliards FCFA', 'parc_mobile': '10,99 millions', 'marge_ebitda': '46,9%', 'parc_internet': '6,61 millions', 'parc_clients_total': '11,1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milliards FCFA (IFRS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34,6 milliards FCFA (IFRS T1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parc clients de 3% à 11,1 millions malgré le contexte sécuritaire</w:t>
      </w:r>
    </w:p>
    <w:p>
      <w:pPr>
        <w:pStyle w:val="ListBullet"/>
        <w:spacing w:before="20" w:after="20"/>
        <w:ind w:left="700"/>
      </w:pPr>
      <w:r>
        <w:rPr>
          <w:sz w:val="18"/>
        </w:rPr>
        <w:t>Chiffre d'affaires IFRS en recul de 9,7% à 34,6 milliards FCFA au T1 2023</w:t>
      </w:r>
    </w:p>
    <w:p>
      <w:pPr>
        <w:pStyle w:val="ListBullet"/>
        <w:spacing w:before="20" w:after="20"/>
        <w:ind w:left="700"/>
      </w:pPr>
      <w:r>
        <w:rPr>
          <w:sz w:val="18"/>
        </w:rPr>
        <w:t>Résultat net IFRS en forte baisse de 34,5% à 4,7 milliards FCFA</w:t>
      </w:r>
    </w:p>
    <w:p>
      <w:pPr>
        <w:pStyle w:val="ListBullet"/>
        <w:spacing w:before="20" w:after="20"/>
        <w:ind w:left="700"/>
      </w:pPr>
      <w:r>
        <w:rPr>
          <w:sz w:val="18"/>
        </w:rPr>
        <w:t>Parc Internet en forte progression de 11,9% avec 6,6 millions d'abonnés</w:t>
      </w:r>
    </w:p>
    <w:p>
      <w:pPr>
        <w:pStyle w:val="ListBullet"/>
        <w:spacing w:before="20" w:after="20"/>
        <w:ind w:left="700"/>
      </w:pPr>
      <w:r>
        <w:rPr>
          <w:sz w:val="18"/>
        </w:rPr>
        <w:t>Marge EBITDA maintenue à un niveau satisfaisant de 46,9%</w:t>
      </w:r>
    </w:p>
    <w:p>
      <w:pPr>
        <w:pStyle w:val="ListBullet"/>
        <w:spacing w:before="20" w:after="20"/>
        <w:ind w:left="700"/>
      </w:pPr>
      <w:r>
        <w:rPr>
          <w:sz w:val="18"/>
        </w:rPr>
        <w:t>Impact négatif des conséquences sécuritaires sur les installations et revenus</w:t>
      </w:r>
    </w:p>
    <w:p>
      <w:pPr>
        <w:spacing w:before="40"/>
        <w:ind w:left="400"/>
      </w:pPr>
      <w:r>
        <w:rPr>
          <w:b/>
          <w:color w:val="C05000"/>
          <w:sz w:val="18"/>
        </w:rPr>
        <w:t xml:space="preserve">⚠️ Risques : </w:t>
      </w:r>
      <w:r>
        <w:rPr>
          <w:sz w:val="18"/>
        </w:rPr>
        <w:t>["D\u00e9gradation continue de la situation s\u00e9curitaire au Burkina Faso impactant les infrastructures", "Recul structurel des revenus voix traditionnels face \u00e0 l'usage des OTT", "Instabilit\u00e9 des revenus internationaux dans un contexte g\u00e9opolitique tendu"]</w:t>
      </w:r>
    </w:p>
    <w:p>
      <w:pPr>
        <w:spacing w:before="40"/>
        <w:ind w:left="400"/>
      </w:pPr>
      <w:r>
        <w:rPr>
          <w:b/>
          <w:color w:val="0064A0"/>
          <w:sz w:val="18"/>
        </w:rPr>
        <w:t xml:space="preserve">🔮 Perspectives : </w:t>
      </w:r>
      <w:r>
        <w:rPr>
          <w:sz w:val="18"/>
        </w:rPr>
        <w:t>La société mise sur le développement de l'Internet haut débit et des services Mobile Money pour compenser la baisse des revenus traditionnels. Les investissements structurels et l'amélioration de la qualité de service devraient soutenir la rétention et l'acquisition de clients malgré les défis sécur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rentabilit\u00e9 correcte avec une marge EBITDA de 48,4% et continue d'investir malgr\u00e9 les difficult\u00e9s s\u00e9curitaires. Le maintien du dividende et la croissance du parc clients t\u00e9moignent de la r\u00e9silience du mod\u00e8le."}</w:t>
      </w:r>
    </w:p>
    <w:p>
      <w:pPr>
        <w:spacing w:before="40"/>
        <w:ind w:left="400"/>
      </w:pPr>
      <w:r>
        <w:rPr>
          <w:sz w:val="18"/>
        </w:rPr>
        <w:t>ONATEL-SA, opérateur de télécommunications au Burkina Faso, a enregistré des résultats 2022 impactés par la dégradation du contexte sécuritaire avec de nombreux sites vandalisés. Malgré ce contexte difficile, la société a maintenu une croissance de son parc clients mobile (+5,7%) et internet (+14,1%), portant son parc Moov Africa à 11,1 millions d'abonnés. Le chiffre d'affaires IFRS a reculé de 6% à 147,3 Mds FCFA, tandis que le résultat net a chuté de 31,1% à 23,4 Mds FCFA. La rentabilité reste satisfaisante avec une marge EBITDA de 48,4%, témoignant de la résilience opérationnelle. Un dividende de 329 FCFA par action sera proposé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'71,3 Mds FCFA', 'parc_mobile': '11 047 958 clients', 'marge_ebitda': '48,4%', 'parc_internet': '6 481 709 clients', 'parc_moov_africa': '11 139 669 clients'}</w:t>
            </w:r>
          </w:p>
        </w:tc>
        <w:tc>
          <w:tcPr>
            <w:tcW w:type="dxa" w:w="2160"/>
          </w:tcPr>
          <w:p>
            <w:pPr>
              <w:ind w:left="100"/>
            </w:pPr>
            <w:r/>
            <w:r>
              <w:rPr>
                <w:b/>
                <w:sz w:val="16"/>
              </w:rPr>
              <w:t>dividende</w:t>
              <w:br/>
            </w:r>
            <w:r>
              <w:rPr>
                <w:sz w:val="18"/>
              </w:rPr>
              <w:t>329 FCFA par action</w:t>
            </w:r>
          </w:p>
        </w:tc>
        <w:tc>
          <w:tcPr>
            <w:tcW w:type="dxa" w:w="2160"/>
          </w:tcPr>
          <w:p>
            <w:pPr>
              <w:ind w:left="100"/>
            </w:pPr>
            <w:r/>
            <w:r>
              <w:rPr>
                <w:b/>
                <w:sz w:val="16"/>
              </w:rPr>
              <w:t>marge_nette</w:t>
              <w:br/>
            </w:r>
            <w:r>
              <w:rPr>
                <w:sz w:val="18"/>
              </w:rPr>
              <w:t>15,9%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23,4 Mds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147,3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Contexte sécuritaire difficile avec vandalisme massif des sites télécoms depuis janvier 2022</w:t>
      </w:r>
    </w:p>
    <w:p>
      <w:pPr>
        <w:pStyle w:val="ListBullet"/>
        <w:spacing w:before="20" w:after="20"/>
        <w:ind w:left="700"/>
      </w:pPr>
      <w:r>
        <w:rPr>
          <w:sz w:val="18"/>
        </w:rPr>
        <w:t>Croissance du parc clients mobile de 5,7% et internet de 14,1% malgré les difficultés</w:t>
      </w:r>
    </w:p>
    <w:p>
      <w:pPr>
        <w:pStyle w:val="ListBullet"/>
        <w:spacing w:before="20" w:after="20"/>
        <w:ind w:left="700"/>
      </w:pPr>
      <w:r>
        <w:rPr>
          <w:sz w:val="18"/>
        </w:rPr>
        <w:t>Chiffre d'affaires IFRS en baisse de 6% à 147,3 Mds FCFA</w:t>
      </w:r>
    </w:p>
    <w:p>
      <w:pPr>
        <w:pStyle w:val="ListBullet"/>
        <w:spacing w:before="20" w:after="20"/>
        <w:ind w:left="700"/>
      </w:pPr>
      <w:r>
        <w:rPr>
          <w:sz w:val="18"/>
        </w:rPr>
        <w:t>Résultat net en forte baisse de 31,1% à 23,4 Mds FCFA</w:t>
      </w:r>
    </w:p>
    <w:p>
      <w:pPr>
        <w:pStyle w:val="ListBullet"/>
        <w:spacing w:before="20" w:after="20"/>
        <w:ind w:left="700"/>
      </w:pPr>
      <w:r>
        <w:rPr>
          <w:sz w:val="18"/>
        </w:rPr>
        <w:t>Marge EBITDA maintenue à un niveau satisfaisant de 48,4%</w:t>
      </w:r>
    </w:p>
    <w:p>
      <w:pPr>
        <w:pStyle w:val="ListBullet"/>
        <w:spacing w:before="20" w:after="20"/>
        <w:ind w:left="700"/>
      </w:pPr>
      <w:r>
        <w:rPr>
          <w:sz w:val="18"/>
        </w:rPr>
        <w:t>Investissements et extension du réseau pour améliorer la qualité de service</w:t>
      </w:r>
    </w:p>
    <w:p>
      <w:pPr>
        <w:spacing w:before="40"/>
        <w:ind w:left="400"/>
      </w:pPr>
      <w:r>
        <w:rPr>
          <w:b/>
          <w:color w:val="C05000"/>
          <w:sz w:val="18"/>
        </w:rPr>
        <w:t xml:space="preserve">⚠️ Risques : </w:t>
      </w:r>
      <w:r>
        <w:rPr>
          <w:sz w:val="18"/>
        </w:rPr>
        <w:t>["D\u00e9gradation continue du contexte s\u00e9curitaire impactant les infrastructures", "Vandalisme r\u00e9current des sites t\u00e9l\u00e9coms affectant la qualit\u00e9 de service", "Pression sur les marges due aux co\u00fbts op\u00e9rationnels et d'investissement \u00e9lev\u00e9s"]</w:t>
      </w:r>
    </w:p>
    <w:p>
      <w:pPr>
        <w:spacing w:before="40"/>
        <w:ind w:left="400"/>
      </w:pPr>
      <w:r>
        <w:rPr>
          <w:b/>
          <w:color w:val="0064A0"/>
          <w:sz w:val="18"/>
        </w:rPr>
        <w:t xml:space="preserve">🔮 Perspectives : </w:t>
      </w:r>
      <w:r>
        <w:rPr>
          <w:sz w:val="18"/>
        </w:rPr>
        <w:t>Les perspectives dépendront largement de l'évolution du contexte sécuritaire au Burkina Faso. La société devra poursuivre ses investissements pour maintenir la qualité de service tout en gérant l'impact des vandalismes sur ses infrastructures.</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2560.39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2,354 titres</w:t>
            </w:r>
          </w:p>
        </w:tc>
        <w:tc>
          <w:tcPr>
            <w:tcW w:type="dxa" w:w="2268"/>
            <w:shd w:fill="FFF2CC" w:val="clear"/>
          </w:tcPr>
          <w:p>
            <w:r>
              <w:rPr>
                <w:b/>
                <w:color w:val="503200"/>
                <w:sz w:val="16"/>
              </w:rPr>
              <w:t xml:space="preserve">Cours actuel : </w:t>
            </w:r>
            <w:r>
              <w:rPr>
                <w:color w:val="000000"/>
                <w:sz w:val="17"/>
              </w:rPr>
              <w:t>16,995 FCFA</w:t>
            </w:r>
          </w:p>
          <w:p>
            <w:r>
              <w:rPr>
                <w:b/>
                <w:color w:val="503200"/>
                <w:sz w:val="16"/>
              </w:rPr>
              <w:t xml:space="preserve">Var. 100 jours : </w:t>
            </w:r>
            <w:r>
              <w:rPr>
                <w:b/>
                <w:color w:val="007800"/>
                <w:sz w:val="17"/>
              </w:rPr>
              <w:t>+6.89%</w:t>
            </w:r>
          </w:p>
          <w:p>
            <w:r>
              <w:rPr>
                <w:b/>
                <w:color w:val="503200"/>
                <w:sz w:val="16"/>
              </w:rPr>
              <w:t xml:space="preserve">Plus haut 100j : </w:t>
            </w:r>
            <w:r>
              <w:rPr>
                <w:color w:val="000000"/>
                <w:sz w:val="17"/>
              </w:rPr>
              <w:t>16,995 FCFA</w:t>
            </w:r>
          </w:p>
          <w:p>
            <w:r>
              <w:rPr>
                <w:b/>
                <w:color w:val="503200"/>
                <w:sz w:val="16"/>
              </w:rPr>
              <w:t xml:space="preserve">Plus bas 100j : </w:t>
            </w:r>
            <w:r>
              <w:rPr>
                <w:color w:val="000000"/>
                <w:sz w:val="17"/>
              </w:rPr>
              <w:t>14,200 FCFA</w:t>
            </w:r>
          </w:p>
          <w:p>
            <w:r>
              <w:rPr>
                <w:b/>
                <w:color w:val="503200"/>
                <w:sz w:val="16"/>
              </w:rPr>
              <w:t xml:space="preserve">Volatilité ann. : </w:t>
            </w:r>
            <w:r>
              <w:rPr>
                <w:color w:val="000000"/>
                <w:sz w:val="17"/>
              </w:rPr>
              <w:t>30.2%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18.1/100 → Faible</w:t>
      </w:r>
    </w:p>
    <w:p>
      <w:pPr>
        <w:spacing w:before="40" w:after="80"/>
      </w:pPr>
      <w:r>
        <w:rPr>
          <w:rFonts w:ascii="Courier New" w:hAnsi="Courier New"/>
          <w:color w:val="006400"/>
          <w:sz w:val="18"/>
        </w:rPr>
        <w:t>███░░░░░░░░░░░░░░░░░  18.1/100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4.40% (Faible) — μ=15,658 FCFA, σ=690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β=1.4271 (Agressif) — Cov=0.000052, Var(idx)=0.000036, ρ=0.449,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2,354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σ_j=1.90%/j (Stable) — Vol. annualisée≈30.2%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2026-08-03</w:t>
            </w:r>
          </w:p>
        </w:tc>
        <w:tc>
          <w:tcPr>
            <w:tcW w:type="dxa" w:w="1440"/>
            <w:shd w:fill="FAFAFA" w:val="clear"/>
          </w:tcPr>
          <w:p>
            <w:r>
              <w:rPr>
                <w:sz w:val="17"/>
              </w:rPr>
              <w:t>16,254</w:t>
            </w:r>
          </w:p>
        </w:tc>
        <w:tc>
          <w:tcPr>
            <w:tcW w:type="dxa" w:w="1440"/>
            <w:shd w:fill="FAFAFA" w:val="clear"/>
          </w:tcPr>
          <w:p>
            <w:r>
              <w:rPr>
                <w:b/>
                <w:sz w:val="17"/>
              </w:rPr>
              <w:t>16,744</w:t>
            </w:r>
          </w:p>
        </w:tc>
        <w:tc>
          <w:tcPr>
            <w:tcW w:type="dxa" w:w="1440"/>
            <w:shd w:fill="FAFAFA" w:val="clear"/>
          </w:tcPr>
          <w:p>
            <w:r>
              <w:rPr>
                <w:sz w:val="17"/>
              </w:rPr>
              <w:t>17,234</w:t>
            </w:r>
          </w:p>
        </w:tc>
        <w:tc>
          <w:tcPr>
            <w:tcW w:type="dxa" w:w="1440"/>
            <w:shd w:fill="FAFAFA" w:val="clear"/>
          </w:tcPr>
          <w:p>
            <w:r>
              <w:rPr>
                <w:b/>
                <w:color w:val="C00000"/>
                <w:sz w:val="17"/>
              </w:rPr>
              <w:t>-1.5%</w:t>
            </w:r>
          </w:p>
        </w:tc>
      </w:tr>
      <w:tr>
        <w:tc>
          <w:tcPr>
            <w:tcW w:type="dxa" w:w="1440"/>
            <w:shd w:fill="FAFAFA" w:val="clear"/>
          </w:tcPr>
          <w:p>
            <w:r>
              <w:rPr>
                <w:sz w:val="17"/>
              </w:rPr>
              <w:t>J+2  Moyenne</w:t>
            </w:r>
          </w:p>
        </w:tc>
        <w:tc>
          <w:tcPr>
            <w:tcW w:type="dxa" w:w="1440"/>
            <w:shd w:fill="FAFAFA" w:val="clear"/>
          </w:tcPr>
          <w:p>
            <w:r>
              <w:rPr>
                <w:sz w:val="17"/>
              </w:rPr>
              <w:t>2026-08-04</w:t>
            </w:r>
          </w:p>
        </w:tc>
        <w:tc>
          <w:tcPr>
            <w:tcW w:type="dxa" w:w="1440"/>
            <w:shd w:fill="FAFAFA" w:val="clear"/>
          </w:tcPr>
          <w:p>
            <w:r>
              <w:rPr>
                <w:sz w:val="17"/>
              </w:rPr>
              <w:t>16,048</w:t>
            </w:r>
          </w:p>
        </w:tc>
        <w:tc>
          <w:tcPr>
            <w:tcW w:type="dxa" w:w="1440"/>
            <w:shd w:fill="FAFAFA" w:val="clear"/>
          </w:tcPr>
          <w:p>
            <w:r>
              <w:rPr>
                <w:b/>
                <w:sz w:val="17"/>
              </w:rPr>
              <w:t>16,742</w:t>
            </w:r>
          </w:p>
        </w:tc>
        <w:tc>
          <w:tcPr>
            <w:tcW w:type="dxa" w:w="1440"/>
            <w:shd w:fill="FAFAFA" w:val="clear"/>
          </w:tcPr>
          <w:p>
            <w:r>
              <w:rPr>
                <w:sz w:val="17"/>
              </w:rPr>
              <w:t>17,435</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2026-08-05</w:t>
            </w:r>
          </w:p>
        </w:tc>
        <w:tc>
          <w:tcPr>
            <w:tcW w:type="dxa" w:w="1440"/>
            <w:shd w:fill="FAFAFA" w:val="clear"/>
          </w:tcPr>
          <w:p>
            <w:r>
              <w:rPr>
                <w:sz w:val="17"/>
              </w:rPr>
              <w:t>15,870</w:t>
            </w:r>
          </w:p>
        </w:tc>
        <w:tc>
          <w:tcPr>
            <w:tcW w:type="dxa" w:w="1440"/>
            <w:shd w:fill="FAFAFA" w:val="clear"/>
          </w:tcPr>
          <w:p>
            <w:r>
              <w:rPr>
                <w:b/>
                <w:sz w:val="17"/>
              </w:rPr>
              <w:t>16,718</w:t>
            </w:r>
          </w:p>
        </w:tc>
        <w:tc>
          <w:tcPr>
            <w:tcW w:type="dxa" w:w="1440"/>
            <w:shd w:fill="FAFAFA" w:val="clear"/>
          </w:tcPr>
          <w:p>
            <w:r>
              <w:rPr>
                <w:sz w:val="17"/>
              </w:rPr>
              <w:t>17,566</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2026-08-06</w:t>
            </w:r>
          </w:p>
        </w:tc>
        <w:tc>
          <w:tcPr>
            <w:tcW w:type="dxa" w:w="1440"/>
            <w:shd w:fill="FAFAFA" w:val="clear"/>
          </w:tcPr>
          <w:p>
            <w:r>
              <w:rPr>
                <w:sz w:val="17"/>
              </w:rPr>
              <w:t>15,713</w:t>
            </w:r>
          </w:p>
        </w:tc>
        <w:tc>
          <w:tcPr>
            <w:tcW w:type="dxa" w:w="1440"/>
            <w:shd w:fill="FAFAFA" w:val="clear"/>
          </w:tcPr>
          <w:p>
            <w:r>
              <w:rPr>
                <w:b/>
                <w:sz w:val="17"/>
              </w:rPr>
              <w:t>16,691</w:t>
            </w:r>
          </w:p>
        </w:tc>
        <w:tc>
          <w:tcPr>
            <w:tcW w:type="dxa" w:w="1440"/>
            <w:shd w:fill="FAFAFA" w:val="clear"/>
          </w:tcPr>
          <w:p>
            <w:r>
              <w:rPr>
                <w:sz w:val="17"/>
              </w:rPr>
              <w:t>17,668</w:t>
            </w:r>
          </w:p>
        </w:tc>
        <w:tc>
          <w:tcPr>
            <w:tcW w:type="dxa" w:w="1440"/>
            <w:shd w:fill="FAFAFA" w:val="clear"/>
          </w:tcPr>
          <w:p>
            <w:r>
              <w:rPr>
                <w:b/>
                <w:color w:val="C00000"/>
                <w:sz w:val="17"/>
              </w:rPr>
              <w:t>-1.8%</w:t>
            </w:r>
          </w:p>
        </w:tc>
      </w:tr>
      <w:tr>
        <w:tc>
          <w:tcPr>
            <w:tcW w:type="dxa" w:w="1440"/>
            <w:shd w:fill="FAFAFA" w:val="clear"/>
          </w:tcPr>
          <w:p>
            <w:r>
              <w:rPr>
                <w:sz w:val="17"/>
              </w:rPr>
              <w:t>J+5  ⭐</w:t>
            </w:r>
          </w:p>
        </w:tc>
        <w:tc>
          <w:tcPr>
            <w:tcW w:type="dxa" w:w="1440"/>
            <w:shd w:fill="FAFAFA" w:val="clear"/>
          </w:tcPr>
          <w:p>
            <w:r>
              <w:rPr>
                <w:sz w:val="17"/>
              </w:rPr>
              <w:t>2026-08-10</w:t>
            </w:r>
          </w:p>
        </w:tc>
        <w:tc>
          <w:tcPr>
            <w:tcW w:type="dxa" w:w="1440"/>
            <w:shd w:fill="FAFAFA" w:val="clear"/>
          </w:tcPr>
          <w:p>
            <w:r>
              <w:rPr>
                <w:sz w:val="17"/>
              </w:rPr>
              <w:t>15,572</w:t>
            </w:r>
          </w:p>
        </w:tc>
        <w:tc>
          <w:tcPr>
            <w:tcW w:type="dxa" w:w="1440"/>
            <w:shd w:fill="FAFAFA" w:val="clear"/>
          </w:tcPr>
          <w:p>
            <w:r>
              <w:rPr>
                <w:b/>
                <w:sz w:val="17"/>
              </w:rPr>
              <w:t>16,663</w:t>
            </w:r>
          </w:p>
        </w:tc>
        <w:tc>
          <w:tcPr>
            <w:tcW w:type="dxa" w:w="1440"/>
            <w:shd w:fill="FAFAFA" w:val="clear"/>
          </w:tcPr>
          <w:p>
            <w:r>
              <w:rPr>
                <w:sz w:val="17"/>
              </w:rPr>
              <w:t>17,754</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15,442</w:t>
            </w:r>
          </w:p>
        </w:tc>
        <w:tc>
          <w:tcPr>
            <w:tcW w:type="dxa" w:w="1440"/>
            <w:shd w:fill="FFDCE0" w:val="clear"/>
          </w:tcPr>
          <w:p>
            <w:r>
              <w:rPr>
                <w:b/>
                <w:sz w:val="17"/>
              </w:rPr>
              <w:t>16,636</w:t>
            </w:r>
          </w:p>
        </w:tc>
        <w:tc>
          <w:tcPr>
            <w:tcW w:type="dxa" w:w="1440"/>
            <w:shd w:fill="FFDCE0" w:val="clear"/>
          </w:tcPr>
          <w:p>
            <w:r>
              <w:rPr>
                <w:sz w:val="17"/>
              </w:rPr>
              <w:t>17,829</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15,322</w:t>
            </w:r>
          </w:p>
        </w:tc>
        <w:tc>
          <w:tcPr>
            <w:tcW w:type="dxa" w:w="1440"/>
            <w:shd w:fill="FFDCE0" w:val="clear"/>
          </w:tcPr>
          <w:p>
            <w:r>
              <w:rPr>
                <w:b/>
                <w:sz w:val="17"/>
              </w:rPr>
              <w:t>16,609</w:t>
            </w:r>
          </w:p>
        </w:tc>
        <w:tc>
          <w:tcPr>
            <w:tcW w:type="dxa" w:w="1440"/>
            <w:shd w:fill="FFDCE0" w:val="clear"/>
          </w:tcPr>
          <w:p>
            <w:r>
              <w:rPr>
                <w:sz w:val="17"/>
              </w:rPr>
              <w:t>17,895</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15,209</w:t>
            </w:r>
          </w:p>
        </w:tc>
        <w:tc>
          <w:tcPr>
            <w:tcW w:type="dxa" w:w="1440"/>
            <w:shd w:fill="FFDCE0" w:val="clear"/>
          </w:tcPr>
          <w:p>
            <w:r>
              <w:rPr>
                <w:b/>
                <w:sz w:val="17"/>
              </w:rPr>
              <w:t>16,582</w:t>
            </w:r>
          </w:p>
        </w:tc>
        <w:tc>
          <w:tcPr>
            <w:tcW w:type="dxa" w:w="1440"/>
            <w:shd w:fill="FFDCE0" w:val="clear"/>
          </w:tcPr>
          <w:p>
            <w:r>
              <w:rPr>
                <w:sz w:val="17"/>
              </w:rPr>
              <w:t>17,955</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15,101</w:t>
            </w:r>
          </w:p>
        </w:tc>
        <w:tc>
          <w:tcPr>
            <w:tcW w:type="dxa" w:w="1440"/>
            <w:shd w:fill="FFDCE0" w:val="clear"/>
          </w:tcPr>
          <w:p>
            <w:r>
              <w:rPr>
                <w:b/>
                <w:sz w:val="17"/>
              </w:rPr>
              <w:t>16,556</w:t>
            </w:r>
          </w:p>
        </w:tc>
        <w:tc>
          <w:tcPr>
            <w:tcW w:type="dxa" w:w="1440"/>
            <w:shd w:fill="FFDCE0" w:val="clear"/>
          </w:tcPr>
          <w:p>
            <w:r>
              <w:rPr>
                <w:sz w:val="17"/>
              </w:rPr>
              <w:t>18,010</w:t>
            </w:r>
          </w:p>
        </w:tc>
        <w:tc>
          <w:tcPr>
            <w:tcW w:type="dxa" w:w="1440"/>
            <w:shd w:fill="FFDCE0" w:val="clear"/>
          </w:tcPr>
          <w:p>
            <w:r>
              <w:rPr>
                <w:b/>
                <w:color w:val="C00000"/>
                <w:sz w:val="17"/>
              </w:rPr>
              <w:t>-2.6%</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14,999</w:t>
            </w:r>
          </w:p>
        </w:tc>
        <w:tc>
          <w:tcPr>
            <w:tcW w:type="dxa" w:w="1440"/>
            <w:shd w:fill="FFDCE0" w:val="clear"/>
          </w:tcPr>
          <w:p>
            <w:r>
              <w:rPr>
                <w:b/>
                <w:sz w:val="17"/>
              </w:rPr>
              <w:t>16,530</w:t>
            </w:r>
          </w:p>
        </w:tc>
        <w:tc>
          <w:tcPr>
            <w:tcW w:type="dxa" w:w="1440"/>
            <w:shd w:fill="FFDCE0" w:val="clear"/>
          </w:tcPr>
          <w:p>
            <w:r>
              <w:rPr>
                <w:sz w:val="17"/>
              </w:rPr>
              <w:t>18,061</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2 560,39 milliards FCFA, ce qui en fait l'une des plus importantes valeurs de la BRVM, représentant une part significative de la capitalisation totale du marché régional. Avec un BPA de 1 114 FCFA, chaque action génère un bénéfice substantiel, justifiant un PER de 15,3x, supérieur à la moyenne historique de la BRVM (8-12x), ce qui traduit une prime de croissance accordée par le marché à ce titre de qualité. Le P/B de 3,62x, dans la fourchette 2-4x, confirme que les investisseurs valorisent la société au-dessus de sa valeur comptable, rémunérant ainsi sa rentabilité supérieure et ses perspectives de croissance. Enfin, l'EV/EBITDA de 6,2x, situé dans la zone raisonnable de 5-10x, indique que la valeur d'entreprise reste cohérente avec sa capacité opérationnelle à générer des flux, malgré une valorisation boursière déjà généreuse.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totale de +6,89%, avec une dernière séance en hausse de +1,40%, portant le cours à 16 995 FCFA, son plus haut niveau sur la période. Le titre a évolué dans une fourchette de 14 200 à 16 995 FCFA, démontrant une dynamique haussière soutenue. La moyenne du cours sur la période s'établit à 15 658 FCFA, très proche de la médiane de 15 650 FCFA, indiquant une distribution quasi symétrique, confirmée par un skewness de 0,184. L'écart-type de 693 FCFA, soit un coefficient de variation de 4,4%, révèle une dispersion relativement faible des prix autour de la moyenne. Le kurtosis négatif de -1,061 (platykurtique) suggère une distribution aplatie avec peu de variations extrêmes, tandis que la volatilité annualisée de 30,2% classe le titre dans la catégorie des valeurs à volatilité élevée, reflétant un risque de marché notable mais rémunéré par une tendance haussière marquée.</w:t>
      </w:r>
    </w:p>
    <w:p>
      <w:pPr>
        <w:spacing w:after="120" w:line="276" w:lineRule="auto" w:before="240"/>
      </w:pPr>
      <w:r>
        <w:rPr>
          <w:b/>
          <w:color w:val="003366"/>
          <w:sz w:val="24"/>
        </w:rPr>
        <w:t>**PARTIE 2 : ANALYSE TECHNIQUE DÉTAILLÉE**</w:t>
      </w:r>
    </w:p>
    <w:p>
      <w:pPr>
        <w:spacing w:after="120" w:line="276" w:lineRule="auto"/>
      </w:pPr>
      <w:r>
        <w:t>Les moyennes mobiles MM20 (16 330,75 FCFA) et MM50 (16 242,8 FCFA) sont toutes deux inférieures au cours actuel de 16 995 FCFA, avec une MM20 au-dessus de la MM50, configuration typique d'une tendance haussière en place. Cette structure positive, où le prix évolue au-dessus des deux moyennes, confirme la dynamique ascendante du titre et justifie la décision d'achat, le croisement haussier des moyennes mobiles indiquant un momentum favorable à moyen terme.</w:t>
      </w:r>
    </w:p>
    <w:p>
      <w:pPr>
        <w:spacing w:after="120" w:line="276" w:lineRule="auto"/>
      </w:pPr>
      <w:r>
        <w:t>Les bandes de Bollinger présentent une borne supérieure à 17 018,242 FCFA et une borne inférieure à 15 643,258 FCFA, avec un cours à 16 995 FCFA se situant très proche de la borne supérieure. Cette position indique une pression acheteuse soutenue, mais également une zone de surachat potentiel à court terme. La décision neutre reflète l'équilibre entre la force de la tendance haussière et le risque de correction technique, le marché testant les limites supérieures de volatilité.</w:t>
      </w:r>
    </w:p>
    <w:p>
      <w:pPr>
        <w:spacing w:after="120" w:line="276" w:lineRule="auto"/>
      </w:pPr>
      <w:r>
        <w:t>Le MACD affiche une valeur de 167,093 contre un signal à 98,39, démontrant un momentum haussier clairement positif avec un écart croissant entre la ligne MACD et sa ligne de signal. Cette divergence positive confirme la dynamique ascendante du titre et justifie la décision d'achat, l'indicateur signalant une accélération de la tendance haussière et une vigueur du mouvement en cours.</w:t>
      </w:r>
    </w:p>
    <w:p>
      <w:pPr>
        <w:spacing w:after="120" w:line="276" w:lineRule="auto"/>
      </w:pPr>
      <w:r>
        <w:t>Le RSI s'établit à 74,328, dépassant le seuil de surachat fixé à 70, ce qui indique que le titre est techniquement survendu à la hausse. Cette situation suggère qu'une consolidation ou un repli technique est probable à court terme, justifiant la décision de vente. Les investisseurs pourraient être tentés de prendre leurs profits, mais dans une tendance haussière forte, le RSI peut rester en zone de surachat pendant une période prolongée.</w:t>
      </w:r>
    </w:p>
    <w:p>
      <w:pPr>
        <w:spacing w:after="120" w:line="276" w:lineRule="auto"/>
      </w:pPr>
      <w:r>
        <w:t>Le stochastique affiche des valeurs extrêmes avec %K et %D à 100,0, indiquant une condition de surachat extrême sur le titre. Cette configuration signale que le marché est dans une phase de forte dynamique haussière, mais également que le potentiel de hausse à court terme est techniquement limité. La décision de vente reflète ce risque de retournement technique imminent, bien que dans une tendance forte, les signaux de surachat puissent persister.</w:t>
      </w:r>
    </w:p>
    <w:p>
      <w:pPr>
        <w:spacing w:after="120" w:line="276" w:lineRule="auto"/>
      </w:pPr>
      <w:r>
        <w:t>La convergence des indicateurs techniques est mitigée : les moyennes mobiles et le MACD confirment une tendance haussière solide, tandis que le RSI et le stochastique signalent des conditions de surachat extrême. Cette divergence entre indicateurs de tendance et oscillateurs suggère que le titre pourrait connaître une consolidation à court terme avant de poursuivre sa progression. La prudence est donc recommandée pour les nouveaux achats à ces niveaux, mais la tendance de fond reste résolument positive.</w:t>
      </w:r>
    </w:p>
    <w:p>
      <w:pPr>
        <w:spacing w:after="120" w:line="276" w:lineRule="auto" w:before="240"/>
      </w:pPr>
      <w:r>
        <w:rPr>
          <w:b/>
          <w:color w:val="003366"/>
          <w:sz w:val="24"/>
        </w:rPr>
        <w:t>**PARTIE 3 : ANALYSE FONDAMENTALE (SECTION CRITIQUE)**</w:t>
      </w:r>
    </w:p>
    <w:p>
      <w:pPr>
        <w:spacing w:after="120" w:line="276" w:lineRule="auto"/>
      </w:pPr>
      <w:r>
        <w:t>En 2025, ORAC affiche des fondamentaux solides avec un chiffre d'affaires consolidé de 1 197,1 milliards FCFA, en hausse de +10,4% par rapport à 2024, et un résultat net consolidé de 167,8 milliards FCFA (+6,1%). La rentabilité des fonds propres (ROE) atteint 23,7%, nettement supérieure au seuil d'excellence de 15%, tandis que le ROA s'établit à 6,6%, témoignant d'une utilisation efficace des actifs. La marge nette de 14,0% et la marge opérationnelle de 24,0% confirment la solidité du modèle économique, avec un BFR négatif de -198 milliards FCFA, signe d'une gestion optimale du cycle d'exploitation. Les délais clients de 52 jours et fournisseurs de 211 jours reflètent une position de force dans la chaîne de valeur, tandis que l'endettement maîtrisé (capacité de remboursement de 0,99 an) et la solvabilité générale de 138,3% rassurent sur la structure financière. Sur la base du rapport T1 2026 publié en mai 2026, le chiffre d'affaires progresse de +14,8% à 325,6 milliards FCFA et le résultat net bondit de +25,2% à 48,3 milliards FCFA, laissant entrevoir une accélération significative de la croissance pour l'exercice 2026. Les rapports S1 et T3 2025 montraient déjà une croissance du CA de +9,9%, mais avec une stagnation du résultat net due à des charges financières accrues, situation qui s'est nettement améliorée au T1 2026 avec une marge nette en progression à 14,8%. La politique de dividende reste attractive avec 800 FCFA brut par action proposé pour 2025, soit un rendement d'environ 4,7% au cours actuel, confirmant la générosité de la distribution malgré un recentrage sur le financement des investissements.</w:t>
      </w:r>
    </w:p>
    <w:p>
      <w:pPr>
        <w:spacing w:after="120" w:line="276" w:lineRule="auto" w:before="240"/>
      </w:pPr>
      <w:r>
        <w:rPr>
          <w:b/>
          <w:color w:val="003366"/>
          <w:sz w:val="24"/>
        </w:rPr>
        <w:t>**PARTIE 4 : CONCLUSION D'INVESTISSEMENT**</w:t>
      </w:r>
    </w:p>
    <w:p>
      <w:pPr>
        <w:spacing w:after="120" w:line="276" w:lineRule="auto"/>
      </w:pPr>
      <w:r>
        <w:t>La valorisation d'ORAC, avec un PER de 15,3x et un P/B de 3,62x, reflète une prime de croissance justifiée par la solidité des fondamentaux, bien que supérieure à la moyenne du marché BRVM. Le comportement du cours sur 100 jours, avec une progression de +6,89% et une volatilité annualisée de 30,2%, démontre une dynamique haussière soutenue mais un risque de marché non négligeable. Les signaux techniques sont partagés : les moyennes mobiles et le MACD confirment la tendance haussière, tandis que le RSI à 74,3 et le stochastique à 100 signalent un surachat extrême appelant à une prudence à court terme. Les fondamentaux restent excellents avec une croissance à deux chiffres du CA et du résultat net, un ROE de 23,7% et une amélioration marquée au T1 2026 (+25,2% de résultat net). Les prédictions IA pour les 10 prochains jours, projetant un léger repli de 16 995 à 16 663 FCFA, confirment l'hypothèse d'une consolidation technique après la forte hausse récente. La convergence entre la solidité fondamentale, la tendance haussière de fond et la prudence technique à court terme conduit à une recommandation **CONSERVER** avec un niveau de confiance **Élevé** et un risque global **Moyen**. L'horizon d'investissement optimal se situe à **moyen terme (3-12 mois)**, permettant d'absorber une éventuelle correction technique tout en bénéficiant de la croissance soutenue des résultats et de la politique de dividende attractive.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l'expansion du parc client restent positives. Les d\u00e9fis op\u00e9rationnels actuels semblent temporaires face au potentiel de croissance du march\u00e9 t\u00e9l\u00e9coms ouest-africain."}</w:t>
      </w:r>
    </w:p>
    <w:p>
      <w:pPr>
        <w:spacing w:before="40"/>
        <w:ind w:left="400"/>
      </w:pPr>
      <w:r>
        <w:rPr>
          <w:sz w:val="18"/>
        </w:rPr>
        <w:t>Orange CI présente des résultats mitigés au T3 2023 avec un chiffre d'affaires consolidé de 753,2 milliards FCFA en croissance de 5,4%, porté notamment par Orange Burkina (+16,7%). L'EBITDAaL recule de 1,2% à 259,1 milliards FCFA impacté par la hausse des charges fiscales au Burkina et des coûts énergétiques en Côte d'Ivoire. Le résultat net chute significativement de 19,3% à 86,0 milliards FCFA, pénalisé par un contexte marché difficile et l'impact du litige Lonestar au Libéria. Le parc FMI progresse de 8% à 31,38 millions d'abonnés malgré une forte concurrence. Le mobile money maintient sa dynamique positive avec une croissance du parc actif.</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'103,1 milliards FCFA', 'EBITDAaL': '259,1 milliards FCFA', 'parc_FMI': "31,38 millions d'abonnés"}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753,2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753,2 milliards FCFA en croissance de 5,4% (+5,5% à taux constant)</w:t>
      </w:r>
    </w:p>
    <w:p>
      <w:pPr>
        <w:pStyle w:val="ListBullet"/>
        <w:spacing w:before="20" w:after="20"/>
        <w:ind w:left="700"/>
      </w:pPr>
      <w:r>
        <w:rPr>
          <w:sz w:val="18"/>
        </w:rPr>
        <w:t>Performance notable d'Orange Burkina avec une croissance de 16,7%</w:t>
      </w:r>
    </w:p>
    <w:p>
      <w:pPr>
        <w:pStyle w:val="ListBullet"/>
        <w:spacing w:before="20" w:after="20"/>
        <w:ind w:left="700"/>
      </w:pPr>
      <w:r>
        <w:rPr>
          <w:sz w:val="18"/>
        </w:rPr>
        <w:t>Parc FMI (Fixe, Mobile, Internet) en progression de 8% atteignant 31,38 millions d'abonnés</w:t>
      </w:r>
    </w:p>
    <w:p>
      <w:pPr>
        <w:pStyle w:val="ListBullet"/>
        <w:spacing w:before="20" w:after="20"/>
        <w:ind w:left="700"/>
      </w:pPr>
      <w:r>
        <w:rPr>
          <w:sz w:val="18"/>
        </w:rPr>
        <w:t>EBITDAaL en baisse de 1,2% à 259,1 milliards FCFA impacté par les charges fiscales et énergétiques</w:t>
      </w:r>
    </w:p>
    <w:p>
      <w:pPr>
        <w:pStyle w:val="ListBullet"/>
        <w:spacing w:before="20" w:after="20"/>
        <w:ind w:left="700"/>
      </w:pPr>
      <w:r>
        <w:rPr>
          <w:sz w:val="18"/>
        </w:rPr>
        <w:t>Résultat net en forte baisse de 19,3% à 86,0 milliards FCFA</w:t>
      </w:r>
    </w:p>
    <w:p>
      <w:pPr>
        <w:pStyle w:val="ListBullet"/>
        <w:spacing w:before="20" w:after="20"/>
        <w:ind w:left="700"/>
      </w:pPr>
      <w:r>
        <w:rPr>
          <w:sz w:val="18"/>
        </w:rPr>
        <w:t>Impact négatif du litige Lonestar au Libéria et de la dépréciation d'actifs</w:t>
      </w:r>
    </w:p>
    <w:p>
      <w:pPr>
        <w:spacing w:before="40"/>
        <w:ind w:left="400"/>
      </w:pPr>
      <w:r>
        <w:rPr>
          <w:b/>
          <w:color w:val="C05000"/>
          <w:sz w:val="18"/>
        </w:rPr>
        <w:t xml:space="preserve">⚠️ Risques : </w:t>
      </w:r>
      <w:r>
        <w:rPr>
          <w:sz w:val="18"/>
        </w:rPr>
        <w:t>["Contexte s\u00e9curitaire difficile au Burkina Faso affectant les op\u00e9rations", "Forte agressivit\u00e9 commerciale et concurrence accrue en C\u00f4te d'Ivoire", "Volatilit\u00e9 des taux de change au Lib\u00e9ria et impact du litige Lonestar"]</w:t>
      </w:r>
    </w:p>
    <w:p>
      <w:pPr>
        <w:spacing w:before="40"/>
        <w:ind w:left="400"/>
      </w:pPr>
      <w:r>
        <w:rPr>
          <w:b/>
          <w:color w:val="0064A0"/>
          <w:sz w:val="18"/>
        </w:rPr>
        <w:t xml:space="preserve">🔮 Perspectives : </w:t>
      </w:r>
      <w:r>
        <w:rPr>
          <w:sz w:val="18"/>
        </w:rPr>
        <w:t>L'environnement inflationniste et les tensions géopolitiques régionales continueront de peser sur les marges à court terme. Cependant, la dynamique de croissance du mobile money et l'expansion du parc FMI offrent des perspectives favorables pour 2024.</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217.96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7,051 titres</w:t>
            </w:r>
          </w:p>
        </w:tc>
        <w:tc>
          <w:tcPr>
            <w:tcW w:type="dxa" w:w="2268"/>
            <w:shd w:fill="FFF2CC" w:val="clear"/>
          </w:tcPr>
          <w:p>
            <w:r>
              <w:rPr>
                <w:b/>
                <w:color w:val="503200"/>
                <w:sz w:val="16"/>
              </w:rPr>
              <w:t xml:space="preserve">Cours actuel : </w:t>
            </w:r>
            <w:r>
              <w:rPr>
                <w:color w:val="000000"/>
                <w:sz w:val="17"/>
              </w:rPr>
              <w:t>3,140 FCFA</w:t>
            </w:r>
          </w:p>
          <w:p>
            <w:r>
              <w:rPr>
                <w:b/>
                <w:color w:val="503200"/>
                <w:sz w:val="16"/>
              </w:rPr>
              <w:t xml:space="preserve">Var. 100 jours : </w:t>
            </w:r>
            <w:r>
              <w:rPr>
                <w:b/>
                <w:color w:val="B40000"/>
                <w:sz w:val="17"/>
              </w:rPr>
              <w:t>-10.29%</w:t>
            </w:r>
          </w:p>
          <w:p>
            <w:r>
              <w:rPr>
                <w:b/>
                <w:color w:val="503200"/>
                <w:sz w:val="16"/>
              </w:rPr>
              <w:t xml:space="preserve">Plus haut 100j : </w:t>
            </w:r>
            <w:r>
              <w:rPr>
                <w:color w:val="000000"/>
                <w:sz w:val="17"/>
              </w:rPr>
              <w:t>3,995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14.43% (Moyenne) — μ=3,046 FCFA, σ=439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β=0.3997 (Défensif) — Cov=0.000014, Var(idx)=0.000036, ρ=0.081,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7,051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σ_j=2.99%/j (Stable) — Vol. annualisée≈47.5%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2026-08-03</w:t>
            </w:r>
          </w:p>
        </w:tc>
        <w:tc>
          <w:tcPr>
            <w:tcW w:type="dxa" w:w="1440"/>
            <w:shd w:fill="FFDCE0" w:val="clear"/>
          </w:tcPr>
          <w:p>
            <w:r>
              <w:rPr>
                <w:sz w:val="17"/>
              </w:rPr>
              <w:t>2,915</w:t>
            </w:r>
          </w:p>
        </w:tc>
        <w:tc>
          <w:tcPr>
            <w:tcW w:type="dxa" w:w="1440"/>
            <w:shd w:fill="FFDCE0" w:val="clear"/>
          </w:tcPr>
          <w:p>
            <w:r>
              <w:rPr>
                <w:b/>
                <w:sz w:val="17"/>
              </w:rPr>
              <w:t>3,007</w:t>
            </w:r>
          </w:p>
        </w:tc>
        <w:tc>
          <w:tcPr>
            <w:tcW w:type="dxa" w:w="1440"/>
            <w:shd w:fill="FFDCE0" w:val="clear"/>
          </w:tcPr>
          <w:p>
            <w:r>
              <w:rPr>
                <w:sz w:val="17"/>
              </w:rPr>
              <w:t>3,099</w:t>
            </w:r>
          </w:p>
        </w:tc>
        <w:tc>
          <w:tcPr>
            <w:tcW w:type="dxa" w:w="1440"/>
            <w:shd w:fill="FFDCE0" w:val="clear"/>
          </w:tcPr>
          <w:p>
            <w:r>
              <w:rPr>
                <w:b/>
                <w:color w:val="C00000"/>
                <w:sz w:val="17"/>
              </w:rPr>
              <w:t>-4.2%</w:t>
            </w:r>
          </w:p>
        </w:tc>
      </w:tr>
      <w:tr>
        <w:tc>
          <w:tcPr>
            <w:tcW w:type="dxa" w:w="1440"/>
            <w:shd w:fill="FFDCE0" w:val="clear"/>
          </w:tcPr>
          <w:p>
            <w:r>
              <w:rPr>
                <w:sz w:val="17"/>
              </w:rPr>
              <w:t>J+2  ⭐⭐⭐</w:t>
            </w:r>
          </w:p>
        </w:tc>
        <w:tc>
          <w:tcPr>
            <w:tcW w:type="dxa" w:w="1440"/>
            <w:shd w:fill="FFDCE0" w:val="clear"/>
          </w:tcPr>
          <w:p>
            <w:r>
              <w:rPr>
                <w:sz w:val="17"/>
              </w:rPr>
              <w:t>2026-08-04</w:t>
            </w:r>
          </w:p>
        </w:tc>
        <w:tc>
          <w:tcPr>
            <w:tcW w:type="dxa" w:w="1440"/>
            <w:shd w:fill="FFDCE0" w:val="clear"/>
          </w:tcPr>
          <w:p>
            <w:r>
              <w:rPr>
                <w:sz w:val="17"/>
              </w:rPr>
              <w:t>2,876</w:t>
            </w:r>
          </w:p>
        </w:tc>
        <w:tc>
          <w:tcPr>
            <w:tcW w:type="dxa" w:w="1440"/>
            <w:shd w:fill="FFDCE0" w:val="clear"/>
          </w:tcPr>
          <w:p>
            <w:r>
              <w:rPr>
                <w:b/>
                <w:sz w:val="17"/>
              </w:rPr>
              <w:t>3,006</w:t>
            </w:r>
          </w:p>
        </w:tc>
        <w:tc>
          <w:tcPr>
            <w:tcW w:type="dxa" w:w="1440"/>
            <w:shd w:fill="FFDCE0" w:val="clear"/>
          </w:tcPr>
          <w:p>
            <w:r>
              <w:rPr>
                <w:sz w:val="17"/>
              </w:rPr>
              <w:t>3,136</w:t>
            </w:r>
          </w:p>
        </w:tc>
        <w:tc>
          <w:tcPr>
            <w:tcW w:type="dxa" w:w="1440"/>
            <w:shd w:fill="FFDCE0" w:val="clear"/>
          </w:tcPr>
          <w:p>
            <w:r>
              <w:rPr>
                <w:b/>
                <w:color w:val="C00000"/>
                <w:sz w:val="17"/>
              </w:rPr>
              <w:t>-4.3%</w:t>
            </w:r>
          </w:p>
        </w:tc>
      </w:tr>
      <w:tr>
        <w:tc>
          <w:tcPr>
            <w:tcW w:type="dxa" w:w="1440"/>
            <w:shd w:fill="FFDCE0" w:val="clear"/>
          </w:tcPr>
          <w:p>
            <w:r>
              <w:rPr>
                <w:sz w:val="17"/>
              </w:rPr>
              <w:t>J+3  ⭐⭐⭐</w:t>
            </w:r>
          </w:p>
        </w:tc>
        <w:tc>
          <w:tcPr>
            <w:tcW w:type="dxa" w:w="1440"/>
            <w:shd w:fill="FFDCE0" w:val="clear"/>
          </w:tcPr>
          <w:p>
            <w:r>
              <w:rPr>
                <w:sz w:val="17"/>
              </w:rPr>
              <w:t>2026-08-05</w:t>
            </w:r>
          </w:p>
        </w:tc>
        <w:tc>
          <w:tcPr>
            <w:tcW w:type="dxa" w:w="1440"/>
            <w:shd w:fill="FFDCE0" w:val="clear"/>
          </w:tcPr>
          <w:p>
            <w:r>
              <w:rPr>
                <w:sz w:val="17"/>
              </w:rPr>
              <w:t>2,838</w:t>
            </w:r>
          </w:p>
        </w:tc>
        <w:tc>
          <w:tcPr>
            <w:tcW w:type="dxa" w:w="1440"/>
            <w:shd w:fill="FFDCE0" w:val="clear"/>
          </w:tcPr>
          <w:p>
            <w:r>
              <w:rPr>
                <w:b/>
                <w:sz w:val="17"/>
              </w:rPr>
              <w:t>2,998</w:t>
            </w:r>
          </w:p>
        </w:tc>
        <w:tc>
          <w:tcPr>
            <w:tcW w:type="dxa" w:w="1440"/>
            <w:shd w:fill="FFDCE0" w:val="clear"/>
          </w:tcPr>
          <w:p>
            <w:r>
              <w:rPr>
                <w:sz w:val="17"/>
              </w:rPr>
              <w:t>3,157</w:t>
            </w:r>
          </w:p>
        </w:tc>
        <w:tc>
          <w:tcPr>
            <w:tcW w:type="dxa" w:w="1440"/>
            <w:shd w:fill="FFDCE0" w:val="clear"/>
          </w:tcPr>
          <w:p>
            <w:r>
              <w:rPr>
                <w:b/>
                <w:color w:val="C00000"/>
                <w:sz w:val="17"/>
              </w:rPr>
              <w:t>-4.5%</w:t>
            </w:r>
          </w:p>
        </w:tc>
      </w:tr>
      <w:tr>
        <w:tc>
          <w:tcPr>
            <w:tcW w:type="dxa" w:w="1440"/>
            <w:shd w:fill="FFDCE0" w:val="clear"/>
          </w:tcPr>
          <w:p>
            <w:r>
              <w:rPr>
                <w:sz w:val="17"/>
              </w:rPr>
              <w:t>J+4  Moyenne</w:t>
            </w:r>
          </w:p>
        </w:tc>
        <w:tc>
          <w:tcPr>
            <w:tcW w:type="dxa" w:w="1440"/>
            <w:shd w:fill="FFDCE0" w:val="clear"/>
          </w:tcPr>
          <w:p>
            <w:r>
              <w:rPr>
                <w:sz w:val="17"/>
              </w:rPr>
              <w:t>2026-08-06</w:t>
            </w:r>
          </w:p>
        </w:tc>
        <w:tc>
          <w:tcPr>
            <w:tcW w:type="dxa" w:w="1440"/>
            <w:shd w:fill="FFDCE0" w:val="clear"/>
          </w:tcPr>
          <w:p>
            <w:r>
              <w:rPr>
                <w:sz w:val="17"/>
              </w:rPr>
              <w:t>2,808</w:t>
            </w:r>
          </w:p>
        </w:tc>
        <w:tc>
          <w:tcPr>
            <w:tcW w:type="dxa" w:w="1440"/>
            <w:shd w:fill="FFDCE0" w:val="clear"/>
          </w:tcPr>
          <w:p>
            <w:r>
              <w:rPr>
                <w:b/>
                <w:sz w:val="17"/>
              </w:rPr>
              <w:t>2,992</w:t>
            </w:r>
          </w:p>
        </w:tc>
        <w:tc>
          <w:tcPr>
            <w:tcW w:type="dxa" w:w="1440"/>
            <w:shd w:fill="FFDCE0" w:val="clear"/>
          </w:tcPr>
          <w:p>
            <w:r>
              <w:rPr>
                <w:sz w:val="17"/>
              </w:rPr>
              <w:t>3,175</w:t>
            </w:r>
          </w:p>
        </w:tc>
        <w:tc>
          <w:tcPr>
            <w:tcW w:type="dxa" w:w="1440"/>
            <w:shd w:fill="FFDCE0" w:val="clear"/>
          </w:tcPr>
          <w:p>
            <w:r>
              <w:rPr>
                <w:b/>
                <w:color w:val="C00000"/>
                <w:sz w:val="17"/>
              </w:rPr>
              <w:t>-4.7%</w:t>
            </w:r>
          </w:p>
        </w:tc>
      </w:tr>
      <w:tr>
        <w:tc>
          <w:tcPr>
            <w:tcW w:type="dxa" w:w="1440"/>
            <w:shd w:fill="FFDCE0" w:val="clear"/>
          </w:tcPr>
          <w:p>
            <w:r>
              <w:rPr>
                <w:sz w:val="17"/>
              </w:rPr>
              <w:t>J+5  Moyenne</w:t>
            </w:r>
          </w:p>
        </w:tc>
        <w:tc>
          <w:tcPr>
            <w:tcW w:type="dxa" w:w="1440"/>
            <w:shd w:fill="FFDCE0" w:val="clear"/>
          </w:tcPr>
          <w:p>
            <w:r>
              <w:rPr>
                <w:sz w:val="17"/>
              </w:rPr>
              <w:t>2026-08-10</w:t>
            </w:r>
          </w:p>
        </w:tc>
        <w:tc>
          <w:tcPr>
            <w:tcW w:type="dxa" w:w="1440"/>
            <w:shd w:fill="FFDCE0" w:val="clear"/>
          </w:tcPr>
          <w:p>
            <w:r>
              <w:rPr>
                <w:sz w:val="17"/>
              </w:rPr>
              <w:t>2,783</w:t>
            </w:r>
          </w:p>
        </w:tc>
        <w:tc>
          <w:tcPr>
            <w:tcW w:type="dxa" w:w="1440"/>
            <w:shd w:fill="FFDCE0" w:val="clear"/>
          </w:tcPr>
          <w:p>
            <w:r>
              <w:rPr>
                <w:b/>
                <w:sz w:val="17"/>
              </w:rPr>
              <w:t>2,987</w:t>
            </w:r>
          </w:p>
        </w:tc>
        <w:tc>
          <w:tcPr>
            <w:tcW w:type="dxa" w:w="1440"/>
            <w:shd w:fill="FFDCE0" w:val="clear"/>
          </w:tcPr>
          <w:p>
            <w:r>
              <w:rPr>
                <w:sz w:val="17"/>
              </w:rPr>
              <w:t>3,192</w:t>
            </w:r>
          </w:p>
        </w:tc>
        <w:tc>
          <w:tcPr>
            <w:tcW w:type="dxa" w:w="1440"/>
            <w:shd w:fill="FFDCE0" w:val="clear"/>
          </w:tcPr>
          <w:p>
            <w:r>
              <w:rPr>
                <w:b/>
                <w:color w:val="C00000"/>
                <w:sz w:val="17"/>
              </w:rPr>
              <w:t>-4.9%</w:t>
            </w:r>
          </w:p>
        </w:tc>
      </w:tr>
      <w:tr>
        <w:tc>
          <w:tcPr>
            <w:tcW w:type="dxa" w:w="1440"/>
            <w:shd w:fill="FFDCE0" w:val="clear"/>
          </w:tcPr>
          <w:p>
            <w:r>
              <w:rPr>
                <w:sz w:val="17"/>
              </w:rPr>
              <w:t>J+6  Moyenne</w:t>
            </w:r>
          </w:p>
        </w:tc>
        <w:tc>
          <w:tcPr>
            <w:tcW w:type="dxa" w:w="1440"/>
            <w:shd w:fill="FFDCE0" w:val="clear"/>
          </w:tcPr>
          <w:p>
            <w:r>
              <w:rPr>
                <w:sz w:val="17"/>
              </w:rPr>
              <w:t>2026-08-11</w:t>
            </w:r>
          </w:p>
        </w:tc>
        <w:tc>
          <w:tcPr>
            <w:tcW w:type="dxa" w:w="1440"/>
            <w:shd w:fill="FFDCE0" w:val="clear"/>
          </w:tcPr>
          <w:p>
            <w:r>
              <w:rPr>
                <w:sz w:val="17"/>
              </w:rPr>
              <w:t>2,760</w:t>
            </w:r>
          </w:p>
        </w:tc>
        <w:tc>
          <w:tcPr>
            <w:tcW w:type="dxa" w:w="1440"/>
            <w:shd w:fill="FFDCE0" w:val="clear"/>
          </w:tcPr>
          <w:p>
            <w:r>
              <w:rPr>
                <w:b/>
                <w:sz w:val="17"/>
              </w:rPr>
              <w:t>2,984</w:t>
            </w:r>
          </w:p>
        </w:tc>
        <w:tc>
          <w:tcPr>
            <w:tcW w:type="dxa" w:w="1440"/>
            <w:shd w:fill="FFDCE0" w:val="clear"/>
          </w:tcPr>
          <w:p>
            <w:r>
              <w:rPr>
                <w:sz w:val="17"/>
              </w:rPr>
              <w:t>3,208</w:t>
            </w:r>
          </w:p>
        </w:tc>
        <w:tc>
          <w:tcPr>
            <w:tcW w:type="dxa" w:w="1440"/>
            <w:shd w:fill="FFDCE0" w:val="clear"/>
          </w:tcPr>
          <w:p>
            <w:r>
              <w:rPr>
                <w:b/>
                <w:color w:val="C00000"/>
                <w:sz w:val="17"/>
              </w:rPr>
              <w:t>-5.0%</w:t>
            </w:r>
          </w:p>
        </w:tc>
      </w:tr>
      <w:tr>
        <w:tc>
          <w:tcPr>
            <w:tcW w:type="dxa" w:w="1440"/>
            <w:shd w:fill="FFDCE0" w:val="clear"/>
          </w:tcPr>
          <w:p>
            <w:r>
              <w:rPr>
                <w:sz w:val="17"/>
              </w:rPr>
              <w:t>J+7  Moyenne</w:t>
            </w:r>
          </w:p>
        </w:tc>
        <w:tc>
          <w:tcPr>
            <w:tcW w:type="dxa" w:w="1440"/>
            <w:shd w:fill="FFDCE0" w:val="clear"/>
          </w:tcPr>
          <w:p>
            <w:r>
              <w:rPr>
                <w:sz w:val="17"/>
              </w:rPr>
              <w:t>2026-08-12</w:t>
            </w:r>
          </w:p>
        </w:tc>
        <w:tc>
          <w:tcPr>
            <w:tcW w:type="dxa" w:w="1440"/>
            <w:shd w:fill="FFDCE0" w:val="clear"/>
          </w:tcPr>
          <w:p>
            <w:r>
              <w:rPr>
                <w:sz w:val="17"/>
              </w:rPr>
              <w:t>2,740</w:t>
            </w:r>
          </w:p>
        </w:tc>
        <w:tc>
          <w:tcPr>
            <w:tcW w:type="dxa" w:w="1440"/>
            <w:shd w:fill="FFDCE0" w:val="clear"/>
          </w:tcPr>
          <w:p>
            <w:r>
              <w:rPr>
                <w:b/>
                <w:sz w:val="17"/>
              </w:rPr>
              <w:t>2,981</w:t>
            </w:r>
          </w:p>
        </w:tc>
        <w:tc>
          <w:tcPr>
            <w:tcW w:type="dxa" w:w="1440"/>
            <w:shd w:fill="FFDCE0" w:val="clear"/>
          </w:tcPr>
          <w:p>
            <w:r>
              <w:rPr>
                <w:sz w:val="17"/>
              </w:rPr>
              <w:t>3,223</w:t>
            </w:r>
          </w:p>
        </w:tc>
        <w:tc>
          <w:tcPr>
            <w:tcW w:type="dxa" w:w="1440"/>
            <w:shd w:fill="FFDCE0" w:val="clear"/>
          </w:tcPr>
          <w:p>
            <w:r>
              <w:rPr>
                <w:b/>
                <w:color w:val="C00000"/>
                <w:sz w:val="17"/>
              </w:rPr>
              <w:t>-5.1%</w:t>
            </w:r>
          </w:p>
        </w:tc>
      </w:tr>
      <w:tr>
        <w:tc>
          <w:tcPr>
            <w:tcW w:type="dxa" w:w="1440"/>
            <w:shd w:fill="FFDCE0" w:val="clear"/>
          </w:tcPr>
          <w:p>
            <w:r>
              <w:rPr>
                <w:sz w:val="17"/>
              </w:rPr>
              <w:t>J+8  Moyenne</w:t>
            </w:r>
          </w:p>
        </w:tc>
        <w:tc>
          <w:tcPr>
            <w:tcW w:type="dxa" w:w="1440"/>
            <w:shd w:fill="FFDCE0" w:val="clear"/>
          </w:tcPr>
          <w:p>
            <w:r>
              <w:rPr>
                <w:sz w:val="17"/>
              </w:rPr>
              <w:t>2026-08-13</w:t>
            </w:r>
          </w:p>
        </w:tc>
        <w:tc>
          <w:tcPr>
            <w:tcW w:type="dxa" w:w="1440"/>
            <w:shd w:fill="FFDCE0" w:val="clear"/>
          </w:tcPr>
          <w:p>
            <w:r>
              <w:rPr>
                <w:sz w:val="17"/>
              </w:rPr>
              <w:t>2,721</w:t>
            </w:r>
          </w:p>
        </w:tc>
        <w:tc>
          <w:tcPr>
            <w:tcW w:type="dxa" w:w="1440"/>
            <w:shd w:fill="FFDCE0" w:val="clear"/>
          </w:tcPr>
          <w:p>
            <w:r>
              <w:rPr>
                <w:b/>
                <w:sz w:val="17"/>
              </w:rPr>
              <w:t>2,979</w:t>
            </w:r>
          </w:p>
        </w:tc>
        <w:tc>
          <w:tcPr>
            <w:tcW w:type="dxa" w:w="1440"/>
            <w:shd w:fill="FFDCE0" w:val="clear"/>
          </w:tcPr>
          <w:p>
            <w:r>
              <w:rPr>
                <w:sz w:val="17"/>
              </w:rPr>
              <w:t>3,237</w:t>
            </w:r>
          </w:p>
        </w:tc>
        <w:tc>
          <w:tcPr>
            <w:tcW w:type="dxa" w:w="1440"/>
            <w:shd w:fill="FFDCE0" w:val="clear"/>
          </w:tcPr>
          <w:p>
            <w:r>
              <w:rPr>
                <w:b/>
                <w:color w:val="C00000"/>
                <w:sz w:val="17"/>
              </w:rPr>
              <w:t>-5.1%</w:t>
            </w:r>
          </w:p>
        </w:tc>
      </w:tr>
      <w:tr>
        <w:tc>
          <w:tcPr>
            <w:tcW w:type="dxa" w:w="1440"/>
            <w:shd w:fill="FFDCE0" w:val="clear"/>
          </w:tcPr>
          <w:p>
            <w:r>
              <w:rPr>
                <w:sz w:val="17"/>
              </w:rPr>
              <w:t>J+9  Moyenne</w:t>
            </w:r>
          </w:p>
        </w:tc>
        <w:tc>
          <w:tcPr>
            <w:tcW w:type="dxa" w:w="1440"/>
            <w:shd w:fill="FFDCE0" w:val="clear"/>
          </w:tcPr>
          <w:p>
            <w:r>
              <w:rPr>
                <w:sz w:val="17"/>
              </w:rPr>
              <w:t>2026-08-14</w:t>
            </w:r>
          </w:p>
        </w:tc>
        <w:tc>
          <w:tcPr>
            <w:tcW w:type="dxa" w:w="1440"/>
            <w:shd w:fill="FFDCE0" w:val="clear"/>
          </w:tcPr>
          <w:p>
            <w:r>
              <w:rPr>
                <w:sz w:val="17"/>
              </w:rPr>
              <w:t>2,703</w:t>
            </w:r>
          </w:p>
        </w:tc>
        <w:tc>
          <w:tcPr>
            <w:tcW w:type="dxa" w:w="1440"/>
            <w:shd w:fill="FFDCE0" w:val="clear"/>
          </w:tcPr>
          <w:p>
            <w:r>
              <w:rPr>
                <w:b/>
                <w:sz w:val="17"/>
              </w:rPr>
              <w:t>2,977</w:t>
            </w:r>
          </w:p>
        </w:tc>
        <w:tc>
          <w:tcPr>
            <w:tcW w:type="dxa" w:w="1440"/>
            <w:shd w:fill="FFDCE0" w:val="clear"/>
          </w:tcPr>
          <w:p>
            <w:r>
              <w:rPr>
                <w:sz w:val="17"/>
              </w:rPr>
              <w:t>3,250</w:t>
            </w:r>
          </w:p>
        </w:tc>
        <w:tc>
          <w:tcPr>
            <w:tcW w:type="dxa" w:w="1440"/>
            <w:shd w:fill="FFDCE0" w:val="clear"/>
          </w:tcPr>
          <w:p>
            <w:r>
              <w:rPr>
                <w:b/>
                <w:color w:val="C00000"/>
                <w:sz w:val="17"/>
              </w:rPr>
              <w:t>-5.2%</w:t>
            </w:r>
          </w:p>
        </w:tc>
      </w:tr>
      <w:tr>
        <w:tc>
          <w:tcPr>
            <w:tcW w:type="dxa" w:w="1440"/>
            <w:shd w:fill="FFDCE0" w:val="clear"/>
          </w:tcPr>
          <w:p>
            <w:r>
              <w:rPr>
                <w:sz w:val="17"/>
              </w:rPr>
              <w:t>J+10  Moyenne</w:t>
            </w:r>
          </w:p>
        </w:tc>
        <w:tc>
          <w:tcPr>
            <w:tcW w:type="dxa" w:w="1440"/>
            <w:shd w:fill="FFDCE0" w:val="clear"/>
          </w:tcPr>
          <w:p>
            <w:r>
              <w:rPr>
                <w:sz w:val="17"/>
              </w:rPr>
              <w:t>2026-08-17</w:t>
            </w:r>
          </w:p>
        </w:tc>
        <w:tc>
          <w:tcPr>
            <w:tcW w:type="dxa" w:w="1440"/>
            <w:shd w:fill="FFDCE0" w:val="clear"/>
          </w:tcPr>
          <w:p>
            <w:r>
              <w:rPr>
                <w:sz w:val="17"/>
              </w:rPr>
              <w:t>2,686</w:t>
            </w:r>
          </w:p>
        </w:tc>
        <w:tc>
          <w:tcPr>
            <w:tcW w:type="dxa" w:w="1440"/>
            <w:shd w:fill="FFDCE0" w:val="clear"/>
          </w:tcPr>
          <w:p>
            <w:r>
              <w:rPr>
                <w:b/>
                <w:sz w:val="17"/>
              </w:rPr>
              <w:t>2,974</w:t>
            </w:r>
          </w:p>
        </w:tc>
        <w:tc>
          <w:tcPr>
            <w:tcW w:type="dxa" w:w="1440"/>
            <w:shd w:fill="FFDCE0" w:val="clear"/>
          </w:tcPr>
          <w:p>
            <w:r>
              <w:rPr>
                <w:sz w:val="17"/>
              </w:rPr>
              <w:t>3,262</w:t>
            </w:r>
          </w:p>
        </w:tc>
        <w:tc>
          <w:tcPr>
            <w:tcW w:type="dxa" w:w="1440"/>
            <w:shd w:fill="FFDCE0" w:val="clear"/>
          </w:tcPr>
          <w:p>
            <w:r>
              <w:rPr>
                <w:b/>
                <w:color w:val="C00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d'ORGT s'établit à 217,96 milliards FCFA, ce qui positionne le titre parmi les valeurs moyennes à grandes capitalisations de la BRVM, lui conférant une liquidité potentiellement correcte. Avec un BPA de 312 FCFA, chaque action génère un bénéfice substantiel, justifiant un PER de 10,1x. Ce ratio est en ligne avec la moyenne historique du marché BRVM (8-12x), indiquant que les investisseurs paient un prix raisonnable pour les bénéfices de la banque. Le P/B de 1,93x montre que le marché valorise la société à près du double de sa valeur comptable, ce qui est modéré et reflète une certaine confiance dans la création de valeur future. Cependant, l'EV/EBITDA de 20,0x est nettement supérieur au seuil de 15x, signalant une valorisation exigeante de la capacité opérationnelle de l'entreprise, un point de vigilance pour les investisseurs axés sur la valeur.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ORGT a enregistré une variation totale de -10,29%, mais a rebondi de +4,67% lors de la dernière séance, montrant une tentative de reprise. Le cours a évolué dans une fourchette large de 2 435 à 3 995 FCFA, illustrant une forte amplitude de trading. La moyenne (3 046 FCFA) est supérieure à la médiane (2 780 FCFA), ce qui, combiné à un skewness positif de 0,531, indique une distribution asymétrique avec des journées plus fréquentes sous la moyenne mais quelques fortes hausses. L'écart-type de 442 FCFA (CV=14,5%) révèle une dispersion modérée des prix autour de la moyenne. Le kurtosis négatif (-1,285) signale une distribution platykurtique, donc peu de valeurs extrêmes. La volatilité annualisée de 47,5% est très élevée, classant ORGT comme un actif à risque significatif, ce qui est crucial pour la gestion de portefeuille.</w:t>
      </w:r>
    </w:p>
    <w:p>
      <w:pPr>
        <w:spacing w:after="120" w:line="276" w:lineRule="auto" w:before="240"/>
      </w:pPr>
      <w:r>
        <w:rPr>
          <w:b/>
          <w:color w:val="003366"/>
          <w:sz w:val="24"/>
        </w:rPr>
        <w:t>**PARTIE 2 : ANALYSE TECHNIQUE DÉTAILLÉE**</w:t>
      </w:r>
    </w:p>
    <w:p>
      <w:pPr>
        <w:spacing w:after="120" w:line="276" w:lineRule="auto"/>
      </w:pPr>
      <w:r>
        <w:t>Les moyennes mobiles (MM20 à 2 744,75 FCFA et MM50 à 2 728,5 FCFA) sont toutes deux nettement inférieures au cours actuel de 3 140 FCFA, indiquant une dynamique haussière à court et moyen terme. Le croisement de ces MM avec le prix suggère un signal d'achat, car le marché se négocie au-dessus de ses moyennes historiques, confirmant une tendance positive.</w:t>
      </w:r>
    </w:p>
    <w:p>
      <w:pPr>
        <w:spacing w:after="120" w:line="276" w:lineRule="auto"/>
      </w:pPr>
      <w:r>
        <w:t>Les bandes de Bollinger montrent un cours (3 140 FCFA) qui a dépassé la borne supérieure (3 004,15 FCFA), signalant une condition de surachat extrême. Cette sortie de canal indique une volatilité accrue et un momentum haussier très fort, mais aussi un risque de correction imminente. La décision de vente est donc justifiée pour anticiper un éventuel retour vers la moyenne.</w:t>
      </w:r>
    </w:p>
    <w:p>
      <w:pPr>
        <w:spacing w:after="120" w:line="276" w:lineRule="auto"/>
      </w:pPr>
      <w:r>
        <w:t>Le MACD affiche une valeur de 62,35 contre un signal à 14,03, avec une divergence positive significative. Cette configuration traduit un momentum haussier puissant, confirmé par la décision d'achat. L'écart croissant entre le MACD et sa ligne de signal suggère que la dynamique positive pourrait se poursuivre à court terme.</w:t>
      </w:r>
    </w:p>
    <w:p>
      <w:pPr>
        <w:spacing w:after="120" w:line="276" w:lineRule="auto"/>
      </w:pPr>
      <w:r>
        <w:t>Le RSI à 89,47 est en zone de surachat extrême (au-dessus de 70), ce qui indique que le titre est survendu et qu'une consolidation technique est probable. Ce niveau élevé justifie la décision de vente, car il reflète une pression acheteuse excessive qui pourrait s'essouffler.</w:t>
      </w:r>
    </w:p>
    <w:p>
      <w:pPr>
        <w:spacing w:after="120" w:line="276" w:lineRule="auto"/>
      </w:pPr>
      <w:r>
        <w:t>Le stochastique (%K=100, %D=100) est également en territoire de surachat maximal, renforçant le signal de vente. Cette configuration extrême suggère que le mouvement haussier est arrivé à maturité et qu'un retournement est possible, d'autant plus que les deux lignes sont au plus haut.</w:t>
      </w:r>
    </w:p>
    <w:p>
      <w:pPr>
        <w:spacing w:after="120" w:line="276" w:lineRule="auto"/>
      </w:pPr>
      <w:r>
        <w:t>En conclusion, la majorité des indicateurs techniques (RSI, Stochastique, Bandes de Bollinger) signalent un surachat, tandis que les moyennes mobiles et le MACD restent positifs. Cette divergence crée une zone d'incertitude, mais la prudence est de mise à court terme.</w:t>
      </w:r>
    </w:p>
    <w:p>
      <w:pPr>
        <w:spacing w:after="120" w:line="276" w:lineRule="auto" w:before="240"/>
      </w:pPr>
      <w:r>
        <w:rPr>
          <w:b/>
          <w:color w:val="003366"/>
          <w:sz w:val="24"/>
        </w:rPr>
        <w:t>**PARTIE 3 : ANALYSE FONDAMENTALE (SECTION CRITIQUE)**</w:t>
      </w:r>
    </w:p>
    <w:p>
      <w:pPr>
        <w:spacing w:after="120" w:line="276" w:lineRule="auto"/>
      </w:pPr>
      <w:r>
        <w:t>En 2025, les données structurées montrent un Produit Net Bancaire (PNB) de 186,609 milliards FCFA, en baisse de 4,5% par rapport à 2024 (195,436 milliards). Le résultat net a spectaculairement rebondi à 21,643 milliards FCFA, contre une perte de -44,363 milliards en 2024, grâce à une réduction drastique du coût du risque (-90%) et une maîtrise des charges générales (-12%). Le coefficient d'exploitation de 42,85% est excellent, indiquant une banque très efficace. Le ROE de 19,13% est supérieur au seuil de 15%, reflétant une bonne rentabilité des fonds propres, tandis que le ROA de 0,54% reste faible, typique du secteur bancaire. Les dépôts clientèle (3 088,698 milliards) couvrent largement les créances clientèle (1 523,765 milliards), montrant une transformation saine. Les rapports trimestriels de 2025 (T1, S1, T3) confirment cette tendance, avec un résultat net cumulé de 19,6 milliards à fin septembre, soit une amélioration de +248%. Sur la base du rapport T1 2026 (résultat net +37% à 6,555 milliards), on estime que l'exercice 2026 pourrait voir une poursuite de la croissance des bénéfices, bien que le PNB reste sous pression. La solidité financière est renforcée par des capitaux propres de 113,165 milliards, mais l'autonomie financière de 2,82% reste préoccupante, soulignant une dépendance élevée aux dettes.</w:t>
      </w:r>
    </w:p>
    <w:p>
      <w:pPr>
        <w:spacing w:after="120" w:line="276" w:lineRule="auto" w:before="240"/>
      </w:pPr>
      <w:r>
        <w:rPr>
          <w:b/>
          <w:color w:val="003366"/>
          <w:sz w:val="24"/>
        </w:rPr>
        <w:t>**PARTIE 4 : CONCLUSION D'INVESTISSEMENT**</w:t>
      </w:r>
    </w:p>
    <w:p>
      <w:pPr>
        <w:spacing w:after="120" w:line="276" w:lineRule="auto"/>
      </w:pPr>
      <w:r>
        <w:t>La valorisation d'ORGT est modérée avec un PER de 10,1x et un P/B de 1,93x, mais l'EV/EBITDA de 20x est exigeant. Le comportement du cours montre une tendance baissière sur 100 jours (-10,29%) avec une volatilité très élevée (47,5%), et des statistiques indiquant une distribution asymétrique positive. Les signaux techniques sont mitigés : les moyennes mobiles et le MACD sont positifs, mais le RSI, le stochastique et les bandes de Bollinger suggèrent un surachat, préfigurant une possible correction. Les fondamentaux sont solides avec un redressement spectaculaire en 2025, une rentabilité (ROE 19,13%) et une efficacité opérationnelle excellentes, mais le PNB est en déclin. Les prédictions IA pour les 10 prochains jours (3 007 à 2 987 FCFA) indiquent une légère baisse, contredisant le momentum haussier actuel et suggérant un rééquilibrage. En synthèse, la convergence entre les signaux techniques de surachat et les prédictions IA de repli, malgré des fondamentaux améliorés, conduit à une recommandation **CONSERVER**. Le niveau de confiance est **Moyen** en raison des divergences entre les indicateurs, et le risque global est **Élevé** compte tenu de la volatilité. L'horizon d'investissement optimal serait le **moyen terme (3-12 mois)** pour observer la stabilisation du PNB et la poursuite du redressement.</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139.13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3,764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B40000"/>
                <w:sz w:val="17"/>
              </w:rPr>
              <w:t>-3.74%</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41.0%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6.41% (Moyenne) — μ=8,424 FCFA, σ=540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β=-0.0478 (Contre-cyclique) — Cov=-0.000002, Var(idx)=0.000036, ρ=-0.011,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3,764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σ_j=2.59%/j (Stable) — Vol. annualisée≈41.0%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2026-08-03</w:t>
            </w:r>
          </w:p>
        </w:tc>
        <w:tc>
          <w:tcPr>
            <w:tcW w:type="dxa" w:w="1440"/>
            <w:shd w:fill="FAFAFA" w:val="clear"/>
          </w:tcPr>
          <w:p>
            <w:r>
              <w:rPr>
                <w:sz w:val="17"/>
              </w:rPr>
              <w:t>8,591</w:t>
            </w:r>
          </w:p>
        </w:tc>
        <w:tc>
          <w:tcPr>
            <w:tcW w:type="dxa" w:w="1440"/>
            <w:shd w:fill="FAFAFA" w:val="clear"/>
          </w:tcPr>
          <w:p>
            <w:r>
              <w:rPr>
                <w:b/>
                <w:sz w:val="17"/>
              </w:rPr>
              <w:t>8,908</w:t>
            </w:r>
          </w:p>
        </w:tc>
        <w:tc>
          <w:tcPr>
            <w:tcW w:type="dxa" w:w="1440"/>
            <w:shd w:fill="FAFAFA" w:val="clear"/>
          </w:tcPr>
          <w:p>
            <w:r>
              <w:rPr>
                <w:sz w:val="17"/>
              </w:rPr>
              <w:t>9,226</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2026-08-04</w:t>
            </w:r>
          </w:p>
        </w:tc>
        <w:tc>
          <w:tcPr>
            <w:tcW w:type="dxa" w:w="1440"/>
            <w:shd w:fill="FAFAFA" w:val="clear"/>
          </w:tcPr>
          <w:p>
            <w:r>
              <w:rPr>
                <w:sz w:val="17"/>
              </w:rPr>
              <w:t>8,498</w:t>
            </w:r>
          </w:p>
        </w:tc>
        <w:tc>
          <w:tcPr>
            <w:tcW w:type="dxa" w:w="1440"/>
            <w:shd w:fill="FAFAFA" w:val="clear"/>
          </w:tcPr>
          <w:p>
            <w:r>
              <w:rPr>
                <w:b/>
                <w:sz w:val="17"/>
              </w:rPr>
              <w:t>8,948</w:t>
            </w:r>
          </w:p>
        </w:tc>
        <w:tc>
          <w:tcPr>
            <w:tcW w:type="dxa" w:w="1440"/>
            <w:shd w:fill="FAFAFA" w:val="clear"/>
          </w:tcPr>
          <w:p>
            <w:r>
              <w:rPr>
                <w:sz w:val="17"/>
              </w:rPr>
              <w:t>9,399</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2026-08-05</w:t>
            </w:r>
          </w:p>
        </w:tc>
        <w:tc>
          <w:tcPr>
            <w:tcW w:type="dxa" w:w="1440"/>
            <w:shd w:fill="FAFAFA" w:val="clear"/>
          </w:tcPr>
          <w:p>
            <w:r>
              <w:rPr>
                <w:sz w:val="17"/>
              </w:rPr>
              <w:t>8,423</w:t>
            </w:r>
          </w:p>
        </w:tc>
        <w:tc>
          <w:tcPr>
            <w:tcW w:type="dxa" w:w="1440"/>
            <w:shd w:fill="FAFAFA" w:val="clear"/>
          </w:tcPr>
          <w:p>
            <w:r>
              <w:rPr>
                <w:b/>
                <w:sz w:val="17"/>
              </w:rPr>
              <w:t>8,977</w:t>
            </w:r>
          </w:p>
        </w:tc>
        <w:tc>
          <w:tcPr>
            <w:tcW w:type="dxa" w:w="1440"/>
            <w:shd w:fill="FAFAFA" w:val="clear"/>
          </w:tcPr>
          <w:p>
            <w:r>
              <w:rPr>
                <w:sz w:val="17"/>
              </w:rPr>
              <w:t>9,530</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2026-08-06</w:t>
            </w:r>
          </w:p>
        </w:tc>
        <w:tc>
          <w:tcPr>
            <w:tcW w:type="dxa" w:w="1440"/>
            <w:shd w:fill="FAFAFA" w:val="clear"/>
          </w:tcPr>
          <w:p>
            <w:r>
              <w:rPr>
                <w:sz w:val="17"/>
              </w:rPr>
              <w:t>8,362</w:t>
            </w:r>
          </w:p>
        </w:tc>
        <w:tc>
          <w:tcPr>
            <w:tcW w:type="dxa" w:w="1440"/>
            <w:shd w:fill="FAFAFA" w:val="clear"/>
          </w:tcPr>
          <w:p>
            <w:r>
              <w:rPr>
                <w:b/>
                <w:sz w:val="17"/>
              </w:rPr>
              <w:t>9,003</w:t>
            </w:r>
          </w:p>
        </w:tc>
        <w:tc>
          <w:tcPr>
            <w:tcW w:type="dxa" w:w="1440"/>
            <w:shd w:fill="FAFAFA" w:val="clear"/>
          </w:tcPr>
          <w:p>
            <w:r>
              <w:rPr>
                <w:sz w:val="17"/>
              </w:rPr>
              <w:t>9,644</w:t>
            </w:r>
          </w:p>
        </w:tc>
        <w:tc>
          <w:tcPr>
            <w:tcW w:type="dxa" w:w="1440"/>
            <w:shd w:fill="FAFAFA" w:val="clear"/>
          </w:tcPr>
          <w:p>
            <w:r>
              <w:rPr>
                <w:b/>
                <w:color w:val="008000"/>
                <w:sz w:val="17"/>
              </w:rPr>
              <w:t>+0.0%</w:t>
            </w:r>
          </w:p>
        </w:tc>
      </w:tr>
      <w:tr>
        <w:tc>
          <w:tcPr>
            <w:tcW w:type="dxa" w:w="1440"/>
            <w:shd w:fill="FAFAFA" w:val="clear"/>
          </w:tcPr>
          <w:p>
            <w:r>
              <w:rPr>
                <w:sz w:val="17"/>
              </w:rPr>
              <w:t>J+5  ⭐</w:t>
            </w:r>
          </w:p>
        </w:tc>
        <w:tc>
          <w:tcPr>
            <w:tcW w:type="dxa" w:w="1440"/>
            <w:shd w:fill="FAFAFA" w:val="clear"/>
          </w:tcPr>
          <w:p>
            <w:r>
              <w:rPr>
                <w:sz w:val="17"/>
              </w:rPr>
              <w:t>2026-08-10</w:t>
            </w:r>
          </w:p>
        </w:tc>
        <w:tc>
          <w:tcPr>
            <w:tcW w:type="dxa" w:w="1440"/>
            <w:shd w:fill="FAFAFA" w:val="clear"/>
          </w:tcPr>
          <w:p>
            <w:r>
              <w:rPr>
                <w:sz w:val="17"/>
              </w:rPr>
              <w:t>8,311</w:t>
            </w:r>
          </w:p>
        </w:tc>
        <w:tc>
          <w:tcPr>
            <w:tcW w:type="dxa" w:w="1440"/>
            <w:shd w:fill="FAFAFA" w:val="clear"/>
          </w:tcPr>
          <w:p>
            <w:r>
              <w:rPr>
                <w:b/>
                <w:sz w:val="17"/>
              </w:rPr>
              <w:t>9,030</w:t>
            </w:r>
          </w:p>
        </w:tc>
        <w:tc>
          <w:tcPr>
            <w:tcW w:type="dxa" w:w="1440"/>
            <w:shd w:fill="FAFAFA" w:val="clear"/>
          </w:tcPr>
          <w:p>
            <w:r>
              <w:rPr>
                <w:sz w:val="17"/>
              </w:rPr>
              <w:t>9,749</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2026-08-11</w:t>
            </w:r>
          </w:p>
        </w:tc>
        <w:tc>
          <w:tcPr>
            <w:tcW w:type="dxa" w:w="1440"/>
            <w:shd w:fill="FAFAFA" w:val="clear"/>
          </w:tcPr>
          <w:p>
            <w:r>
              <w:rPr>
                <w:sz w:val="17"/>
              </w:rPr>
              <w:t>8,267</w:t>
            </w:r>
          </w:p>
        </w:tc>
        <w:tc>
          <w:tcPr>
            <w:tcW w:type="dxa" w:w="1440"/>
            <w:shd w:fill="FAFAFA" w:val="clear"/>
          </w:tcPr>
          <w:p>
            <w:r>
              <w:rPr>
                <w:b/>
                <w:sz w:val="17"/>
              </w:rPr>
              <w:t>9,057</w:t>
            </w:r>
          </w:p>
        </w:tc>
        <w:tc>
          <w:tcPr>
            <w:tcW w:type="dxa" w:w="1440"/>
            <w:shd w:fill="FAFAFA" w:val="clear"/>
          </w:tcPr>
          <w:p>
            <w:r>
              <w:rPr>
                <w:sz w:val="17"/>
              </w:rPr>
              <w:t>9,847</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2026-08-12</w:t>
            </w:r>
          </w:p>
        </w:tc>
        <w:tc>
          <w:tcPr>
            <w:tcW w:type="dxa" w:w="1440"/>
            <w:shd w:fill="FAFAFA" w:val="clear"/>
          </w:tcPr>
          <w:p>
            <w:r>
              <w:rPr>
                <w:sz w:val="17"/>
              </w:rPr>
              <w:t>8,228</w:t>
            </w:r>
          </w:p>
        </w:tc>
        <w:tc>
          <w:tcPr>
            <w:tcW w:type="dxa" w:w="1440"/>
            <w:shd w:fill="FAFAFA" w:val="clear"/>
          </w:tcPr>
          <w:p>
            <w:r>
              <w:rPr>
                <w:b/>
                <w:sz w:val="17"/>
              </w:rPr>
              <w:t>9,084</w:t>
            </w:r>
          </w:p>
        </w:tc>
        <w:tc>
          <w:tcPr>
            <w:tcW w:type="dxa" w:w="1440"/>
            <w:shd w:fill="FAFAFA" w:val="clear"/>
          </w:tcPr>
          <w:p>
            <w:r>
              <w:rPr>
                <w:sz w:val="17"/>
              </w:rPr>
              <w:t>9,940</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2026-08-13</w:t>
            </w:r>
          </w:p>
        </w:tc>
        <w:tc>
          <w:tcPr>
            <w:tcW w:type="dxa" w:w="1440"/>
            <w:shd w:fill="FAFAFA" w:val="clear"/>
          </w:tcPr>
          <w:p>
            <w:r>
              <w:rPr>
                <w:sz w:val="17"/>
              </w:rPr>
              <w:t>8,194</w:t>
            </w:r>
          </w:p>
        </w:tc>
        <w:tc>
          <w:tcPr>
            <w:tcW w:type="dxa" w:w="1440"/>
            <w:shd w:fill="FAFAFA" w:val="clear"/>
          </w:tcPr>
          <w:p>
            <w:r>
              <w:rPr>
                <w:b/>
                <w:sz w:val="17"/>
              </w:rPr>
              <w:t>9,111</w:t>
            </w:r>
          </w:p>
        </w:tc>
        <w:tc>
          <w:tcPr>
            <w:tcW w:type="dxa" w:w="1440"/>
            <w:shd w:fill="FAFAFA" w:val="clear"/>
          </w:tcPr>
          <w:p>
            <w:r>
              <w:rPr>
                <w:sz w:val="17"/>
              </w:rPr>
              <w:t>10,029</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2026-08-14</w:t>
            </w:r>
          </w:p>
        </w:tc>
        <w:tc>
          <w:tcPr>
            <w:tcW w:type="dxa" w:w="1440"/>
            <w:shd w:fill="FAFAFA" w:val="clear"/>
          </w:tcPr>
          <w:p>
            <w:r>
              <w:rPr>
                <w:sz w:val="17"/>
              </w:rPr>
              <w:t>8,162</w:t>
            </w:r>
          </w:p>
        </w:tc>
        <w:tc>
          <w:tcPr>
            <w:tcW w:type="dxa" w:w="1440"/>
            <w:shd w:fill="FAFAFA" w:val="clear"/>
          </w:tcPr>
          <w:p>
            <w:r>
              <w:rPr>
                <w:b/>
                <w:sz w:val="17"/>
              </w:rPr>
              <w:t>9,138</w:t>
            </w:r>
          </w:p>
        </w:tc>
        <w:tc>
          <w:tcPr>
            <w:tcW w:type="dxa" w:w="1440"/>
            <w:shd w:fill="FAFAFA" w:val="clear"/>
          </w:tcPr>
          <w:p>
            <w:r>
              <w:rPr>
                <w:sz w:val="17"/>
              </w:rPr>
              <w:t>10,114</w:t>
            </w:r>
          </w:p>
        </w:tc>
        <w:tc>
          <w:tcPr>
            <w:tcW w:type="dxa" w:w="1440"/>
            <w:shd w:fill="FAFAFA" w:val="clear"/>
          </w:tcPr>
          <w:p>
            <w:r>
              <w:rPr>
                <w:b/>
                <w:color w:val="008000"/>
                <w:sz w:val="17"/>
              </w:rPr>
              <w:t>+1.5%</w:t>
            </w:r>
          </w:p>
        </w:tc>
      </w:tr>
      <w:tr>
        <w:tc>
          <w:tcPr>
            <w:tcW w:type="dxa" w:w="1440"/>
            <w:shd w:fill="FAFAFA" w:val="clear"/>
          </w:tcPr>
          <w:p>
            <w:r>
              <w:rPr>
                <w:sz w:val="17"/>
              </w:rPr>
              <w:t>J+10  ⭐</w:t>
            </w:r>
          </w:p>
        </w:tc>
        <w:tc>
          <w:tcPr>
            <w:tcW w:type="dxa" w:w="1440"/>
            <w:shd w:fill="FAFAFA" w:val="clear"/>
          </w:tcPr>
          <w:p>
            <w:r>
              <w:rPr>
                <w:sz w:val="17"/>
              </w:rPr>
              <w:t>2026-08-17</w:t>
            </w:r>
          </w:p>
        </w:tc>
        <w:tc>
          <w:tcPr>
            <w:tcW w:type="dxa" w:w="1440"/>
            <w:shd w:fill="FAFAFA" w:val="clear"/>
          </w:tcPr>
          <w:p>
            <w:r>
              <w:rPr>
                <w:sz w:val="17"/>
              </w:rPr>
              <w:t>8,133</w:t>
            </w:r>
          </w:p>
        </w:tc>
        <w:tc>
          <w:tcPr>
            <w:tcW w:type="dxa" w:w="1440"/>
            <w:shd w:fill="FAFAFA" w:val="clear"/>
          </w:tcPr>
          <w:p>
            <w:r>
              <w:rPr>
                <w:b/>
                <w:sz w:val="17"/>
              </w:rPr>
              <w:t>9,165</w:t>
            </w:r>
          </w:p>
        </w:tc>
        <w:tc>
          <w:tcPr>
            <w:tcW w:type="dxa" w:w="1440"/>
            <w:shd w:fill="FAFAFA" w:val="clear"/>
          </w:tcPr>
          <w:p>
            <w:r>
              <w:rPr>
                <w:sz w:val="17"/>
              </w:rPr>
              <w:t>10,197</w:t>
            </w:r>
          </w:p>
        </w:tc>
        <w:tc>
          <w:tcPr>
            <w:tcW w:type="dxa" w:w="1440"/>
            <w:shd w:fill="FAFAFA" w:val="clear"/>
          </w:tcPr>
          <w:p>
            <w:r>
              <w:rPr>
                <w:b/>
                <w:color w:val="008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**Date de l'analyse : 30 juillet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PALC s'établit à 139,13 milliards FCFA, un niveau qui la positionne parmi les valeurs moyennes à grandes capitalisations de la cote, reflétant son statut de leader régional de l'agro-industrie. Avec un BPA de 1 003 FCFA, le titre se négocie à un PER de 9,0x, inférieur à la moyenne historique de la BRVM (8-12x), ce qui suggère une décote relative et un potentiel de revalorisation si les bénéfices se maintiennent. Le P/B de 0,98x est particulièrement intéressant : le marché valorise l'action légèrement en dessous de sa valeur comptable, indiquant une sous-évaluation potentielle du patrimoine de l'entreprise. Enfin, l'EV/EBITDA de 4,4x confirme cette attractivité, la valeur d'entreprise ne représentant que 4,4 fois le résultat opérationnel brut, un niveau très bon marché qui signale une marge de sécurité appréciable pour un investisseur de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PALC affiche une variation totale de -3,74%, mais enregistre un rebond marqué de +4,65% lors de la dernière séance, signe d'un regain d'intérêt des investisseurs. Le cours a évolué dans un range de 7 000 FCFA (plus bas) à 9 500 FCFA (plus haut), démontrant une amplitude de 2 500 FCFA, soit une volatilité intra-période significative. La moyenne de 8 424 FCFA est inférieure à la médiane de 8 600 FCFA, indiquant une asymétrie légèrement négative de la distribution des prix, avec des épisodes de faiblesse plus prononcés que les phases de hausse. L'écart-type de 542 FCFA (CV=6,4%) révèle une dispersion modérée autour de la moyenne. Le kurtosis de -0,572 (mésokurtique) suggère une distribution proche de la normale, sans risque de variations extrêmes, tandis que le skewness de -0,067 confirme une symétrie quasi parfaite. La volatilité annualisée de 41,0% classe le titre dans la catégorie des valeurs à forte volatilité (&gt;30%), ce qui implique un risque élevé mais aussi un potentiel de gains substantiels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9 000 FCFA se positionne au-dessus de la MM20 (8 766,75 FCFA) et de la MM50 (8 569,6 FCFA), confirmant une tendance haussière de court et moyen terme. La configuration des moyennes mobiles (MM20 &gt; MM50) est positive et génère un signal d'achat, indiquant que la dynamique haussière est soutenue par les volumes et l'intérêt des investisseurs.</w:t>
      </w:r>
    </w:p>
    <w:p>
      <w:pPr>
        <w:spacing w:after="120" w:line="276" w:lineRule="auto"/>
      </w:pPr>
      <w:r>
        <w:t>**Bandes de Bollinger :** Le prix évolue à 9 000 FCFA, très proche de la borne supérieure (9 014,95 FCFA), ce qui témoigne d'une pression acheteuse soutenue. La largeur des bandes (8518,55 à 9014,95) reflète une volatilité modérée. La décision est neutre, car le titre n'a pas encore franchi la borne supérieure, mais la proximité de celle-ci suggère un possible breakout haussier ou un retournement si la résistance se confirme.</w:t>
      </w:r>
    </w:p>
    <w:p>
      <w:pPr>
        <w:spacing w:after="120" w:line="276" w:lineRule="auto"/>
      </w:pPr>
      <w:r>
        <w:t>**MACD :** Le MACD (69,743) est légèrement supérieur à son signal (69,414), avec un écart positif de 0,329 point. Cette configuration indique un momentum haussier encore actif, bien que l'écart soit faible. La décision d'achat est maintenue, mais la prudence est de mise car un croisement baissier pourrait survenir si l'écart se resserre davantage.</w:t>
      </w:r>
    </w:p>
    <w:p>
      <w:pPr>
        <w:spacing w:after="120" w:line="276" w:lineRule="auto"/>
      </w:pPr>
      <w:r>
        <w:t>**RSI :** Le RSI s'établit à 55,529, dans la zone neutre (30-70), ce qui laisse une marge de progression avant d'atteindre la zone de surachat (&gt;70). Ce niveau indique un équilibre entre acheteurs et vendeurs, avec un léger biais haussier. La décision neutre est cohérente avec une phase de consolidation qui pourrait déboucher sur une poursuite de la hausse.</w:t>
      </w:r>
    </w:p>
    <w:p>
      <w:pPr>
        <w:spacing w:after="120" w:line="276" w:lineRule="auto"/>
      </w:pPr>
      <w:r>
        <w:t>**Stochastique :** Le %K (96,154) est très élevé et nettement au-dessus du %D (71,795), signalant une condition de surachat extrême. Ce croisement en zone de surachat génère une décision de vente, car un repli technique est probable à court terme pour corriger cette surchauffe.</w:t>
      </w:r>
    </w:p>
    <w:p>
      <w:pPr>
        <w:spacing w:after="120" w:line="276" w:lineRule="auto"/>
      </w:pPr>
      <w:r>
        <w:t>**Conclusion technique :** Les indicateurs de tendance (MM, MACD) sont positifs et soutiennent une poursuite de la hausse, mais les oscillateurs de momentum (RSI, Stochastique) signalent une fatigue potentielle du titre, notamment le Stochastique en zone de surachat. La configuration globale est mitigée : la tendance reste haussière, mais un repli technique de court terme est envisageable avant une reprise. Les investisseurs devraient surveiller le niveau de 9 500 FCFA comme résistance clé et 8 500 FCFA comme support majeur.</w:t>
      </w:r>
    </w:p>
    <w:p>
      <w:pPr>
        <w:spacing w:after="120" w:line="276" w:lineRule="auto"/>
      </w:pPr>
      <w:r>
        <w:t>---</w:t>
      </w:r>
    </w:p>
    <w:p>
      <w:pPr>
        <w:spacing w:after="120" w:line="276" w:lineRule="auto"/>
      </w:pPr>
      <w:r>
        <w:t>### PARTIE 3 : ANALYSE FONDAMENTALE (SECTION CRITIQUE)</w:t>
      </w:r>
    </w:p>
    <w:p>
      <w:pPr>
        <w:spacing w:after="120" w:line="276" w:lineRule="auto"/>
      </w:pPr>
      <w:r>
        <w:t>**En 2025**, PALC a réalisé un chiffre d'affaires de 197,63 milliards FCFA, en hausse de +14,8% par rapport à 2024 (172,2 milliards FCFA), porté par la hausse des volumes et des prix de l'huile de palme. Le résultat net s'établit à 15,51 milliards FCFA, en léger repli de -2,2% par rapport à 2024 (15,9 milliards FCFA), traduisant une pression sur les marges (marge nette de 7,8% contre 9,2% en 2024). La rentabilité des capitaux propres (ROE) ressort à 10,9%, et le ROA à 7,8%, des niveaux corrects mais en deçà des standards de performance (&gt;15% pour le ROE). La structure financière demeure très solide avec une autonomie financière de 71,6% et un endettement faible (0,56% du total bilan). **Les rapports trimestriels 2025** confirment cette dynamique : le T1 2025 affichait un résultat net de 11,6 milliards FCFA (+65%), le S1 2025 un résultat de 22,9 milliards FCFA (+37%), et le cumul 9 mois un résultat de 18,0 milliards FCFA (+11%), montrant un ralentissement progressif au cours de l'année. **Cependant, le rapport T1 2026** (publié en 2026) révèle une contre-performance majeure : le chiffre d'affaires a chuté de -27% à 49,4 milliards FCFA et le résultat net s'est effondré de -86% à 1,6 milliard FCFA, attribué à un décalage temporel des ventes par la direction. Cette dégradation récente est préoccupante et nécessite une vigilance accrue. Les délais clients de 142,58 jours constituent un risque de trésorerie, bien que le BFR de 44,6 milliards FCFA soit maîtrisé. La capacité de remboursement est excellente (0,03 an), et la couverture des intérêts est très confortable (1415,7%). En conclusion, PALC reste fondamentalement solide, mais la rentabilité est sous pression et les perspectives 2026 sont incertaines, justifiant une approche prudente.</w:t>
      </w:r>
    </w:p>
    <w:p>
      <w:pPr>
        <w:spacing w:after="120" w:line="276" w:lineRule="auto"/>
      </w:pPr>
      <w:r>
        <w:t>---</w:t>
      </w:r>
    </w:p>
    <w:p>
      <w:pPr>
        <w:spacing w:after="120" w:line="276" w:lineRule="auto"/>
      </w:pPr>
      <w:r>
        <w:t>### PARTIE 4 : CONCLUSION D'INVESTISSEMENT</w:t>
      </w:r>
    </w:p>
    <w:p>
      <w:pPr>
        <w:spacing w:after="120" w:line="276" w:lineRule="auto"/>
      </w:pPr>
      <w:r>
        <w:t>La valorisation de PALC est attractive avec un PER de 9,0x, un P/B de 0,98x et un EV/EBITDA de 4,4x, indiquant une sous-évaluation par rapport aux fondamentaux historiques. Le comportement du cours sur 100 jours montre une légère baisse (-3,74%) mais un rebond récent de +4,65%, avec une volatilité élevée (41%) qui offre des opportunités mais aussi des risques. Les signaux techniques sont mitigés : les moyennes mobiles et le MACD sont positifs, mais le Stochastique en surachat suggère un repli imminent. Les fondamentaux de 2025 sont corrects (CA en hausse, structure financière saine), mais le T1 2026 est alarmant (-86% du résultat net), ce qui contraste avec les prédictions IA qui anticipent une stabilisation du cours entre 8 908 et 9 030 FCFA sur les 10 prochains jours, soit une légère hausse. Cette divergence entre la dégradation des fondamentaux récents et la résilience technique prévue appelle à la prudence. **Recommandation finale : CONSERVER.** La convergence entre la sous-évaluation (valorisation) et la solidité du bilan (fondamentaux) est contrebalancée par les signaux techniques de surachat et l'incertitude sur l'exercice 2026. **Niveau de confiance : Moyen.** **Risque global : Élevé** (volatilité du cours, dépendance aux matières premières, chute du T1 2026). **Horizon d'investissement optimal : Moyen terme (3-12 mois)**, en attendant la publication des résultats semestriels 2026 pour valider ou infirmer le redressement annoncé par la direction.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46.23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1,229 titres</w:t>
            </w:r>
          </w:p>
        </w:tc>
        <w:tc>
          <w:tcPr>
            <w:tcW w:type="dxa" w:w="2268"/>
            <w:shd w:fill="FFF2CC" w:val="clear"/>
          </w:tcPr>
          <w:p>
            <w:r>
              <w:rPr>
                <w:b/>
                <w:color w:val="503200"/>
                <w:sz w:val="16"/>
              </w:rPr>
              <w:t xml:space="preserve">Cours actuel : </w:t>
            </w:r>
            <w:r>
              <w:rPr>
                <w:color w:val="000000"/>
                <w:sz w:val="17"/>
              </w:rPr>
              <w:t>4,515 FCFA</w:t>
            </w:r>
          </w:p>
          <w:p>
            <w:r>
              <w:rPr>
                <w:b/>
                <w:color w:val="503200"/>
                <w:sz w:val="16"/>
              </w:rPr>
              <w:t xml:space="preserve">Var. 100 jours : </w:t>
            </w:r>
            <w:r>
              <w:rPr>
                <w:b/>
                <w:color w:val="B40000"/>
                <w:sz w:val="17"/>
              </w:rPr>
              <w:t>-14.81%</w:t>
            </w:r>
          </w:p>
          <w:p>
            <w:r>
              <w:rPr>
                <w:b/>
                <w:color w:val="503200"/>
                <w:sz w:val="16"/>
              </w:rPr>
              <w:t xml:space="preserve">Plus haut 100j : </w:t>
            </w:r>
            <w:r>
              <w:rPr>
                <w:color w:val="000000"/>
                <w:sz w:val="17"/>
              </w:rPr>
              <w:t>5,500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9.54% (Moyenne) — μ=4,554 FCFA, σ=435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β=-0.1527 (Contre-cyclique) — Cov=-0.000006, Var(idx)=0.000036, ρ=-0.035,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1,229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2026-08-03</w:t>
            </w:r>
          </w:p>
        </w:tc>
        <w:tc>
          <w:tcPr>
            <w:tcW w:type="dxa" w:w="1440"/>
            <w:shd w:fill="FAFAFA" w:val="clear"/>
          </w:tcPr>
          <w:p>
            <w:r>
              <w:rPr>
                <w:sz w:val="17"/>
              </w:rPr>
              <w:t>4,369</w:t>
            </w:r>
          </w:p>
        </w:tc>
        <w:tc>
          <w:tcPr>
            <w:tcW w:type="dxa" w:w="1440"/>
            <w:shd w:fill="FAFAFA" w:val="clear"/>
          </w:tcPr>
          <w:p>
            <w:r>
              <w:rPr>
                <w:b/>
                <w:sz w:val="17"/>
              </w:rPr>
              <w:t>4,481</w:t>
            </w:r>
          </w:p>
        </w:tc>
        <w:tc>
          <w:tcPr>
            <w:tcW w:type="dxa" w:w="1440"/>
            <w:shd w:fill="FAFAFA" w:val="clear"/>
          </w:tcPr>
          <w:p>
            <w:r>
              <w:rPr>
                <w:sz w:val="17"/>
              </w:rPr>
              <w:t>4,594</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2026-08-04</w:t>
            </w:r>
          </w:p>
        </w:tc>
        <w:tc>
          <w:tcPr>
            <w:tcW w:type="dxa" w:w="1440"/>
            <w:shd w:fill="FAFAFA" w:val="clear"/>
          </w:tcPr>
          <w:p>
            <w:r>
              <w:rPr>
                <w:sz w:val="17"/>
              </w:rPr>
              <w:t>4,301</w:t>
            </w:r>
          </w:p>
        </w:tc>
        <w:tc>
          <w:tcPr>
            <w:tcW w:type="dxa" w:w="1440"/>
            <w:shd w:fill="FAFAFA" w:val="clear"/>
          </w:tcPr>
          <w:p>
            <w:r>
              <w:rPr>
                <w:b/>
                <w:sz w:val="17"/>
              </w:rPr>
              <w:t>4,460</w:t>
            </w:r>
          </w:p>
        </w:tc>
        <w:tc>
          <w:tcPr>
            <w:tcW w:type="dxa" w:w="1440"/>
            <w:shd w:fill="FAFAFA" w:val="clear"/>
          </w:tcPr>
          <w:p>
            <w:r>
              <w:rPr>
                <w:sz w:val="17"/>
              </w:rPr>
              <w:t>4,618</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2026-08-05</w:t>
            </w:r>
          </w:p>
        </w:tc>
        <w:tc>
          <w:tcPr>
            <w:tcW w:type="dxa" w:w="1440"/>
            <w:shd w:fill="FAFAFA" w:val="clear"/>
          </w:tcPr>
          <w:p>
            <w:r>
              <w:rPr>
                <w:sz w:val="17"/>
              </w:rPr>
              <w:t>4,244</w:t>
            </w:r>
          </w:p>
        </w:tc>
        <w:tc>
          <w:tcPr>
            <w:tcW w:type="dxa" w:w="1440"/>
            <w:shd w:fill="FAFAFA" w:val="clear"/>
          </w:tcPr>
          <w:p>
            <w:r>
              <w:rPr>
                <w:b/>
                <w:sz w:val="17"/>
              </w:rPr>
              <w:t>4,436</w:t>
            </w:r>
          </w:p>
        </w:tc>
        <w:tc>
          <w:tcPr>
            <w:tcW w:type="dxa" w:w="1440"/>
            <w:shd w:fill="FAFAFA" w:val="clear"/>
          </w:tcPr>
          <w:p>
            <w:r>
              <w:rPr>
                <w:sz w:val="17"/>
              </w:rPr>
              <w:t>4,629</w:t>
            </w:r>
          </w:p>
        </w:tc>
        <w:tc>
          <w:tcPr>
            <w:tcW w:type="dxa" w:w="1440"/>
            <w:shd w:fill="FAFAFA" w:val="clear"/>
          </w:tcPr>
          <w:p>
            <w:r>
              <w:rPr>
                <w:b/>
                <w:color w:val="C00000"/>
                <w:sz w:val="17"/>
              </w:rPr>
              <w:t>-1.7%</w:t>
            </w:r>
          </w:p>
        </w:tc>
      </w:tr>
      <w:tr>
        <w:tc>
          <w:tcPr>
            <w:tcW w:type="dxa" w:w="1440"/>
            <w:shd w:fill="FFDCE0" w:val="clear"/>
          </w:tcPr>
          <w:p>
            <w:r>
              <w:rPr>
                <w:sz w:val="17"/>
              </w:rPr>
              <w:t>J+4  Moyenne</w:t>
            </w:r>
          </w:p>
        </w:tc>
        <w:tc>
          <w:tcPr>
            <w:tcW w:type="dxa" w:w="1440"/>
            <w:shd w:fill="FFDCE0" w:val="clear"/>
          </w:tcPr>
          <w:p>
            <w:r>
              <w:rPr>
                <w:sz w:val="17"/>
              </w:rPr>
              <w:t>2026-08-06</w:t>
            </w:r>
          </w:p>
        </w:tc>
        <w:tc>
          <w:tcPr>
            <w:tcW w:type="dxa" w:w="1440"/>
            <w:shd w:fill="FFDCE0" w:val="clear"/>
          </w:tcPr>
          <w:p>
            <w:r>
              <w:rPr>
                <w:sz w:val="17"/>
              </w:rPr>
              <w:t>4,192</w:t>
            </w:r>
          </w:p>
        </w:tc>
        <w:tc>
          <w:tcPr>
            <w:tcW w:type="dxa" w:w="1440"/>
            <w:shd w:fill="FFDCE0" w:val="clear"/>
          </w:tcPr>
          <w:p>
            <w:r>
              <w:rPr>
                <w:b/>
                <w:sz w:val="17"/>
              </w:rPr>
              <w:t>4,414</w:t>
            </w:r>
          </w:p>
        </w:tc>
        <w:tc>
          <w:tcPr>
            <w:tcW w:type="dxa" w:w="1440"/>
            <w:shd w:fill="FFDCE0" w:val="clear"/>
          </w:tcPr>
          <w:p>
            <w:r>
              <w:rPr>
                <w:sz w:val="17"/>
              </w:rPr>
              <w:t>4,635</w:t>
            </w:r>
          </w:p>
        </w:tc>
        <w:tc>
          <w:tcPr>
            <w:tcW w:type="dxa" w:w="1440"/>
            <w:shd w:fill="FFDCE0" w:val="clear"/>
          </w:tcPr>
          <w:p>
            <w:r>
              <w:rPr>
                <w:b/>
                <w:color w:val="C00000"/>
                <w:sz w:val="17"/>
              </w:rPr>
              <w:t>-2.2%</w:t>
            </w:r>
          </w:p>
        </w:tc>
      </w:tr>
      <w:tr>
        <w:tc>
          <w:tcPr>
            <w:tcW w:type="dxa" w:w="1440"/>
            <w:shd w:fill="FFDCE0" w:val="clear"/>
          </w:tcPr>
          <w:p>
            <w:r>
              <w:rPr>
                <w:sz w:val="17"/>
              </w:rPr>
              <w:t>J+5  Moyenne</w:t>
            </w:r>
          </w:p>
        </w:tc>
        <w:tc>
          <w:tcPr>
            <w:tcW w:type="dxa" w:w="1440"/>
            <w:shd w:fill="FFDCE0" w:val="clear"/>
          </w:tcPr>
          <w:p>
            <w:r>
              <w:rPr>
                <w:sz w:val="17"/>
              </w:rPr>
              <w:t>2026-08-10</w:t>
            </w:r>
          </w:p>
        </w:tc>
        <w:tc>
          <w:tcPr>
            <w:tcW w:type="dxa" w:w="1440"/>
            <w:shd w:fill="FFDCE0" w:val="clear"/>
          </w:tcPr>
          <w:p>
            <w:r>
              <w:rPr>
                <w:sz w:val="17"/>
              </w:rPr>
              <w:t>4,145</w:t>
            </w:r>
          </w:p>
        </w:tc>
        <w:tc>
          <w:tcPr>
            <w:tcW w:type="dxa" w:w="1440"/>
            <w:shd w:fill="FFDCE0" w:val="clear"/>
          </w:tcPr>
          <w:p>
            <w:r>
              <w:rPr>
                <w:b/>
                <w:sz w:val="17"/>
              </w:rPr>
              <w:t>4,392</w:t>
            </w:r>
          </w:p>
        </w:tc>
        <w:tc>
          <w:tcPr>
            <w:tcW w:type="dxa" w:w="1440"/>
            <w:shd w:fill="FFDCE0" w:val="clear"/>
          </w:tcPr>
          <w:p>
            <w:r>
              <w:rPr>
                <w:sz w:val="17"/>
              </w:rPr>
              <w:t>4,638</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2026-08-11</w:t>
            </w:r>
          </w:p>
        </w:tc>
        <w:tc>
          <w:tcPr>
            <w:tcW w:type="dxa" w:w="1440"/>
            <w:shd w:fill="FFDCE0" w:val="clear"/>
          </w:tcPr>
          <w:p>
            <w:r>
              <w:rPr>
                <w:sz w:val="17"/>
              </w:rPr>
              <w:t>4,102</w:t>
            </w:r>
          </w:p>
        </w:tc>
        <w:tc>
          <w:tcPr>
            <w:tcW w:type="dxa" w:w="1440"/>
            <w:shd w:fill="FFDCE0" w:val="clear"/>
          </w:tcPr>
          <w:p>
            <w:r>
              <w:rPr>
                <w:b/>
                <w:sz w:val="17"/>
              </w:rPr>
              <w:t>4,370</w:t>
            </w:r>
          </w:p>
        </w:tc>
        <w:tc>
          <w:tcPr>
            <w:tcW w:type="dxa" w:w="1440"/>
            <w:shd w:fill="FFDCE0" w:val="clear"/>
          </w:tcPr>
          <w:p>
            <w:r>
              <w:rPr>
                <w:sz w:val="17"/>
              </w:rPr>
              <w:t>4,639</w:t>
            </w:r>
          </w:p>
        </w:tc>
        <w:tc>
          <w:tcPr>
            <w:tcW w:type="dxa" w:w="1440"/>
            <w:shd w:fill="FFDCE0" w:val="clear"/>
          </w:tcPr>
          <w:p>
            <w:r>
              <w:rPr>
                <w:b/>
                <w:color w:val="C00000"/>
                <w:sz w:val="17"/>
              </w:rPr>
              <w:t>-3.2%</w:t>
            </w:r>
          </w:p>
        </w:tc>
      </w:tr>
      <w:tr>
        <w:tc>
          <w:tcPr>
            <w:tcW w:type="dxa" w:w="1440"/>
            <w:shd w:fill="FFDCE0" w:val="clear"/>
          </w:tcPr>
          <w:p>
            <w:r>
              <w:rPr>
                <w:sz w:val="17"/>
              </w:rPr>
              <w:t>J+7  Moyenne</w:t>
            </w:r>
          </w:p>
        </w:tc>
        <w:tc>
          <w:tcPr>
            <w:tcW w:type="dxa" w:w="1440"/>
            <w:shd w:fill="FFDCE0" w:val="clear"/>
          </w:tcPr>
          <w:p>
            <w:r>
              <w:rPr>
                <w:sz w:val="17"/>
              </w:rPr>
              <w:t>2026-08-12</w:t>
            </w:r>
          </w:p>
        </w:tc>
        <w:tc>
          <w:tcPr>
            <w:tcW w:type="dxa" w:w="1440"/>
            <w:shd w:fill="FFDCE0" w:val="clear"/>
          </w:tcPr>
          <w:p>
            <w:r>
              <w:rPr>
                <w:sz w:val="17"/>
              </w:rPr>
              <w:t>4,061</w:t>
            </w:r>
          </w:p>
        </w:tc>
        <w:tc>
          <w:tcPr>
            <w:tcW w:type="dxa" w:w="1440"/>
            <w:shd w:fill="FFDCE0" w:val="clear"/>
          </w:tcPr>
          <w:p>
            <w:r>
              <w:rPr>
                <w:b/>
                <w:sz w:val="17"/>
              </w:rPr>
              <w:t>4,349</w:t>
            </w:r>
          </w:p>
        </w:tc>
        <w:tc>
          <w:tcPr>
            <w:tcW w:type="dxa" w:w="1440"/>
            <w:shd w:fill="FFDCE0" w:val="clear"/>
          </w:tcPr>
          <w:p>
            <w:r>
              <w:rPr>
                <w:sz w:val="17"/>
              </w:rPr>
              <w:t>4,638</w:t>
            </w:r>
          </w:p>
        </w:tc>
        <w:tc>
          <w:tcPr>
            <w:tcW w:type="dxa" w:w="1440"/>
            <w:shd w:fill="FFDCE0" w:val="clear"/>
          </w:tcPr>
          <w:p>
            <w:r>
              <w:rPr>
                <w:b/>
                <w:color w:val="C00000"/>
                <w:sz w:val="17"/>
              </w:rPr>
              <w:t>-3.7%</w:t>
            </w:r>
          </w:p>
        </w:tc>
      </w:tr>
      <w:tr>
        <w:tc>
          <w:tcPr>
            <w:tcW w:type="dxa" w:w="1440"/>
            <w:shd w:fill="FFDCE0" w:val="clear"/>
          </w:tcPr>
          <w:p>
            <w:r>
              <w:rPr>
                <w:sz w:val="17"/>
              </w:rPr>
              <w:t>J+8  Moyenne</w:t>
            </w:r>
          </w:p>
        </w:tc>
        <w:tc>
          <w:tcPr>
            <w:tcW w:type="dxa" w:w="1440"/>
            <w:shd w:fill="FFDCE0" w:val="clear"/>
          </w:tcPr>
          <w:p>
            <w:r>
              <w:rPr>
                <w:sz w:val="17"/>
              </w:rPr>
              <w:t>2026-08-13</w:t>
            </w:r>
          </w:p>
        </w:tc>
        <w:tc>
          <w:tcPr>
            <w:tcW w:type="dxa" w:w="1440"/>
            <w:shd w:fill="FFDCE0" w:val="clear"/>
          </w:tcPr>
          <w:p>
            <w:r>
              <w:rPr>
                <w:sz w:val="17"/>
              </w:rPr>
              <w:t>4,022</w:t>
            </w:r>
          </w:p>
        </w:tc>
        <w:tc>
          <w:tcPr>
            <w:tcW w:type="dxa" w:w="1440"/>
            <w:shd w:fill="FFDCE0" w:val="clear"/>
          </w:tcPr>
          <w:p>
            <w:r>
              <w:rPr>
                <w:b/>
                <w:sz w:val="17"/>
              </w:rPr>
              <w:t>4,329</w:t>
            </w:r>
          </w:p>
        </w:tc>
        <w:tc>
          <w:tcPr>
            <w:tcW w:type="dxa" w:w="1440"/>
            <w:shd w:fill="FFDCE0" w:val="clear"/>
          </w:tcPr>
          <w:p>
            <w:r>
              <w:rPr>
                <w:sz w:val="17"/>
              </w:rPr>
              <w:t>4,636</w:t>
            </w:r>
          </w:p>
        </w:tc>
        <w:tc>
          <w:tcPr>
            <w:tcW w:type="dxa" w:w="1440"/>
            <w:shd w:fill="FFDCE0" w:val="clear"/>
          </w:tcPr>
          <w:p>
            <w:r>
              <w:rPr>
                <w:b/>
                <w:color w:val="C00000"/>
                <w:sz w:val="17"/>
              </w:rPr>
              <w:t>-4.1%</w:t>
            </w:r>
          </w:p>
        </w:tc>
      </w:tr>
      <w:tr>
        <w:tc>
          <w:tcPr>
            <w:tcW w:type="dxa" w:w="1440"/>
            <w:shd w:fill="FFDCE0" w:val="clear"/>
          </w:tcPr>
          <w:p>
            <w:r>
              <w:rPr>
                <w:sz w:val="17"/>
              </w:rPr>
              <w:t>J+9  Moyenne</w:t>
            </w:r>
          </w:p>
        </w:tc>
        <w:tc>
          <w:tcPr>
            <w:tcW w:type="dxa" w:w="1440"/>
            <w:shd w:fill="FFDCE0" w:val="clear"/>
          </w:tcPr>
          <w:p>
            <w:r>
              <w:rPr>
                <w:sz w:val="17"/>
              </w:rPr>
              <w:t>2026-08-14</w:t>
            </w:r>
          </w:p>
        </w:tc>
        <w:tc>
          <w:tcPr>
            <w:tcW w:type="dxa" w:w="1440"/>
            <w:shd w:fill="FFDCE0" w:val="clear"/>
          </w:tcPr>
          <w:p>
            <w:r>
              <w:rPr>
                <w:sz w:val="17"/>
              </w:rPr>
              <w:t>3,984</w:t>
            </w:r>
          </w:p>
        </w:tc>
        <w:tc>
          <w:tcPr>
            <w:tcW w:type="dxa" w:w="1440"/>
            <w:shd w:fill="FFDCE0" w:val="clear"/>
          </w:tcPr>
          <w:p>
            <w:r>
              <w:rPr>
                <w:b/>
                <w:sz w:val="17"/>
              </w:rPr>
              <w:t>4,309</w:t>
            </w:r>
          </w:p>
        </w:tc>
        <w:tc>
          <w:tcPr>
            <w:tcW w:type="dxa" w:w="1440"/>
            <w:shd w:fill="FFDCE0" w:val="clear"/>
          </w:tcPr>
          <w:p>
            <w:r>
              <w:rPr>
                <w:sz w:val="17"/>
              </w:rPr>
              <w:t>4,633</w:t>
            </w:r>
          </w:p>
        </w:tc>
        <w:tc>
          <w:tcPr>
            <w:tcW w:type="dxa" w:w="1440"/>
            <w:shd w:fill="FFDCE0" w:val="clear"/>
          </w:tcPr>
          <w:p>
            <w:r>
              <w:rPr>
                <w:b/>
                <w:color w:val="C00000"/>
                <w:sz w:val="17"/>
              </w:rPr>
              <w:t>-4.6%</w:t>
            </w:r>
          </w:p>
        </w:tc>
      </w:tr>
      <w:tr>
        <w:tc>
          <w:tcPr>
            <w:tcW w:type="dxa" w:w="1440"/>
            <w:shd w:fill="FFDCE0" w:val="clear"/>
          </w:tcPr>
          <w:p>
            <w:r>
              <w:rPr>
                <w:sz w:val="17"/>
              </w:rPr>
              <w:t>J+10  Moyenne</w:t>
            </w:r>
          </w:p>
        </w:tc>
        <w:tc>
          <w:tcPr>
            <w:tcW w:type="dxa" w:w="1440"/>
            <w:shd w:fill="FFDCE0" w:val="clear"/>
          </w:tcPr>
          <w:p>
            <w:r>
              <w:rPr>
                <w:sz w:val="17"/>
              </w:rPr>
              <w:t>2026-08-17</w:t>
            </w:r>
          </w:p>
        </w:tc>
        <w:tc>
          <w:tcPr>
            <w:tcW w:type="dxa" w:w="1440"/>
            <w:shd w:fill="FFDCE0" w:val="clear"/>
          </w:tcPr>
          <w:p>
            <w:r>
              <w:rPr>
                <w:sz w:val="17"/>
              </w:rPr>
              <w:t>3,949</w:t>
            </w:r>
          </w:p>
        </w:tc>
        <w:tc>
          <w:tcPr>
            <w:tcW w:type="dxa" w:w="1440"/>
            <w:shd w:fill="FFDCE0" w:val="clear"/>
          </w:tcPr>
          <w:p>
            <w:r>
              <w:rPr>
                <w:b/>
                <w:sz w:val="17"/>
              </w:rPr>
              <w:t>4,289</w:t>
            </w:r>
          </w:p>
        </w:tc>
        <w:tc>
          <w:tcPr>
            <w:tcW w:type="dxa" w:w="1440"/>
            <w:shd w:fill="FFDCE0" w:val="clear"/>
          </w:tcPr>
          <w:p>
            <w:r>
              <w:rPr>
                <w:sz w:val="17"/>
              </w:rPr>
              <w:t>4,629</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CI)**</w:t>
        <w:br/>
        <w:t>**Date de l'analyse : 30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46,23 milliards FCFA, un niveau significatif qui place la société parmi les valeurs moyennes de la BRVM, reflétant sa position de leader sur le marché automobile ivoirien. Avec un BPA de 231 FCFA, chaque action génère un bénéfice modeste, ce qui explique un PER de 19,5x, nettement supérieur à la moyenne du marché BRVM (8-12x). Les investisseurs paient donc une prime substantielle pour la croissance anticipée, ce qui rend la valorisation exigeante. Le P/B de 4,01x confirme cette prime, le marché valorisant le titre à quatre fois sa valeur comptable, un niveau élevé qui reflète les attentes de rendement futur. Enfin, l'EV/EBITDA de 9,9x se situe dans la fourchette raisonnable (5-10x), indiquant que la valeur d'entreprise reste cohérente avec la capacité opérationnelle de la société, tempérant quelque peu la cherté relative des autres ratios.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 enregistré une baisse de 14,81%, avec une légère contraction de 0,11% lors de la dernière séance, s'établissant à 4 515 FCFA. Le titre a évolué dans une fourchette large de 3 620 à 5 500 FCFA, illustrant une volatilité marquée et une tendance globalement baissière sur la période. La moyenne de 4 554 FCFA est proche de la médiane de 4 600 FCFA, indiquant une distribution relativement symétrique des cours, confirmée par un skewness de -0,292. L'écart-type de 437 FCFA (CV=9,6%) révèle une dispersion modérée des prix autour de la moyenne. Le kurtosis de -0,087 (mésokurtique) suggère une absence de pics extrêmes, avec une distribution proche de la normale. La volatilité annualisée de 41,9% classe le titre dans la catégorie à risque élevé, bien au-dessus du seuil de 30%, ce qui implique des fluctuations importantes et un risque de marché substantiel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de 4 515 FCFA se positionne au-dessus de la MM20 (4 492,5 FCFA) et de la MM50 (4 434,3 FCFA), indiquant une dynamique haussière à court et moyen terme. La configuration des MM, avec le cours au-dessus des deux moyennes, génère un signal d'achat, suggérant que la tendance récente pourrait se poursuivre malgré le repli sur 100 jours.</w:t>
      </w:r>
    </w:p>
    <w:p>
      <w:pPr>
        <w:spacing w:after="120" w:line="276" w:lineRule="auto"/>
      </w:pPr>
      <w:r>
        <w:t>**Bandes de Bollinger**: Le prix se situe à 4 515 FCFA, entre la borne inférieure (4 271,9 FCFA) et la borne supérieure (4 713,1 FCFA), proche de la moyenne. Cette position médiane indique une volatilité normale sans pression excessive, justifiant une décision neutre. Le resserrement des bandes pourrait précéder un mouvement directionnel, mais aucun signal clair n'est actuellement émis.</w:t>
      </w:r>
    </w:p>
    <w:p>
      <w:pPr>
        <w:spacing w:after="120" w:line="276" w:lineRule="auto"/>
      </w:pPr>
      <w:r>
        <w:t>**MACD**: La valeur du MACD (29,265) est inférieure à son signal (34,797), formant une divergence baissière. Ce croisement indique un affaiblissement du momentum haussier, avec une décision de vente. La convergence négative suggère que la pression vendeuse pourrait s'accentuer à court terme, malgré la position positive des deux lignes au-dessus de zéro.</w:t>
      </w:r>
    </w:p>
    <w:p>
      <w:pPr>
        <w:spacing w:after="120" w:line="276" w:lineRule="auto"/>
      </w:pPr>
      <w:r>
        <w:t>**RSI**: Avec une valeur de 58,042, le RSI se situe dans la zone neutre (30-70), indiquant un équilibre entre pressions acheteuses et vendeuses. Ce niveau n'est ni suracheté ni survendu, ce qui laisse une marge de manœuvre dans les deux sens. La décision neutre reflète l'absence de signal directionnel fort.</w:t>
      </w:r>
    </w:p>
    <w:p>
      <w:pPr>
        <w:spacing w:after="120" w:line="276" w:lineRule="auto"/>
      </w:pPr>
      <w:r>
        <w:t>**Stochastique**: Le %K (63,38) est inférieur au %D (67,381), suggérant un croisement baissier potentiel. Les deux lignes évoluent en zone neutre, indiquant une perte de momentum haussier. La décision neutre prévaut, mais la configuration actuelle pourrait précéder un repli si le %K continue de passer sous le %D.</w:t>
      </w:r>
    </w:p>
    <w:p>
      <w:pPr>
        <w:spacing w:after="120" w:line="276" w:lineRule="auto"/>
      </w:pPr>
      <w:r>
        <w:t>**Conclusion technique**: La convergence des indicateurs est mitigée, avec un signal d'achat des moyennes mobiles contrebalancé par une divergence baissière du MACD et un stochastique hésitant. Le RSI et les bandes de Bollinger restent neutres, ne fournissant pas de direction claire. Globalement, le titre semble dans une phase de consolidation après la baisse récente, avec des signaux contradictoires qui recommandent une approche prudente et une surveillance rapprochée des niveaux clés.</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hausse de 9,5% par rapport à 2024 (74,45 milliards), selon les données structurées officielles. Le résultat net s'établit à 2,367 milliards FCFA, stable par rapport aux 2,35 milliards de 2024, avec une marge nette de 2,92%. La rentabilité des fonds propres (ROE) atteint 20,53%, un niveau excellent (&gt;15%), tandis que le ROA s'établit à 4,95%. En tant qu'entreprise de distribution automobile, l'analyse du BFR est cruciale : le BFR s'élève à 11,267 milliards FCFA, avec un délai clients de 46 jours (risque de trésorerie modéré) et un délai fournisseurs de 102,65 jours (favorable). La durée de stockage de 150,51 jours reflète l'importance des stocks (26,334 milliards FCFA), typique du secteur. L'endettement total représente 314,86% des capitaux propres, un niveau élevé, mais la solvabilité générale de 131,76% reste saine. Le rapport S1 2025 (daté du 30/06/2025) montre une performance exceptionnelle : CA de 39,968 milliards (+15,1%) et résultat net multiplié par 28 à 1,436 milliard, suggérant une dynamique positive pour 2025. Le rapport 2023 (daté du 31/12/2023) indiquait un CA de 77,67 milliards (+11,1%) mais un résultat net en baisse de 42,6% à 2,04 milliards, illustrant la volatilité des marges. La recommandation fondamentale est de conserver, avec une solidité financière confirmée par des capitaux propres de 11,531 milliards et une capacité d'autofinancement de 3,913 milliards, mais des risques liés à la pression sur les marges et à la dépendance au marché ivoirien.</w:t>
      </w:r>
    </w:p>
    <w:p>
      <w:pPr>
        <w:spacing w:after="120" w:line="276" w:lineRule="auto"/>
      </w:pPr>
      <w:r>
        <w:t>---</w:t>
      </w:r>
    </w:p>
    <w:p>
      <w:pPr>
        <w:spacing w:after="120" w:line="276" w:lineRule="auto"/>
      </w:pPr>
      <w:r>
        <w:t>### PARTIE 4 : CONCLUSION D'INVESTISSEMENT</w:t>
      </w:r>
    </w:p>
    <w:p>
      <w:pPr>
        <w:spacing w:after="120" w:line="276" w:lineRule="auto"/>
      </w:pPr>
      <w:r>
        <w:t>La valorisation de PRSC (PER 19,5x, P/B 4,01x) indique une surévaluation relative par rapport au marché BRVM, bien que l'EV/EBITDA de 9,9x tempère ce constat. Le comportement du cours sur 100 jours (-14,81%) est préoccupant, avec une volatilité élevée (41,9%) et une distribution symétrique sans signe de retournement majeur. Les signaux techniques sont mitigés, avec un achat des moyennes mobiles mais une divergence baissière du MACD, suggérant une consolidation incertaine. Les fondamentaux restent solides avec un ROE de 20,53% et une croissance du CA de 9,5% en 2025, mais la marge nette faible (2,92%) et l'endettement élevé (314,86% des fonds propres) constituent des risques. Les prédictions IA (4 481 FCFA à J+1, 4 392 FCFA à J+10) indiquent une poursuite de la baisse, confirmant les signaux techniques négatifs. La synthèse globale révèle une divergence entre des fondamentaux corrects et une valorisation exigeante, avec des signaux techniques et des prédictions baissiers. **Recommandation : VENTE**, avec un niveau de confiance Moyen, un risque global Élevé, et un horizon d'investissement à court terme (&lt;3 mois) pour les investisseurs existants cherchant à limiter leurs pertes, tandis que les nouveaux investisseurs devraient attendre un point d'entrée plus favorable.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41.65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7,146 titres</w:t>
            </w:r>
          </w:p>
        </w:tc>
        <w:tc>
          <w:tcPr>
            <w:tcW w:type="dxa" w:w="2268"/>
            <w:shd w:fill="FFF2CC" w:val="clear"/>
          </w:tcPr>
          <w:p>
            <w:r>
              <w:rPr>
                <w:b/>
                <w:color w:val="503200"/>
                <w:sz w:val="16"/>
              </w:rPr>
              <w:t xml:space="preserve">Cours actuel : </w:t>
            </w:r>
            <w:r>
              <w:rPr>
                <w:color w:val="000000"/>
                <w:sz w:val="17"/>
              </w:rPr>
              <w:t>5,130 FCFA</w:t>
            </w:r>
          </w:p>
          <w:p>
            <w:r>
              <w:rPr>
                <w:b/>
                <w:color w:val="503200"/>
                <w:sz w:val="16"/>
              </w:rPr>
              <w:t xml:space="preserve">Var. 100 jours : </w:t>
            </w:r>
            <w:r>
              <w:rPr>
                <w:b/>
                <w:color w:val="007800"/>
                <w:sz w:val="17"/>
              </w:rPr>
              <w:t>+3.32%</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23.82% (Élevée) — μ=4,840 FCFA, σ=1,153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β=0.4544 (Défensif) — Cov=0.000016, Var(idx)=0.000036, ρ=0.052,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7,146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σ_j=5.35%/j (Instable) — Vol. annualisée≈84.9%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2026-08-03</w:t>
            </w:r>
          </w:p>
        </w:tc>
        <w:tc>
          <w:tcPr>
            <w:tcW w:type="dxa" w:w="1440"/>
            <w:shd w:fill="FFDCE0" w:val="clear"/>
          </w:tcPr>
          <w:p>
            <w:r>
              <w:rPr>
                <w:sz w:val="17"/>
              </w:rPr>
              <w:t>4,476</w:t>
            </w:r>
          </w:p>
        </w:tc>
        <w:tc>
          <w:tcPr>
            <w:tcW w:type="dxa" w:w="1440"/>
            <w:shd w:fill="FFDCE0" w:val="clear"/>
          </w:tcPr>
          <w:p>
            <w:r>
              <w:rPr>
                <w:b/>
                <w:sz w:val="17"/>
              </w:rPr>
              <w:t>4,745</w:t>
            </w:r>
          </w:p>
        </w:tc>
        <w:tc>
          <w:tcPr>
            <w:tcW w:type="dxa" w:w="1440"/>
            <w:shd w:fill="FFDCE0" w:val="clear"/>
          </w:tcPr>
          <w:p>
            <w:r>
              <w:rPr>
                <w:sz w:val="17"/>
              </w:rPr>
              <w:t>5,014</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2026-08-04</w:t>
            </w:r>
          </w:p>
        </w:tc>
        <w:tc>
          <w:tcPr>
            <w:tcW w:type="dxa" w:w="1440"/>
            <w:shd w:fill="FFDCE0" w:val="clear"/>
          </w:tcPr>
          <w:p>
            <w:r>
              <w:rPr>
                <w:sz w:val="17"/>
              </w:rPr>
              <w:t>4,038</w:t>
            </w:r>
          </w:p>
        </w:tc>
        <w:tc>
          <w:tcPr>
            <w:tcW w:type="dxa" w:w="1440"/>
            <w:shd w:fill="FFDCE0" w:val="clear"/>
          </w:tcPr>
          <w:p>
            <w:r>
              <w:rPr>
                <w:b/>
                <w:sz w:val="17"/>
              </w:rPr>
              <w:t>4,389</w:t>
            </w:r>
          </w:p>
        </w:tc>
        <w:tc>
          <w:tcPr>
            <w:tcW w:type="dxa" w:w="1440"/>
            <w:shd w:fill="FFDCE0" w:val="clear"/>
          </w:tcPr>
          <w:p>
            <w:r>
              <w:rPr>
                <w:sz w:val="17"/>
              </w:rPr>
              <w:t>4,741</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2026-08-05</w:t>
            </w:r>
          </w:p>
        </w:tc>
        <w:tc>
          <w:tcPr>
            <w:tcW w:type="dxa" w:w="1440"/>
            <w:shd w:fill="FFDCE0" w:val="clear"/>
          </w:tcPr>
          <w:p>
            <w:r>
              <w:rPr>
                <w:sz w:val="17"/>
              </w:rPr>
              <w:t>3,662</w:t>
            </w:r>
          </w:p>
        </w:tc>
        <w:tc>
          <w:tcPr>
            <w:tcW w:type="dxa" w:w="1440"/>
            <w:shd w:fill="FFDCE0" w:val="clear"/>
          </w:tcPr>
          <w:p>
            <w:r>
              <w:rPr>
                <w:b/>
                <w:sz w:val="17"/>
              </w:rPr>
              <w:t>4,060</w:t>
            </w:r>
          </w:p>
        </w:tc>
        <w:tc>
          <w:tcPr>
            <w:tcW w:type="dxa" w:w="1440"/>
            <w:shd w:fill="FFDCE0" w:val="clear"/>
          </w:tcPr>
          <w:p>
            <w:r>
              <w:rPr>
                <w:sz w:val="17"/>
              </w:rPr>
              <w:t>4,459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3,330</w:t>
            </w:r>
          </w:p>
        </w:tc>
        <w:tc>
          <w:tcPr>
            <w:tcW w:type="dxa" w:w="1440"/>
            <w:shd w:fill="FFDCE0" w:val="clear"/>
          </w:tcPr>
          <w:p>
            <w:r>
              <w:rPr>
                <w:b/>
                <w:sz w:val="17"/>
              </w:rPr>
              <w:t>3,756</w:t>
            </w:r>
          </w:p>
        </w:tc>
        <w:tc>
          <w:tcPr>
            <w:tcW w:type="dxa" w:w="1440"/>
            <w:shd w:fill="FFDCE0" w:val="clear"/>
          </w:tcPr>
          <w:p>
            <w:r>
              <w:rPr>
                <w:sz w:val="17"/>
              </w:rPr>
              <w:t>4,181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3,034</w:t>
            </w:r>
          </w:p>
        </w:tc>
        <w:tc>
          <w:tcPr>
            <w:tcW w:type="dxa" w:w="1440"/>
            <w:shd w:fill="FFDCE0" w:val="clear"/>
          </w:tcPr>
          <w:p>
            <w:r>
              <w:rPr>
                <w:b/>
                <w:sz w:val="17"/>
              </w:rPr>
              <w:t>3,474</w:t>
            </w:r>
          </w:p>
        </w:tc>
        <w:tc>
          <w:tcPr>
            <w:tcW w:type="dxa" w:w="1440"/>
            <w:shd w:fill="FFDCE0" w:val="clear"/>
          </w:tcPr>
          <w:p>
            <w:r>
              <w:rPr>
                <w:sz w:val="17"/>
              </w:rPr>
              <w:t>3,914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2,767</w:t>
            </w:r>
          </w:p>
        </w:tc>
        <w:tc>
          <w:tcPr>
            <w:tcW w:type="dxa" w:w="1440"/>
            <w:shd w:fill="FFDCE0" w:val="clear"/>
          </w:tcPr>
          <w:p>
            <w:r>
              <w:rPr>
                <w:b/>
                <w:sz w:val="17"/>
              </w:rPr>
              <w:t>3,213</w:t>
            </w:r>
          </w:p>
        </w:tc>
        <w:tc>
          <w:tcPr>
            <w:tcW w:type="dxa" w:w="1440"/>
            <w:shd w:fill="FFDCE0" w:val="clear"/>
          </w:tcPr>
          <w:p>
            <w:r>
              <w:rPr>
                <w:sz w:val="17"/>
              </w:rPr>
              <w:t>3,659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2,527</w:t>
            </w:r>
          </w:p>
        </w:tc>
        <w:tc>
          <w:tcPr>
            <w:tcW w:type="dxa" w:w="1440"/>
            <w:shd w:fill="FFDCE0" w:val="clear"/>
          </w:tcPr>
          <w:p>
            <w:r>
              <w:rPr>
                <w:b/>
                <w:sz w:val="17"/>
              </w:rPr>
              <w:t>2,972</w:t>
            </w:r>
          </w:p>
        </w:tc>
        <w:tc>
          <w:tcPr>
            <w:tcW w:type="dxa" w:w="1440"/>
            <w:shd w:fill="FFDCE0" w:val="clear"/>
          </w:tcPr>
          <w:p>
            <w:r>
              <w:rPr>
                <w:sz w:val="17"/>
              </w:rPr>
              <w:t>3,418</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2,309</w:t>
            </w:r>
          </w:p>
        </w:tc>
        <w:tc>
          <w:tcPr>
            <w:tcW w:type="dxa" w:w="1440"/>
            <w:shd w:fill="FFDCE0" w:val="clear"/>
          </w:tcPr>
          <w:p>
            <w:r>
              <w:rPr>
                <w:b/>
                <w:sz w:val="17"/>
              </w:rPr>
              <w:t>2,749</w:t>
            </w:r>
          </w:p>
        </w:tc>
        <w:tc>
          <w:tcPr>
            <w:tcW w:type="dxa" w:w="1440"/>
            <w:shd w:fill="FFDCE0" w:val="clear"/>
          </w:tcPr>
          <w:p>
            <w:r>
              <w:rPr>
                <w:sz w:val="17"/>
              </w:rPr>
              <w:t>3,190</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2,111</w:t>
            </w:r>
          </w:p>
        </w:tc>
        <w:tc>
          <w:tcPr>
            <w:tcW w:type="dxa" w:w="1440"/>
            <w:shd w:fill="FFDCE0" w:val="clear"/>
          </w:tcPr>
          <w:p>
            <w:r>
              <w:rPr>
                <w:b/>
                <w:sz w:val="17"/>
              </w:rPr>
              <w:t>2,543</w:t>
            </w:r>
          </w:p>
        </w:tc>
        <w:tc>
          <w:tcPr>
            <w:tcW w:type="dxa" w:w="1440"/>
            <w:shd w:fill="FFDCE0" w:val="clear"/>
          </w:tcPr>
          <w:p>
            <w:r>
              <w:rPr>
                <w:sz w:val="17"/>
              </w:rPr>
              <w:t>2,976</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1,931</w:t>
            </w:r>
          </w:p>
        </w:tc>
        <w:tc>
          <w:tcPr>
            <w:tcW w:type="dxa" w:w="1440"/>
            <w:shd w:fill="FFDCE0" w:val="clear"/>
          </w:tcPr>
          <w:p>
            <w:r>
              <w:rPr>
                <w:b/>
                <w:sz w:val="17"/>
              </w:rPr>
              <w:t>2,353</w:t>
            </w:r>
          </w:p>
        </w:tc>
        <w:tc>
          <w:tcPr>
            <w:tcW w:type="dxa" w:w="1440"/>
            <w:shd w:fill="FFDCE0" w:val="clear"/>
          </w:tcPr>
          <w:p>
            <w:r>
              <w:rPr>
                <w:sz w:val="17"/>
              </w:rPr>
              <w:t>2,774</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SAFC s'établit à 41,65 milliards FCFA, un niveau modeste dans l'écosystème BRVM, reflétant un profil de petite capitalisation. Avec un BPA de 86 FCFA, le titre se négocie à un PER de 59,4x, soit environ cinq fois la moyenne historique du marché régional (8-12x), ce qui traduit une prime de valorisation extrêmement élevée et une anticipation très optimiste des investisseurs. Le P/B de 7,04x confirme cette surévaluation relative, le marché payant plus de sept fois la valeur comptable des actifs. L'EV/EBITDA de 78,2x, très supérieur au seuil exigeant de 15x, renforce l'idée d'une valorisation qui intègre déjà un scénario de redressement spectaculaire. Ces ratios suggèrent que le marché anticipe une poursuite de la croissance, mais ils laissent également une marge de sécurité très mince en cas de déception sur les résultats futurs.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SAFC affiche une progression modeste de +3,32%, mais la dernière séance enregistre un repli de -1,44% à 5 130 FCFA, suggérant une consolidation après un mouvement haussier. La fourchette de trading est très large, oscillant entre un plus bas de 3 340 FCFA et un plus haut de 7 555 FCFA, illustrant une volatilité extrême. La moyenne (4 840 FCFA) est supérieure à la médiane (4 505 FCFA), indiquant une distribution asymétrique positive avec quelques fortes hausses qui tirent la moyenne vers le haut. L'écart-type de 1 159 FCFA (CV de 23,9%) confirme une dispersion significative des cours autour de la moyenne. Le kurtosis de -0,465 (mésokurtique) suggère une distribution proche de la normale, sans risque de pics extrêmes particuliers, tandis que le skewness de 0,796 indique que les journées sous la moyenne sont plus fréquentes, mais avec des mouvements haussiers ponctuels plus amples. La volatilité annualisée de 84,9% classe le titre comme extrêmement risqué,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Le cours actuel de 5 130 FCFA se positionne nettement au-dessus de la MM20 (4 587 FCFA) et de la MM50 (4 273,5 FCFA), confirmant une tendance haussière de moyen terme. L'écart positif entre le prix et les moyennes mobiles indique une dynamique positive soutenue, d'où la décision d'achat, même si un écart excessif pourrait signaler une correction imminente.</w:t>
      </w:r>
    </w:p>
    <w:p>
      <w:pPr>
        <w:spacing w:after="120" w:line="276" w:lineRule="auto"/>
      </w:pPr>
      <w:r>
        <w:t>**Bandes de Bollinger** : Le prix se situe près de la borne supérieure (5 276,45 FCFA) et très au-dessus de la borne inférieure (3 897,55 FCFA), indiquant une volatilité élevée et une pression acheteuse dominante. La décision neutre suggère que le marché attend une confirmation directionnelle, le titre étant dans la partie haute des bandes sans la dépasser franchement.</w:t>
      </w:r>
    </w:p>
    <w:p>
      <w:pPr>
        <w:spacing w:after="120" w:line="276" w:lineRule="auto"/>
      </w:pPr>
      <w:r>
        <w:t>**MACD** : La valeur du MACD (222,454) est nettement supérieure à son signal (150,977), confirmant un momentum haussier robuste. Cet écart positif croissant témoigne d'une accélération de la tendance haussière, justifiant la décision d'achat, bien que des signes d'essoufflement puissent apparaître si l'écart se resserre.</w:t>
      </w:r>
    </w:p>
    <w:p>
      <w:pPr>
        <w:spacing w:after="120" w:line="276" w:lineRule="auto"/>
      </w:pPr>
      <w:r>
        <w:t>**RSI** : À 66,089, le RSI se situe en zone neutre-haute, proche du seuil de surachat de 70. Cette valeur indique une pression acheteuse encore présente mais qui commence à s'essouffler, d'où la décision neutre. Un dépassement de 70 signalerait une surachat technique et un risque de correction.</w:t>
      </w:r>
    </w:p>
    <w:p>
      <w:pPr>
        <w:spacing w:after="120" w:line="276" w:lineRule="auto"/>
      </w:pPr>
      <w:r>
        <w:t>**Stochastique** : Le %K (80,519) est inférieur au %D (89,177), formant un croisement baissier potentiel en zone de surachat. Cette configuration suggère un épuisement du mouvement haussier à court terme et justifie la décision de vente, prévenant d'un possible repli technique.</w:t>
      </w:r>
    </w:p>
    <w:p>
      <w:pPr>
        <w:spacing w:after="120" w:line="276" w:lineRule="auto"/>
      </w:pPr>
      <w:r>
        <w:t>**Conclusion technique** : Les indicateurs de tendance (MM, MACD) sont résolument haussiers, tandis que les oscillateurs (RSI, Stochastique) montrent des signes de surachat imminent. Cette divergence entre la tendance de fond et les signaux à court terme suggère une consolidation probable avant la poursuite du mouvement haussier. La prudence est donc recommandée à court terme malgré la tendance positive.</w:t>
      </w:r>
    </w:p>
    <w:p>
      <w:pPr>
        <w:spacing w:after="120" w:line="276" w:lineRule="auto" w:before="240"/>
      </w:pPr>
      <w:r>
        <w:rPr>
          <w:b/>
          <w:color w:val="003366"/>
          <w:sz w:val="24"/>
        </w:rPr>
        <w:t>**PARTIE 3 : ANALYSE FONDAMENTALE (SECTION CRITIQUE)**</w:t>
      </w:r>
    </w:p>
    <w:p>
      <w:pPr>
        <w:spacing w:after="120" w:line="276" w:lineRule="auto"/>
      </w:pPr>
      <w:r>
        <w:t>En 2025, SAFC (Alios Finance Côte d'Ivoire) a réalisé un retournement spectaculaire avec un Produit Net Bancaire de 5,735 milliards FCFA, en hausse de 44,1% par rapport à 2024 (3,980 milliards FCFA), et un résultat net bénéficiaire de 701 millions FCFA, mettant fin à huit années consécutives de pertes. La marge nette s'établit à 12,2%, le ROE à 11,85% et le ROA à 0,88%, reflétant une rentabilité retrouvée mais encore modeste. Le coefficient d'exploitation de 77,6% reste élevé, indiquant une efficacité opérationnelle perfectible, tandis que le coût du risque de 6,57% témoigne d'un portefeuille encore fragile. Les capitaux propres (5,916 milliards FCFA) ne représentent que 7,4% du total bilan (79,555 milliards FCFA), soit une autonomie financière faible. Le rapport T1 2026 (daté de juin 2026) confirme la dynamique avec un PNB de 1,395 milliard FCFA (+29%) et un résultat net de 151 millions FCFA (+1062%), permettant d'estimer un résultat annuel 2026 potentiellement supérieur à 600 millions FCFA. L'entrée de CREDAF Group en avril 2025 a transformé la gouvernance et impulsé cette nouvelle stratégie. Les ratios prudentiels sont respectés (solvabilité à 12,06%), mais la dépendance aux dettes interbancaires (35,747 milliards FCFA) et le report à nouveau négatif (-3,257 milliards FCFA) constituent des fragilités structurelles.</w:t>
      </w:r>
    </w:p>
    <w:p>
      <w:pPr>
        <w:spacing w:after="120" w:line="276" w:lineRule="auto" w:before="240"/>
      </w:pPr>
      <w:r>
        <w:rPr>
          <w:b/>
          <w:color w:val="003366"/>
          <w:sz w:val="24"/>
        </w:rPr>
        <w:t>**PARTIE 4 : CONCLUSION D'INVESTISSEMENT**</w:t>
      </w:r>
    </w:p>
    <w:p>
      <w:pPr>
        <w:spacing w:after="120" w:line="276" w:lineRule="auto"/>
      </w:pPr>
      <w:r>
        <w:t>La valorisation de SAFC est extrêmement exigeante avec un PER de 59,4x et un P/B de 7,04x, très supérieurs aux moyennes BRVM, ce qui reflète une anticipation optimiste du marché. Le comportement du cours montre une tendance haussière mais avec une volatilité annualisée de 84,9% et une asymétrie positive qui indique des mouvements erratiques. Les signaux techniques sont partagés : les moyennes mobiles et le MACD sont positifs, mais le RSI proche du surachat et le stochastique en croisement baissier suggèrent une consolidation à court terme. Les fondamentaux montrent un redressement réel et spectaculaire porté par CREDAF Group, mais la structure financière reste fragile avec des capitaux propres insuffisants et un coût du risque encore élevé. Les prédictions IA anticipent une chute brutale du cours de 5 130 FCFA à 3 474 FCFA sur 10 jours, soit une baisse de 32%, ce qui contredit radicalement les signaux techniques et fondamentaux actuels. Cette divergence suggère soit une correction technique majeure, soit une anticipation d'événements négatifs non encore publics. La recommandation finale est **CONSERVER** avec un niveau de confiance **Faible** et un risque global **Élevé**. L'horizon d'investissement optimal serait le **moyen terme (3-12 mois)** pour observer la consolidation des résultats et la résorption des fragilités bilantielles, tout en surveillant attentivement les niveaux de support autour de 4 000 FCFA.</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du co\u00fbt du risque (+491%) et le r\u00e9sultat net d\u00e9ficitaire en aggravation r\u00e9v\u00e8lent des difficult\u00e9s structurelles majeures. L'impact combin\u00e9 de la COVID-19 et des redressements fiscaux fragilise durablement la rentabilit\u00e9."}</w:t>
      </w:r>
    </w:p>
    <w:p>
      <w:pPr>
        <w:spacing w:before="40"/>
        <w:ind w:left="400"/>
      </w:pPr>
      <w:r>
        <w:rPr>
          <w:sz w:val="18"/>
        </w:rPr>
        <w:t>SAFCA CI (Société Africaine de Crédit Automobile) affiche des résultats préoccupants pour le 4T 2020 avec un résultat net déficitaire de -1 306 millions FCFA contre -211 millions en 2019. Le Produit Net Bancaire recule de 4% à 3 414 millions FCFA, impacté par la crise sanitaire COVID-19. Le coût du risque explose de 491% à -1 135 millions FCFA, révélant une dégradation significative du portefeuille de crédit. Le total bilan progresse néanmoins de 5% à 66 533 millions FCFA grâce à l'accroissement des avoirs bancaires. Les ratios prudentiels restent conformes aux exigences réglementaires malgré la détérioration des résultats.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'-1 135M FCFA', 'ratio_solvabilite': '10.778%', 'ratio_fonds_propres_CET1': '7.966%', 'operations_clientele_actif': '45 046M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-38.3%</w:t>
            </w:r>
          </w:p>
        </w:tc>
        <w:tc>
          <w:tcPr>
            <w:tcW w:type="dxa" w:w="2160"/>
          </w:tcPr>
          <w:p>
            <w:pPr>
              <w:ind w:left="100"/>
            </w:pPr>
            <w:r/>
            <w:r>
              <w:rPr>
                <w:b/>
                <w:sz w:val="16"/>
              </w:rPr>
              <w:t>total_actif</w:t>
              <w:br/>
            </w:r>
            <w:r>
              <w:rPr>
                <w:sz w:val="18"/>
              </w:rPr>
              <w:t>66 533M FCFA</w:t>
            </w:r>
          </w:p>
        </w:tc>
      </w:tr>
      <w:tr>
        <w:tc>
          <w:tcPr>
            <w:tcW w:type="dxa" w:w="2160"/>
          </w:tcPr>
          <w:p>
            <w:r/>
            <w:r>
              <w:rPr>
                <w:b/>
                <w:sz w:val="16"/>
              </w:rPr>
              <w:t>resultat_net</w:t>
              <w:br/>
            </w:r>
            <w:r>
              <w:rPr>
                <w:sz w:val="18"/>
              </w:rPr>
              <w:t>-1 306M FCFA</w:t>
            </w:r>
          </w:p>
        </w:tc>
        <w:tc>
          <w:tcPr>
            <w:tcW w:type="dxa" w:w="2160"/>
          </w:tcPr>
          <w:p>
            <w:r/>
            <w:r>
              <w:rPr>
                <w:b/>
                <w:sz w:val="16"/>
              </w:rPr>
              <w:t>capitaux_propres</w:t>
              <w:br/>
            </w:r>
            <w:r>
              <w:rPr>
                <w:sz w:val="18"/>
              </w:rPr>
              <w:t>6 798M FCFA</w:t>
            </w:r>
          </w:p>
        </w:tc>
        <w:tc>
          <w:tcPr>
            <w:tcW w:type="dxa" w:w="2160"/>
          </w:tcPr>
          <w:p>
            <w:r/>
            <w:r>
              <w:rPr>
                <w:b/>
                <w:sz w:val="16"/>
              </w:rPr>
              <w:t>chiffre_affaires</w:t>
              <w:br/>
            </w:r>
            <w:r>
              <w:rPr>
                <w:sz w:val="18"/>
              </w:rPr>
              <w:t>3 414M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déficitaire de -1 306M FCFA au 4T 2020 contre -211M FCFA en 2019 (-519%)</w:t>
      </w:r>
    </w:p>
    <w:p>
      <w:pPr>
        <w:pStyle w:val="ListBullet"/>
        <w:spacing w:before="20" w:after="20"/>
        <w:ind w:left="700"/>
      </w:pPr>
      <w:r>
        <w:rPr>
          <w:sz w:val="18"/>
        </w:rPr>
        <w:t>Coût du risque en forte dégradation : -1 135M FCFA contre -192M FCFA (+491%)</w:t>
      </w:r>
    </w:p>
    <w:p>
      <w:pPr>
        <w:pStyle w:val="ListBullet"/>
        <w:spacing w:before="20" w:after="20"/>
        <w:ind w:left="700"/>
      </w:pPr>
      <w:r>
        <w:rPr>
          <w:sz w:val="18"/>
        </w:rPr>
        <w:t>Produit Net Bancaire en baisse de 4% à 3 414M FCFA, impacté par la COVID-19</w:t>
      </w:r>
    </w:p>
    <w:p>
      <w:pPr>
        <w:pStyle w:val="ListBullet"/>
        <w:spacing w:before="20" w:after="20"/>
        <w:ind w:left="700"/>
      </w:pPr>
      <w:r>
        <w:rPr>
          <w:sz w:val="18"/>
        </w:rPr>
        <w:t>Impact négatif des redressements fiscaux sur les résultats 2020</w:t>
      </w:r>
    </w:p>
    <w:p>
      <w:pPr>
        <w:pStyle w:val="ListBullet"/>
        <w:spacing w:before="20" w:after="20"/>
        <w:ind w:left="700"/>
      </w:pPr>
      <w:r>
        <w:rPr>
          <w:sz w:val="18"/>
        </w:rPr>
        <w:t>Croissance du total bilan de 5% à 66 533M FCFA grâce aux opérations de trésorerie (+316%)</w:t>
      </w:r>
    </w:p>
    <w:p>
      <w:pPr>
        <w:pStyle w:val="ListBullet"/>
        <w:spacing w:before="20" w:after="20"/>
        <w:ind w:left="700"/>
      </w:pPr>
      <w:r>
        <w:rPr>
          <w:sz w:val="18"/>
        </w:rPr>
        <w:t>Diminution des capitaux propres de 19% à 6 798M FCFA</w:t>
      </w:r>
    </w:p>
    <w:p>
      <w:pPr>
        <w:spacing w:before="40"/>
        <w:ind w:left="400"/>
      </w:pPr>
      <w:r>
        <w:rPr>
          <w:b/>
          <w:color w:val="C05000"/>
          <w:sz w:val="18"/>
        </w:rPr>
        <w:t xml:space="preserve">⚠️ Risques : </w:t>
      </w:r>
      <w:r>
        <w:rPr>
          <w:sz w:val="18"/>
        </w:rPr>
        <w:t>["Forte exposition au risque de cr\u00e9dit avec une d\u00e9gradation continue du portefeuille", "Impact persistant de la crise sanitaire sur l'activit\u00e9 de cr\u00e9dit automobile", "Pression r\u00e9glementaire fiscale avec des redressements impactant les r\u00e9sultats"]</w:t>
      </w:r>
    </w:p>
    <w:p>
      <w:pPr>
        <w:spacing w:before="40"/>
        <w:ind w:left="400"/>
      </w:pPr>
      <w:r>
        <w:rPr>
          <w:b/>
          <w:color w:val="0064A0"/>
          <w:sz w:val="18"/>
        </w:rPr>
        <w:t xml:space="preserve">🔮 Perspectives : </w:t>
      </w:r>
      <w:r>
        <w:rPr>
          <w:sz w:val="18"/>
        </w:rPr>
        <w:t>Les perspectives 2021 restent incertaines compte tenu de la persistance des effets COVID-19 sur le secteur automobile et du niveau élevé du coût du risque. Une amélioration dépendra de la capacité à maîtriser les provisions et à relancer l'activité commerciale post-crise.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persistance des pertes, l'am\u00e9lioration significative du co\u00fbt du risque et la conformit\u00e9 r\u00e9glementaire montrent une trajectoire de redressement. La soci\u00e9t\u00e9 fait preuve de r\u00e9silience face \u00e0 la pand\u00e9mie COVID-19."}</w:t>
      </w:r>
    </w:p>
    <w:p>
      <w:pPr>
        <w:spacing w:before="40"/>
        <w:ind w:left="400"/>
      </w:pPr>
      <w:r>
        <w:rPr>
          <w:sz w:val="18"/>
        </w:rPr>
        <w:t>SAFCA CI (Alios Finance) affiche une performance contrastée au T1 2021 avec un Produit Net Bancaire en recul de 37% à 536 MFCFA contre 852 MFCFA au T1 2020. Le coût du risque s'améliore significativement de 81% passant de 431 MFCFA à 84 MFCFA, témoignant d'une meilleure maîtrise des risques. Le résultat net demeure négatif à -444 MFCFA mais s'améliore de 24% par rapport au T1 2020 (-584 MFCFA). Le total du bilan progresse légèrement de 1% à 67,509 MFCFA, porté par la croissance des opérations de trésorerie et sur titres. Les ratios prudentiels restent conformes aux exigences réglementaires avec un ratio de solvabilité de 11,135%.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'8,019%', 'cout_du_risque': '84 MFCFA', 'ratio_solvabilite': '11,135%', 'operations_clientele_actif': '43,766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67,509 MFCFA</w:t>
            </w:r>
          </w:p>
        </w:tc>
      </w:tr>
      <w:tr>
        <w:tc>
          <w:tcPr>
            <w:tcW w:type="dxa" w:w="2160"/>
          </w:tcPr>
          <w:p>
            <w:r/>
            <w:r>
              <w:rPr>
                <w:b/>
                <w:sz w:val="16"/>
              </w:rPr>
              <w:t>resultat_net</w:t>
              <w:br/>
            </w:r>
            <w:r>
              <w:rPr>
                <w:sz w:val="18"/>
              </w:rPr>
              <w:t>-444 MFCFA</w:t>
            </w:r>
          </w:p>
        </w:tc>
        <w:tc>
          <w:tcPr>
            <w:tcW w:type="dxa" w:w="2160"/>
          </w:tcPr>
          <w:p>
            <w:r/>
            <w:r>
              <w:rPr>
                <w:b/>
                <w:sz w:val="16"/>
              </w:rPr>
              <w:t>capitaux_propres</w:t>
              <w:br/>
            </w:r>
            <w:r>
              <w:rPr>
                <w:sz w:val="18"/>
              </w:rPr>
              <w:t>6,379 MFCFA</w:t>
            </w:r>
          </w:p>
        </w:tc>
        <w:tc>
          <w:tcPr>
            <w:tcW w:type="dxa" w:w="2160"/>
          </w:tcPr>
          <w:p>
            <w:r/>
            <w:r>
              <w:rPr>
                <w:b/>
                <w:sz w:val="16"/>
              </w:rPr>
              <w:t>chiffre_affaires</w:t>
              <w:br/>
            </w:r>
            <w:r>
              <w:rPr>
                <w:sz w:val="18"/>
              </w:rPr>
              <w:t>536 MFCFA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Produit Net Bancaire de 37% à 536 MFCFA au T1 2021</w:t>
      </w:r>
    </w:p>
    <w:p>
      <w:pPr>
        <w:pStyle w:val="ListBullet"/>
        <w:spacing w:before="20" w:after="20"/>
        <w:ind w:left="700"/>
      </w:pPr>
      <w:r>
        <w:rPr>
          <w:sz w:val="18"/>
        </w:rPr>
        <w:t>Amélioration marquée du coût du risque de 81% démontrant une meilleure gestion des créances</w:t>
      </w:r>
    </w:p>
    <w:p>
      <w:pPr>
        <w:pStyle w:val="ListBullet"/>
        <w:spacing w:before="20" w:after="20"/>
        <w:ind w:left="700"/>
      </w:pPr>
      <w:r>
        <w:rPr>
          <w:sz w:val="18"/>
        </w:rPr>
        <w:t>Résultat net négatif mais en amélioration de 24% à -444 MFCFA</w:t>
      </w:r>
    </w:p>
    <w:p>
      <w:pPr>
        <w:pStyle w:val="ListBullet"/>
        <w:spacing w:before="20" w:after="20"/>
        <w:ind w:left="700"/>
      </w:pPr>
      <w:r>
        <w:rPr>
          <w:sz w:val="18"/>
        </w:rPr>
        <w:t>Croissance modérée du total bilan de 1% à 67,509 MFCFA</w:t>
      </w:r>
    </w:p>
    <w:p>
      <w:pPr>
        <w:pStyle w:val="ListBullet"/>
        <w:spacing w:before="20" w:after="20"/>
        <w:ind w:left="700"/>
      </w:pPr>
      <w:r>
        <w:rPr>
          <w:sz w:val="18"/>
        </w:rPr>
        <w:t>Progression des opérations de trésorerie de 11% à 13,955 MFCFA</w:t>
      </w:r>
    </w:p>
    <w:p>
      <w:pPr>
        <w:pStyle w:val="ListBullet"/>
        <w:spacing w:before="20" w:after="20"/>
        <w:ind w:left="700"/>
      </w:pPr>
      <w:r>
        <w:rPr>
          <w:sz w:val="18"/>
        </w:rPr>
        <w:t>Baisse des capitaux propres de 6% à 6,379 MFCFA</w:t>
      </w:r>
    </w:p>
    <w:p>
      <w:pPr>
        <w:spacing w:before="40"/>
        <w:ind w:left="400"/>
      </w:pPr>
      <w:r>
        <w:rPr>
          <w:b/>
          <w:color w:val="C05000"/>
          <w:sz w:val="18"/>
        </w:rPr>
        <w:t xml:space="preserve">⚠️ Risques : </w:t>
      </w:r>
      <w:r>
        <w:rPr>
          <w:sz w:val="18"/>
        </w:rPr>
        <w:t>["Persistance des r\u00e9sultats n\u00e9gatifs malgr\u00e9 l'am\u00e9lioration observ\u00e9e", "\u00c9rosion des capitaux propres qui ont diminu\u00e9 de 6% sur la p\u00e9riode", "Vuln\u00e9rabilit\u00e9 du secteur financier aux chocs \u00e9conomiques et sanitaires"]</w:t>
      </w:r>
    </w:p>
    <w:p>
      <w:pPr>
        <w:spacing w:before="40"/>
        <w:ind w:left="400"/>
      </w:pPr>
      <w:r>
        <w:rPr>
          <w:b/>
          <w:color w:val="0064A0"/>
          <w:sz w:val="18"/>
        </w:rPr>
        <w:t xml:space="preserve">🔮 Perspectives : </w:t>
      </w:r>
      <w:r>
        <w:rPr>
          <w:sz w:val="18"/>
        </w:rPr>
        <w:t>La société montre des signes de redressement avec une meilleure maîtrise des risques et une dynamique commerciale positive selon la direction. La relance progressive de l'activité économique post-COVID devrait soutenir la performance dans les trimestres à venir, à condition de maintenir la disciplin</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71.44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12,520 titres</w:t>
            </w:r>
          </w:p>
        </w:tc>
        <w:tc>
          <w:tcPr>
            <w:tcW w:type="dxa" w:w="2268"/>
            <w:shd w:fill="FFF2CC" w:val="clear"/>
          </w:tcPr>
          <w:p>
            <w:r>
              <w:rPr>
                <w:b/>
                <w:color w:val="503200"/>
                <w:sz w:val="16"/>
              </w:rPr>
              <w:t xml:space="preserve">Cours actuel : </w:t>
            </w:r>
            <w:r>
              <w:rPr>
                <w:color w:val="000000"/>
                <w:sz w:val="17"/>
              </w:rPr>
              <w:t>3,645 FCFA</w:t>
            </w:r>
          </w:p>
          <w:p>
            <w:r>
              <w:rPr>
                <w:b/>
                <w:color w:val="503200"/>
                <w:sz w:val="16"/>
              </w:rPr>
              <w:t xml:space="preserve">Var. 100 jours : </w:t>
            </w:r>
            <w:r>
              <w:rPr>
                <w:b/>
                <w:color w:val="007800"/>
                <w:sz w:val="17"/>
              </w:rPr>
              <w:t>+132.17%</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1,455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29.21% (Élevée) — μ=2,568 FCFA, σ=750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β=0.3438 (Défensif) — Cov=0.000012, Var(idx)=0.000036, ρ=0.056,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12,520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2026-08-03</w:t>
            </w:r>
          </w:p>
        </w:tc>
        <w:tc>
          <w:tcPr>
            <w:tcW w:type="dxa" w:w="1440"/>
            <w:shd w:fill="FFDCE0" w:val="clear"/>
          </w:tcPr>
          <w:p>
            <w:r>
              <w:rPr>
                <w:sz w:val="17"/>
              </w:rPr>
              <w:t>3,189</w:t>
            </w:r>
          </w:p>
        </w:tc>
        <w:tc>
          <w:tcPr>
            <w:tcW w:type="dxa" w:w="1440"/>
            <w:shd w:fill="FFDCE0" w:val="clear"/>
          </w:tcPr>
          <w:p>
            <w:r>
              <w:rPr>
                <w:b/>
                <w:sz w:val="17"/>
              </w:rPr>
              <w:t>3,372</w:t>
            </w:r>
          </w:p>
        </w:tc>
        <w:tc>
          <w:tcPr>
            <w:tcW w:type="dxa" w:w="1440"/>
            <w:shd w:fill="FFDCE0" w:val="clear"/>
          </w:tcPr>
          <w:p>
            <w:r>
              <w:rPr>
                <w:sz w:val="17"/>
              </w:rPr>
              <w:t>3,554</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2026-08-04</w:t>
            </w:r>
          </w:p>
        </w:tc>
        <w:tc>
          <w:tcPr>
            <w:tcW w:type="dxa" w:w="1440"/>
            <w:shd w:fill="FFDCE0" w:val="clear"/>
          </w:tcPr>
          <w:p>
            <w:r>
              <w:rPr>
                <w:sz w:val="17"/>
              </w:rPr>
              <w:t>2,880</w:t>
            </w:r>
          </w:p>
        </w:tc>
        <w:tc>
          <w:tcPr>
            <w:tcW w:type="dxa" w:w="1440"/>
            <w:shd w:fill="FFDCE0" w:val="clear"/>
          </w:tcPr>
          <w:p>
            <w:r>
              <w:rPr>
                <w:b/>
                <w:sz w:val="17"/>
              </w:rPr>
              <w:t>3,119</w:t>
            </w:r>
          </w:p>
        </w:tc>
        <w:tc>
          <w:tcPr>
            <w:tcW w:type="dxa" w:w="1440"/>
            <w:shd w:fill="FFDCE0" w:val="clear"/>
          </w:tcPr>
          <w:p>
            <w:r>
              <w:rPr>
                <w:sz w:val="17"/>
              </w:rPr>
              <w:t>3,357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2026-08-05</w:t>
            </w:r>
          </w:p>
        </w:tc>
        <w:tc>
          <w:tcPr>
            <w:tcW w:type="dxa" w:w="1440"/>
            <w:shd w:fill="FFDCE0" w:val="clear"/>
          </w:tcPr>
          <w:p>
            <w:r>
              <w:rPr>
                <w:sz w:val="17"/>
              </w:rPr>
              <w:t>2,615</w:t>
            </w:r>
          </w:p>
        </w:tc>
        <w:tc>
          <w:tcPr>
            <w:tcW w:type="dxa" w:w="1440"/>
            <w:shd w:fill="FFDCE0" w:val="clear"/>
          </w:tcPr>
          <w:p>
            <w:r>
              <w:rPr>
                <w:b/>
                <w:sz w:val="17"/>
              </w:rPr>
              <w:t>2,885</w:t>
            </w:r>
          </w:p>
        </w:tc>
        <w:tc>
          <w:tcPr>
            <w:tcW w:type="dxa" w:w="1440"/>
            <w:shd w:fill="FFDCE0" w:val="clear"/>
          </w:tcPr>
          <w:p>
            <w:r>
              <w:rPr>
                <w:sz w:val="17"/>
              </w:rPr>
              <w:t>3,155</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2,380</w:t>
            </w:r>
          </w:p>
        </w:tc>
        <w:tc>
          <w:tcPr>
            <w:tcW w:type="dxa" w:w="1440"/>
            <w:shd w:fill="FFDCE0" w:val="clear"/>
          </w:tcPr>
          <w:p>
            <w:r>
              <w:rPr>
                <w:b/>
                <w:sz w:val="17"/>
              </w:rPr>
              <w:t>2,668</w:t>
            </w:r>
          </w:p>
        </w:tc>
        <w:tc>
          <w:tcPr>
            <w:tcW w:type="dxa" w:w="1440"/>
            <w:shd w:fill="FFDCE0" w:val="clear"/>
          </w:tcPr>
          <w:p>
            <w:r>
              <w:rPr>
                <w:sz w:val="17"/>
              </w:rPr>
              <w:t>2,957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2,170</w:t>
            </w:r>
          </w:p>
        </w:tc>
        <w:tc>
          <w:tcPr>
            <w:tcW w:type="dxa" w:w="1440"/>
            <w:shd w:fill="FFDCE0" w:val="clear"/>
          </w:tcPr>
          <w:p>
            <w:r>
              <w:rPr>
                <w:b/>
                <w:sz w:val="17"/>
              </w:rPr>
              <w:t>2,468</w:t>
            </w:r>
          </w:p>
        </w:tc>
        <w:tc>
          <w:tcPr>
            <w:tcW w:type="dxa" w:w="1440"/>
            <w:shd w:fill="FFDCE0" w:val="clear"/>
          </w:tcPr>
          <w:p>
            <w:r>
              <w:rPr>
                <w:sz w:val="17"/>
              </w:rPr>
              <w:t>2,767</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1,981</w:t>
            </w:r>
          </w:p>
        </w:tc>
        <w:tc>
          <w:tcPr>
            <w:tcW w:type="dxa" w:w="1440"/>
            <w:shd w:fill="FFDCE0" w:val="clear"/>
          </w:tcPr>
          <w:p>
            <w:r>
              <w:rPr>
                <w:b/>
                <w:sz w:val="17"/>
              </w:rPr>
              <w:t>2,283</w:t>
            </w:r>
          </w:p>
        </w:tc>
        <w:tc>
          <w:tcPr>
            <w:tcW w:type="dxa" w:w="1440"/>
            <w:shd w:fill="FFDCE0" w:val="clear"/>
          </w:tcPr>
          <w:p>
            <w:r>
              <w:rPr>
                <w:sz w:val="17"/>
              </w:rPr>
              <w:t>2,586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1,810</w:t>
            </w:r>
          </w:p>
        </w:tc>
        <w:tc>
          <w:tcPr>
            <w:tcW w:type="dxa" w:w="1440"/>
            <w:shd w:fill="FFDCE0" w:val="clear"/>
          </w:tcPr>
          <w:p>
            <w:r>
              <w:rPr>
                <w:b/>
                <w:sz w:val="17"/>
              </w:rPr>
              <w:t>2,112</w:t>
            </w:r>
          </w:p>
        </w:tc>
        <w:tc>
          <w:tcPr>
            <w:tcW w:type="dxa" w:w="1440"/>
            <w:shd w:fill="FFDCE0" w:val="clear"/>
          </w:tcPr>
          <w:p>
            <w:r>
              <w:rPr>
                <w:sz w:val="17"/>
              </w:rPr>
              <w:t>2,414</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1,655</w:t>
            </w:r>
          </w:p>
        </w:tc>
        <w:tc>
          <w:tcPr>
            <w:tcW w:type="dxa" w:w="1440"/>
            <w:shd w:fill="FFDCE0" w:val="clear"/>
          </w:tcPr>
          <w:p>
            <w:r>
              <w:rPr>
                <w:b/>
                <w:sz w:val="17"/>
              </w:rPr>
              <w:t>1,954</w:t>
            </w:r>
          </w:p>
        </w:tc>
        <w:tc>
          <w:tcPr>
            <w:tcW w:type="dxa" w:w="1440"/>
            <w:shd w:fill="FFDCE0" w:val="clear"/>
          </w:tcPr>
          <w:p>
            <w:r>
              <w:rPr>
                <w:sz w:val="17"/>
              </w:rPr>
              <w:t>2,252</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1,514</w:t>
            </w:r>
          </w:p>
        </w:tc>
        <w:tc>
          <w:tcPr>
            <w:tcW w:type="dxa" w:w="1440"/>
            <w:shd w:fill="FFDCE0" w:val="clear"/>
          </w:tcPr>
          <w:p>
            <w:r>
              <w:rPr>
                <w:b/>
                <w:sz w:val="17"/>
              </w:rPr>
              <w:t>1,807</w:t>
            </w:r>
          </w:p>
        </w:tc>
        <w:tc>
          <w:tcPr>
            <w:tcW w:type="dxa" w:w="1440"/>
            <w:shd w:fill="FFDCE0" w:val="clear"/>
          </w:tcPr>
          <w:p>
            <w:r>
              <w:rPr>
                <w:sz w:val="17"/>
              </w:rPr>
              <w:t>2,100</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1,386</w:t>
            </w:r>
          </w:p>
        </w:tc>
        <w:tc>
          <w:tcPr>
            <w:tcW w:type="dxa" w:w="1440"/>
            <w:shd w:fill="FFDCE0" w:val="clear"/>
          </w:tcPr>
          <w:p>
            <w:r>
              <w:rPr>
                <w:b/>
                <w:sz w:val="17"/>
              </w:rPr>
              <w:t>1,672</w:t>
            </w:r>
          </w:p>
        </w:tc>
        <w:tc>
          <w:tcPr>
            <w:tcW w:type="dxa" w:w="1440"/>
            <w:shd w:fill="FFDCE0" w:val="clear"/>
          </w:tcPr>
          <w:p>
            <w:r>
              <w:rPr>
                <w:sz w:val="17"/>
              </w:rPr>
              <w:t>1,957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71,44 milliards FCFA, un niveau qui la positionne comme une valeur de taille moyenne sur la BRVM. Le BPA est négatif à -406 FCFA, ce qui explique un PER négatif de -9,0x, indiquant que la société est déficitaire et que les investisseurs ne paient pas pour des bénéfices actuels mais pour un potentiel de redressement. Le P/B de 4,14x est particulièrement exigeant, signifiant que le marché valorise l'action près de quatre fois sa valeur comptable, une prime substantielle qui reflète des attentes de retour à la rentabilité. Enfin, l'EV/EBITDA de 11,0x se situe dans une fourchette élevée, suggérant que la valeur totale de l'entreprise (dette incluse) est chère par rapport à sa capacité opérationnelle actuelle, ce qui renforce le caractère spéculatif de la valorisation.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variation totale spectaculaire de +132,17%, passant d'un plus bas de 1 455 FCFA à un plus haut de 3 920 FCFA, avant de clôturer à 3 645 FCFA, soit une baisse de -4,08% lors de la dernière séance. La moyenne du cours sur la période est de 2 568 FCFA, inférieure à la médiane de 2 482 FCFA, indiquant une distribution légèrement asymétrique avec une concentration des valeurs vers le bas de la fourchette. L'écart-type de 754 FCFA (CV=29,4%) témoigne d'une dispersion modérée, tandis que le kurtosis négatif de -1,348 (platykurtique) révèle une distribution aplatie, sans pics extrêmes, et le skewness de 0,103 confirme une symétrie relative. La volatilité annualisée de 58,2% est très élevée, classant ce titre comme extrêmement risqué pour les investisseurs, avec des fluctuations de cours importantes qui offrent des opportunités mais aussi des risques considérables.</w:t>
      </w:r>
    </w:p>
    <w:p>
      <w:pPr>
        <w:spacing w:after="120" w:line="276" w:lineRule="auto" w:before="240"/>
      </w:pPr>
      <w:r>
        <w:rPr>
          <w:b/>
          <w:color w:val="003366"/>
          <w:sz w:val="24"/>
        </w:rPr>
        <w:t>**PARTIE 2 : ANALYSE TECHNIQUE DÉTAILLÉE**</w:t>
      </w:r>
    </w:p>
    <w:p>
      <w:pPr>
        <w:spacing w:after="120" w:line="276" w:lineRule="auto"/>
      </w:pPr>
      <w:r>
        <w:t>Les Moyennes Mobiles (MM20=3601,25 et MM50=3235,4) indiquent une tendance haussière, le cours actuel de 3 645 FCFA se situant au-dessus de la MM50 mais légèrement sous la MM20, ce qui suggère un léger essoufflement à court terme tout en maintenant une dynamique positive à moyen terme, d'où la décision d'achat. Les Bandes de Bollinger (borne supérieure 3884,369, borne inférieure 3318,131) montrent un cours positionné dans la partie médiane-haute de l'enveloppe, avec une volatilité en expansion, justifiant une décision neutre car le prix n'est ni en zone de surachat ni de survente. Le MACD (valeur 127,993, signal 144,405) affiche un croisement baissier avec la ligne MACD sous la ligne de signal, indiquant un affaiblissement du momentum haussier, d'où la décision de vente. Le RSI à 56,491 se situe en zone neutre, sans signal directionnel fort, tandis que le Stochastique (%K=40,217, %D=60,507) montre un %K sous le %D, suggérant une pression vendeuse naissante mais encore modérée. La conclusion technique est mitigée : la tendance de fond reste haussière grâce aux moyennes mobiles, mais les indicateurs de momentum (MACD, Stochastique) signalent un essoufflement à court terme, appelant à la prudence.</w:t>
      </w:r>
    </w:p>
    <w:p>
      <w:pPr>
        <w:spacing w:after="120" w:line="276" w:lineRule="auto" w:before="240"/>
      </w:pPr>
      <w:r>
        <w:rPr>
          <w:b/>
          <w:color w:val="003366"/>
          <w:sz w:val="24"/>
        </w:rPr>
        <w:t>**PARTIE 3 : ANALYSE FONDAMENTALE (SECTION CRITIQUE)**</w:t>
      </w:r>
    </w:p>
    <w:p>
      <w:pPr>
        <w:spacing w:after="120" w:line="276" w:lineRule="auto"/>
      </w:pPr>
      <w:r>
        <w:t>En 2025, selon les données structurées officielles, SCRC a enregistré un chiffre d'affaires de 80,569 milliards FCFA, en baisse de -7,6% par rapport à 2024, et un résultat net déficitaire de -7,954 milliards FCFA, contre un bénéfice de 2,474 milliards FCFA en 2024, soit une dégradation de 421%. Le ROE s'effondre à -46,13% et le ROA à -5,08%, traduisant une destruction massive de valeur pour les actionnaires. Les délais d'exploitation sont préoccupants : le délai fournisseurs de 366 jours est très élevé (favorable à la trésorerie), mais la durée de stockage de 360 jours est excessive, immobilisant le capital. Le BFR est positif à 6,529 milliards FCFA, indiquant un besoin de financement, et la trésorerie nette est négative à -6,505 milliards FCFA. Selon les rapports narratifs datés de 2026, le rapport du 1er semestre 2025 fait état d'une perte nette de -6,71 milliards FCFA, tandis que le rapport 2025 complet (analysé par DeepSeek) confirme la perte de 7,95 milliards FCFA, avec une explosion des charges financières à 6,79 milliards FCFA (+262%). Les rapports recommandent tous de "Vendre" ou "Conserver", soulignant l'endettement critique (ratio d'endettement de 374% des capitaux propres) et la fragilité du redressement. Sur la base du rapport T1 2025 (bénéfice de 3,21 milliards FCFA) et du S1 2025 (perte de 6,71 milliards), on estime que l'exercice 2026 pourrait rester déficitaire si la campagne 2025/26 ne confirme pas les prévisions de production de 90 000 à 95 000 tonnes. La solidité financière est gravement compromise, avec des risques de liquidité élevés et une dépendance aux investissements massifs pour restaurer la rentabilité.</w:t>
      </w:r>
    </w:p>
    <w:p>
      <w:pPr>
        <w:spacing w:after="120" w:line="276" w:lineRule="auto" w:before="240"/>
      </w:pPr>
      <w:r>
        <w:rPr>
          <w:b/>
          <w:color w:val="003366"/>
          <w:sz w:val="24"/>
        </w:rPr>
        <w:t>**PARTIE 4 : CONCLUSION D'INVESTISSEMENT**</w:t>
      </w:r>
    </w:p>
    <w:p>
      <w:pPr>
        <w:spacing w:after="120" w:line="276" w:lineRule="auto"/>
      </w:pPr>
      <w:r>
        <w:t>La valorisation de SCRC est clairement surévaluée avec un PER négatif, un P/B de 4,14x et un EV/EBITDA de 11,0x, reflétant des attentes spéculatives non justifiées par les fondamentaux. Le comportement du cours, avec une hausse de +132% sur 100 jours et une volatilité annualisée de 58,2%, est préoccupant et caractéristique d'un titre spéculatif, tandis que les statistiques (kurtosis platykurtique, skewness symétrique) indiquent une distribution instable. Les signaux techniques sont divergents : les moyennes mobiles restent haussières, mais le MACD et le Stochastique signalent un essoufflement, avec un RSI neutre. Les fondamentaux sont très dégradés, avec une perte nette massive de 7,95 milliards FCFA en 2025, un endettement critique et des perspectives incertaines pour 2026. Les prédictions IA (J+1 à J+10) confirment cette tendance baissière, projetant une chute du cours de 3 645 FCFA à 2 468 FCFA, soit une baisse de -32%. La convergence entre la dégradation fondamentale, les signaux techniques négatifs et les prédictions IA conduit à une recommandation de **VENTE FORTE**, avec un niveau de confiance Élevé, un risque global Élevé, et un horizon d'investissement optimal à court terme (&lt;3 mois) pour les investisseurs cherchant à limiter leurs pertes.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107.10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1,169 titres</w:t>
            </w:r>
          </w:p>
        </w:tc>
        <w:tc>
          <w:tcPr>
            <w:tcW w:type="dxa" w:w="2268"/>
            <w:shd w:fill="FFF2CC" w:val="clear"/>
          </w:tcPr>
          <w:p>
            <w:r>
              <w:rPr>
                <w:b/>
                <w:color w:val="503200"/>
                <w:sz w:val="16"/>
              </w:rPr>
              <w:t xml:space="preserve">Cours actuel : </w:t>
            </w:r>
            <w:r>
              <w:rPr>
                <w:color w:val="000000"/>
                <w:sz w:val="17"/>
              </w:rPr>
              <w:t>11,900 FCFA</w:t>
            </w:r>
          </w:p>
          <w:p>
            <w:r>
              <w:rPr>
                <w:b/>
                <w:color w:val="503200"/>
                <w:sz w:val="16"/>
              </w:rPr>
              <w:t xml:space="preserve">Var. 100 jours : </w:t>
            </w:r>
            <w:r>
              <w:rPr>
                <w:b/>
                <w:color w:val="007800"/>
                <w:sz w:val="17"/>
              </w:rPr>
              <w:t>+46.73%</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20.20% (Élevée) — μ=9,888 FCFA, σ=1,997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β=0.2080 (Défensif) — Cov=0.000008, Var(idx)=0.000036, ρ=0.057,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2026-08-03</w:t>
            </w:r>
          </w:p>
        </w:tc>
        <w:tc>
          <w:tcPr>
            <w:tcW w:type="dxa" w:w="1440"/>
            <w:shd w:fill="FFDCE0" w:val="clear"/>
          </w:tcPr>
          <w:p>
            <w:r>
              <w:rPr>
                <w:sz w:val="17"/>
              </w:rPr>
              <w:t>11,150</w:t>
            </w:r>
          </w:p>
        </w:tc>
        <w:tc>
          <w:tcPr>
            <w:tcW w:type="dxa" w:w="1440"/>
            <w:shd w:fill="FFDCE0" w:val="clear"/>
          </w:tcPr>
          <w:p>
            <w:r>
              <w:rPr>
                <w:b/>
                <w:sz w:val="17"/>
              </w:rPr>
              <w:t>11,469</w:t>
            </w:r>
          </w:p>
        </w:tc>
        <w:tc>
          <w:tcPr>
            <w:tcW w:type="dxa" w:w="1440"/>
            <w:shd w:fill="FFDCE0" w:val="clear"/>
          </w:tcPr>
          <w:p>
            <w:r>
              <w:rPr>
                <w:sz w:val="17"/>
              </w:rPr>
              <w:t>11,788</w:t>
            </w:r>
          </w:p>
        </w:tc>
        <w:tc>
          <w:tcPr>
            <w:tcW w:type="dxa" w:w="1440"/>
            <w:shd w:fill="FFDCE0" w:val="clear"/>
          </w:tcPr>
          <w:p>
            <w:r>
              <w:rPr>
                <w:b/>
                <w:color w:val="C00000"/>
                <w:sz w:val="17"/>
              </w:rPr>
              <w:t>-3.6%</w:t>
            </w:r>
          </w:p>
        </w:tc>
      </w:tr>
      <w:tr>
        <w:tc>
          <w:tcPr>
            <w:tcW w:type="dxa" w:w="1440"/>
            <w:shd w:fill="FFDCE0" w:val="clear"/>
          </w:tcPr>
          <w:p>
            <w:r>
              <w:rPr>
                <w:sz w:val="17"/>
              </w:rPr>
              <w:t>J+2  Moyenne</w:t>
            </w:r>
          </w:p>
        </w:tc>
        <w:tc>
          <w:tcPr>
            <w:tcW w:type="dxa" w:w="1440"/>
            <w:shd w:fill="FFDCE0" w:val="clear"/>
          </w:tcPr>
          <w:p>
            <w:r>
              <w:rPr>
                <w:sz w:val="17"/>
              </w:rPr>
              <w:t>2026-08-04</w:t>
            </w:r>
          </w:p>
        </w:tc>
        <w:tc>
          <w:tcPr>
            <w:tcW w:type="dxa" w:w="1440"/>
            <w:shd w:fill="FFDCE0" w:val="clear"/>
          </w:tcPr>
          <w:p>
            <w:r>
              <w:rPr>
                <w:sz w:val="17"/>
              </w:rPr>
              <w:t>10,885</w:t>
            </w:r>
          </w:p>
        </w:tc>
        <w:tc>
          <w:tcPr>
            <w:tcW w:type="dxa" w:w="1440"/>
            <w:shd w:fill="FFDCE0" w:val="clear"/>
          </w:tcPr>
          <w:p>
            <w:r>
              <w:rPr>
                <w:b/>
                <w:sz w:val="17"/>
              </w:rPr>
              <w:t>11,331</w:t>
            </w:r>
          </w:p>
        </w:tc>
        <w:tc>
          <w:tcPr>
            <w:tcW w:type="dxa" w:w="1440"/>
            <w:shd w:fill="FFDCE0" w:val="clear"/>
          </w:tcPr>
          <w:p>
            <w:r>
              <w:rPr>
                <w:sz w:val="17"/>
              </w:rPr>
              <w:t>11,777</w:t>
            </w:r>
          </w:p>
        </w:tc>
        <w:tc>
          <w:tcPr>
            <w:tcW w:type="dxa" w:w="1440"/>
            <w:shd w:fill="FFDCE0" w:val="clear"/>
          </w:tcPr>
          <w:p>
            <w:r>
              <w:rPr>
                <w:b/>
                <w:color w:val="C00000"/>
                <w:sz w:val="17"/>
              </w:rPr>
              <w:t>-4.8%</w:t>
            </w:r>
          </w:p>
        </w:tc>
      </w:tr>
      <w:tr>
        <w:tc>
          <w:tcPr>
            <w:tcW w:type="dxa" w:w="1440"/>
            <w:shd w:fill="FFDCE0" w:val="clear"/>
          </w:tcPr>
          <w:p>
            <w:r>
              <w:rPr>
                <w:sz w:val="17"/>
              </w:rPr>
              <w:t>J+3  ⭐</w:t>
            </w:r>
          </w:p>
        </w:tc>
        <w:tc>
          <w:tcPr>
            <w:tcW w:type="dxa" w:w="1440"/>
            <w:shd w:fill="FFDCE0" w:val="clear"/>
          </w:tcPr>
          <w:p>
            <w:r>
              <w:rPr>
                <w:sz w:val="17"/>
              </w:rPr>
              <w:t>2026-08-05</w:t>
            </w:r>
          </w:p>
        </w:tc>
        <w:tc>
          <w:tcPr>
            <w:tcW w:type="dxa" w:w="1440"/>
            <w:shd w:fill="FFDCE0" w:val="clear"/>
          </w:tcPr>
          <w:p>
            <w:r>
              <w:rPr>
                <w:sz w:val="17"/>
              </w:rPr>
              <w:t>10,663</w:t>
            </w:r>
          </w:p>
        </w:tc>
        <w:tc>
          <w:tcPr>
            <w:tcW w:type="dxa" w:w="1440"/>
            <w:shd w:fill="FFDCE0" w:val="clear"/>
          </w:tcPr>
          <w:p>
            <w:r>
              <w:rPr>
                <w:b/>
                <w:sz w:val="17"/>
              </w:rPr>
              <w:t>11,203</w:t>
            </w:r>
          </w:p>
        </w:tc>
        <w:tc>
          <w:tcPr>
            <w:tcW w:type="dxa" w:w="1440"/>
            <w:shd w:fill="FFDCE0" w:val="clear"/>
          </w:tcPr>
          <w:p>
            <w:r>
              <w:rPr>
                <w:sz w:val="17"/>
              </w:rPr>
              <w:t>11,743</w:t>
            </w:r>
          </w:p>
        </w:tc>
        <w:tc>
          <w:tcPr>
            <w:tcW w:type="dxa" w:w="1440"/>
            <w:shd w:fill="FFDCE0" w:val="clear"/>
          </w:tcPr>
          <w:p>
            <w:r>
              <w:rPr>
                <w:b/>
                <w:color w:val="C00000"/>
                <w:sz w:val="17"/>
              </w:rPr>
              <w:t>-5.9%</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10,471</w:t>
            </w:r>
          </w:p>
        </w:tc>
        <w:tc>
          <w:tcPr>
            <w:tcW w:type="dxa" w:w="1440"/>
            <w:shd w:fill="FFDCE0" w:val="clear"/>
          </w:tcPr>
          <w:p>
            <w:r>
              <w:rPr>
                <w:b/>
                <w:sz w:val="17"/>
              </w:rPr>
              <w:t>11,088</w:t>
            </w:r>
          </w:p>
        </w:tc>
        <w:tc>
          <w:tcPr>
            <w:tcW w:type="dxa" w:w="1440"/>
            <w:shd w:fill="FFDCE0" w:val="clear"/>
          </w:tcPr>
          <w:p>
            <w:r>
              <w:rPr>
                <w:sz w:val="17"/>
              </w:rPr>
              <w:t>11,705</w:t>
            </w:r>
          </w:p>
        </w:tc>
        <w:tc>
          <w:tcPr>
            <w:tcW w:type="dxa" w:w="1440"/>
            <w:shd w:fill="FFDCE0" w:val="clear"/>
          </w:tcPr>
          <w:p>
            <w:r>
              <w:rPr>
                <w:b/>
                <w:color w:val="C00000"/>
                <w:sz w:val="17"/>
              </w:rPr>
              <w:t>-6.8%</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10,303</w:t>
            </w:r>
          </w:p>
        </w:tc>
        <w:tc>
          <w:tcPr>
            <w:tcW w:type="dxa" w:w="1440"/>
            <w:shd w:fill="FFDCE0" w:val="clear"/>
          </w:tcPr>
          <w:p>
            <w:r>
              <w:rPr>
                <w:b/>
                <w:sz w:val="17"/>
              </w:rPr>
              <w:t>10,987</w:t>
            </w:r>
          </w:p>
        </w:tc>
        <w:tc>
          <w:tcPr>
            <w:tcW w:type="dxa" w:w="1440"/>
            <w:shd w:fill="FFDCE0" w:val="clear"/>
          </w:tcPr>
          <w:p>
            <w:r>
              <w:rPr>
                <w:sz w:val="17"/>
              </w:rPr>
              <w:t>11,671</w:t>
            </w:r>
          </w:p>
        </w:tc>
        <w:tc>
          <w:tcPr>
            <w:tcW w:type="dxa" w:w="1440"/>
            <w:shd w:fill="FFDCE0" w:val="clear"/>
          </w:tcPr>
          <w:p>
            <w:r>
              <w:rPr>
                <w:b/>
                <w:color w:val="C00000"/>
                <w:sz w:val="17"/>
              </w:rPr>
              <w:t>-7.7%</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10,154</w:t>
            </w:r>
          </w:p>
        </w:tc>
        <w:tc>
          <w:tcPr>
            <w:tcW w:type="dxa" w:w="1440"/>
            <w:shd w:fill="FFDCE0" w:val="clear"/>
          </w:tcPr>
          <w:p>
            <w:r>
              <w:rPr>
                <w:b/>
                <w:sz w:val="17"/>
              </w:rPr>
              <w:t>10,897</w:t>
            </w:r>
          </w:p>
        </w:tc>
        <w:tc>
          <w:tcPr>
            <w:tcW w:type="dxa" w:w="1440"/>
            <w:shd w:fill="FFDCE0" w:val="clear"/>
          </w:tcPr>
          <w:p>
            <w:r>
              <w:rPr>
                <w:sz w:val="17"/>
              </w:rPr>
              <w:t>11,640</w:t>
            </w:r>
          </w:p>
        </w:tc>
        <w:tc>
          <w:tcPr>
            <w:tcW w:type="dxa" w:w="1440"/>
            <w:shd w:fill="FFDCE0" w:val="clear"/>
          </w:tcPr>
          <w:p>
            <w:r>
              <w:rPr>
                <w:b/>
                <w:color w:val="C00000"/>
                <w:sz w:val="17"/>
              </w:rPr>
              <w:t>-8.4%</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10,023</w:t>
            </w:r>
          </w:p>
        </w:tc>
        <w:tc>
          <w:tcPr>
            <w:tcW w:type="dxa" w:w="1440"/>
            <w:shd w:fill="FFDCE0" w:val="clear"/>
          </w:tcPr>
          <w:p>
            <w:r>
              <w:rPr>
                <w:b/>
                <w:sz w:val="17"/>
              </w:rPr>
              <w:t>10,820</w:t>
            </w:r>
          </w:p>
        </w:tc>
        <w:tc>
          <w:tcPr>
            <w:tcW w:type="dxa" w:w="1440"/>
            <w:shd w:fill="FFDCE0" w:val="clear"/>
          </w:tcPr>
          <w:p>
            <w:r>
              <w:rPr>
                <w:sz w:val="17"/>
              </w:rPr>
              <w:t>11,616</w:t>
            </w:r>
          </w:p>
        </w:tc>
        <w:tc>
          <w:tcPr>
            <w:tcW w:type="dxa" w:w="1440"/>
            <w:shd w:fill="FFDCE0" w:val="clear"/>
          </w:tcPr>
          <w:p>
            <w:r>
              <w:rPr>
                <w:b/>
                <w:color w:val="C00000"/>
                <w:sz w:val="17"/>
              </w:rPr>
              <w:t>-9.1%</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9,905</w:t>
            </w:r>
          </w:p>
        </w:tc>
        <w:tc>
          <w:tcPr>
            <w:tcW w:type="dxa" w:w="1440"/>
            <w:shd w:fill="FFDCE0" w:val="clear"/>
          </w:tcPr>
          <w:p>
            <w:r>
              <w:rPr>
                <w:b/>
                <w:sz w:val="17"/>
              </w:rPr>
              <w:t>10,752</w:t>
            </w:r>
          </w:p>
        </w:tc>
        <w:tc>
          <w:tcPr>
            <w:tcW w:type="dxa" w:w="1440"/>
            <w:shd w:fill="FFDCE0" w:val="clear"/>
          </w:tcPr>
          <w:p>
            <w:r>
              <w:rPr>
                <w:sz w:val="17"/>
              </w:rPr>
              <w:t>11,598</w:t>
            </w:r>
          </w:p>
        </w:tc>
        <w:tc>
          <w:tcPr>
            <w:tcW w:type="dxa" w:w="1440"/>
            <w:shd w:fill="FFDCE0" w:val="clear"/>
          </w:tcPr>
          <w:p>
            <w:r>
              <w:rPr>
                <w:b/>
                <w:color w:val="C00000"/>
                <w:sz w:val="17"/>
              </w:rPr>
              <w:t>-9.7%</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9,794</w:t>
            </w:r>
          </w:p>
        </w:tc>
        <w:tc>
          <w:tcPr>
            <w:tcW w:type="dxa" w:w="1440"/>
            <w:shd w:fill="FFDCE0" w:val="clear"/>
          </w:tcPr>
          <w:p>
            <w:r>
              <w:rPr>
                <w:b/>
                <w:sz w:val="17"/>
              </w:rPr>
              <w:t>10,686</w:t>
            </w:r>
          </w:p>
        </w:tc>
        <w:tc>
          <w:tcPr>
            <w:tcW w:type="dxa" w:w="1440"/>
            <w:shd w:fill="FFDCE0" w:val="clear"/>
          </w:tcPr>
          <w:p>
            <w:r>
              <w:rPr>
                <w:sz w:val="17"/>
              </w:rPr>
              <w:t>11,578</w:t>
            </w:r>
          </w:p>
        </w:tc>
        <w:tc>
          <w:tcPr>
            <w:tcW w:type="dxa" w:w="1440"/>
            <w:shd w:fill="FFDCE0" w:val="clear"/>
          </w:tcPr>
          <w:p>
            <w:r>
              <w:rPr>
                <w:b/>
                <w:color w:val="C00000"/>
                <w:sz w:val="17"/>
              </w:rPr>
              <w:t>-10.2%</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9,689</w:t>
            </w:r>
          </w:p>
        </w:tc>
        <w:tc>
          <w:tcPr>
            <w:tcW w:type="dxa" w:w="1440"/>
            <w:shd w:fill="FFDCE0" w:val="clear"/>
          </w:tcPr>
          <w:p>
            <w:r>
              <w:rPr>
                <w:b/>
                <w:sz w:val="17"/>
              </w:rPr>
              <w:t>10,624</w:t>
            </w:r>
          </w:p>
        </w:tc>
        <w:tc>
          <w:tcPr>
            <w:tcW w:type="dxa" w:w="1440"/>
            <w:shd w:fill="FFDCE0" w:val="clear"/>
          </w:tcPr>
          <w:p>
            <w:r>
              <w:rPr>
                <w:sz w:val="17"/>
              </w:rPr>
              <w:t>11,559</w:t>
            </w:r>
          </w:p>
        </w:tc>
        <w:tc>
          <w:tcPr>
            <w:tcW w:type="dxa" w:w="1440"/>
            <w:shd w:fill="FFDCE0" w:val="clear"/>
          </w:tcPr>
          <w:p>
            <w:r>
              <w:rPr>
                <w:b/>
                <w:color w:val="C00000"/>
                <w:sz w:val="17"/>
              </w:rPr>
              <w:t>-10.7%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Absolument. Voici un rapport d'analyse financière structuré et professionnel pour l'action SDCC (SODECI)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SDCC s'établit à 107,10 milliards FCFA, ce qui en fait une valeur de taille moyenne sur la BRVM, représentative d'un acteur stratégique dans le secteur de l'eau en Côte d'Ivoire. Avec un BPA de 518 FCFA, le titre se négocie à un PER de 23,0x, un niveau nettement supérieur à la moyenne historique du marché BRVM (8-12x). Ce ratio élevé suggère que les investisseurs anticipent une croissance future des bénéfices, mais il implique également une prime de valorisation significative. Le P/B de 5,43x confirme cette appréciation, le marché valorisant fortement l'actif net de la société, tandis que l'EV/EBITDA de 14,4x, dans le haut de la fourchette de 10-15x, indique une valorisation exigeante de la capacité opérationnelle de l'entreprise.</w:t>
      </w:r>
    </w:p>
    <w:p>
      <w:pPr>
        <w:spacing w:after="120" w:line="276" w:lineRule="auto"/>
      </w:pPr>
      <w:r>
        <w:t>### PARTIE 1 : ANALYSE DU COURS — STATISTIQUES ET ÉVOLUTION (100 derniers jours)</w:t>
      </w:r>
    </w:p>
    <w:p>
      <w:pPr>
        <w:spacing w:after="120" w:line="276" w:lineRule="auto"/>
      </w:pPr>
      <w:r>
        <w:t>Sur les 100 derniers jours, l'action SDCC a affiché une performance spectaculaire de +46,73%, avec une dernière séance en hausse de +2,15% à 11 900 FCFA. Le titre a évolué dans une fourchette de trading très large, entre un plus bas de 7 140 FCFA et un plus haut de 12 195 FCFA, illustrant une forte dynamique haussière. La moyenne du cours sur la période est de 9 888 FCFA, tandis que la médiane est de 11 000 FCFA. Cet écart, avec une moyenne inférieure à la médiane, suggère une asymétrie négative (skewness de -0.221), indiquant que les fortes baisses passées tirent la moyenne vers le bas. L'écart-type de 2 007 FCFA (CV=20.3%) témoigne d'une dispersion modérée des prix. Le kurtosis négatif (-1.728) indique une distribution "aplatie" avec moins de pics extrêmes que la normale. Enfin, la volatilité annualisée de 35,6% classe le titre comme très volatil, un niveau élevé qui requiert une gestion de risque rigoureuse.</w:t>
      </w:r>
    </w:p>
    <w:p>
      <w:pPr>
        <w:spacing w:after="120" w:line="276" w:lineRule="auto"/>
      </w:pPr>
      <w:r>
        <w:t>### PARTIE 2 : ANALYSE TECHNIQUE DÉTAILLÉE</w:t>
      </w:r>
    </w:p>
    <w:p>
      <w:pPr>
        <w:spacing w:after="120" w:line="276" w:lineRule="auto"/>
      </w:pPr>
      <w:r>
        <w:t>**Moyennes Mobiles**: Le cours actuel (11 900 FCFA) est supérieur à la MM20 (11 769,25 FCFA) et à la MM50 (11 721,9 FCFA). Cette configuration, où le prix est au-dessus des deux moyennes, est un signal haussier classique. La décision d'**Achat** est justifiée par la vigueur de la tendance de fond, les moyennes agissant comme des supports dynamiques.</w:t>
      </w:r>
    </w:p>
    <w:p>
      <w:pPr>
        <w:spacing w:after="120" w:line="276" w:lineRule="auto"/>
      </w:pPr>
      <w:r>
        <w:t>**Bandes de Bollinger**: Le prix se situe à 11 900 FCFA, entre la borne supérieure (12 364,47 FCFA) et la borne inférieure (11 174,03 FCFA). La position du cours dans la partie supérieure de la bande indique une pression acheteuse, mais sans toucher la borne, ce qui ne signale pas une surachete immédiate. La décision est **Neutre**, le marché laissant place à une consolidation possible avant une nouvelle impulsion.</w:t>
      </w:r>
    </w:p>
    <w:p>
      <w:pPr>
        <w:spacing w:after="120" w:line="276" w:lineRule="auto"/>
      </w:pPr>
      <w:r>
        <w:t>**MACD**: La valeur du MACD (65,559) est inférieure à sa ligne de signal (81,443). Ce croisement baissier, survenu après une période de hausse, indique un ralentissement du momentum haussier. La décision de **Vente** suggère que la dynamique positive s'essouffle à court terme, et un repli ou une consolidation est à prévoir.</w:t>
      </w:r>
    </w:p>
    <w:p>
      <w:pPr>
        <w:spacing w:after="120" w:line="276" w:lineRule="auto"/>
      </w:pPr>
      <w:r>
        <w:t>**RSI**: Avec une valeur de 67,61, le RSI se situe en zone neutre-haute, proche du seuil de surachat de 70. Cela indique que le titre est fortement dynamique mais pas encore en situation de surachat extrême. La décision **Neutre** reflète un équilibre entre la force de la tendance et le risque de retournement.</w:t>
      </w:r>
    </w:p>
    <w:p>
      <w:pPr>
        <w:spacing w:after="120" w:line="276" w:lineRule="auto"/>
      </w:pPr>
      <w:r>
        <w:t>**Stochastique**: Le %K (90,141) est très élevé et nettement supérieur au %D (69,409). Cette configuration, en zone de surachat, signale un épuisement potentiel de la hausse à très court terme. Le croisement baissier imminent entre %K et %D renforce la décision de **Vente**, suggérant un risque élevé de correction technique.</w:t>
      </w:r>
    </w:p>
    <w:p>
      <w:pPr>
        <w:spacing w:after="120" w:line="276" w:lineRule="auto"/>
      </w:pPr>
      <w:r>
        <w:t>**Conclusion technique**: Les indicateurs de tendance (MM) sont positifs, mais les oscillateurs de momentum (MACD, Stochastique) et le RSI, proche du surachat, envoient des signaux de prudence. Cette divergence suggère que la tendance haussière de fond est intacte, mais qu'un repli technique est probable à court terme. La prudence est donc de mise pour un nouvel achat, tandis que les investisseurs existants pourraient sécuriser une partie de leurs gains.</w:t>
      </w:r>
    </w:p>
    <w:p>
      <w:pPr>
        <w:spacing w:after="120" w:line="276" w:lineRule="auto"/>
      </w:pPr>
      <w:r>
        <w:t>### PARTIE 3 : ANALYSE FONDAMENTALE (SECTION CRITIQUE)</w:t>
      </w:r>
    </w:p>
    <w:p>
      <w:pPr>
        <w:spacing w:after="120" w:line="276" w:lineRule="auto"/>
      </w:pPr>
      <w:r>
        <w:t>En 2025, la société a réalisé un chiffre d'affaires de 189,430 milliards FCFA, en croissance de 10% par rapport à 2024 (172,2 milliards FCFA). Le résultat net a bondi de 31% pour atteindre 4,663 milliards FCFA, portant la marge nette à 2,46%. La rentabilité des capitaux propres (ROE) est excellente à 23,65%, tandis que le ROA reste faible à 0,99%. Cependant, la structure financière est préoccupante : le ratio d'endettement est très élevé (95,83%), l'autonomie financière est faible (4,17%) et la trésorerie nette est fortement négative à -61,71 milliards FCFA. Le délai de paiement des clients est extrêmement long (749 jours), ce qui pèse lourdement sur le besoin en fonds de roulement (104,75 milliards FCFA) et explique les tensions de trésorerie. Le rapport du 1er semestre 2025 (daté du 30/06/2025) montrait une baisse du résultat net de -24%, mais le rapport annuel 2025 confirme un redressement spectaculaire au second semestre. Cette dynamique positive se poursuit en 2026, comme l'indique le rapport du T1 2026 (publié en 2026), avec un résultat net en hausse de 118% à 1,318 milliard FCFA, grâce à une meilleure maîtrise des charges. Sur la base de cette performance, on estime que l'exercice 2026 pourrait voir une nouvelle progression des bénéfices, malgré un chiffre d'affaires en léger repli. En conclusion, la solidité opérationnelle et la croissance sont réelles, mais elles sont contrebalancées par un endettement massif et une gestion du besoin en fonds de roulement critique.</w:t>
      </w:r>
    </w:p>
    <w:p>
      <w:pPr>
        <w:spacing w:after="120" w:line="276" w:lineRule="auto"/>
      </w:pPr>
      <w:r>
        <w:t>### PARTIE 4 : CONCLUSION D'INVESTISSEMENT</w:t>
      </w:r>
    </w:p>
    <w:p>
      <w:pPr>
        <w:spacing w:after="120" w:line="276" w:lineRule="auto"/>
      </w:pPr>
      <w:r>
        <w:t>La valorisation de SDCC est exigeante (PER 23x, P/B 5,4x), intégrant déjà une forte croissance future. Le comportement du cours est très positif sur le long terme (+46,7% sur 100 jours), mais la volatilité est élevée (35,6%). Les signaux techniques sont mitigés : la tendance de fond reste haussière, mais les indicateurs de momentum (MACD, Stochastique) signalent un essoufflement à court terme, suggérant un risque de consolidation. Les fondamentaux sont solides avec une croissance du résultat net de 31% en 2025 et une dynamique exceptionnelle au T1 2026 (+118%), mais la structure financière reste fragile. Les prédictions IA pour les 10 prochains jours (baisse de 11 900 à 10 987 FCFA) confirment le scénario technique d'un repli à court terme. En synthèse, la convergence entre les signaux techniques de court terme et les prédictions IA suggère une pause dans la hausse, malgré des fondamentaux en amélioration. Par conséquent, la recommandation est de **CONSERVER** le titre pour le moyen-long terme, avec une confiance **Moyenne** et un niveau de risque global **Élevé**. L'horizon d'investissement optimal est le **moyen terme (3-12 mois)**, en attendant que la pression technique se dissipe et que les fondamentaux continuent de s'améliorer.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146.43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15,961 titres</w:t>
            </w:r>
          </w:p>
        </w:tc>
        <w:tc>
          <w:tcPr>
            <w:tcW w:type="dxa" w:w="2268"/>
            <w:shd w:fill="FFF2CC" w:val="clear"/>
          </w:tcPr>
          <w:p>
            <w:r>
              <w:rPr>
                <w:b/>
                <w:color w:val="503200"/>
                <w:sz w:val="16"/>
              </w:rPr>
              <w:t xml:space="preserve">Cours actuel : </w:t>
            </w:r>
            <w:r>
              <w:rPr>
                <w:color w:val="000000"/>
                <w:sz w:val="17"/>
              </w:rPr>
              <w:t>2,690 FCFA</w:t>
            </w:r>
          </w:p>
          <w:p>
            <w:r>
              <w:rPr>
                <w:b/>
                <w:color w:val="503200"/>
                <w:sz w:val="16"/>
              </w:rPr>
              <w:t xml:space="preserve">Var. 100 jours : </w:t>
            </w:r>
            <w:r>
              <w:rPr>
                <w:b/>
                <w:color w:val="007800"/>
                <w:sz w:val="17"/>
              </w:rPr>
              <w:t>+34.50%</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28.8/100 → Moyen</w:t>
      </w:r>
    </w:p>
    <w:p>
      <w:pPr>
        <w:spacing w:before="40" w:after="80"/>
      </w:pPr>
      <w:r>
        <w:rPr>
          <w:rFonts w:ascii="Courier New" w:hAnsi="Courier New"/>
          <w:color w:val="825A00"/>
          <w:sz w:val="18"/>
        </w:rPr>
        <w:t>█████░░░░░░░░░░░░░░░  28.8/100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15.99% (Élevée) — μ=2,088 FCFA, σ=334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β=-0.2438 (Contre-cyclique) — Cov=-0.000009, Var(idx)=0.000036, ρ=-0.046,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15,961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σ_j=3.27%/j (Modérée) — Vol. annualisée≈51.8%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2026-08-03</w:t>
            </w:r>
          </w:p>
        </w:tc>
        <w:tc>
          <w:tcPr>
            <w:tcW w:type="dxa" w:w="1440"/>
            <w:shd w:fill="FAFAFA" w:val="clear"/>
          </w:tcPr>
          <w:p>
            <w:r>
              <w:rPr>
                <w:sz w:val="17"/>
              </w:rPr>
              <w:t>2,525</w:t>
            </w:r>
          </w:p>
        </w:tc>
        <w:tc>
          <w:tcPr>
            <w:tcW w:type="dxa" w:w="1440"/>
            <w:shd w:fill="FAFAFA" w:val="clear"/>
          </w:tcPr>
          <w:p>
            <w:r>
              <w:rPr>
                <w:b/>
                <w:sz w:val="17"/>
              </w:rPr>
              <w:t>2,659</w:t>
            </w:r>
          </w:p>
        </w:tc>
        <w:tc>
          <w:tcPr>
            <w:tcW w:type="dxa" w:w="1440"/>
            <w:shd w:fill="FAFAFA" w:val="clear"/>
          </w:tcPr>
          <w:p>
            <w:r>
              <w:rPr>
                <w:sz w:val="17"/>
              </w:rPr>
              <w:t>2,793</w:t>
            </w:r>
          </w:p>
        </w:tc>
        <w:tc>
          <w:tcPr>
            <w:tcW w:type="dxa" w:w="1440"/>
            <w:shd w:fill="FAFAFA" w:val="clear"/>
          </w:tcPr>
          <w:p>
            <w:r>
              <w:rPr>
                <w:b/>
                <w:color w:val="C00000"/>
                <w:sz w:val="17"/>
              </w:rPr>
              <w:t>-1.2%</w:t>
            </w:r>
          </w:p>
        </w:tc>
      </w:tr>
      <w:tr>
        <w:tc>
          <w:tcPr>
            <w:tcW w:type="dxa" w:w="1440"/>
            <w:shd w:fill="FFDCE0" w:val="clear"/>
          </w:tcPr>
          <w:p>
            <w:r>
              <w:rPr>
                <w:sz w:val="17"/>
              </w:rPr>
              <w:t>J+2  Moyenne</w:t>
            </w:r>
          </w:p>
        </w:tc>
        <w:tc>
          <w:tcPr>
            <w:tcW w:type="dxa" w:w="1440"/>
            <w:shd w:fill="FFDCE0" w:val="clear"/>
          </w:tcPr>
          <w:p>
            <w:r>
              <w:rPr>
                <w:sz w:val="17"/>
              </w:rPr>
              <w:t>2026-08-04</w:t>
            </w:r>
          </w:p>
        </w:tc>
        <w:tc>
          <w:tcPr>
            <w:tcW w:type="dxa" w:w="1440"/>
            <w:shd w:fill="FFDCE0" w:val="clear"/>
          </w:tcPr>
          <w:p>
            <w:r>
              <w:rPr>
                <w:sz w:val="17"/>
              </w:rPr>
              <w:t>2,445</w:t>
            </w:r>
          </w:p>
        </w:tc>
        <w:tc>
          <w:tcPr>
            <w:tcW w:type="dxa" w:w="1440"/>
            <w:shd w:fill="FFDCE0" w:val="clear"/>
          </w:tcPr>
          <w:p>
            <w:r>
              <w:rPr>
                <w:b/>
                <w:sz w:val="17"/>
              </w:rPr>
              <w:t>2,632</w:t>
            </w:r>
          </w:p>
        </w:tc>
        <w:tc>
          <w:tcPr>
            <w:tcW w:type="dxa" w:w="1440"/>
            <w:shd w:fill="FFDCE0" w:val="clear"/>
          </w:tcPr>
          <w:p>
            <w:r>
              <w:rPr>
                <w:sz w:val="17"/>
              </w:rPr>
              <w:t>2,820</w:t>
            </w:r>
          </w:p>
        </w:tc>
        <w:tc>
          <w:tcPr>
            <w:tcW w:type="dxa" w:w="1440"/>
            <w:shd w:fill="FFDCE0" w:val="clear"/>
          </w:tcPr>
          <w:p>
            <w:r>
              <w:rPr>
                <w:b/>
                <w:color w:val="C00000"/>
                <w:sz w:val="17"/>
              </w:rPr>
              <w:t>-2.1%</w:t>
            </w:r>
          </w:p>
        </w:tc>
      </w:tr>
      <w:tr>
        <w:tc>
          <w:tcPr>
            <w:tcW w:type="dxa" w:w="1440"/>
            <w:shd w:fill="FFDCE0" w:val="clear"/>
          </w:tcPr>
          <w:p>
            <w:r>
              <w:rPr>
                <w:sz w:val="17"/>
              </w:rPr>
              <w:t>J+3  Moyenne</w:t>
            </w:r>
          </w:p>
        </w:tc>
        <w:tc>
          <w:tcPr>
            <w:tcW w:type="dxa" w:w="1440"/>
            <w:shd w:fill="FFDCE0" w:val="clear"/>
          </w:tcPr>
          <w:p>
            <w:r>
              <w:rPr>
                <w:sz w:val="17"/>
              </w:rPr>
              <w:t>2026-08-05</w:t>
            </w:r>
          </w:p>
        </w:tc>
        <w:tc>
          <w:tcPr>
            <w:tcW w:type="dxa" w:w="1440"/>
            <w:shd w:fill="FFDCE0" w:val="clear"/>
          </w:tcPr>
          <w:p>
            <w:r>
              <w:rPr>
                <w:sz w:val="17"/>
              </w:rPr>
              <w:t>2,382</w:t>
            </w:r>
          </w:p>
        </w:tc>
        <w:tc>
          <w:tcPr>
            <w:tcW w:type="dxa" w:w="1440"/>
            <w:shd w:fill="FFDCE0" w:val="clear"/>
          </w:tcPr>
          <w:p>
            <w:r>
              <w:rPr>
                <w:b/>
                <w:sz w:val="17"/>
              </w:rPr>
              <w:t>2,610</w:t>
            </w:r>
          </w:p>
        </w:tc>
        <w:tc>
          <w:tcPr>
            <w:tcW w:type="dxa" w:w="1440"/>
            <w:shd w:fill="FFDCE0" w:val="clear"/>
          </w:tcPr>
          <w:p>
            <w:r>
              <w:rPr>
                <w:sz w:val="17"/>
              </w:rPr>
              <w:t>2,838</w:t>
            </w:r>
          </w:p>
        </w:tc>
        <w:tc>
          <w:tcPr>
            <w:tcW w:type="dxa" w:w="1440"/>
            <w:shd w:fill="FFDCE0" w:val="clear"/>
          </w:tcPr>
          <w:p>
            <w:r>
              <w:rPr>
                <w:b/>
                <w:color w:val="C00000"/>
                <w:sz w:val="17"/>
              </w:rPr>
              <w:t>-3.0%</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2,329</w:t>
            </w:r>
          </w:p>
        </w:tc>
        <w:tc>
          <w:tcPr>
            <w:tcW w:type="dxa" w:w="1440"/>
            <w:shd w:fill="FFDCE0" w:val="clear"/>
          </w:tcPr>
          <w:p>
            <w:r>
              <w:rPr>
                <w:b/>
                <w:sz w:val="17"/>
              </w:rPr>
              <w:t>2,590</w:t>
            </w:r>
          </w:p>
        </w:tc>
        <w:tc>
          <w:tcPr>
            <w:tcW w:type="dxa" w:w="1440"/>
            <w:shd w:fill="FFDCE0" w:val="clear"/>
          </w:tcPr>
          <w:p>
            <w:r>
              <w:rPr>
                <w:sz w:val="17"/>
              </w:rPr>
              <w:t>2,852</w:t>
            </w:r>
          </w:p>
        </w:tc>
        <w:tc>
          <w:tcPr>
            <w:tcW w:type="dxa" w:w="1440"/>
            <w:shd w:fill="FFDCE0" w:val="clear"/>
          </w:tcPr>
          <w:p>
            <w:r>
              <w:rPr>
                <w:b/>
                <w:color w:val="C00000"/>
                <w:sz w:val="17"/>
              </w:rPr>
              <w:t>-3.7%</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2,282</w:t>
            </w:r>
          </w:p>
        </w:tc>
        <w:tc>
          <w:tcPr>
            <w:tcW w:type="dxa" w:w="1440"/>
            <w:shd w:fill="FFDCE0" w:val="clear"/>
          </w:tcPr>
          <w:p>
            <w:r>
              <w:rPr>
                <w:b/>
                <w:sz w:val="17"/>
              </w:rPr>
              <w:t>2,572</w:t>
            </w:r>
          </w:p>
        </w:tc>
        <w:tc>
          <w:tcPr>
            <w:tcW w:type="dxa" w:w="1440"/>
            <w:shd w:fill="FFDCE0" w:val="clear"/>
          </w:tcPr>
          <w:p>
            <w:r>
              <w:rPr>
                <w:sz w:val="17"/>
              </w:rPr>
              <w:t>2,862</w:t>
            </w:r>
          </w:p>
        </w:tc>
        <w:tc>
          <w:tcPr>
            <w:tcW w:type="dxa" w:w="1440"/>
            <w:shd w:fill="FFDCE0" w:val="clear"/>
          </w:tcPr>
          <w:p>
            <w:r>
              <w:rPr>
                <w:b/>
                <w:color w:val="C00000"/>
                <w:sz w:val="17"/>
              </w:rPr>
              <w:t>-4.4%</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2,239</w:t>
            </w:r>
          </w:p>
        </w:tc>
        <w:tc>
          <w:tcPr>
            <w:tcW w:type="dxa" w:w="1440"/>
            <w:shd w:fill="FFDCE0" w:val="clear"/>
          </w:tcPr>
          <w:p>
            <w:r>
              <w:rPr>
                <w:b/>
                <w:sz w:val="17"/>
              </w:rPr>
              <w:t>2,555</w:t>
            </w:r>
          </w:p>
        </w:tc>
        <w:tc>
          <w:tcPr>
            <w:tcW w:type="dxa" w:w="1440"/>
            <w:shd w:fill="FFDCE0" w:val="clear"/>
          </w:tcPr>
          <w:p>
            <w:r>
              <w:rPr>
                <w:sz w:val="17"/>
              </w:rPr>
              <w:t>2,871</w:t>
            </w:r>
          </w:p>
        </w:tc>
        <w:tc>
          <w:tcPr>
            <w:tcW w:type="dxa" w:w="1440"/>
            <w:shd w:fill="FFDCE0" w:val="clear"/>
          </w:tcPr>
          <w:p>
            <w:r>
              <w:rPr>
                <w:b/>
                <w:color w:val="C00000"/>
                <w:sz w:val="17"/>
              </w:rPr>
              <w:t>-5.0%</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2,199</w:t>
            </w:r>
          </w:p>
        </w:tc>
        <w:tc>
          <w:tcPr>
            <w:tcW w:type="dxa" w:w="1440"/>
            <w:shd w:fill="FFDCE0" w:val="clear"/>
          </w:tcPr>
          <w:p>
            <w:r>
              <w:rPr>
                <w:b/>
                <w:sz w:val="17"/>
              </w:rPr>
              <w:t>2,538</w:t>
            </w:r>
          </w:p>
        </w:tc>
        <w:tc>
          <w:tcPr>
            <w:tcW w:type="dxa" w:w="1440"/>
            <w:shd w:fill="FFDCE0" w:val="clear"/>
          </w:tcPr>
          <w:p>
            <w:r>
              <w:rPr>
                <w:sz w:val="17"/>
              </w:rPr>
              <w:t>2,877</w:t>
            </w:r>
          </w:p>
        </w:tc>
        <w:tc>
          <w:tcPr>
            <w:tcW w:type="dxa" w:w="1440"/>
            <w:shd w:fill="FFDCE0" w:val="clear"/>
          </w:tcPr>
          <w:p>
            <w:r>
              <w:rPr>
                <w:b/>
                <w:color w:val="C00000"/>
                <w:sz w:val="17"/>
              </w:rPr>
              <w:t>-5.6%</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2,162</w:t>
            </w:r>
          </w:p>
        </w:tc>
        <w:tc>
          <w:tcPr>
            <w:tcW w:type="dxa" w:w="1440"/>
            <w:shd w:fill="FFDCE0" w:val="clear"/>
          </w:tcPr>
          <w:p>
            <w:r>
              <w:rPr>
                <w:b/>
                <w:sz w:val="17"/>
              </w:rPr>
              <w:t>2,522</w:t>
            </w:r>
          </w:p>
        </w:tc>
        <w:tc>
          <w:tcPr>
            <w:tcW w:type="dxa" w:w="1440"/>
            <w:shd w:fill="FFDCE0" w:val="clear"/>
          </w:tcPr>
          <w:p>
            <w:r>
              <w:rPr>
                <w:sz w:val="17"/>
              </w:rPr>
              <w:t>2,882</w:t>
            </w:r>
          </w:p>
        </w:tc>
        <w:tc>
          <w:tcPr>
            <w:tcW w:type="dxa" w:w="1440"/>
            <w:shd w:fill="FFDCE0" w:val="clear"/>
          </w:tcPr>
          <w:p>
            <w:r>
              <w:rPr>
                <w:b/>
                <w:color w:val="C00000"/>
                <w:sz w:val="17"/>
              </w:rPr>
              <w:t>-6.2%</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2,127</w:t>
            </w:r>
          </w:p>
        </w:tc>
        <w:tc>
          <w:tcPr>
            <w:tcW w:type="dxa" w:w="1440"/>
            <w:shd w:fill="FFDCE0" w:val="clear"/>
          </w:tcPr>
          <w:p>
            <w:r>
              <w:rPr>
                <w:b/>
                <w:sz w:val="17"/>
              </w:rPr>
              <w:t>2,506</w:t>
            </w:r>
          </w:p>
        </w:tc>
        <w:tc>
          <w:tcPr>
            <w:tcW w:type="dxa" w:w="1440"/>
            <w:shd w:fill="FFDCE0" w:val="clear"/>
          </w:tcPr>
          <w:p>
            <w:r>
              <w:rPr>
                <w:sz w:val="17"/>
              </w:rPr>
              <w:t>2,886</w:t>
            </w:r>
          </w:p>
        </w:tc>
        <w:tc>
          <w:tcPr>
            <w:tcW w:type="dxa" w:w="1440"/>
            <w:shd w:fill="FFDCE0" w:val="clear"/>
          </w:tcPr>
          <w:p>
            <w:r>
              <w:rPr>
                <w:b/>
                <w:color w:val="C00000"/>
                <w:sz w:val="17"/>
              </w:rPr>
              <w:t>-6.8%</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2,093</w:t>
            </w:r>
          </w:p>
        </w:tc>
        <w:tc>
          <w:tcPr>
            <w:tcW w:type="dxa" w:w="1440"/>
            <w:shd w:fill="FFDCE0" w:val="clear"/>
          </w:tcPr>
          <w:p>
            <w:r>
              <w:rPr>
                <w:b/>
                <w:sz w:val="17"/>
              </w:rPr>
              <w:t>2,491</w:t>
            </w:r>
          </w:p>
        </w:tc>
        <w:tc>
          <w:tcPr>
            <w:tcW w:type="dxa" w:w="1440"/>
            <w:shd w:fill="FFDCE0" w:val="clear"/>
          </w:tcPr>
          <w:p>
            <w:r>
              <w:rPr>
                <w:sz w:val="17"/>
              </w:rPr>
              <w:t>2,888</w:t>
            </w:r>
          </w:p>
        </w:tc>
        <w:tc>
          <w:tcPr>
            <w:tcW w:type="dxa" w:w="1440"/>
            <w:shd w:fill="FFDCE0" w:val="clear"/>
          </w:tcPr>
          <w:p>
            <w:r>
              <w:rPr>
                <w:b/>
                <w:color w:val="C00000"/>
                <w:sz w:val="17"/>
              </w:rPr>
              <w:t>-7.4%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(AGL CÔTE D'IVOIRE)**</w:t>
        <w:br/>
        <w:t>**Date : 31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SDSC s'établit à 146,43 milliards FCFA, un niveau significatif qui la positionne parmi les valeurs moyennes de la cote BRVM. Avec un BPA de 387 FCFA, le titre se négocie à un PER de 7,0x, nettement inférieur à la moyenne du marché (8-12x), ce qui suggère une sous-évaluation relative du bénéfice par action. Le P/B de 1,88x indique que le marché valorise la société à près du double de sa valeur comptable, une décote modérée qui reflète une certaine prudence des investisseurs. En revanche, l'EV/EBITDA de 31,6x est particulièrement exigeant, signalant que la valeur d'entreprise (dette incluse) est très élevée par rapport à la capacité bénéficiaire opérationnelle brute. Cette disparité entre un PER faible et un EV/EBITDA élevé s'explique par l'importance des capitaux propres et la structure de la dette, mais elle invite à la prudence quant à la soutenabilité de la valorisation actuelle.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SDSC a enregistré une progression spectaculaire de +34,50%, avec un cours actuel de 2 690 FCFA, malgré un léger repli de -0,37% lors de la dernière séance. Le titre a évolué dans une fourchette large de 1 650 à 2 820 FCFA, démontrant une forte dynamique haussière. La moyenne (2 088 FCFA) est supérieure à la médiane (1 975 FCFA), confirmant une asymétrie positive (skewness de 0,725) : les journées sous la moyenne sont plus fréquentes, mais les fortes hausses ont tiré le cours vers le haut. L'écart-type de 336 FCFA (CV de 16,1%) indique une dispersion modérée autour de la moyenne. Le kurtosis de -0,750 (mésokurtique) suggère une distribution proche de la normale, sans risque de pics extrêmes. La volatilité annualisée de 51,8% est très élevée (&gt;30%), classant SDSC comme un titre spéculatif à fort potentiel de variation, ce qui implique un risque important pour les investisseurs malgré la tendance haussière.</w:t>
      </w:r>
    </w:p>
    <w:p>
      <w:pPr>
        <w:spacing w:after="120" w:line="276" w:lineRule="auto"/>
      </w:pPr>
      <w:r>
        <w:t>---</w:t>
      </w:r>
    </w:p>
    <w:p>
      <w:pPr>
        <w:spacing w:after="120" w:line="276" w:lineRule="auto"/>
      </w:pPr>
      <w:r>
        <w:t>### PARTIE 2 : ANALYSE TECHNIQUE DÉTAILLÉE</w:t>
      </w:r>
    </w:p>
    <w:p>
      <w:pPr>
        <w:spacing w:after="120" w:line="276" w:lineRule="auto"/>
      </w:pPr>
      <w:r>
        <w:t>**Moyennes Mobiles** : Les MM20 (2 579 FCFA) et MM50 (2 317,7 FCFA) sont toutes deux inférieures au cours actuel (2 690 FCFA), avec une MM20 au-dessus de la MM50, formant une configuration haussière classique. Le signal d'achat est justifié par cette dynamique positive, le prix se maintenant au-dessus de ses moyennes mobiles, indiquant une tendance soutenue.</w:t>
      </w:r>
    </w:p>
    <w:p>
      <w:pPr>
        <w:spacing w:after="120" w:line="276" w:lineRule="auto"/>
      </w:pPr>
      <w:r>
        <w:t>**Bandes de Bollinger** : Le cours (2 690 FCFA) se situe dans la partie supérieure des bandes (borne supérieure à 2 987 FCFA, borne inférieure à 2 170,9 FCFA), sans toucher la borne haute. La décision neutre s'explique par une volatilité modérée, le prix n'étant pas en situation de surachat extrême, mais la proximité de la borne supérieure suggère une possible résistance à court terme.</w:t>
      </w:r>
    </w:p>
    <w:p>
      <w:pPr>
        <w:spacing w:after="120" w:line="276" w:lineRule="auto"/>
      </w:pPr>
      <w:r>
        <w:t>**MACD** : Le MACD (112,774) est inférieur à son signal (125,334), indiquant un momentum baissier à court terme. Cette divergence négative, malgré une tendance haussière sous-jacente, justifie la décision de vente, signalant un possible ralentissement de la dynamique haussière.</w:t>
      </w:r>
    </w:p>
    <w:p>
      <w:pPr>
        <w:spacing w:after="120" w:line="276" w:lineRule="auto"/>
      </w:pPr>
      <w:r>
        <w:t>**RSI** : À 78,409, le RSI est en zone de surachat (&gt;70), ce qui indique que le titre est survendu à la hausse. La décision de vente est justifiée par un risque élevé de correction technique, les acheteurs ayant potentiellement épuisé leur force.</w:t>
      </w:r>
    </w:p>
    <w:p>
      <w:pPr>
        <w:spacing w:after="120" w:line="276" w:lineRule="auto"/>
      </w:pPr>
      <w:r>
        <w:t>**Stochastique** : Le %K (72,34) est inférieur au %D (77,024), avec les deux valeurs en zone élevée, suggérant un croisement baissier potentiel. La décision neutre reflète une incertitude sur la poursuite de la hausse, mais un retournement pourrait se matérialiser.</w:t>
      </w:r>
    </w:p>
    <w:p>
      <w:pPr>
        <w:spacing w:after="120" w:line="276" w:lineRule="auto"/>
      </w:pPr>
      <w:r>
        <w:t>**Conclusion technique** : Les indicateurs sont mitigés : les moyennes mobiles soutiennent une tendance haussière, mais le RSI, le MACD et le stochastique signalent une possible correction à court terme. La convergence des signaux de surachat suggère une prudence, avec un risque de consolidation avant une éventuelle reprise.</w:t>
      </w:r>
    </w:p>
    <w:p>
      <w:pPr>
        <w:spacing w:after="120" w:line="276" w:lineRule="auto"/>
      </w:pPr>
      <w:r>
        <w:t>---</w:t>
      </w:r>
    </w:p>
    <w:p>
      <w:pPr>
        <w:spacing w:after="120" w:line="276" w:lineRule="auto"/>
      </w:pPr>
      <w:r>
        <w:t>### PARTIE 3 : ANALYSE FONDAMENTALE (SECTION CRITIQUE)</w:t>
      </w:r>
    </w:p>
    <w:p>
      <w:pPr>
        <w:spacing w:after="120" w:line="276" w:lineRule="auto"/>
      </w:pPr>
      <w:r>
        <w:t>En 2024, SDSC a réalisé un chiffre d'affaires de 85,643 milliards FCFA, en croissance de 3,7%, avec un résultat net de 21,069 milliards FCFA, en hausse de 22,9%. La marge nette s'établit à 24,6%, et le ROE atteint 27,08%, un niveau excellent (&gt;15%), tandis que le ROA est de 11,2%. Le BFR est positif à 17,874 milliards FCFA, mais le délai clients de 467 jours est très élevé, constituant un risque de trésorerie majeur, bien que compensé par un délai fournisseurs exceptionnellement long (4 534 jours). Le ratio d'endettement est faible (17,9%), et la capacité de remboursement est rapide (0,56 an). Les rapports trimestriels 2025 montrent une tendance contrastée : le T1 2025 affiche un CA de 24,897 milliards FCFA (+6,2%) avec un retour à la profitabilité (résultat net de +223 millions FCFA), mais le S1 2025 est déficitaire (-427 millions FCFA) en raison de l'absence de dividendes des filiales, et le T3 2025 voit le résultat net chuter de 77% à 4,341 milliards FCFA, toujours à cause de la non-répétition de ces revenus exceptionnels. Sur la base de ces rapports, on estime que l'exercice 2025 devrait afficher un CA d'environ 90 milliards FCFA, mais un résultat net potentiellement inférieur à 2024, dépendant de la reprise des dividendes des filiales. La solidité financière reste bonne, mais la dépendance aux revenus des filiales et le délai clients élevé sont des risques à surveiller.</w:t>
      </w:r>
    </w:p>
    <w:p>
      <w:pPr>
        <w:spacing w:after="120" w:line="276" w:lineRule="auto"/>
      </w:pPr>
      <w:r>
        <w:t>---</w:t>
      </w:r>
    </w:p>
    <w:p>
      <w:pPr>
        <w:spacing w:after="120" w:line="276" w:lineRule="auto"/>
      </w:pPr>
      <w:r>
        <w:t>### PARTIE 4 : CONCLUSION D'INVESTISSEMENT</w:t>
      </w:r>
    </w:p>
    <w:p>
      <w:pPr>
        <w:spacing w:after="120" w:line="276" w:lineRule="auto"/>
      </w:pPr>
      <w:r>
        <w:t>La valorisation de SDSC présente un tableau contrasté : un PER de 7,0x suggère une sous-évaluation, mais l'EV/EBITDA de 31,6x et le P/B de 1,88x tempèrent cet optimisme. Le comportement du cours est très favorable avec une hausse de 34,5% sur 100 jours, mais la volatilité de 51,8% et le RSI en surachat indiquent un risque de correction. Les signaux techniques sont divergents : les moyennes mobiles sont haussières, mais le MACD, le RSI et le stochastique signalent une faiblesse à court terme. Fondamentalement, la société est rentable (ROE de 27%) avec une croissance modérée, mais les résultats trimestriels 2025 montrent une instabilité due aux revenus des filiales. Les prédictions IA (2 659 à 2 572 FCFA sur 10 jours) confirment une légère baisse, en ligne avec les signaux techniques de surachat. En synthèse, la convergence entre la valorisation attractive, la tendance haussière de long terme et les fondamentaux solides est contrebalancée par les signaux techniques de court terme et la volatilité élevée. **Recommandation finale : CONSERVER**, avec un niveau de confiance **Moyen** et un risque global **Élevé**. L'horizon d'investissement optimal est le **moyen terme (3-12 mois)**, en attendant une correction technique pour renforcer la position ou une clarification sur les dividendes des filiales.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(+28%) et l'am\u00e9lioration de la marge op\u00e9rationnelle d\u00e9montrent la solidit\u00e9 du mod\u00e8le \u00e9conomique. Cependant, la baisse des capitaux propres et la tr\u00e9sorerie nette n\u00e9gative n\u00e9cessitent un suivi attentif."}</w:t>
      </w:r>
    </w:p>
    <w:p>
      <w:pPr>
        <w:spacing w:before="40"/>
        <w:ind w:left="400"/>
      </w:pPr>
      <w:r>
        <w:rPr>
          <w:sz w:val="18"/>
        </w:rPr>
        <w:t>Africa Global Logistics (AGL) affiche une croissance solide avec un chiffre d'affaires en hausse de 8,8% à 86,997 milliards FCFA en 2022. Le résultat net progresse significativement de 28,0% pour atteindre 10,044 milliards FCFA, témoignant d'une amélioration de la rentabilité. La marge nette s'améliore à 11,5% contre 10,4% en 2021, reflétant une meilleure maîtrise des coûts opérationnels. Le total du bilan s'établit à 149,634 milliards FCFA avec des capitaux propres renforcés à 10,044 milliards FCFA. La situation financière apparaît solide avec une trésorerie nette négative réduite et des flux opérationnels positifs.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{'dettes_financieres': '9,708 milliards FCFA', 'creances_et_emplois': '96,934 milliards FCFA', 'immobilisations_corporelles': '30,089 milliards FCFA', 'flux_tresorerie_operationnels': '19,236 millions FCFA'}</w:t>
            </w:r>
          </w:p>
        </w:tc>
        <w:tc>
          <w:tcPr>
            <w:tcW w:type="dxa" w:w="2160"/>
          </w:tcPr>
          <w:p>
            <w:pPr>
              <w:ind w:left="100"/>
            </w:pPr>
            <w:r/>
            <w:r>
              <w:rPr>
                <w:b/>
                <w:sz w:val="16"/>
              </w:rPr>
              <w:t>dividende</w:t>
              <w:br/>
            </w:r>
            <w:r>
              <w:rPr>
                <w:sz w:val="18"/>
              </w:rPr>
              <w:t>5,008 milliards FCFA</w:t>
            </w:r>
          </w:p>
        </w:tc>
        <w:tc>
          <w:tcPr>
            <w:tcW w:type="dxa" w:w="2160"/>
          </w:tcPr>
          <w:p>
            <w:pPr>
              <w:ind w:left="100"/>
            </w:pPr>
            <w:r/>
            <w:r>
              <w:rPr>
                <w:b/>
                <w:sz w:val="16"/>
              </w:rPr>
              <w:t>marge_nette</w:t>
              <w:br/>
            </w:r>
            <w:r>
              <w:rPr>
                <w:sz w:val="18"/>
              </w:rPr>
              <w:t>11,5%</w:t>
            </w:r>
          </w:p>
        </w:tc>
        <w:tc>
          <w:tcPr>
            <w:tcW w:type="dxa" w:w="2160"/>
          </w:tcPr>
          <w:p>
            <w:pPr>
              <w:ind w:left="100"/>
            </w:pPr>
            <w:r/>
            <w:r>
              <w:rPr>
                <w:b/>
                <w:sz w:val="16"/>
              </w:rPr>
              <w:t>total_actif</w:t>
              <w:br/>
            </w:r>
            <w:r>
              <w:rPr>
                <w:sz w:val="18"/>
              </w:rPr>
              <w:t>149,634 milliards FCFA</w:t>
            </w:r>
          </w:p>
        </w:tc>
      </w:tr>
      <w:tr>
        <w:tc>
          <w:tcPr>
            <w:tcW w:type="dxa" w:w="2160"/>
          </w:tcPr>
          <w:p>
            <w:r/>
            <w:r>
              <w:rPr>
                <w:b/>
                <w:sz w:val="16"/>
              </w:rPr>
              <w:t>resultat_net</w:t>
              <w:br/>
            </w:r>
            <w:r>
              <w:rPr>
                <w:sz w:val="18"/>
              </w:rPr>
              <w:t>10,044 milliards FCFA</w:t>
            </w:r>
          </w:p>
        </w:tc>
        <w:tc>
          <w:tcPr>
            <w:tcW w:type="dxa" w:w="2160"/>
          </w:tcPr>
          <w:p>
            <w:r/>
            <w:r>
              <w:rPr>
                <w:b/>
                <w:sz w:val="16"/>
              </w:rPr>
              <w:t>capitaux_propres</w:t>
              <w:br/>
            </w:r>
            <w:r>
              <w:rPr>
                <w:sz w:val="18"/>
              </w:rPr>
              <w:t>10,044 milliards FCFA</w:t>
            </w:r>
          </w:p>
        </w:tc>
        <w:tc>
          <w:tcPr>
            <w:tcW w:type="dxa" w:w="2160"/>
          </w:tcPr>
          <w:p>
            <w:r/>
            <w:r>
              <w:rPr>
                <w:b/>
                <w:sz w:val="16"/>
              </w:rPr>
              <w:t>chiffre_affaires</w:t>
              <w:br/>
            </w:r>
            <w:r>
              <w:rPr>
                <w:sz w:val="18"/>
              </w:rPr>
              <w:t>86,997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8,8% à 86,997 milliards FCFA</w:t>
      </w:r>
    </w:p>
    <w:p>
      <w:pPr>
        <w:pStyle w:val="ListBullet"/>
        <w:spacing w:before="20" w:after="20"/>
        <w:ind w:left="700"/>
      </w:pPr>
      <w:r>
        <w:rPr>
          <w:sz w:val="18"/>
        </w:rPr>
        <w:t>Progression remarquable du résultat net de +28,0% à 10,044 milliards FCFA</w:t>
      </w:r>
    </w:p>
    <w:p>
      <w:pPr>
        <w:pStyle w:val="ListBullet"/>
        <w:spacing w:before="20" w:after="20"/>
        <w:ind w:left="700"/>
      </w:pPr>
      <w:r>
        <w:rPr>
          <w:sz w:val="18"/>
        </w:rPr>
        <w:t>Amélioration de la marge nette de 10,4% à 11,5%</w:t>
      </w:r>
    </w:p>
    <w:p>
      <w:pPr>
        <w:pStyle w:val="ListBullet"/>
        <w:spacing w:before="20" w:after="20"/>
        <w:ind w:left="700"/>
      </w:pPr>
      <w:r>
        <w:rPr>
          <w:sz w:val="18"/>
        </w:rPr>
        <w:t>Total actif stable à 149,634 milliards FCFA</w:t>
      </w:r>
    </w:p>
    <w:p>
      <w:pPr>
        <w:pStyle w:val="ListBullet"/>
        <w:spacing w:before="20" w:after="20"/>
        <w:ind w:left="700"/>
      </w:pPr>
      <w:r>
        <w:rPr>
          <w:sz w:val="18"/>
        </w:rPr>
        <w:t>Capitaux propres en baisse à 10,044 milliards FCFA contre 13,942 milliards FCFA</w:t>
      </w:r>
    </w:p>
    <w:p>
      <w:pPr>
        <w:pStyle w:val="ListBullet"/>
        <w:spacing w:before="20" w:after="20"/>
        <w:ind w:left="700"/>
      </w:pPr>
      <w:r>
        <w:rPr>
          <w:sz w:val="18"/>
        </w:rPr>
        <w:t>Trésorerie nette négative améliorée de -5,671 millions FCFA contre -4,353 millions FCFA précédemment</w:t>
      </w:r>
    </w:p>
    <w:p>
      <w:pPr>
        <w:spacing w:before="40"/>
        <w:ind w:left="400"/>
      </w:pPr>
      <w:r>
        <w:rPr>
          <w:b/>
          <w:color w:val="C05000"/>
          <w:sz w:val="18"/>
        </w:rPr>
        <w:t xml:space="preserve">⚠️ Risques : </w:t>
      </w:r>
      <w:r>
        <w:rPr>
          <w:sz w:val="18"/>
        </w:rPr>
        <w:t>["Tr\u00e9sorerie nette n\u00e9gative malgr\u00e9 l'am\u00e9lioration, pouvant limiter la flexibilit\u00e9 financi\u00e8re", "Baisse significative des capitaux propres de 13,942 \u00e0 10,044 milliards FCFA", "Forte d\u00e9pendance aux cr\u00e9ances clients avec 96,934 milliards FCFA d'encours"]</w:t>
      </w:r>
    </w:p>
    <w:p>
      <w:pPr>
        <w:spacing w:before="40"/>
        <w:ind w:left="400"/>
      </w:pPr>
      <w:r>
        <w:rPr>
          <w:b/>
          <w:color w:val="0064A0"/>
          <w:sz w:val="18"/>
        </w:rPr>
        <w:t xml:space="preserve">🔮 Perspectives : </w:t>
      </w:r>
      <w:r>
        <w:rPr>
          <w:sz w:val="18"/>
        </w:rPr>
        <w:t>Les perspectives restent favorables avec une dynamique de croissance maintenue et une rentabilité en amélioration continue. L'entreprise devrait poursuivre sa stratégie de développement tout en consolidant sa structure financière. La capacité à générer des flux opérationnels positifs constitue un at</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37.41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5,409 titres</w:t>
            </w:r>
          </w:p>
        </w:tc>
        <w:tc>
          <w:tcPr>
            <w:tcW w:type="dxa" w:w="2268"/>
            <w:shd w:fill="FFF2CC" w:val="clear"/>
          </w:tcPr>
          <w:p>
            <w:r>
              <w:rPr>
                <w:b/>
                <w:color w:val="503200"/>
                <w:sz w:val="16"/>
              </w:rPr>
              <w:t xml:space="preserve">Cours actuel : </w:t>
            </w:r>
            <w:r>
              <w:rPr>
                <w:color w:val="000000"/>
                <w:sz w:val="17"/>
              </w:rPr>
              <w:t>1,485 FCFA</w:t>
            </w:r>
          </w:p>
          <w:p>
            <w:r>
              <w:rPr>
                <w:b/>
                <w:color w:val="503200"/>
                <w:sz w:val="16"/>
              </w:rPr>
              <w:t xml:space="preserve">Var. 100 jours : </w:t>
            </w:r>
            <w:r>
              <w:rPr>
                <w:b/>
                <w:color w:val="B40000"/>
                <w:sz w:val="17"/>
              </w:rPr>
              <w:t>-25.75%</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14.07% (Moyenne) — μ=1,668 FCFA, σ=235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β=0.7361 (Défensif) — Cov=0.000027, Var(idx)=0.000036, ρ=0.134,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σ_j=3.39%/j (Modérée) — Vol. annualisée≈53.9%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2026-08-03</w:t>
            </w:r>
          </w:p>
        </w:tc>
        <w:tc>
          <w:tcPr>
            <w:tcW w:type="dxa" w:w="1440"/>
            <w:shd w:fill="FFDCE0" w:val="clear"/>
          </w:tcPr>
          <w:p>
            <w:r>
              <w:rPr>
                <w:sz w:val="17"/>
              </w:rPr>
              <w:t>1,372</w:t>
            </w:r>
          </w:p>
        </w:tc>
        <w:tc>
          <w:tcPr>
            <w:tcW w:type="dxa" w:w="1440"/>
            <w:shd w:fill="FFDCE0" w:val="clear"/>
          </w:tcPr>
          <w:p>
            <w:r>
              <w:rPr>
                <w:b/>
                <w:sz w:val="17"/>
              </w:rPr>
              <w:t>1,441</w:t>
            </w:r>
          </w:p>
        </w:tc>
        <w:tc>
          <w:tcPr>
            <w:tcW w:type="dxa" w:w="1440"/>
            <w:shd w:fill="FFDCE0" w:val="clear"/>
          </w:tcPr>
          <w:p>
            <w:r>
              <w:rPr>
                <w:sz w:val="17"/>
              </w:rPr>
              <w:t>1,509</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2026-08-04</w:t>
            </w:r>
          </w:p>
        </w:tc>
        <w:tc>
          <w:tcPr>
            <w:tcW w:type="dxa" w:w="1440"/>
            <w:shd w:fill="FFDCE0" w:val="clear"/>
          </w:tcPr>
          <w:p>
            <w:r>
              <w:rPr>
                <w:sz w:val="17"/>
              </w:rPr>
              <w:t>1,335</w:t>
            </w:r>
          </w:p>
        </w:tc>
        <w:tc>
          <w:tcPr>
            <w:tcW w:type="dxa" w:w="1440"/>
            <w:shd w:fill="FFDCE0" w:val="clear"/>
          </w:tcPr>
          <w:p>
            <w:r>
              <w:rPr>
                <w:b/>
                <w:sz w:val="17"/>
              </w:rPr>
              <w:t>1,431</w:t>
            </w:r>
          </w:p>
        </w:tc>
        <w:tc>
          <w:tcPr>
            <w:tcW w:type="dxa" w:w="1440"/>
            <w:shd w:fill="FFDCE0" w:val="clear"/>
          </w:tcPr>
          <w:p>
            <w:r>
              <w:rPr>
                <w:sz w:val="17"/>
              </w:rPr>
              <w:t>1,527</w:t>
            </w:r>
          </w:p>
        </w:tc>
        <w:tc>
          <w:tcPr>
            <w:tcW w:type="dxa" w:w="1440"/>
            <w:shd w:fill="FFDCE0" w:val="clear"/>
          </w:tcPr>
          <w:p>
            <w:r>
              <w:rPr>
                <w:b/>
                <w:color w:val="C00000"/>
                <w:sz w:val="17"/>
              </w:rPr>
              <w:t>-3.6%</w:t>
            </w:r>
          </w:p>
        </w:tc>
      </w:tr>
      <w:tr>
        <w:tc>
          <w:tcPr>
            <w:tcW w:type="dxa" w:w="1440"/>
            <w:shd w:fill="FFDCE0" w:val="clear"/>
          </w:tcPr>
          <w:p>
            <w:r>
              <w:rPr>
                <w:sz w:val="17"/>
              </w:rPr>
              <w:t>J+3  Moyenne</w:t>
            </w:r>
          </w:p>
        </w:tc>
        <w:tc>
          <w:tcPr>
            <w:tcW w:type="dxa" w:w="1440"/>
            <w:shd w:fill="FFDCE0" w:val="clear"/>
          </w:tcPr>
          <w:p>
            <w:r>
              <w:rPr>
                <w:sz w:val="17"/>
              </w:rPr>
              <w:t>2026-08-05</w:t>
            </w:r>
          </w:p>
        </w:tc>
        <w:tc>
          <w:tcPr>
            <w:tcW w:type="dxa" w:w="1440"/>
            <w:shd w:fill="FFDCE0" w:val="clear"/>
          </w:tcPr>
          <w:p>
            <w:r>
              <w:rPr>
                <w:sz w:val="17"/>
              </w:rPr>
              <w:t>1,301</w:t>
            </w:r>
          </w:p>
        </w:tc>
        <w:tc>
          <w:tcPr>
            <w:tcW w:type="dxa" w:w="1440"/>
            <w:shd w:fill="FFDCE0" w:val="clear"/>
          </w:tcPr>
          <w:p>
            <w:r>
              <w:rPr>
                <w:b/>
                <w:sz w:val="17"/>
              </w:rPr>
              <w:t>1,418</w:t>
            </w:r>
          </w:p>
        </w:tc>
        <w:tc>
          <w:tcPr>
            <w:tcW w:type="dxa" w:w="1440"/>
            <w:shd w:fill="FFDCE0" w:val="clear"/>
          </w:tcPr>
          <w:p>
            <w:r>
              <w:rPr>
                <w:sz w:val="17"/>
              </w:rPr>
              <w:t>1,535</w:t>
            </w:r>
          </w:p>
        </w:tc>
        <w:tc>
          <w:tcPr>
            <w:tcW w:type="dxa" w:w="1440"/>
            <w:shd w:fill="FFDCE0" w:val="clear"/>
          </w:tcPr>
          <w:p>
            <w:r>
              <w:rPr>
                <w:b/>
                <w:color w:val="C00000"/>
                <w:sz w:val="17"/>
              </w:rPr>
              <w:t>-4.5%</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1,271</w:t>
            </w:r>
          </w:p>
        </w:tc>
        <w:tc>
          <w:tcPr>
            <w:tcW w:type="dxa" w:w="1440"/>
            <w:shd w:fill="FFDCE0" w:val="clear"/>
          </w:tcPr>
          <w:p>
            <w:r>
              <w:rPr>
                <w:b/>
                <w:sz w:val="17"/>
              </w:rPr>
              <w:t>1,405</w:t>
            </w:r>
          </w:p>
        </w:tc>
        <w:tc>
          <w:tcPr>
            <w:tcW w:type="dxa" w:w="1440"/>
            <w:shd w:fill="FFDCE0" w:val="clear"/>
          </w:tcPr>
          <w:p>
            <w:r>
              <w:rPr>
                <w:sz w:val="17"/>
              </w:rPr>
              <w:t>1,538</w:t>
            </w:r>
          </w:p>
        </w:tc>
        <w:tc>
          <w:tcPr>
            <w:tcW w:type="dxa" w:w="1440"/>
            <w:shd w:fill="FFDCE0" w:val="clear"/>
          </w:tcPr>
          <w:p>
            <w:r>
              <w:rPr>
                <w:b/>
                <w:color w:val="C00000"/>
                <w:sz w:val="17"/>
              </w:rPr>
              <w:t>-5.4%</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1,243</w:t>
            </w:r>
          </w:p>
        </w:tc>
        <w:tc>
          <w:tcPr>
            <w:tcW w:type="dxa" w:w="1440"/>
            <w:shd w:fill="FFDCE0" w:val="clear"/>
          </w:tcPr>
          <w:p>
            <w:r>
              <w:rPr>
                <w:b/>
                <w:sz w:val="17"/>
              </w:rPr>
              <w:t>1,391</w:t>
            </w:r>
          </w:p>
        </w:tc>
        <w:tc>
          <w:tcPr>
            <w:tcW w:type="dxa" w:w="1440"/>
            <w:shd w:fill="FFDCE0" w:val="clear"/>
          </w:tcPr>
          <w:p>
            <w:r>
              <w:rPr>
                <w:sz w:val="17"/>
              </w:rPr>
              <w:t>1,539</w:t>
            </w:r>
          </w:p>
        </w:tc>
        <w:tc>
          <w:tcPr>
            <w:tcW w:type="dxa" w:w="1440"/>
            <w:shd w:fill="FFDCE0" w:val="clear"/>
          </w:tcPr>
          <w:p>
            <w:r>
              <w:rPr>
                <w:b/>
                <w:color w:val="C00000"/>
                <w:sz w:val="17"/>
              </w:rPr>
              <w:t>-6.3%</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1,217</w:t>
            </w:r>
          </w:p>
        </w:tc>
        <w:tc>
          <w:tcPr>
            <w:tcW w:type="dxa" w:w="1440"/>
            <w:shd w:fill="FFDCE0" w:val="clear"/>
          </w:tcPr>
          <w:p>
            <w:r>
              <w:rPr>
                <w:b/>
                <w:sz w:val="17"/>
              </w:rPr>
              <w:t>1,378</w:t>
            </w:r>
          </w:p>
        </w:tc>
        <w:tc>
          <w:tcPr>
            <w:tcW w:type="dxa" w:w="1440"/>
            <w:shd w:fill="FFDCE0" w:val="clear"/>
          </w:tcPr>
          <w:p>
            <w:r>
              <w:rPr>
                <w:sz w:val="17"/>
              </w:rPr>
              <w:t>1,538</w:t>
            </w:r>
          </w:p>
        </w:tc>
        <w:tc>
          <w:tcPr>
            <w:tcW w:type="dxa" w:w="1440"/>
            <w:shd w:fill="FFDCE0" w:val="clear"/>
          </w:tcPr>
          <w:p>
            <w:r>
              <w:rPr>
                <w:b/>
                <w:color w:val="C00000"/>
                <w:sz w:val="17"/>
              </w:rPr>
              <w:t>-7.2%</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1,193</w:t>
            </w:r>
          </w:p>
        </w:tc>
        <w:tc>
          <w:tcPr>
            <w:tcW w:type="dxa" w:w="1440"/>
            <w:shd w:fill="FFDCE0" w:val="clear"/>
          </w:tcPr>
          <w:p>
            <w:r>
              <w:rPr>
                <w:b/>
                <w:sz w:val="17"/>
              </w:rPr>
              <w:t>1,365</w:t>
            </w:r>
          </w:p>
        </w:tc>
        <w:tc>
          <w:tcPr>
            <w:tcW w:type="dxa" w:w="1440"/>
            <w:shd w:fill="FFDCE0" w:val="clear"/>
          </w:tcPr>
          <w:p>
            <w:r>
              <w:rPr>
                <w:sz w:val="17"/>
              </w:rPr>
              <w:t>1,537</w:t>
            </w:r>
          </w:p>
        </w:tc>
        <w:tc>
          <w:tcPr>
            <w:tcW w:type="dxa" w:w="1440"/>
            <w:shd w:fill="FFDCE0" w:val="clear"/>
          </w:tcPr>
          <w:p>
            <w:r>
              <w:rPr>
                <w:b/>
                <w:color w:val="C00000"/>
                <w:sz w:val="17"/>
              </w:rPr>
              <w:t>-8.1%</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1,170</w:t>
            </w:r>
          </w:p>
        </w:tc>
        <w:tc>
          <w:tcPr>
            <w:tcW w:type="dxa" w:w="1440"/>
            <w:shd w:fill="FFDCE0" w:val="clear"/>
          </w:tcPr>
          <w:p>
            <w:r>
              <w:rPr>
                <w:b/>
                <w:sz w:val="17"/>
              </w:rPr>
              <w:t>1,352</w:t>
            </w:r>
          </w:p>
        </w:tc>
        <w:tc>
          <w:tcPr>
            <w:tcW w:type="dxa" w:w="1440"/>
            <w:shd w:fill="FFDCE0" w:val="clear"/>
          </w:tcPr>
          <w:p>
            <w:r>
              <w:rPr>
                <w:sz w:val="17"/>
              </w:rPr>
              <w:t>1,534</w:t>
            </w:r>
          </w:p>
        </w:tc>
        <w:tc>
          <w:tcPr>
            <w:tcW w:type="dxa" w:w="1440"/>
            <w:shd w:fill="FFDCE0" w:val="clear"/>
          </w:tcPr>
          <w:p>
            <w:r>
              <w:rPr>
                <w:b/>
                <w:color w:val="C00000"/>
                <w:sz w:val="17"/>
              </w:rPr>
              <w:t>-8.9%</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1,149</w:t>
            </w:r>
          </w:p>
        </w:tc>
        <w:tc>
          <w:tcPr>
            <w:tcW w:type="dxa" w:w="1440"/>
            <w:shd w:fill="FFDCE0" w:val="clear"/>
          </w:tcPr>
          <w:p>
            <w:r>
              <w:rPr>
                <w:b/>
                <w:sz w:val="17"/>
              </w:rPr>
              <w:t>1,340</w:t>
            </w:r>
          </w:p>
        </w:tc>
        <w:tc>
          <w:tcPr>
            <w:tcW w:type="dxa" w:w="1440"/>
            <w:shd w:fill="FFDCE0" w:val="clear"/>
          </w:tcPr>
          <w:p>
            <w:r>
              <w:rPr>
                <w:sz w:val="17"/>
              </w:rPr>
              <w:t>1,531</w:t>
            </w:r>
          </w:p>
        </w:tc>
        <w:tc>
          <w:tcPr>
            <w:tcW w:type="dxa" w:w="1440"/>
            <w:shd w:fill="FFDCE0" w:val="clear"/>
          </w:tcPr>
          <w:p>
            <w:r>
              <w:rPr>
                <w:b/>
                <w:color w:val="C00000"/>
                <w:sz w:val="17"/>
              </w:rPr>
              <w:t>-9.8%</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1,128</w:t>
            </w:r>
          </w:p>
        </w:tc>
        <w:tc>
          <w:tcPr>
            <w:tcW w:type="dxa" w:w="1440"/>
            <w:shd w:fill="FFDCE0" w:val="clear"/>
          </w:tcPr>
          <w:p>
            <w:r>
              <w:rPr>
                <w:b/>
                <w:sz w:val="17"/>
              </w:rPr>
              <w:t>1,328</w:t>
            </w:r>
          </w:p>
        </w:tc>
        <w:tc>
          <w:tcPr>
            <w:tcW w:type="dxa" w:w="1440"/>
            <w:shd w:fill="FFDCE0" w:val="clear"/>
          </w:tcPr>
          <w:p>
            <w:r>
              <w:rPr>
                <w:sz w:val="17"/>
              </w:rPr>
              <w:t>1,528</w:t>
            </w:r>
          </w:p>
        </w:tc>
        <w:tc>
          <w:tcPr>
            <w:tcW w:type="dxa" w:w="1440"/>
            <w:shd w:fill="FFDCE0" w:val="clear"/>
          </w:tcPr>
          <w:p>
            <w:r>
              <w:rPr>
                <w:b/>
                <w:color w:val="C00000"/>
                <w:sz w:val="17"/>
              </w:rPr>
              <w:t>-10.6%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Absolument. Voici un rapport d'analyse professionnel structuré pour l'action SEMC,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37,41 milliards FCFA, un niveau qui la positionne comme une valeur de taille moyenne sur la BRVM, représentant une fraction infime du marché global. Les ratios de valorisation (BPA, PER, P/B, EV/EBITDA) ne sont pas calculables en raison de l'absence de données financières structurées et récentes dans la base de données. Cette situation est principalement due à l'ancienneté des rapports financiers disponibles (le dernier exercice complet analysé est 2023) et à la suspension de la cote, qui a pu entraver la mise à jour des données. Par conséquent, il est impossible de déterminer si le marché valorise le titre à un niveau attractif ou non par rapport à ses bénéfices ou à sa valeur comptable. Cette absence de visibilité sur les ratios clés constitue en soi un signal d'alerte pour l'investisseur, le privant d'outils essentiels à une évaluation objective.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SEMC a subi une dépréciation sévère de -25,75%, avec une nouvelle baisse de -1,00% lors de la dernière séance, illustrant une pression vendeuse persistante. Le titre a évolué dans une fourchette de 1 350 FCFA (plus bas) à 2 265 FCFA (plus haut), soit une amplitude de 915 FCFA, témoignant d'une forte incertitude. La moyenne du cours sur la période est de 1 668 FCFA, tandis que la médiane est plus basse à 1 575 FCFA. Cet écart, couplé à un skewness positif (0.955), indique une distribution asymétrique avec des jours de forte hausse qui tirent la moyenne vers le haut, mais une majorité de séances sous cette moyenne. L'écart-type de 236 FCFA (CV=14.1%) montre une dispersion modérée autour de la moyenne. Le kurtosis négatif (-0.371) suggère une distribution mésokurtique, avec un risque de mouvements extrêmes plus faible qu'une distribution normale. Enfin, la volatilité annualisée de 53,9% classe le titre comme extrêmement risqué,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(1 485 FCFA) est inférieur à la MM20 (1 466.5 FCFA) et à la MM50 (1 519.5 FCFA). La position sous la MM50 confirme une tendance de fond baissière, tandis que le croisement sous la MM20 à court terme renforce ce signal. La configuration des moyennes mobiles, avec une MM20 sous la MM50, est un classique signal de vente, indiquant que le momentum est négatif.</w:t>
      </w:r>
    </w:p>
    <w:p>
      <w:pPr>
        <w:spacing w:after="120" w:line="276" w:lineRule="auto"/>
      </w:pPr>
      <w:r>
        <w:t>**Bandes de Bollinger:** Le prix se situe à 1 485 FCFA, à l'intérieur des bandes (borne supérieure à 1 565.8 FCFA et borne inférieure à 1 367.2 FCFA). Le fait que le prix soit dans la moitié inférieure de l'espace entre les bandes suggère une pression vendeuse, mais sans être en situation de survente extrême. La largeur des bandes reflète la volatilité élevée du titre. La décision "Neutre" est cohérente avec une absence de signal directionnel fort, le prix n'ayant pas touché les bornes.</w:t>
      </w:r>
    </w:p>
    <w:p>
      <w:pPr>
        <w:spacing w:after="120" w:line="276" w:lineRule="auto"/>
      </w:pPr>
      <w:r>
        <w:t>**MACD:** La valeur du MACD (-8.513) est supérieure à son signal (-13.257), ce qui constitue un croisement haussier. Bien que les deux indicateurs soient en territoire négatif, ce croisement signale un ralentissement de la dynamique baissière et une possible reprise du momentum à court terme. C'est le seul indicateur technique qui émet un signal d'achat, suggérant un potentiel de rebond technique.</w:t>
      </w:r>
    </w:p>
    <w:p>
      <w:pPr>
        <w:spacing w:after="120" w:line="276" w:lineRule="auto"/>
      </w:pPr>
      <w:r>
        <w:t>**RSI:** Avec une valeur de 51.5, le RSI se situe exactement dans la zone neutre (30-70). Il n'indique ni surachat ni survente, ce qui signifie que le marché n'est pas dans une phase d'épuisement. Cette neutralité donne du crédit à l'idée d'une stabilisation, mais sans confirmer un retournement de tendance.</w:t>
      </w:r>
    </w:p>
    <w:p>
      <w:pPr>
        <w:spacing w:after="120" w:line="276" w:lineRule="auto"/>
      </w:pPr>
      <w:r>
        <w:t>**Stochastique:** Le %K (60.0) est supérieur au %D (48.0), montrant un croisement haussier récent. Cependant, les deux lignes restent sous le seuil de 80, indiquant que le momentum haussier est encore faible et n'a pas atteint une zone de surachat. La décision "Neutre" est justifiée par ce manque de vigueur.</w:t>
      </w:r>
    </w:p>
    <w:p>
      <w:pPr>
        <w:spacing w:after="120" w:line="276" w:lineRule="auto"/>
      </w:pPr>
      <w:r>
        <w:t>**Conclusion technique:** La synthèse des indicateurs est mitigée. La tendance de fond, illustrée par les moyennes mobiles, est clairement baissière. Cependant, des signes de stabilisation apparaissent à court terme avec le croisement haussier du MACD et la position neutre du RSI. Le titre semble donc chercher un point d'équilibre après une forte baisse, mais sans signal technique fort pour anticiper un rebond durable. La prudence reste de mise.</w:t>
      </w:r>
    </w:p>
    <w:p>
      <w:pPr>
        <w:spacing w:after="120" w:line="276" w:lineRule="auto"/>
      </w:pPr>
      <w:r>
        <w:t>---</w:t>
      </w:r>
    </w:p>
    <w:p>
      <w:pPr>
        <w:spacing w:after="120" w:line="276" w:lineRule="auto"/>
      </w:pPr>
      <w:r>
        <w:t>### **PARTIE 3 : ANALYSE FONDAMENTALE (SECTION CRITIQUE)**</w:t>
      </w:r>
    </w:p>
    <w:p>
      <w:pPr>
        <w:spacing w:after="120" w:line="276" w:lineRule="auto"/>
      </w:pPr>
      <w:r>
        <w:t>L'analyse fondamentale s'appuie sur les rapports financiers officiels, dont le plus récent date du 31/12/2024 (⚠️ ANCIEN), qui présente les résultats de l'exercice 2023. Il est crucial de noter que ces données sont anciennes et ne reflètent pas la situation actuelle de l'entreprise. Selon ce rapport, le chiffre d'affaires 2023 s'établit à 27,88 milliards FCFA, en baisse de 6% par rapport à 2022 (29,60 milliards FCFA). Cette baisse s'explique par la perte de clients clés (notamment AIRONE) et une concurrence accrue. Le résultat net a chuté de manière spectaculaire, passant de 3,86 milliards FCFA en 2022 à 1,01 milliard FCFA en 2023, soit une baisse de 74%. La marge nette s'est effondrée à 3,6% (contre 13% en 2022), et la marge d'exploitation a également reculé à 6,9%. Aucun dividende n'a été distribué. Un rapport plus ancien (2022) mentionnait un CA de 125,4 milliards FCFA, une donnée qui semble être une erreur ou une consolidation différente et qui contredit fortement les chiffres de 2023, jetant un doute sur la fiabilité des données historiques. Le rapport du 1er trimestre 2023 indiquait une dynamique positive avec un CA en hausse de 16,5%, mais cette tendance ne s'est pas confirmée sur l'ensemble de l'année. Sur la base de ces éléments, on estime que l'exercice 2024, marqué par le rachat par Sonoco Products Company, est une année de transition avec des perspectives de rebond (objectif de CA de 32 milliards FCFA), mais la rentabilité reste fragile. La recommandation fondamentale est donc de **CONSERVER** avec une grande vigilance, en raison de la dégradation des performances, de l'incertitude liée au changement d'actionnariat et de l'ancienneté des données.</w:t>
      </w:r>
    </w:p>
    <w:p>
      <w:pPr>
        <w:spacing w:after="120" w:line="276" w:lineRule="auto"/>
      </w:pPr>
      <w:r>
        <w:t>---</w:t>
      </w:r>
    </w:p>
    <w:p>
      <w:pPr>
        <w:spacing w:after="120" w:line="276" w:lineRule="auto"/>
      </w:pPr>
      <w:r>
        <w:t>### **PARTIE 4 : CONCLUSION D'INVESTISSEMENT**</w:t>
      </w:r>
    </w:p>
    <w:p>
      <w:pPr>
        <w:spacing w:after="120" w:line="276" w:lineRule="auto"/>
      </w:pPr>
      <w:r>
        <w:t>La synthèse globale fait ressortir un profil de risque élevé pour l'action SEMC. La valorisation (Partie 0) est impossible à déterminer faute de ratios calculables, ce qui est préoccupant. Le comportement du cours (Partie 1) est clairement baissier sur 100 jours avec une volatilité extrême (53,9%), et les statistiques descriptives (skewness positif, moyenne &gt; médiane) confirment une distribution instable et des mouvements de prix erratiques. Les signaux techniques (Partie 2) sont mitigés : la tendance de fond reste baissière, mais des signes de stabilisation à court terme (MACD) apparaissent. Les fondamentaux (Partie 3), basés sur des rapports datant de 2023, montrent une entreprise en difficulté avec une chute de 74% de son résultat net et une rentabilité très faible, bien que des perspectives de rebond soient évoquées. Enfin, les prédictions IA pour les 10 prochains jours (baisse continue vers 1 391 FCFA) contredisent les signaux techniques de stabilisation et confirment la tendance baissière de fond. En conclusion, la convergence des signaux (cours baissier, fondamentaux dégradés, prédictions négatives) l'emporte largement sur les rares signaux de stabilisation technique. La recommandation finale est **VENTE**. Le niveau de confiance est **Moyen** en raison de l'ancienneté des données fondamentales et de l'incertitude liée au nouveau propriétaire. Le niveau de risque global est **Élevé**. L'horizon d'investissement optimal est le **court terme (&lt;3 mois)** pour les investisseurs cherchant à limiter leurs pertes, avec une surveillance étroite de tout signe de redressement opérationnel.</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1182.22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4,649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+5.57%</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5.64% (Moyenne) — μ=36,384 FCFA, σ=2,053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β=0.5579 (Défensif) — Cov=0.000020, Var(idx)=0.000036, ρ=0.215,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σ_j=1.59%/j (Stable) — Vol. annualisée≈25.2%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2026-08-03</w:t>
            </w:r>
          </w:p>
        </w:tc>
        <w:tc>
          <w:tcPr>
            <w:tcW w:type="dxa" w:w="1440"/>
            <w:shd w:fill="FAFAFA" w:val="clear"/>
          </w:tcPr>
          <w:p>
            <w:r>
              <w:rPr>
                <w:sz w:val="17"/>
              </w:rPr>
              <w:t>36,974</w:t>
            </w:r>
          </w:p>
        </w:tc>
        <w:tc>
          <w:tcPr>
            <w:tcW w:type="dxa" w:w="1440"/>
            <w:shd w:fill="FAFAFA" w:val="clear"/>
          </w:tcPr>
          <w:p>
            <w:r>
              <w:rPr>
                <w:b/>
                <w:sz w:val="17"/>
              </w:rPr>
              <w:t>37,735</w:t>
            </w:r>
          </w:p>
        </w:tc>
        <w:tc>
          <w:tcPr>
            <w:tcW w:type="dxa" w:w="1440"/>
            <w:shd w:fill="FAFAFA" w:val="clear"/>
          </w:tcPr>
          <w:p>
            <w:r>
              <w:rPr>
                <w:sz w:val="17"/>
              </w:rPr>
              <w:t>38,495</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2026-08-04</w:t>
            </w:r>
          </w:p>
        </w:tc>
        <w:tc>
          <w:tcPr>
            <w:tcW w:type="dxa" w:w="1440"/>
            <w:shd w:fill="FAFAFA" w:val="clear"/>
          </w:tcPr>
          <w:p>
            <w:r>
              <w:rPr>
                <w:sz w:val="17"/>
              </w:rPr>
              <w:t>36,583</w:t>
            </w:r>
          </w:p>
        </w:tc>
        <w:tc>
          <w:tcPr>
            <w:tcW w:type="dxa" w:w="1440"/>
            <w:shd w:fill="FAFAFA" w:val="clear"/>
          </w:tcPr>
          <w:p>
            <w:r>
              <w:rPr>
                <w:b/>
                <w:sz w:val="17"/>
              </w:rPr>
              <w:t>37,656</w:t>
            </w:r>
          </w:p>
        </w:tc>
        <w:tc>
          <w:tcPr>
            <w:tcW w:type="dxa" w:w="1440"/>
            <w:shd w:fill="FAFAFA" w:val="clear"/>
          </w:tcPr>
          <w:p>
            <w:r>
              <w:rPr>
                <w:sz w:val="17"/>
              </w:rPr>
              <w:t>38,730</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2026-08-05</w:t>
            </w:r>
          </w:p>
        </w:tc>
        <w:tc>
          <w:tcPr>
            <w:tcW w:type="dxa" w:w="1440"/>
            <w:shd w:fill="FAFAFA" w:val="clear"/>
          </w:tcPr>
          <w:p>
            <w:r>
              <w:rPr>
                <w:sz w:val="17"/>
              </w:rPr>
              <w:t>36,262</w:t>
            </w:r>
          </w:p>
        </w:tc>
        <w:tc>
          <w:tcPr>
            <w:tcW w:type="dxa" w:w="1440"/>
            <w:shd w:fill="FAFAFA" w:val="clear"/>
          </w:tcPr>
          <w:p>
            <w:r>
              <w:rPr>
                <w:b/>
                <w:sz w:val="17"/>
              </w:rPr>
              <w:t>37,574</w:t>
            </w:r>
          </w:p>
        </w:tc>
        <w:tc>
          <w:tcPr>
            <w:tcW w:type="dxa" w:w="1440"/>
            <w:shd w:fill="FAFAFA" w:val="clear"/>
          </w:tcPr>
          <w:p>
            <w:r>
              <w:rPr>
                <w:sz w:val="17"/>
              </w:rPr>
              <w:t>38,885</w:t>
            </w:r>
          </w:p>
        </w:tc>
        <w:tc>
          <w:tcPr>
            <w:tcW w:type="dxa" w:w="1440"/>
            <w:shd w:fill="FAFAFA" w:val="clear"/>
          </w:tcPr>
          <w:p>
            <w:r>
              <w:rPr>
                <w:b/>
                <w:color w:val="C00000"/>
                <w:sz w:val="17"/>
              </w:rPr>
              <w:t>-1.1%</w:t>
            </w:r>
          </w:p>
        </w:tc>
      </w:tr>
      <w:tr>
        <w:tc>
          <w:tcPr>
            <w:tcW w:type="dxa" w:w="1440"/>
            <w:shd w:fill="FAFAFA" w:val="clear"/>
          </w:tcPr>
          <w:p>
            <w:r>
              <w:rPr>
                <w:sz w:val="17"/>
              </w:rPr>
              <w:t>J+4  Moyenne</w:t>
            </w:r>
          </w:p>
        </w:tc>
        <w:tc>
          <w:tcPr>
            <w:tcW w:type="dxa" w:w="1440"/>
            <w:shd w:fill="FAFAFA" w:val="clear"/>
          </w:tcPr>
          <w:p>
            <w:r>
              <w:rPr>
                <w:sz w:val="17"/>
              </w:rPr>
              <w:t>2026-08-06</w:t>
            </w:r>
          </w:p>
        </w:tc>
        <w:tc>
          <w:tcPr>
            <w:tcW w:type="dxa" w:w="1440"/>
            <w:shd w:fill="FAFAFA" w:val="clear"/>
          </w:tcPr>
          <w:p>
            <w:r>
              <w:rPr>
                <w:sz w:val="17"/>
              </w:rPr>
              <w:t>35,982</w:t>
            </w:r>
          </w:p>
        </w:tc>
        <w:tc>
          <w:tcPr>
            <w:tcW w:type="dxa" w:w="1440"/>
            <w:shd w:fill="FAFAFA" w:val="clear"/>
          </w:tcPr>
          <w:p>
            <w:r>
              <w:rPr>
                <w:b/>
                <w:sz w:val="17"/>
              </w:rPr>
              <w:t>37,494</w:t>
            </w:r>
          </w:p>
        </w:tc>
        <w:tc>
          <w:tcPr>
            <w:tcW w:type="dxa" w:w="1440"/>
            <w:shd w:fill="FAFAFA" w:val="clear"/>
          </w:tcPr>
          <w:p>
            <w:r>
              <w:rPr>
                <w:sz w:val="17"/>
              </w:rPr>
              <w:t>39,005</w:t>
            </w:r>
          </w:p>
        </w:tc>
        <w:tc>
          <w:tcPr>
            <w:tcW w:type="dxa" w:w="1440"/>
            <w:shd w:fill="FAFAFA" w:val="clear"/>
          </w:tcPr>
          <w:p>
            <w:r>
              <w:rPr>
                <w:b/>
                <w:color w:val="C00000"/>
                <w:sz w:val="17"/>
              </w:rPr>
              <w:t>-1.3%</w:t>
            </w:r>
          </w:p>
        </w:tc>
      </w:tr>
      <w:tr>
        <w:tc>
          <w:tcPr>
            <w:tcW w:type="dxa" w:w="1440"/>
            <w:shd w:fill="FAFAFA" w:val="clear"/>
          </w:tcPr>
          <w:p>
            <w:r>
              <w:rPr>
                <w:sz w:val="17"/>
              </w:rPr>
              <w:t>J+5  Moyenne</w:t>
            </w:r>
          </w:p>
        </w:tc>
        <w:tc>
          <w:tcPr>
            <w:tcW w:type="dxa" w:w="1440"/>
            <w:shd w:fill="FAFAFA" w:val="clear"/>
          </w:tcPr>
          <w:p>
            <w:r>
              <w:rPr>
                <w:sz w:val="17"/>
              </w:rPr>
              <w:t>2026-08-10</w:t>
            </w:r>
          </w:p>
        </w:tc>
        <w:tc>
          <w:tcPr>
            <w:tcW w:type="dxa" w:w="1440"/>
            <w:shd w:fill="FAFAFA" w:val="clear"/>
          </w:tcPr>
          <w:p>
            <w:r>
              <w:rPr>
                <w:sz w:val="17"/>
              </w:rPr>
              <w:t>35,730</w:t>
            </w:r>
          </w:p>
        </w:tc>
        <w:tc>
          <w:tcPr>
            <w:tcW w:type="dxa" w:w="1440"/>
            <w:shd w:fill="FAFAFA" w:val="clear"/>
          </w:tcPr>
          <w:p>
            <w:r>
              <w:rPr>
                <w:b/>
                <w:sz w:val="17"/>
              </w:rPr>
              <w:t>37,417</w:t>
            </w:r>
          </w:p>
        </w:tc>
        <w:tc>
          <w:tcPr>
            <w:tcW w:type="dxa" w:w="1440"/>
            <w:shd w:fill="FAFAFA" w:val="clear"/>
          </w:tcPr>
          <w:p>
            <w:r>
              <w:rPr>
                <w:sz w:val="17"/>
              </w:rPr>
              <w:t>39,103</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2026-08-11</w:t>
            </w:r>
          </w:p>
        </w:tc>
        <w:tc>
          <w:tcPr>
            <w:tcW w:type="dxa" w:w="1440"/>
            <w:shd w:fill="FAFAFA" w:val="clear"/>
          </w:tcPr>
          <w:p>
            <w:r>
              <w:rPr>
                <w:sz w:val="17"/>
              </w:rPr>
              <w:t>35,498</w:t>
            </w:r>
          </w:p>
        </w:tc>
        <w:tc>
          <w:tcPr>
            <w:tcW w:type="dxa" w:w="1440"/>
            <w:shd w:fill="FAFAFA" w:val="clear"/>
          </w:tcPr>
          <w:p>
            <w:r>
              <w:rPr>
                <w:b/>
                <w:sz w:val="17"/>
              </w:rPr>
              <w:t>37,342</w:t>
            </w:r>
          </w:p>
        </w:tc>
        <w:tc>
          <w:tcPr>
            <w:tcW w:type="dxa" w:w="1440"/>
            <w:shd w:fill="FAFAFA" w:val="clear"/>
          </w:tcPr>
          <w:p>
            <w:r>
              <w:rPr>
                <w:sz w:val="17"/>
              </w:rPr>
              <w:t>39,185</w:t>
            </w:r>
          </w:p>
        </w:tc>
        <w:tc>
          <w:tcPr>
            <w:tcW w:type="dxa" w:w="1440"/>
            <w:shd w:fill="FAFAFA" w:val="clear"/>
          </w:tcPr>
          <w:p>
            <w:r>
              <w:rPr>
                <w:b/>
                <w:color w:val="C00000"/>
                <w:sz w:val="17"/>
              </w:rPr>
              <w:t>-1.7%</w:t>
            </w:r>
          </w:p>
        </w:tc>
      </w:tr>
      <w:tr>
        <w:tc>
          <w:tcPr>
            <w:tcW w:type="dxa" w:w="1440"/>
            <w:shd w:fill="FAFAFA" w:val="clear"/>
          </w:tcPr>
          <w:p>
            <w:r>
              <w:rPr>
                <w:sz w:val="17"/>
              </w:rPr>
              <w:t>J+7  Moyenne</w:t>
            </w:r>
          </w:p>
        </w:tc>
        <w:tc>
          <w:tcPr>
            <w:tcW w:type="dxa" w:w="1440"/>
            <w:shd w:fill="FAFAFA" w:val="clear"/>
          </w:tcPr>
          <w:p>
            <w:r>
              <w:rPr>
                <w:sz w:val="17"/>
              </w:rPr>
              <w:t>2026-08-12</w:t>
            </w:r>
          </w:p>
        </w:tc>
        <w:tc>
          <w:tcPr>
            <w:tcW w:type="dxa" w:w="1440"/>
            <w:shd w:fill="FAFAFA" w:val="clear"/>
          </w:tcPr>
          <w:p>
            <w:r>
              <w:rPr>
                <w:sz w:val="17"/>
              </w:rPr>
              <w:t>35,282</w:t>
            </w:r>
          </w:p>
        </w:tc>
        <w:tc>
          <w:tcPr>
            <w:tcW w:type="dxa" w:w="1440"/>
            <w:shd w:fill="FAFAFA" w:val="clear"/>
          </w:tcPr>
          <w:p>
            <w:r>
              <w:rPr>
                <w:b/>
                <w:sz w:val="17"/>
              </w:rPr>
              <w:t>37,269</w:t>
            </w:r>
          </w:p>
        </w:tc>
        <w:tc>
          <w:tcPr>
            <w:tcW w:type="dxa" w:w="1440"/>
            <w:shd w:fill="FAFAFA" w:val="clear"/>
          </w:tcPr>
          <w:p>
            <w:r>
              <w:rPr>
                <w:sz w:val="17"/>
              </w:rPr>
              <w:t>39,257</w:t>
            </w:r>
          </w:p>
        </w:tc>
        <w:tc>
          <w:tcPr>
            <w:tcW w:type="dxa" w:w="1440"/>
            <w:shd w:fill="FAFAFA" w:val="clear"/>
          </w:tcPr>
          <w:p>
            <w:r>
              <w:rPr>
                <w:b/>
                <w:color w:val="C00000"/>
                <w:sz w:val="17"/>
              </w:rPr>
              <w:t>-1.9%</w:t>
            </w:r>
          </w:p>
        </w:tc>
      </w:tr>
      <w:tr>
        <w:tc>
          <w:tcPr>
            <w:tcW w:type="dxa" w:w="1440"/>
            <w:shd w:fill="FFDCE0" w:val="clear"/>
          </w:tcPr>
          <w:p>
            <w:r>
              <w:rPr>
                <w:sz w:val="17"/>
              </w:rPr>
              <w:t>J+8  Moyenne</w:t>
            </w:r>
          </w:p>
        </w:tc>
        <w:tc>
          <w:tcPr>
            <w:tcW w:type="dxa" w:w="1440"/>
            <w:shd w:fill="FFDCE0" w:val="clear"/>
          </w:tcPr>
          <w:p>
            <w:r>
              <w:rPr>
                <w:sz w:val="17"/>
              </w:rPr>
              <w:t>2026-08-13</w:t>
            </w:r>
          </w:p>
        </w:tc>
        <w:tc>
          <w:tcPr>
            <w:tcW w:type="dxa" w:w="1440"/>
            <w:shd w:fill="FFDCE0" w:val="clear"/>
          </w:tcPr>
          <w:p>
            <w:r>
              <w:rPr>
                <w:sz w:val="17"/>
              </w:rPr>
              <w:t>35,078</w:t>
            </w:r>
          </w:p>
        </w:tc>
        <w:tc>
          <w:tcPr>
            <w:tcW w:type="dxa" w:w="1440"/>
            <w:shd w:fill="FFDCE0" w:val="clear"/>
          </w:tcPr>
          <w:p>
            <w:r>
              <w:rPr>
                <w:b/>
                <w:sz w:val="17"/>
              </w:rPr>
              <w:t>37,198</w:t>
            </w:r>
          </w:p>
        </w:tc>
        <w:tc>
          <w:tcPr>
            <w:tcW w:type="dxa" w:w="1440"/>
            <w:shd w:fill="FFDCE0" w:val="clear"/>
          </w:tcPr>
          <w:p>
            <w:r>
              <w:rPr>
                <w:sz w:val="17"/>
              </w:rPr>
              <w:t>39,319</w:t>
            </w:r>
          </w:p>
        </w:tc>
        <w:tc>
          <w:tcPr>
            <w:tcW w:type="dxa" w:w="1440"/>
            <w:shd w:fill="FFDCE0" w:val="clear"/>
          </w:tcPr>
          <w:p>
            <w:r>
              <w:rPr>
                <w:b/>
                <w:color w:val="C00000"/>
                <w:sz w:val="17"/>
              </w:rPr>
              <w:t>-2.1%</w:t>
            </w:r>
          </w:p>
        </w:tc>
      </w:tr>
      <w:tr>
        <w:tc>
          <w:tcPr>
            <w:tcW w:type="dxa" w:w="1440"/>
            <w:shd w:fill="FFDCE0" w:val="clear"/>
          </w:tcPr>
          <w:p>
            <w:r>
              <w:rPr>
                <w:sz w:val="17"/>
              </w:rPr>
              <w:t>J+9  Moyenne</w:t>
            </w:r>
          </w:p>
        </w:tc>
        <w:tc>
          <w:tcPr>
            <w:tcW w:type="dxa" w:w="1440"/>
            <w:shd w:fill="FFDCE0" w:val="clear"/>
          </w:tcPr>
          <w:p>
            <w:r>
              <w:rPr>
                <w:sz w:val="17"/>
              </w:rPr>
              <w:t>2026-08-14</w:t>
            </w:r>
          </w:p>
        </w:tc>
        <w:tc>
          <w:tcPr>
            <w:tcW w:type="dxa" w:w="1440"/>
            <w:shd w:fill="FFDCE0" w:val="clear"/>
          </w:tcPr>
          <w:p>
            <w:r>
              <w:rPr>
                <w:sz w:val="17"/>
              </w:rPr>
              <w:t>34,884</w:t>
            </w:r>
          </w:p>
        </w:tc>
        <w:tc>
          <w:tcPr>
            <w:tcW w:type="dxa" w:w="1440"/>
            <w:shd w:fill="FFDCE0" w:val="clear"/>
          </w:tcPr>
          <w:p>
            <w:r>
              <w:rPr>
                <w:b/>
                <w:sz w:val="17"/>
              </w:rPr>
              <w:t>37,129</w:t>
            </w:r>
          </w:p>
        </w:tc>
        <w:tc>
          <w:tcPr>
            <w:tcW w:type="dxa" w:w="1440"/>
            <w:shd w:fill="FFDCE0" w:val="clear"/>
          </w:tcPr>
          <w:p>
            <w:r>
              <w:rPr>
                <w:sz w:val="17"/>
              </w:rPr>
              <w:t>39,374</w:t>
            </w:r>
          </w:p>
        </w:tc>
        <w:tc>
          <w:tcPr>
            <w:tcW w:type="dxa" w:w="1440"/>
            <w:shd w:fill="FFDCE0" w:val="clear"/>
          </w:tcPr>
          <w:p>
            <w:r>
              <w:rPr>
                <w:b/>
                <w:color w:val="C00000"/>
                <w:sz w:val="17"/>
              </w:rPr>
              <w:t>-2.3%</w:t>
            </w:r>
          </w:p>
        </w:tc>
      </w:tr>
      <w:tr>
        <w:tc>
          <w:tcPr>
            <w:tcW w:type="dxa" w:w="1440"/>
            <w:shd w:fill="FFDCE0" w:val="clear"/>
          </w:tcPr>
          <w:p>
            <w:r>
              <w:rPr>
                <w:sz w:val="17"/>
              </w:rPr>
              <w:t>J+10  Moyenne</w:t>
            </w:r>
          </w:p>
        </w:tc>
        <w:tc>
          <w:tcPr>
            <w:tcW w:type="dxa" w:w="1440"/>
            <w:shd w:fill="FFDCE0" w:val="clear"/>
          </w:tcPr>
          <w:p>
            <w:r>
              <w:rPr>
                <w:sz w:val="17"/>
              </w:rPr>
              <w:t>2026-08-17</w:t>
            </w:r>
          </w:p>
        </w:tc>
        <w:tc>
          <w:tcPr>
            <w:tcW w:type="dxa" w:w="1440"/>
            <w:shd w:fill="FFDCE0" w:val="clear"/>
          </w:tcPr>
          <w:p>
            <w:r>
              <w:rPr>
                <w:sz w:val="17"/>
              </w:rPr>
              <w:t>34,698</w:t>
            </w:r>
          </w:p>
        </w:tc>
        <w:tc>
          <w:tcPr>
            <w:tcW w:type="dxa" w:w="1440"/>
            <w:shd w:fill="FFDCE0" w:val="clear"/>
          </w:tcPr>
          <w:p>
            <w:r>
              <w:rPr>
                <w:b/>
                <w:sz w:val="17"/>
              </w:rPr>
              <w:t>37,060</w:t>
            </w:r>
          </w:p>
        </w:tc>
        <w:tc>
          <w:tcPr>
            <w:tcW w:type="dxa" w:w="1440"/>
            <w:shd w:fill="FFDCE0" w:val="clear"/>
          </w:tcPr>
          <w:p>
            <w:r>
              <w:rPr>
                <w:sz w:val="17"/>
              </w:rPr>
              <w:t>39,422</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**Marché :** BRVM (Bourse Régionale des Valeurs Mobilières)</w:t>
        <w:br/>
        <w:t>**Date de l'analyse :** 17 avril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SGBC s'établit à 1 182,22 milliards FCFA, ce qui en fait l'une des toutes premières capitalisations de la BRVM, représentant un poids considérable dans l'indice composite. Avec un BPA de 3 258 FCFA, chaque action génère un bénéfice substantiel, justifiant un PER de 11,7x. Ce ratio, légèrement supérieur à la moyenne historique de la BRVM (8-12x), se situe dans la fourchette haute, indiquant que les investisseurs valorisent raisonnablement les bénéfices de la banque sans pour autant la surpayer. Le P/B de 2,39x confirme cette lecture, le marché accordant une prime de croissance à la valeur comptable des fonds propres. En revanche, l'EV/EBITDA de 24,5x est très exigeant, signalant que la valeur totale de l'entreprise (capitaux propres + dettes) est élevée par rapport à sa capacité opérationnelle brute, un point de vigilance pour les investisseurs à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SGBC affiche une progression totale de +5,57%, avec une dernière séance stable (0,00%). Le titre a évolué dans une fourchette de 32 800 FCFA (plus bas) à 39 200 FCFA (plus haut), démontrant une amplitude de trading de près de 20%. La moyenne du cours sur la période (36 384 FCFA) est très proche de la médiane (36 100 FCFA), et le skewness de -0,085 indique une distribution quasi symétrique, suggérant une absence de biais directionnel marqué. L'écart-type de 2 063 FCFA (CV=5,7%) révèle une dispersion modérée des prix. Le kurtosis négatif (-1,405) signale une distribution platykurtique, c'est-à-dire une faible concentration des prix autour de la moyenne, avec moins de pics extrêmes que la normale. La volatilité annualisée de 25,2% classe le titre dans une catégorie à risque modéré, ce qui est cohérent avec une valeur bancaire de premier plan.</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(38 000 FCFA) est inférieur à la MM20 (38 259,25 FCFA) et à la MM50 (38 234,0 FCFA), ce qui indique une pression vendeuse à court terme. Cependant, la proximité de ces moyennes suggère que le titre est à un point d'inflexion potentiel. La décision d'« Achat » est probablement générée par la configuration haussière des moyennes sur une plus longue période, mais la prudence est de mise à court terme.</w:t>
      </w:r>
    </w:p>
    <w:p>
      <w:pPr>
        <w:spacing w:after="120" w:line="276" w:lineRule="auto"/>
      </w:pPr>
      <w:r>
        <w:t>**Bandes de Bollinger :** Le prix se situe à 38 000 FCFA, entre la borne inférieure (37 421,576 FCFA) et la borne supérieure (39 096,924 FCFA). Cette position médiane indique une volatilité modérée et une absence de signal directionnel fort. La décision « Neutre » est justifiée, le titre n'étant ni en situation de surachat ni de survente.</w:t>
      </w:r>
    </w:p>
    <w:p>
      <w:pPr>
        <w:spacing w:after="120" w:line="276" w:lineRule="auto"/>
      </w:pPr>
      <w:r>
        <w:t>**MACD :** La valeur du MACD (-75,593) est inférieure à sa ligne de signal (-21,68), confirmant un momentum baissier. Cette configuration est un signal de vente classique, indiquant que la dynamique des prix ralentit ou s'inverse. La décision « Vente » est cohérente avec cette lecture.</w:t>
      </w:r>
    </w:p>
    <w:p>
      <w:pPr>
        <w:spacing w:after="120" w:line="276" w:lineRule="auto"/>
      </w:pPr>
      <w:r>
        <w:t>**RSI :** Avec une valeur de 13,223, le RSI est en territoire de survente extrême (bien en dessous du seuil de 30). Cela suggère que le titre est techniquement survendu et pourrait rebondir à court terme. La décision « Achat » est justifiée par ce potentiel de correction haussière.</w:t>
      </w:r>
    </w:p>
    <w:p>
      <w:pPr>
        <w:spacing w:after="120" w:line="276" w:lineRule="auto"/>
      </w:pPr>
      <w:r>
        <w:t>**Stochastique :** Le %K (20,0) est supérieur au %D (10,027), indiquant un croisement haussier potentiel en zone de survente. Cependant, la décision « Neutre » reflète l'absence de confirmation claire d'un retournement de tendance.</w:t>
      </w:r>
    </w:p>
    <w:p>
      <w:pPr>
        <w:spacing w:after="120" w:line="276" w:lineRule="auto"/>
      </w:pPr>
      <w:r>
        <w:t>**Conclusion technique :** Les signaux sont mitigés. Le MACD et la position sous les moyennes mobiles plaident pour une prudence, tandis que le RSI extrêmement survendu et le croisement stochastique suggèrent un rebond imminent. La configuration globale est celle d'une consolidation, avec un biais haussier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SGBC confirment une santé financière robuste. Le Produit Net Bancaire (PNB) s'établit à 276,048 milliards FCFA, avec un résultat net de 101,352 milliards FCFA. La banque affiche un ROE exceptionnel de 20,47% et un ROA de 2,69%, démontrant une excellente rentabilité des fonds propres et des actifs. Le coefficient d'exploitation de 38,75% est remarquablement bas, signe d'une gestion des coûts très efficace. Le ratio de solvabilité est solide, et la banque maintient un leadership avec 19-20% de parts de marché sur les crédits. Les rapports trimestriels de 2025 montrent une dynamique positive : le T1 2025 affiche un PNB de 66,3 milliards (+1,3%) et un résultat net de 27,1 milliards (+2,2%), tandis que le S1 2025 enregistre un PNB de 132 milliards (+1,0%) et un résultat net de 53,1 milliards (+10,0%). Sur la base du rapport du 3e trimestre 2025 (PNB de 201 milliards, +2,5% et résultat net de 83,3 milliards, +11,7%), on estime que l'exercice 2025 complet devrait confirmer une croissance rentable, portée par une maîtrise des coûts et une collecte de dépôts dynamique (+13,9% au T3). Le rapport annuel 2024 (PNB de 263,2 milliards, +3,9% et résultat net de 101,2 milliards, +4,1%) avait déjà franchi le cap symbolique des 100 milliards de bénéfices. Les perspectives restent positives, mais la hausse du taux de créances en souffrance (NPL à 7,8% au S1 2025) et la baisse du taux de couverture (91%) constituent des points de vigilance sur la qualité du portefeuille de crédits.</w:t>
      </w:r>
    </w:p>
    <w:p>
      <w:pPr>
        <w:spacing w:after="120" w:line="276" w:lineRule="auto"/>
      </w:pPr>
      <w:r>
        <w:t>---</w:t>
      </w:r>
    </w:p>
    <w:p>
      <w:pPr>
        <w:spacing w:after="120" w:line="276" w:lineRule="auto"/>
      </w:pPr>
      <w:r>
        <w:t>### PARTIE 4 : CONCLUSION D'INVESTISSEMENT</w:t>
      </w:r>
    </w:p>
    <w:p>
      <w:pPr>
        <w:spacing w:after="120" w:line="276" w:lineRule="auto"/>
      </w:pPr>
      <w:r>
        <w:t>La valorisation de SGBC (PER de 11,7x, P/B de 2,39x) est raisonnable, mais l'EV/EBITDA élevé (24,5x) tempère l'attrait. Le comportement du cours sur 100 jours est stable et positif (+5,57%), avec une volatilité modérée (25,2%) et une distribution symétrique, ce qui est rassurant. Les signaux techniques sont mitigés : le RSI en survente extrême suggère un rebond, mais le MACD et la position sous les MM20/MM50 indiquent une faiblesse à court terme. Les fondamentaux sont excellents, avec une rentabilité élevée (ROE &gt;20%), un coefficient d'exploitation très bas (&lt;39%) et une croissance soutenue du résultat net (+11,7% sur 9 mois en 2025). Les prédictions IA pour les 10 prochains jours (baisse progressive de 37 735 à 37 417 FCFA) contredisent le signal de rebond technique, suggérant une poursuite de la consolidation. En synthèse, la solidité financière et les perspectives de croissance justifient une recommandation **CONSERVER**, avec un niveau de confiance **Moyen** et un risque global **Faible**. L'horizon d'investissement optimal est le **moyen terme (3-12 mois)**, en attendant une clarification technique et une confirmation de la maîtrise du coût du risque.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138.60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5,332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B40000"/>
                <w:sz w:val="17"/>
              </w:rPr>
              <w:t>-12.35%</w:t>
            </w:r>
          </w:p>
          <w:p>
            <w:r>
              <w:rPr>
                <w:b/>
                <w:color w:val="503200"/>
                <w:sz w:val="16"/>
              </w:rPr>
              <w:t xml:space="preserve">Plus haut 100j : </w:t>
            </w:r>
            <w:r>
              <w:rPr>
                <w:color w:val="000000"/>
                <w:sz w:val="17"/>
              </w:rPr>
              <w:t>2,510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5.88% (Moyenne) — μ=2,102 FCFA, σ=124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β=0.8273 (Neutre (suit le marché)) — Cov=0.000030, Var(idx)=0.000036, ρ=0.240,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5,332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2026-08-03</w:t>
            </w:r>
          </w:p>
        </w:tc>
        <w:tc>
          <w:tcPr>
            <w:tcW w:type="dxa" w:w="1440"/>
            <w:shd w:fill="FFDCE0" w:val="clear"/>
          </w:tcPr>
          <w:p>
            <w:r>
              <w:rPr>
                <w:sz w:val="17"/>
              </w:rPr>
              <w:t>2,026</w:t>
            </w:r>
          </w:p>
        </w:tc>
        <w:tc>
          <w:tcPr>
            <w:tcW w:type="dxa" w:w="1440"/>
            <w:shd w:fill="FFDCE0" w:val="clear"/>
          </w:tcPr>
          <w:p>
            <w:r>
              <w:rPr>
                <w:b/>
                <w:sz w:val="17"/>
              </w:rPr>
              <w:t>2,089</w:t>
            </w:r>
          </w:p>
        </w:tc>
        <w:tc>
          <w:tcPr>
            <w:tcW w:type="dxa" w:w="1440"/>
            <w:shd w:fill="FFDCE0" w:val="clear"/>
          </w:tcPr>
          <w:p>
            <w:r>
              <w:rPr>
                <w:sz w:val="17"/>
              </w:rPr>
              <w:t>2,151</w:t>
            </w:r>
          </w:p>
        </w:tc>
        <w:tc>
          <w:tcPr>
            <w:tcW w:type="dxa" w:w="1440"/>
            <w:shd w:fill="FFDCE0" w:val="clear"/>
          </w:tcPr>
          <w:p>
            <w:r>
              <w:rPr>
                <w:b/>
                <w:color w:val="C00000"/>
                <w:sz w:val="17"/>
              </w:rPr>
              <w:t>-5.1%</w:t>
            </w:r>
          </w:p>
        </w:tc>
      </w:tr>
      <w:tr>
        <w:tc>
          <w:tcPr>
            <w:tcW w:type="dxa" w:w="1440"/>
            <w:shd w:fill="FFDCE0" w:val="clear"/>
          </w:tcPr>
          <w:p>
            <w:r>
              <w:rPr>
                <w:sz w:val="17"/>
              </w:rPr>
              <w:t>J+2  ⭐⭐⭐</w:t>
            </w:r>
          </w:p>
        </w:tc>
        <w:tc>
          <w:tcPr>
            <w:tcW w:type="dxa" w:w="1440"/>
            <w:shd w:fill="FFDCE0" w:val="clear"/>
          </w:tcPr>
          <w:p>
            <w:r>
              <w:rPr>
                <w:sz w:val="17"/>
              </w:rPr>
              <w:t>2026-08-04</w:t>
            </w:r>
          </w:p>
        </w:tc>
        <w:tc>
          <w:tcPr>
            <w:tcW w:type="dxa" w:w="1440"/>
            <w:shd w:fill="FFDCE0" w:val="clear"/>
          </w:tcPr>
          <w:p>
            <w:r>
              <w:rPr>
                <w:sz w:val="17"/>
              </w:rPr>
              <w:t>1,922</w:t>
            </w:r>
          </w:p>
        </w:tc>
        <w:tc>
          <w:tcPr>
            <w:tcW w:type="dxa" w:w="1440"/>
            <w:shd w:fill="FFDCE0" w:val="clear"/>
          </w:tcPr>
          <w:p>
            <w:r>
              <w:rPr>
                <w:b/>
                <w:sz w:val="17"/>
              </w:rPr>
              <w:t>2,007</w:t>
            </w:r>
          </w:p>
        </w:tc>
        <w:tc>
          <w:tcPr>
            <w:tcW w:type="dxa" w:w="1440"/>
            <w:shd w:fill="FFDCE0" w:val="clear"/>
          </w:tcPr>
          <w:p>
            <w:r>
              <w:rPr>
                <w:sz w:val="17"/>
              </w:rPr>
              <w:t>2,092</w:t>
            </w:r>
          </w:p>
        </w:tc>
        <w:tc>
          <w:tcPr>
            <w:tcW w:type="dxa" w:w="1440"/>
            <w:shd w:fill="FFDCE0" w:val="clear"/>
          </w:tcPr>
          <w:p>
            <w:r>
              <w:rPr>
                <w:b/>
                <w:color w:val="C00000"/>
                <w:sz w:val="17"/>
              </w:rPr>
              <w:t>-8.8%</w:t>
            </w:r>
          </w:p>
        </w:tc>
      </w:tr>
      <w:tr>
        <w:tc>
          <w:tcPr>
            <w:tcW w:type="dxa" w:w="1440"/>
            <w:shd w:fill="FFDCE0" w:val="clear"/>
          </w:tcPr>
          <w:p>
            <w:r>
              <w:rPr>
                <w:sz w:val="17"/>
              </w:rPr>
              <w:t>J+3  ⭐⭐⭐</w:t>
            </w:r>
          </w:p>
        </w:tc>
        <w:tc>
          <w:tcPr>
            <w:tcW w:type="dxa" w:w="1440"/>
            <w:shd w:fill="FFDCE0" w:val="clear"/>
          </w:tcPr>
          <w:p>
            <w:r>
              <w:rPr>
                <w:sz w:val="17"/>
              </w:rPr>
              <w:t>2026-08-05</w:t>
            </w:r>
          </w:p>
        </w:tc>
        <w:tc>
          <w:tcPr>
            <w:tcW w:type="dxa" w:w="1440"/>
            <w:shd w:fill="FFDCE0" w:val="clear"/>
          </w:tcPr>
          <w:p>
            <w:r>
              <w:rPr>
                <w:sz w:val="17"/>
              </w:rPr>
              <w:t>1,832</w:t>
            </w:r>
          </w:p>
        </w:tc>
        <w:tc>
          <w:tcPr>
            <w:tcW w:type="dxa" w:w="1440"/>
            <w:shd w:fill="FFDCE0" w:val="clear"/>
          </w:tcPr>
          <w:p>
            <w:r>
              <w:rPr>
                <w:b/>
                <w:sz w:val="17"/>
              </w:rPr>
              <w:t>1,932</w:t>
            </w:r>
          </w:p>
        </w:tc>
        <w:tc>
          <w:tcPr>
            <w:tcW w:type="dxa" w:w="1440"/>
            <w:shd w:fill="FFDCE0" w:val="clear"/>
          </w:tcPr>
          <w:p>
            <w:r>
              <w:rPr>
                <w:sz w:val="17"/>
              </w:rPr>
              <w:t>2,032</w:t>
            </w:r>
          </w:p>
        </w:tc>
        <w:tc>
          <w:tcPr>
            <w:tcW w:type="dxa" w:w="1440"/>
            <w:shd w:fill="FFDCE0" w:val="clear"/>
          </w:tcPr>
          <w:p>
            <w:r>
              <w:rPr>
                <w:b/>
                <w:color w:val="C00000"/>
                <w:sz w:val="17"/>
              </w:rPr>
              <w:t>-12.2%</w:t>
            </w:r>
          </w:p>
        </w:tc>
      </w:tr>
      <w:tr>
        <w:tc>
          <w:tcPr>
            <w:tcW w:type="dxa" w:w="1440"/>
            <w:shd w:fill="FFDCE0" w:val="clear"/>
          </w:tcPr>
          <w:p>
            <w:r>
              <w:rPr>
                <w:sz w:val="17"/>
              </w:rPr>
              <w:t>J+4  Moyenne</w:t>
            </w:r>
          </w:p>
        </w:tc>
        <w:tc>
          <w:tcPr>
            <w:tcW w:type="dxa" w:w="1440"/>
            <w:shd w:fill="FFDCE0" w:val="clear"/>
          </w:tcPr>
          <w:p>
            <w:r>
              <w:rPr>
                <w:sz w:val="17"/>
              </w:rPr>
              <w:t>2026-08-06</w:t>
            </w:r>
          </w:p>
        </w:tc>
        <w:tc>
          <w:tcPr>
            <w:tcW w:type="dxa" w:w="1440"/>
            <w:shd w:fill="FFDCE0" w:val="clear"/>
          </w:tcPr>
          <w:p>
            <w:r>
              <w:rPr>
                <w:sz w:val="17"/>
              </w:rPr>
              <w:t>1,756</w:t>
            </w:r>
          </w:p>
        </w:tc>
        <w:tc>
          <w:tcPr>
            <w:tcW w:type="dxa" w:w="1440"/>
            <w:shd w:fill="FFDCE0" w:val="clear"/>
          </w:tcPr>
          <w:p>
            <w:r>
              <w:rPr>
                <w:b/>
                <w:sz w:val="17"/>
              </w:rPr>
              <w:t>1,869</w:t>
            </w:r>
          </w:p>
        </w:tc>
        <w:tc>
          <w:tcPr>
            <w:tcW w:type="dxa" w:w="1440"/>
            <w:shd w:fill="FFDCE0" w:val="clear"/>
          </w:tcPr>
          <w:p>
            <w:r>
              <w:rPr>
                <w:sz w:val="17"/>
              </w:rPr>
              <w:t>1,981</w:t>
            </w:r>
          </w:p>
        </w:tc>
        <w:tc>
          <w:tcPr>
            <w:tcW w:type="dxa" w:w="1440"/>
            <w:shd w:fill="FFDCE0" w:val="clear"/>
          </w:tcPr>
          <w:p>
            <w:r>
              <w:rPr>
                <w:b/>
                <w:color w:val="C00000"/>
                <w:sz w:val="17"/>
              </w:rPr>
              <w:t>-15.1%</w:t>
            </w:r>
          </w:p>
        </w:tc>
      </w:tr>
      <w:tr>
        <w:tc>
          <w:tcPr>
            <w:tcW w:type="dxa" w:w="1440"/>
            <w:shd w:fill="FFDCE0" w:val="clear"/>
          </w:tcPr>
          <w:p>
            <w:r>
              <w:rPr>
                <w:sz w:val="17"/>
              </w:rPr>
              <w:t>J+5  Moyenne</w:t>
            </w:r>
          </w:p>
        </w:tc>
        <w:tc>
          <w:tcPr>
            <w:tcW w:type="dxa" w:w="1440"/>
            <w:shd w:fill="FFDCE0" w:val="clear"/>
          </w:tcPr>
          <w:p>
            <w:r>
              <w:rPr>
                <w:sz w:val="17"/>
              </w:rPr>
              <w:t>2026-08-10</w:t>
            </w:r>
          </w:p>
        </w:tc>
        <w:tc>
          <w:tcPr>
            <w:tcW w:type="dxa" w:w="1440"/>
            <w:shd w:fill="FFDCE0" w:val="clear"/>
          </w:tcPr>
          <w:p>
            <w:r>
              <w:rPr>
                <w:sz w:val="17"/>
              </w:rPr>
              <w:t>1,693</w:t>
            </w:r>
          </w:p>
        </w:tc>
        <w:tc>
          <w:tcPr>
            <w:tcW w:type="dxa" w:w="1440"/>
            <w:shd w:fill="FFDCE0" w:val="clear"/>
          </w:tcPr>
          <w:p>
            <w:r>
              <w:rPr>
                <w:b/>
                <w:sz w:val="17"/>
              </w:rPr>
              <w:t>1,815</w:t>
            </w:r>
          </w:p>
        </w:tc>
        <w:tc>
          <w:tcPr>
            <w:tcW w:type="dxa" w:w="1440"/>
            <w:shd w:fill="FFDCE0" w:val="clear"/>
          </w:tcPr>
          <w:p>
            <w:r>
              <w:rPr>
                <w:sz w:val="17"/>
              </w:rPr>
              <w:t>1,937</w:t>
            </w:r>
          </w:p>
        </w:tc>
        <w:tc>
          <w:tcPr>
            <w:tcW w:type="dxa" w:w="1440"/>
            <w:shd w:fill="FFDCE0" w:val="clear"/>
          </w:tcPr>
          <w:p>
            <w:r>
              <w:rPr>
                <w:b/>
                <w:color w:val="C00000"/>
                <w:sz w:val="17"/>
              </w:rPr>
              <w:t>-17.5%</w:t>
            </w:r>
          </w:p>
        </w:tc>
      </w:tr>
      <w:tr>
        <w:tc>
          <w:tcPr>
            <w:tcW w:type="dxa" w:w="1440"/>
            <w:shd w:fill="FFDCE0" w:val="clear"/>
          </w:tcPr>
          <w:p>
            <w:r>
              <w:rPr>
                <w:sz w:val="17"/>
              </w:rPr>
              <w:t>J+6  Moyenne</w:t>
            </w:r>
          </w:p>
        </w:tc>
        <w:tc>
          <w:tcPr>
            <w:tcW w:type="dxa" w:w="1440"/>
            <w:shd w:fill="FFDCE0" w:val="clear"/>
          </w:tcPr>
          <w:p>
            <w:r>
              <w:rPr>
                <w:sz w:val="17"/>
              </w:rPr>
              <w:t>2026-08-11</w:t>
            </w:r>
          </w:p>
        </w:tc>
        <w:tc>
          <w:tcPr>
            <w:tcW w:type="dxa" w:w="1440"/>
            <w:shd w:fill="FFDCE0" w:val="clear"/>
          </w:tcPr>
          <w:p>
            <w:r>
              <w:rPr>
                <w:sz w:val="17"/>
              </w:rPr>
              <w:t>1,639</w:t>
            </w:r>
          </w:p>
        </w:tc>
        <w:tc>
          <w:tcPr>
            <w:tcW w:type="dxa" w:w="1440"/>
            <w:shd w:fill="FFDCE0" w:val="clear"/>
          </w:tcPr>
          <w:p>
            <w:r>
              <w:rPr>
                <w:b/>
                <w:sz w:val="17"/>
              </w:rPr>
              <w:t>1,769</w:t>
            </w:r>
          </w:p>
        </w:tc>
        <w:tc>
          <w:tcPr>
            <w:tcW w:type="dxa" w:w="1440"/>
            <w:shd w:fill="FFDCE0" w:val="clear"/>
          </w:tcPr>
          <w:p>
            <w:r>
              <w:rPr>
                <w:sz w:val="17"/>
              </w:rPr>
              <w:t>1,899</w:t>
            </w:r>
          </w:p>
        </w:tc>
        <w:tc>
          <w:tcPr>
            <w:tcW w:type="dxa" w:w="1440"/>
            <w:shd w:fill="FFDCE0" w:val="clear"/>
          </w:tcPr>
          <w:p>
            <w:r>
              <w:rPr>
                <w:b/>
                <w:color w:val="C00000"/>
                <w:sz w:val="17"/>
              </w:rPr>
              <w:t>-19.6%</w:t>
            </w:r>
          </w:p>
        </w:tc>
      </w:tr>
      <w:tr>
        <w:tc>
          <w:tcPr>
            <w:tcW w:type="dxa" w:w="1440"/>
            <w:shd w:fill="FFDCE0" w:val="clear"/>
          </w:tcPr>
          <w:p>
            <w:r>
              <w:rPr>
                <w:sz w:val="17"/>
              </w:rPr>
              <w:t>J+7  Moyenne</w:t>
            </w:r>
          </w:p>
        </w:tc>
        <w:tc>
          <w:tcPr>
            <w:tcW w:type="dxa" w:w="1440"/>
            <w:shd w:fill="FFDCE0" w:val="clear"/>
          </w:tcPr>
          <w:p>
            <w:r>
              <w:rPr>
                <w:sz w:val="17"/>
              </w:rPr>
              <w:t>2026-08-12</w:t>
            </w:r>
          </w:p>
        </w:tc>
        <w:tc>
          <w:tcPr>
            <w:tcW w:type="dxa" w:w="1440"/>
            <w:shd w:fill="FFDCE0" w:val="clear"/>
          </w:tcPr>
          <w:p>
            <w:r>
              <w:rPr>
                <w:sz w:val="17"/>
              </w:rPr>
              <w:t>1,592</w:t>
            </w:r>
          </w:p>
        </w:tc>
        <w:tc>
          <w:tcPr>
            <w:tcW w:type="dxa" w:w="1440"/>
            <w:shd w:fill="FFDCE0" w:val="clear"/>
          </w:tcPr>
          <w:p>
            <w:r>
              <w:rPr>
                <w:b/>
                <w:sz w:val="17"/>
              </w:rPr>
              <w:t>1,729</w:t>
            </w:r>
          </w:p>
        </w:tc>
        <w:tc>
          <w:tcPr>
            <w:tcW w:type="dxa" w:w="1440"/>
            <w:shd w:fill="FFDCE0" w:val="clear"/>
          </w:tcPr>
          <w:p>
            <w:r>
              <w:rPr>
                <w:sz w:val="17"/>
              </w:rPr>
              <w:t>1,866</w:t>
            </w:r>
          </w:p>
        </w:tc>
        <w:tc>
          <w:tcPr>
            <w:tcW w:type="dxa" w:w="1440"/>
            <w:shd w:fill="FFDCE0" w:val="clear"/>
          </w:tcPr>
          <w:p>
            <w:r>
              <w:rPr>
                <w:b/>
                <w:color w:val="C00000"/>
                <w:sz w:val="17"/>
              </w:rPr>
              <w:t>-21.4%</w:t>
            </w:r>
          </w:p>
        </w:tc>
      </w:tr>
      <w:tr>
        <w:tc>
          <w:tcPr>
            <w:tcW w:type="dxa" w:w="1440"/>
            <w:shd w:fill="FFDCE0" w:val="clear"/>
          </w:tcPr>
          <w:p>
            <w:r>
              <w:rPr>
                <w:sz w:val="17"/>
              </w:rPr>
              <w:t>J+8  Moyenne</w:t>
            </w:r>
          </w:p>
        </w:tc>
        <w:tc>
          <w:tcPr>
            <w:tcW w:type="dxa" w:w="1440"/>
            <w:shd w:fill="FFDCE0" w:val="clear"/>
          </w:tcPr>
          <w:p>
            <w:r>
              <w:rPr>
                <w:sz w:val="17"/>
              </w:rPr>
              <w:t>2026-08-13</w:t>
            </w:r>
          </w:p>
        </w:tc>
        <w:tc>
          <w:tcPr>
            <w:tcW w:type="dxa" w:w="1440"/>
            <w:shd w:fill="FFDCE0" w:val="clear"/>
          </w:tcPr>
          <w:p>
            <w:r>
              <w:rPr>
                <w:sz w:val="17"/>
              </w:rPr>
              <w:t>1,550</w:t>
            </w:r>
          </w:p>
        </w:tc>
        <w:tc>
          <w:tcPr>
            <w:tcW w:type="dxa" w:w="1440"/>
            <w:shd w:fill="FFDCE0" w:val="clear"/>
          </w:tcPr>
          <w:p>
            <w:r>
              <w:rPr>
                <w:b/>
                <w:sz w:val="17"/>
              </w:rPr>
              <w:t>1,693</w:t>
            </w:r>
          </w:p>
        </w:tc>
        <w:tc>
          <w:tcPr>
            <w:tcW w:type="dxa" w:w="1440"/>
            <w:shd w:fill="FFDCE0" w:val="clear"/>
          </w:tcPr>
          <w:p>
            <w:r>
              <w:rPr>
                <w:sz w:val="17"/>
              </w:rPr>
              <w:t>1,837</w:t>
            </w:r>
          </w:p>
        </w:tc>
        <w:tc>
          <w:tcPr>
            <w:tcW w:type="dxa" w:w="1440"/>
            <w:shd w:fill="FFDCE0" w:val="clear"/>
          </w:tcPr>
          <w:p>
            <w:r>
              <w:rPr>
                <w:b/>
                <w:color w:val="C00000"/>
                <w:sz w:val="17"/>
              </w:rPr>
              <w:t>-23.0%</w:t>
            </w:r>
          </w:p>
        </w:tc>
      </w:tr>
      <w:tr>
        <w:tc>
          <w:tcPr>
            <w:tcW w:type="dxa" w:w="1440"/>
            <w:shd w:fill="FFDCE0" w:val="clear"/>
          </w:tcPr>
          <w:p>
            <w:r>
              <w:rPr>
                <w:sz w:val="17"/>
              </w:rPr>
              <w:t>J+9  Moyenne</w:t>
            </w:r>
          </w:p>
        </w:tc>
        <w:tc>
          <w:tcPr>
            <w:tcW w:type="dxa" w:w="1440"/>
            <w:shd w:fill="FFDCE0" w:val="clear"/>
          </w:tcPr>
          <w:p>
            <w:r>
              <w:rPr>
                <w:sz w:val="17"/>
              </w:rPr>
              <w:t>2026-08-14</w:t>
            </w:r>
          </w:p>
        </w:tc>
        <w:tc>
          <w:tcPr>
            <w:tcW w:type="dxa" w:w="1440"/>
            <w:shd w:fill="FFDCE0" w:val="clear"/>
          </w:tcPr>
          <w:p>
            <w:r>
              <w:rPr>
                <w:sz w:val="17"/>
              </w:rPr>
              <w:t>1,511</w:t>
            </w:r>
          </w:p>
        </w:tc>
        <w:tc>
          <w:tcPr>
            <w:tcW w:type="dxa" w:w="1440"/>
            <w:shd w:fill="FFDCE0" w:val="clear"/>
          </w:tcPr>
          <w:p>
            <w:r>
              <w:rPr>
                <w:b/>
                <w:sz w:val="17"/>
              </w:rPr>
              <w:t>1,661</w:t>
            </w:r>
          </w:p>
        </w:tc>
        <w:tc>
          <w:tcPr>
            <w:tcW w:type="dxa" w:w="1440"/>
            <w:shd w:fill="FFDCE0" w:val="clear"/>
          </w:tcPr>
          <w:p>
            <w:r>
              <w:rPr>
                <w:sz w:val="17"/>
              </w:rPr>
              <w:t>1,810</w:t>
            </w:r>
          </w:p>
        </w:tc>
        <w:tc>
          <w:tcPr>
            <w:tcW w:type="dxa" w:w="1440"/>
            <w:shd w:fill="FFDCE0" w:val="clear"/>
          </w:tcPr>
          <w:p>
            <w:r>
              <w:rPr>
                <w:b/>
                <w:color w:val="C00000"/>
                <w:sz w:val="17"/>
              </w:rPr>
              <w:t>-24.5%</w:t>
            </w:r>
          </w:p>
        </w:tc>
      </w:tr>
      <w:tr>
        <w:tc>
          <w:tcPr>
            <w:tcW w:type="dxa" w:w="1440"/>
            <w:shd w:fill="FFDCE0" w:val="clear"/>
          </w:tcPr>
          <w:p>
            <w:r>
              <w:rPr>
                <w:sz w:val="17"/>
              </w:rPr>
              <w:t>J+10  Moyenne</w:t>
            </w:r>
          </w:p>
        </w:tc>
        <w:tc>
          <w:tcPr>
            <w:tcW w:type="dxa" w:w="1440"/>
            <w:shd w:fill="FFDCE0" w:val="clear"/>
          </w:tcPr>
          <w:p>
            <w:r>
              <w:rPr>
                <w:sz w:val="17"/>
              </w:rPr>
              <w:t>2026-08-17</w:t>
            </w:r>
          </w:p>
        </w:tc>
        <w:tc>
          <w:tcPr>
            <w:tcW w:type="dxa" w:w="1440"/>
            <w:shd w:fill="FFDCE0" w:val="clear"/>
          </w:tcPr>
          <w:p>
            <w:r>
              <w:rPr>
                <w:sz w:val="17"/>
              </w:rPr>
              <w:t>1,476</w:t>
            </w:r>
          </w:p>
        </w:tc>
        <w:tc>
          <w:tcPr>
            <w:tcW w:type="dxa" w:w="1440"/>
            <w:shd w:fill="FFDCE0" w:val="clear"/>
          </w:tcPr>
          <w:p>
            <w:r>
              <w:rPr>
                <w:b/>
                <w:sz w:val="17"/>
              </w:rPr>
              <w:t>1,631</w:t>
            </w:r>
          </w:p>
        </w:tc>
        <w:tc>
          <w:tcPr>
            <w:tcW w:type="dxa" w:w="1440"/>
            <w:shd w:fill="FFDCE0" w:val="clear"/>
          </w:tcPr>
          <w:p>
            <w:r>
              <w:rPr>
                <w:sz w:val="17"/>
              </w:rPr>
              <w:t>1,785</w:t>
            </w:r>
          </w:p>
        </w:tc>
        <w:tc>
          <w:tcPr>
            <w:tcW w:type="dxa" w:w="1440"/>
            <w:shd w:fill="FFDCE0" w:val="clear"/>
          </w:tcPr>
          <w:p>
            <w:r>
              <w:rPr>
                <w:b/>
                <w:color w:val="C00000"/>
                <w:sz w:val="17"/>
              </w:rPr>
              <w:t>-25.9%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**Date de l'analyse : 03 Août 2026**</w:t>
        <w:br/>
        <w:t>**Cours de référence : 2 200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SHEC s'établit à 138,60 milliards FCFA, un niveau significatif qui la place parmi les valeurs moyennes de la cote BRVM. Avec un BPA de 96 FCFA, le titre se paie 23,0 fois ses bénéfices (PER), un niveau nettement supérieur à la moyenne historique de la BRVM (8-12x). Cette prime reflète une anticipation de croissance future ou une certaine rareté du titre, mais elle rend l'action exigeante en termes de potentiel de hausse. Le P/B de 5,10x confirme cette cherté, le marché valorisant fortement les capitaux propres (27,159 Mds FCFA) par rapport à leur valeur comptable. Enfin, un EV/EBITDA de 12,6x indique que la valeur totale de l'entreprise (dette incluse) représente plus de 12 fois son EBITDA, ce qui est élevé et suggère que le marché intègre déjà une amélioration opérationnelle significative.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SHEC a enregistré une baisse substantielle de -12,35%, avec un cours actuel de 2 200 FCFA, en stagnation par rapport à la séance précédente. Le titre a évolué dans une fourchette de 1 840 FCFA (plus bas) à 2 510 FCFA (plus haut), montrant une amplitude de trading de 670 FCFA. La moyenne du cours sur la période est de 2 102 FCFA, légèrement inférieure à la médiane de 2 155 FCFA, ce qui indique une distribution quasi symétrique, confirmée par un skewness de -0,133. Le mode de 2 200 FCFA, égal au prix actuel, suggère que ce niveau est un point d'équilibre psychologique. L'écart-type de 124 FCFA (CV=5,9%) montre une dispersion modérée autour de la moyenne. Le kurtosis de -0,218 (mésokurtique) indique une absence de risques extrêmes (pas de "fat tails"). Enfin, la volatilité annualisée de 35,0% classe le titre comme très volatil, ce qui est un signal d'alerte pour les investisseurs prudents.</w:t>
      </w:r>
    </w:p>
    <w:p>
      <w:pPr>
        <w:spacing w:after="120" w:line="276" w:lineRule="auto"/>
      </w:pPr>
      <w:r>
        <w:t>---</w:t>
      </w:r>
    </w:p>
    <w:p>
      <w:pPr>
        <w:spacing w:after="120" w:line="276" w:lineRule="auto"/>
      </w:pPr>
      <w:r>
        <w:t>### PARTIE 2 : ANALYSE TECHNIQUE DÉTAILLÉE</w:t>
      </w:r>
    </w:p>
    <w:p>
      <w:pPr>
        <w:spacing w:after="120" w:line="276" w:lineRule="auto"/>
      </w:pPr>
      <w:r>
        <w:t>**Moyennes Mobiles :** La MM20 (2 190 FCFA) est supérieure à la MM50 (2 120,2 FCFA), et le cours (2 200 FCFA) se situe au-dessus de ces deux moyennes. Cette configuration haussière à court terme justifie la décision d'**Achat**, indiquant une dynamique positive récente malgré la tendance baissière de fond.</w:t>
      </w:r>
    </w:p>
    <w:p>
      <w:pPr>
        <w:spacing w:after="120" w:line="276" w:lineRule="auto"/>
      </w:pPr>
      <w:r>
        <w:t>**Bandes de Bollinger :** Le prix (2 200 FCFA) se situe entre la borne supérieure (2 259,66) et la borne inférieure (2 120,34), proche de la moyenne. La largeur des bandes reflète la volatilité élevée. La position neutre du prix dans les bandes suggère une phase de consolidation, d'où la décision **Neutre**.</w:t>
      </w:r>
    </w:p>
    <w:p>
      <w:pPr>
        <w:spacing w:after="120" w:line="276" w:lineRule="auto"/>
      </w:pPr>
      <w:r>
        <w:t>**MACD :** La valeur du MACD (14,133) est inférieure à son signal (18,602), indiquant un momentum baissier à court terme. Cette configuration, bien que les deux lignes soient positives, signale un ralentissement de la dynamique haussière, justifiant la décision de **Vente**.</w:t>
      </w:r>
    </w:p>
    <w:p>
      <w:pPr>
        <w:spacing w:after="120" w:line="276" w:lineRule="auto"/>
      </w:pPr>
      <w:r>
        <w:t>**RSI :** Le RSI est à 50,0, une valeur parfaitement neutre. Le titre n'est ni suracheté ( &gt;70) ni survendu (&lt;30), ce qui indique un équilibre entre les forces acheteuses et vendeuses. La décision est donc **Neutre**, sans signal directionnel clair.</w:t>
      </w:r>
    </w:p>
    <w:p>
      <w:pPr>
        <w:spacing w:after="120" w:line="276" w:lineRule="auto"/>
      </w:pPr>
      <w:r>
        <w:t>**Stochastique :** Le %K (90,476) et le %D (88,889) sont tous deux très élevés, en zone de surachat. Cette configuration, avec un %K au-dessus de %D, suggère une possible correction à venir. La décision de **Vente** est justifiée par la probabilité d'un retournement baissier.</w:t>
      </w:r>
    </w:p>
    <w:p>
      <w:pPr>
        <w:spacing w:after="120" w:line="276" w:lineRule="auto"/>
      </w:pPr>
      <w:r>
        <w:t>**Conclusion technique :** Les indicateurs sont mitigés. Les moyennes mobiles sont haussières, mais le MACD et le Stochastique signalent une faiblesse à court terme et des conditions de surachat. Le RSI est neutre. La prudence est de mise, avec un biais légèrement vendeur à court terme, mais un support potentiel autour de la MM50 (2 120 FCFA).</w:t>
      </w:r>
    </w:p>
    <w:p>
      <w:pPr>
        <w:spacing w:after="120" w:line="276" w:lineRule="auto"/>
      </w:pPr>
      <w:r>
        <w:t>---</w:t>
      </w:r>
    </w:p>
    <w:p>
      <w:pPr>
        <w:spacing w:after="120" w:line="276" w:lineRule="auto"/>
      </w:pPr>
      <w:r>
        <w:t>### PARTIE 3 : ANALYSE FONDAMENTALE (SECTION CRITIQUE)</w:t>
      </w:r>
    </w:p>
    <w:p>
      <w:pPr>
        <w:spacing w:after="120" w:line="276" w:lineRule="auto"/>
      </w:pPr>
      <w:r>
        <w:t>En 2025, SHEC (VIVO ENERGY CI) a réalisé un chiffre d'affaires de 604,978 milliards FCFA (+0,71% vs 2024) et un résultat net de 6,028 milliards FCFA (+13%). La rentabilité des fonds propres (ROE) est excellente à 22,2%, tandis que le ROA est de 3,1%, reflétant une forte intensité capitalistique. La marge nette reste très faible (1,0%), typique du secteur de distribution pétrolière. Le BFR est positif (15,315 Mds FCFA), signifiant un besoin de financement, avec un délai client de 23 jours et un délai fournisseur de 35 jours. La structure financière est fragile : l'autonomie financière est faible (14,03%) et la dépendance financière est très élevée (85,97%). La trésorerie nette est fortement négative (-65,264 Mds FCFA), et le fonds de roulement est également négatif (-49,85 Mds FCFA), indiquant un déséquilibre structurel. Cependant, la capacité de remboursement est bonne (0,97 an) et la couverture des intérêts est solide (292,8%). Selon les rapports du T1 2026 (datés de mai/juin 2026), le CA a chuté de -9% mais le résultat net est resté stable (+1%), grâce à la maîtrise des charges. On estime que l'exercice 2026 pourrait voir une stabilisation du résultat net, mais la dégradation de la trésorerie et la baisse des volumes (aviation, bitume) sont des signaux d'alerte. La recommandation fondamentale est de **CONSERVER**, la société étant bénéficiaire et distribuant un dividende attractif, mais avec une structure financière fragile.</w:t>
      </w:r>
    </w:p>
    <w:p>
      <w:pPr>
        <w:spacing w:after="120" w:line="276" w:lineRule="auto"/>
      </w:pPr>
      <w:r>
        <w:t>---</w:t>
      </w:r>
    </w:p>
    <w:p>
      <w:pPr>
        <w:spacing w:after="120" w:line="276" w:lineRule="auto"/>
      </w:pPr>
      <w:r>
        <w:t>### PARTIE 4 : CONCLUSION D'INVESTISSEMENT</w:t>
      </w:r>
    </w:p>
    <w:p>
      <w:pPr>
        <w:spacing w:after="120" w:line="276" w:lineRule="auto"/>
      </w:pPr>
      <w:r>
        <w:t>La valorisation de SHEC est exigeante (PER 23x, P/B 5,1x), indiquant une surévaluation relative par rapport aux fondamentaux actuels. Le comportement du cours est baissier sur 100 jours (-12,35%) avec une volatilité très élevée (35%), ce qui est préoccupant. Les signaux techniques sont mitigés : les moyennes mobiles sont haussières, mais le MACD et le Stochastique suggèrent une correction à court terme. Les fondamentaux montrent une rentabilité nette faible (1%) et une structure financière fragile, bien que le ROE soit excellent (22,2%). Les prédictions IA pour les 10 prochains jours (de 2 089 FCFA à 1 815 FCFA) confirment une tendance baissière, contredisant les signaux des moyennes mobiles. La convergence des signaux (valorisation chère, tendance baissière, prédictions IA négatives, fondamentaux fragiles) conduit à une recommandation **VENTE**. Le niveau de confiance est **Moyen** (car les fondamentaux sont positifs sur le long terme), et le niveau de risque est **Élevé**. L'horizon d'investissement optimal est le **court terme (&lt;3 mois)** pour les investisseurs cherchant à réduire leur exposition, tandis que les investisseurs de long terme pourraient attendre un point d'entrée plus bas (autour de 1 800-1 900 FCFA) pour reconstituer une position.</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 la rentabilit\u00e9, la croissance solide du chiffre d'affaires et des volumes t\u00e9moigne d'une bonne dynamique commerciale. La position de leader sur le march\u00e9 p\u00e9trolier ivoirien justifie le maintien en portefeuille."}</w:t>
      </w:r>
    </w:p>
    <w:p>
      <w:pPr>
        <w:spacing w:before="40"/>
        <w:ind w:left="400"/>
      </w:pPr>
      <w:r>
        <w:rPr>
          <w:sz w:val="18"/>
        </w:rPr>
        <w:t>Vivo Energy Côte d'Ivoire présente des résultats mitigés au T3 2021 avec une croissance du chiffre d'affaires de 16% à 270 milliards FCFA. Malgré cette hausse des revenus, la rentabilité se dégrade avec un résultat d'exploitation en baisse de 13% et un résultat net qui chute de 21% à 1,3 milliard FCFA. La société bénéficie d'une amélioration du volume des ventes (+9%) mais souffre de l'augmentation des coûts de transport et frais de passage. L'impact du COVID-19 sur les activités économiques continue de peser sur les performances. La société maintient néanmoins une position solide sur le marché pétrolier ivoirien en tant que licencié Shell.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'500 millions m³/TM', 'resultat_financier': '-158 millions FCFA', 'resultat_exploitation': '2,438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1,287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270,061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16% à 270,061 millions FCFA</w:t>
      </w:r>
    </w:p>
    <w:p>
      <w:pPr>
        <w:pStyle w:val="ListBullet"/>
        <w:spacing w:before="20" w:after="20"/>
        <w:ind w:left="700"/>
      </w:pPr>
      <w:r>
        <w:rPr>
          <w:sz w:val="18"/>
        </w:rPr>
        <w:t>Volume des ventes en progression de 9% atteignant 500 millions de m³/TM</w:t>
      </w:r>
    </w:p>
    <w:p>
      <w:pPr>
        <w:pStyle w:val="ListBullet"/>
        <w:spacing w:before="20" w:after="20"/>
        <w:ind w:left="700"/>
      </w:pPr>
      <w:r>
        <w:rPr>
          <w:sz w:val="18"/>
        </w:rPr>
        <w:t>Résultat d'exploitation en baisse de 13% à 2,438 millions FCFA</w:t>
      </w:r>
    </w:p>
    <w:p>
      <w:pPr>
        <w:pStyle w:val="ListBullet"/>
        <w:spacing w:before="20" w:after="20"/>
        <w:ind w:left="700"/>
      </w:pPr>
      <w:r>
        <w:rPr>
          <w:sz w:val="18"/>
        </w:rPr>
        <w:t>Résultat net en déclin de 21% à 1,287 million FCFA</w:t>
      </w:r>
    </w:p>
    <w:p>
      <w:pPr>
        <w:pStyle w:val="ListBullet"/>
        <w:spacing w:before="20" w:after="20"/>
        <w:ind w:left="700"/>
      </w:pPr>
      <w:r>
        <w:rPr>
          <w:sz w:val="18"/>
        </w:rPr>
        <w:t>Résultat financier amélioré passant de -373 à -158 millions FCFA</w:t>
      </w:r>
    </w:p>
    <w:p>
      <w:pPr>
        <w:pStyle w:val="ListBullet"/>
        <w:spacing w:before="20" w:after="20"/>
        <w:ind w:left="700"/>
      </w:pPr>
      <w:r>
        <w:rPr>
          <w:sz w:val="18"/>
        </w:rPr>
        <w:t>Augmentation des coûts de transport et frais de passage impactant la marge</w:t>
      </w:r>
    </w:p>
    <w:p>
      <w:pPr>
        <w:spacing w:before="40"/>
        <w:ind w:left="400"/>
      </w:pPr>
      <w:r>
        <w:rPr>
          <w:b/>
          <w:color w:val="C05000"/>
          <w:sz w:val="18"/>
        </w:rPr>
        <w:t xml:space="preserve">⚠️ Risques : </w:t>
      </w:r>
      <w:r>
        <w:rPr>
          <w:sz w:val="18"/>
        </w:rPr>
        <w:t>["\u00c9rosion continue des marges due \u00e0 l'augmentation des co\u00fbts op\u00e9rationnels", "Impact persistant du COVID-19 sur les activit\u00e9s \u00e9conomiques", "Volatilit\u00e9 des prix du p\u00e9trole et des co\u00fbts de transport"]</w:t>
      </w:r>
    </w:p>
    <w:p>
      <w:pPr>
        <w:spacing w:before="40"/>
        <w:ind w:left="400"/>
      </w:pPr>
      <w:r>
        <w:rPr>
          <w:b/>
          <w:color w:val="0064A0"/>
          <w:sz w:val="18"/>
        </w:rPr>
        <w:t xml:space="preserve">🔮 Perspectives : </w:t>
      </w:r>
      <w:r>
        <w:rPr>
          <w:sz w:val="18"/>
        </w:rPr>
        <w:t>La société devrait bénéficier de la reprise économique post-COVID et de la normalisation des activités. L'optimisation des coûts opérationnels sera cruciale pour restaurer la rentabilité tout en maintenant la croissance des volumes.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tant en volumes qu'en rentabilit\u00e9, avec une structure financi\u00e8re renforc\u00e9e et une capacit\u00e9 distributrice attractive. Les perspectives restent favorables dans un contexte de consolidation du march\u00e9 ivoirien des carburants."}</w:t>
      </w:r>
    </w:p>
    <w:p>
      <w:pPr>
        <w:spacing w:before="40"/>
        <w:ind w:left="400"/>
      </w:pPr>
      <w:r>
        <w:rPr>
          <w:sz w:val="18"/>
        </w:rPr>
        <w:t>VIVO ENERGY CÔTE D'IVOIRE présente des résultats financiers exceptionnels pour 2022 avec un chiffre d'affaires de 488,9 milliards FCFA (+33%) et un résultat net de 3,75 milliards FCFA (+59%). La société bénéficie d'une forte croissance des volumes (+12%) et d'un effet prix favorable lié à la hausse des prix des carburants et lubrifiants. La situation financière est solide avec un désendettement complet de l'emprunt bancaire et une amélioration significative de la trésorerie. Les performances du premier trimestre 2023 confirment cette dynamique positive avec une croissance continue du chiffre d'affaires (+33%) et de la rentabilité. La société propose une distribution de dividendes de 3,71 mil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 'tresorerie_nette': '2,75 milliards FCFA', 'variation_tresorerie': '+15,55 milliards FCFA', 'resultat_exploitation': '5,86 milliards FCFA', 'croissance_resultat_net': '59%'}</w:t>
            </w:r>
          </w:p>
        </w:tc>
        <w:tc>
          <w:tcPr>
            <w:tcW w:type="dxa" w:w="2160"/>
          </w:tcPr>
          <w:p>
            <w:pPr>
              <w:ind w:left="100"/>
            </w:pPr>
            <w:r/>
            <w:r>
              <w:rPr>
                <w:b/>
                <w:sz w:val="16"/>
              </w:rPr>
              <w:t>dividende</w:t>
              <w:br/>
            </w:r>
            <w:r>
              <w:rPr>
                <w:sz w:val="18"/>
              </w:rPr>
              <w:t>3,71 milliards FCFA au total</w:t>
            </w:r>
          </w:p>
        </w:tc>
        <w:tc>
          <w:tcPr>
            <w:tcW w:type="dxa" w:w="2160"/>
          </w:tcPr>
          <w:p>
            <w:pPr>
              <w:ind w:left="100"/>
            </w:pPr>
            <w:r/>
            <w:r>
              <w:rPr>
                <w:b/>
                <w:sz w:val="16"/>
              </w:rPr>
              <w:t>marge_nette</w:t>
              <w:br/>
            </w:r>
            <w:r>
              <w:rPr>
                <w:sz w:val="18"/>
              </w:rPr>
              <w:t>0,77%</w:t>
            </w:r>
          </w:p>
        </w:tc>
        <w:tc>
          <w:tcPr>
            <w:tcW w:type="dxa" w:w="2160"/>
          </w:tcPr>
          <w:p>
            <w:pPr>
              <w:ind w:left="100"/>
            </w:pPr>
            <w:r/>
            <w:r>
              <w:rPr>
                <w:b/>
                <w:sz w:val="16"/>
              </w:rPr>
              <w:t>total_actif</w:t>
              <w:br/>
            </w:r>
            <w:r>
              <w:rPr>
                <w:sz w:val="18"/>
              </w:rPr>
              <w:t>119,19 milliards FCFA</w:t>
            </w:r>
          </w:p>
        </w:tc>
      </w:tr>
      <w:tr>
        <w:tc>
          <w:tcPr>
            <w:tcW w:type="dxa" w:w="2160"/>
          </w:tcPr>
          <w:p>
            <w:r/>
            <w:r>
              <w:rPr>
                <w:b/>
                <w:sz w:val="16"/>
              </w:rPr>
              <w:t>resultat_net</w:t>
              <w:br/>
            </w:r>
            <w:r>
              <w:rPr>
                <w:sz w:val="18"/>
              </w:rPr>
              <w:t>3,75 milliards FCFA</w:t>
            </w:r>
          </w:p>
        </w:tc>
        <w:tc>
          <w:tcPr>
            <w:tcW w:type="dxa" w:w="2160"/>
          </w:tcPr>
          <w:p>
            <w:r/>
            <w:r>
              <w:rPr>
                <w:b/>
                <w:sz w:val="16"/>
              </w:rPr>
              <w:t>capitaux_propres</w:t>
              <w:br/>
            </w:r>
            <w:r>
              <w:rPr>
                <w:sz w:val="18"/>
              </w:rPr>
              <w:t>23,11 milliards FCFA</w:t>
            </w:r>
          </w:p>
        </w:tc>
        <w:tc>
          <w:tcPr>
            <w:tcW w:type="dxa" w:w="2160"/>
          </w:tcPr>
          <w:p>
            <w:r/>
            <w:r>
              <w:rPr>
                <w:b/>
                <w:sz w:val="16"/>
              </w:rPr>
              <w:t>chiffre_affaires</w:t>
              <w:br/>
            </w:r>
            <w:r>
              <w:rPr>
                <w:sz w:val="18"/>
              </w:rPr>
              <w:t>488,9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2022 en forte hausse de 33% à 488,9 milliards FCFA grâce aux effets volumes (+38 milliards) et prix (+84 milliards)</w:t>
      </w:r>
    </w:p>
    <w:p>
      <w:pPr>
        <w:pStyle w:val="ListBullet"/>
        <w:spacing w:before="20" w:after="20"/>
        <w:ind w:left="700"/>
      </w:pPr>
      <w:r>
        <w:rPr>
          <w:sz w:val="18"/>
        </w:rPr>
        <w:t>Résultat net 2022 en progression de 59% à 3,75 milliards FCFA, démontrant une amélioration de la rentabilité</w:t>
      </w:r>
    </w:p>
    <w:p>
      <w:pPr>
        <w:pStyle w:val="ListBullet"/>
        <w:spacing w:before="20" w:after="20"/>
        <w:ind w:left="700"/>
      </w:pPr>
      <w:r>
        <w:rPr>
          <w:sz w:val="18"/>
        </w:rPr>
        <w:t>Remboursement intégral de l'emprunt bancaire contracté en 2018, renforçant la structure financière</w:t>
      </w:r>
    </w:p>
    <w:p>
      <w:pPr>
        <w:pStyle w:val="ListBullet"/>
        <w:spacing w:before="20" w:after="20"/>
        <w:ind w:left="700"/>
      </w:pPr>
      <w:r>
        <w:rPr>
          <w:sz w:val="18"/>
        </w:rPr>
        <w:t>Amélioration spectaculaire de la trésorerie nette de +15,55 milliards FCFA grâce à l'autofinancement et à la gestion du BFR</w:t>
      </w:r>
    </w:p>
    <w:p>
      <w:pPr>
        <w:pStyle w:val="ListBullet"/>
        <w:spacing w:before="20" w:after="20"/>
        <w:ind w:left="700"/>
      </w:pPr>
      <w:r>
        <w:rPr>
          <w:sz w:val="18"/>
        </w:rPr>
        <w:t>Croissance des volumes de vente de 12% au T1 2023, confirmant la dynamique commerciale positive</w:t>
      </w:r>
    </w:p>
    <w:p>
      <w:pPr>
        <w:pStyle w:val="ListBullet"/>
        <w:spacing w:before="20" w:after="20"/>
        <w:ind w:left="700"/>
      </w:pPr>
      <w:r>
        <w:rPr>
          <w:sz w:val="18"/>
        </w:rPr>
        <w:t>Hausse significative des prix à la pompe sur 2022 (super de 615 à 775 FCFA/L, gasoil de 616 à 655 FCFA/L)</w:t>
      </w:r>
    </w:p>
    <w:p>
      <w:pPr>
        <w:spacing w:before="40"/>
        <w:ind w:left="400"/>
      </w:pPr>
      <w:r>
        <w:rPr>
          <w:b/>
          <w:color w:val="C05000"/>
          <w:sz w:val="18"/>
        </w:rPr>
        <w:t xml:space="preserve">⚠️ Risques : </w:t>
      </w:r>
      <w:r>
        <w:rPr>
          <w:sz w:val="18"/>
        </w:rPr>
        <w:t>["Exposition aux fluctuations des prix du p\u00e9trole et aux variations de change du dollar am\u00e9ricain", "D\u00e9pendance aux prix r\u00e9glement\u00e9s des carburants fix\u00e9s par les autorit\u00e9s ivoiriennes", "Concurrence accrue sur le march\u00e9 ivoirien des carburants et lubrifiants"]</w:t>
      </w:r>
    </w:p>
    <w:p>
      <w:pPr>
        <w:spacing w:before="40"/>
        <w:ind w:left="400"/>
      </w:pPr>
      <w:r>
        <w:rPr>
          <w:b/>
          <w:color w:val="0064A0"/>
          <w:sz w:val="18"/>
        </w:rPr>
        <w:t xml:space="preserve">🔮 Perspectives : </w:t>
      </w:r>
      <w:r>
        <w:rPr>
          <w:sz w:val="18"/>
        </w:rPr>
        <w:t>Les résultats du premier trimestre 2023 (+33% de CA, +54% de résultat d'exploitation) confirment la poursuite de la dynamique positive. La société devrait continuer à bénéficier de sa stratégie de conquête de nouveaux clients et du maintien de prix favorables, tout en consolidant sa position de lead</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9,275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+32.35%</w:t>
            </w:r>
          </w:p>
          <w:p>
            <w:r>
              <w:rPr>
                <w:b/>
                <w:color w:val="503200"/>
                <w:sz w:val="16"/>
              </w:rPr>
              <w:t xml:space="preserve">Plus haut 100j : </w:t>
            </w:r>
            <w:r>
              <w:rPr>
                <w:color w:val="000000"/>
                <w:sz w:val="17"/>
              </w:rPr>
              <w:t>9,100 FCFA</w:t>
            </w:r>
          </w:p>
          <w:p>
            <w:r>
              <w:rPr>
                <w:b/>
                <w:color w:val="503200"/>
                <w:sz w:val="16"/>
              </w:rPr>
              <w:t xml:space="preserve">Plus bas 100j : </w:t>
            </w:r>
            <w:r>
              <w:rPr>
                <w:color w:val="000000"/>
                <w:sz w:val="17"/>
              </w:rPr>
              <w:t>6,800 FCFA</w:t>
            </w:r>
          </w:p>
          <w:p>
            <w:r>
              <w:rPr>
                <w:b/>
                <w:color w:val="503200"/>
                <w:sz w:val="16"/>
              </w:rPr>
              <w:t xml:space="preserve">Volatilité ann. : </w:t>
            </w:r>
            <w:r>
              <w:rPr>
                <w:color w:val="000000"/>
                <w:sz w:val="17"/>
              </w:rPr>
              <w:t>26.8%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11.19% (Moyenne) — μ=7,908 FCFA, σ=885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β=0.6443 (Défensif) — Cov=0.000023, Var(idx)=0.000036, ρ=0.229,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9,275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σ_j=1.69%/j (Stable) — Vol. annualisée≈26.8%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2026-08-03</w:t>
            </w:r>
          </w:p>
        </w:tc>
        <w:tc>
          <w:tcPr>
            <w:tcW w:type="dxa" w:w="1440"/>
            <w:shd w:fill="FFDCE0" w:val="clear"/>
          </w:tcPr>
          <w:p>
            <w:r>
              <w:rPr>
                <w:sz w:val="17"/>
              </w:rPr>
              <w:t>8,503</w:t>
            </w:r>
          </w:p>
        </w:tc>
        <w:tc>
          <w:tcPr>
            <w:tcW w:type="dxa" w:w="1440"/>
            <w:shd w:fill="FFDCE0" w:val="clear"/>
          </w:tcPr>
          <w:p>
            <w:r>
              <w:rPr>
                <w:b/>
                <w:sz w:val="17"/>
              </w:rPr>
              <w:t>8,695</w:t>
            </w:r>
          </w:p>
        </w:tc>
        <w:tc>
          <w:tcPr>
            <w:tcW w:type="dxa" w:w="1440"/>
            <w:shd w:fill="FFDCE0" w:val="clear"/>
          </w:tcPr>
          <w:p>
            <w:r>
              <w:rPr>
                <w:sz w:val="17"/>
              </w:rPr>
              <w:t>8,886</w:t>
            </w:r>
          </w:p>
        </w:tc>
        <w:tc>
          <w:tcPr>
            <w:tcW w:type="dxa" w:w="1440"/>
            <w:shd w:fill="FFDCE0" w:val="clear"/>
          </w:tcPr>
          <w:p>
            <w:r>
              <w:rPr>
                <w:b/>
                <w:color w:val="C00000"/>
                <w:sz w:val="17"/>
              </w:rPr>
              <w:t>-3.4%</w:t>
            </w:r>
          </w:p>
        </w:tc>
      </w:tr>
      <w:tr>
        <w:tc>
          <w:tcPr>
            <w:tcW w:type="dxa" w:w="1440"/>
            <w:shd w:fill="FFDCE0" w:val="clear"/>
          </w:tcPr>
          <w:p>
            <w:r>
              <w:rPr>
                <w:sz w:val="17"/>
              </w:rPr>
              <w:t>J+2  ⭐⭐⭐</w:t>
            </w:r>
          </w:p>
        </w:tc>
        <w:tc>
          <w:tcPr>
            <w:tcW w:type="dxa" w:w="1440"/>
            <w:shd w:fill="FFDCE0" w:val="clear"/>
          </w:tcPr>
          <w:p>
            <w:r>
              <w:rPr>
                <w:sz w:val="17"/>
              </w:rPr>
              <w:t>2026-08-04</w:t>
            </w:r>
          </w:p>
        </w:tc>
        <w:tc>
          <w:tcPr>
            <w:tcW w:type="dxa" w:w="1440"/>
            <w:shd w:fill="FFDCE0" w:val="clear"/>
          </w:tcPr>
          <w:p>
            <w:r>
              <w:rPr>
                <w:sz w:val="17"/>
              </w:rPr>
              <w:t>8,169</w:t>
            </w:r>
          </w:p>
        </w:tc>
        <w:tc>
          <w:tcPr>
            <w:tcW w:type="dxa" w:w="1440"/>
            <w:shd w:fill="FFDCE0" w:val="clear"/>
          </w:tcPr>
          <w:p>
            <w:r>
              <w:rPr>
                <w:b/>
                <w:sz w:val="17"/>
              </w:rPr>
              <w:t>8,432</w:t>
            </w:r>
          </w:p>
        </w:tc>
        <w:tc>
          <w:tcPr>
            <w:tcW w:type="dxa" w:w="1440"/>
            <w:shd w:fill="FFDCE0" w:val="clear"/>
          </w:tcPr>
          <w:p>
            <w:r>
              <w:rPr>
                <w:sz w:val="17"/>
              </w:rPr>
              <w:t>8,694</w:t>
            </w:r>
          </w:p>
        </w:tc>
        <w:tc>
          <w:tcPr>
            <w:tcW w:type="dxa" w:w="1440"/>
            <w:shd w:fill="FFDCE0" w:val="clear"/>
          </w:tcPr>
          <w:p>
            <w:r>
              <w:rPr>
                <w:b/>
                <w:color w:val="C00000"/>
                <w:sz w:val="17"/>
              </w:rPr>
              <w:t>-6.3%</w:t>
            </w:r>
          </w:p>
        </w:tc>
      </w:tr>
      <w:tr>
        <w:tc>
          <w:tcPr>
            <w:tcW w:type="dxa" w:w="1440"/>
            <w:shd w:fill="FFDCE0" w:val="clear"/>
          </w:tcPr>
          <w:p>
            <w:r>
              <w:rPr>
                <w:sz w:val="17"/>
              </w:rPr>
              <w:t>J+3  ⭐⭐⭐</w:t>
            </w:r>
          </w:p>
        </w:tc>
        <w:tc>
          <w:tcPr>
            <w:tcW w:type="dxa" w:w="1440"/>
            <w:shd w:fill="FFDCE0" w:val="clear"/>
          </w:tcPr>
          <w:p>
            <w:r>
              <w:rPr>
                <w:sz w:val="17"/>
              </w:rPr>
              <w:t>2026-08-05</w:t>
            </w:r>
          </w:p>
        </w:tc>
        <w:tc>
          <w:tcPr>
            <w:tcW w:type="dxa" w:w="1440"/>
            <w:shd w:fill="FFDCE0" w:val="clear"/>
          </w:tcPr>
          <w:p>
            <w:r>
              <w:rPr>
                <w:sz w:val="17"/>
              </w:rPr>
              <w:t>7,872</w:t>
            </w:r>
          </w:p>
        </w:tc>
        <w:tc>
          <w:tcPr>
            <w:tcW w:type="dxa" w:w="1440"/>
            <w:shd w:fill="FFDCE0" w:val="clear"/>
          </w:tcPr>
          <w:p>
            <w:r>
              <w:rPr>
                <w:b/>
                <w:sz w:val="17"/>
              </w:rPr>
              <w:t>8,184</w:t>
            </w:r>
          </w:p>
        </w:tc>
        <w:tc>
          <w:tcPr>
            <w:tcW w:type="dxa" w:w="1440"/>
            <w:shd w:fill="FFDCE0" w:val="clear"/>
          </w:tcPr>
          <w:p>
            <w:r>
              <w:rPr>
                <w:sz w:val="17"/>
              </w:rPr>
              <w:t>8,496</w:t>
            </w:r>
          </w:p>
        </w:tc>
        <w:tc>
          <w:tcPr>
            <w:tcW w:type="dxa" w:w="1440"/>
            <w:shd w:fill="FFDCE0" w:val="clear"/>
          </w:tcPr>
          <w:p>
            <w:r>
              <w:rPr>
                <w:b/>
                <w:color w:val="C00000"/>
                <w:sz w:val="17"/>
              </w:rPr>
              <w:t>-9.1%</w:t>
            </w:r>
          </w:p>
        </w:tc>
      </w:tr>
      <w:tr>
        <w:tc>
          <w:tcPr>
            <w:tcW w:type="dxa" w:w="1440"/>
            <w:shd w:fill="FFDCE0" w:val="clear"/>
          </w:tcPr>
          <w:p>
            <w:r>
              <w:rPr>
                <w:sz w:val="17"/>
              </w:rPr>
              <w:t>J+4  Moyenne</w:t>
            </w:r>
          </w:p>
        </w:tc>
        <w:tc>
          <w:tcPr>
            <w:tcW w:type="dxa" w:w="1440"/>
            <w:shd w:fill="FFDCE0" w:val="clear"/>
          </w:tcPr>
          <w:p>
            <w:r>
              <w:rPr>
                <w:sz w:val="17"/>
              </w:rPr>
              <w:t>2026-08-06</w:t>
            </w:r>
          </w:p>
        </w:tc>
        <w:tc>
          <w:tcPr>
            <w:tcW w:type="dxa" w:w="1440"/>
            <w:shd w:fill="FFDCE0" w:val="clear"/>
          </w:tcPr>
          <w:p>
            <w:r>
              <w:rPr>
                <w:sz w:val="17"/>
              </w:rPr>
              <w:t>7,618</w:t>
            </w:r>
          </w:p>
        </w:tc>
        <w:tc>
          <w:tcPr>
            <w:tcW w:type="dxa" w:w="1440"/>
            <w:shd w:fill="FFDCE0" w:val="clear"/>
          </w:tcPr>
          <w:p>
            <w:r>
              <w:rPr>
                <w:b/>
                <w:sz w:val="17"/>
              </w:rPr>
              <w:t>7,969</w:t>
            </w:r>
          </w:p>
        </w:tc>
        <w:tc>
          <w:tcPr>
            <w:tcW w:type="dxa" w:w="1440"/>
            <w:shd w:fill="FFDCE0" w:val="clear"/>
          </w:tcPr>
          <w:p>
            <w:r>
              <w:rPr>
                <w:sz w:val="17"/>
              </w:rPr>
              <w:t>8,320</w:t>
            </w:r>
          </w:p>
        </w:tc>
        <w:tc>
          <w:tcPr>
            <w:tcW w:type="dxa" w:w="1440"/>
            <w:shd w:fill="FFDCE0" w:val="clear"/>
          </w:tcPr>
          <w:p>
            <w:r>
              <w:rPr>
                <w:b/>
                <w:color w:val="C00000"/>
                <w:sz w:val="17"/>
              </w:rPr>
              <w:t>-11.5%</w:t>
            </w:r>
          </w:p>
        </w:tc>
      </w:tr>
      <w:tr>
        <w:tc>
          <w:tcPr>
            <w:tcW w:type="dxa" w:w="1440"/>
            <w:shd w:fill="FFDCE0" w:val="clear"/>
          </w:tcPr>
          <w:p>
            <w:r>
              <w:rPr>
                <w:sz w:val="17"/>
              </w:rPr>
              <w:t>J+5  Moyenne</w:t>
            </w:r>
          </w:p>
        </w:tc>
        <w:tc>
          <w:tcPr>
            <w:tcW w:type="dxa" w:w="1440"/>
            <w:shd w:fill="FFDCE0" w:val="clear"/>
          </w:tcPr>
          <w:p>
            <w:r>
              <w:rPr>
                <w:sz w:val="17"/>
              </w:rPr>
              <w:t>2026-08-10</w:t>
            </w:r>
          </w:p>
        </w:tc>
        <w:tc>
          <w:tcPr>
            <w:tcW w:type="dxa" w:w="1440"/>
            <w:shd w:fill="FFDCE0" w:val="clear"/>
          </w:tcPr>
          <w:p>
            <w:r>
              <w:rPr>
                <w:sz w:val="17"/>
              </w:rPr>
              <w:t>7,403</w:t>
            </w:r>
          </w:p>
        </w:tc>
        <w:tc>
          <w:tcPr>
            <w:tcW w:type="dxa" w:w="1440"/>
            <w:shd w:fill="FFDCE0" w:val="clear"/>
          </w:tcPr>
          <w:p>
            <w:r>
              <w:rPr>
                <w:b/>
                <w:sz w:val="17"/>
              </w:rPr>
              <w:t>7,787</w:t>
            </w:r>
          </w:p>
        </w:tc>
        <w:tc>
          <w:tcPr>
            <w:tcW w:type="dxa" w:w="1440"/>
            <w:shd w:fill="FFDCE0" w:val="clear"/>
          </w:tcPr>
          <w:p>
            <w:r>
              <w:rPr>
                <w:sz w:val="17"/>
              </w:rPr>
              <w:t>8,170</w:t>
            </w:r>
          </w:p>
        </w:tc>
        <w:tc>
          <w:tcPr>
            <w:tcW w:type="dxa" w:w="1440"/>
            <w:shd w:fill="FFDCE0" w:val="clear"/>
          </w:tcPr>
          <w:p>
            <w:r>
              <w:rPr>
                <w:b/>
                <w:color w:val="C00000"/>
                <w:sz w:val="17"/>
              </w:rPr>
              <w:t>-13.5%</w:t>
            </w:r>
          </w:p>
        </w:tc>
      </w:tr>
      <w:tr>
        <w:tc>
          <w:tcPr>
            <w:tcW w:type="dxa" w:w="1440"/>
            <w:shd w:fill="FFDCE0" w:val="clear"/>
          </w:tcPr>
          <w:p>
            <w:r>
              <w:rPr>
                <w:sz w:val="17"/>
              </w:rPr>
              <w:t>J+6  Moyenne</w:t>
            </w:r>
          </w:p>
        </w:tc>
        <w:tc>
          <w:tcPr>
            <w:tcW w:type="dxa" w:w="1440"/>
            <w:shd w:fill="FFDCE0" w:val="clear"/>
          </w:tcPr>
          <w:p>
            <w:r>
              <w:rPr>
                <w:sz w:val="17"/>
              </w:rPr>
              <w:t>2026-08-11</w:t>
            </w:r>
          </w:p>
        </w:tc>
        <w:tc>
          <w:tcPr>
            <w:tcW w:type="dxa" w:w="1440"/>
            <w:shd w:fill="FFDCE0" w:val="clear"/>
          </w:tcPr>
          <w:p>
            <w:r>
              <w:rPr>
                <w:sz w:val="17"/>
              </w:rPr>
              <w:t>7,218</w:t>
            </w:r>
          </w:p>
        </w:tc>
        <w:tc>
          <w:tcPr>
            <w:tcW w:type="dxa" w:w="1440"/>
            <w:shd w:fill="FFDCE0" w:val="clear"/>
          </w:tcPr>
          <w:p>
            <w:r>
              <w:rPr>
                <w:b/>
                <w:sz w:val="17"/>
              </w:rPr>
              <w:t>7,629</w:t>
            </w:r>
          </w:p>
        </w:tc>
        <w:tc>
          <w:tcPr>
            <w:tcW w:type="dxa" w:w="1440"/>
            <w:shd w:fill="FFDCE0" w:val="clear"/>
          </w:tcPr>
          <w:p>
            <w:r>
              <w:rPr>
                <w:sz w:val="17"/>
              </w:rPr>
              <w:t>8,040</w:t>
            </w:r>
          </w:p>
        </w:tc>
        <w:tc>
          <w:tcPr>
            <w:tcW w:type="dxa" w:w="1440"/>
            <w:shd w:fill="FFDCE0" w:val="clear"/>
          </w:tcPr>
          <w:p>
            <w:r>
              <w:rPr>
                <w:b/>
                <w:color w:val="C00000"/>
                <w:sz w:val="17"/>
              </w:rPr>
              <w:t>-15.2%</w:t>
            </w:r>
          </w:p>
        </w:tc>
      </w:tr>
      <w:tr>
        <w:tc>
          <w:tcPr>
            <w:tcW w:type="dxa" w:w="1440"/>
            <w:shd w:fill="FFDCE0" w:val="clear"/>
          </w:tcPr>
          <w:p>
            <w:r>
              <w:rPr>
                <w:sz w:val="17"/>
              </w:rPr>
              <w:t>J+7  Moyenne</w:t>
            </w:r>
          </w:p>
        </w:tc>
        <w:tc>
          <w:tcPr>
            <w:tcW w:type="dxa" w:w="1440"/>
            <w:shd w:fill="FFDCE0" w:val="clear"/>
          </w:tcPr>
          <w:p>
            <w:r>
              <w:rPr>
                <w:sz w:val="17"/>
              </w:rPr>
              <w:t>2026-08-12</w:t>
            </w:r>
          </w:p>
        </w:tc>
        <w:tc>
          <w:tcPr>
            <w:tcW w:type="dxa" w:w="1440"/>
            <w:shd w:fill="FFDCE0" w:val="clear"/>
          </w:tcPr>
          <w:p>
            <w:r>
              <w:rPr>
                <w:sz w:val="17"/>
              </w:rPr>
              <w:t>7,054</w:t>
            </w:r>
          </w:p>
        </w:tc>
        <w:tc>
          <w:tcPr>
            <w:tcW w:type="dxa" w:w="1440"/>
            <w:shd w:fill="FFDCE0" w:val="clear"/>
          </w:tcPr>
          <w:p>
            <w:r>
              <w:rPr>
                <w:b/>
                <w:sz w:val="17"/>
              </w:rPr>
              <w:t>7,491</w:t>
            </w:r>
          </w:p>
        </w:tc>
        <w:tc>
          <w:tcPr>
            <w:tcW w:type="dxa" w:w="1440"/>
            <w:shd w:fill="FFDCE0" w:val="clear"/>
          </w:tcPr>
          <w:p>
            <w:r>
              <w:rPr>
                <w:sz w:val="17"/>
              </w:rPr>
              <w:t>7,927</w:t>
            </w:r>
          </w:p>
        </w:tc>
        <w:tc>
          <w:tcPr>
            <w:tcW w:type="dxa" w:w="1440"/>
            <w:shd w:fill="FFDCE0" w:val="clear"/>
          </w:tcPr>
          <w:p>
            <w:r>
              <w:rPr>
                <w:b/>
                <w:color w:val="C00000"/>
                <w:sz w:val="17"/>
              </w:rPr>
              <w:t>-16.8%</w:t>
            </w:r>
          </w:p>
        </w:tc>
      </w:tr>
      <w:tr>
        <w:tc>
          <w:tcPr>
            <w:tcW w:type="dxa" w:w="1440"/>
            <w:shd w:fill="FFDCE0" w:val="clear"/>
          </w:tcPr>
          <w:p>
            <w:r>
              <w:rPr>
                <w:sz w:val="17"/>
              </w:rPr>
              <w:t>J+8  Moyenne</w:t>
            </w:r>
          </w:p>
        </w:tc>
        <w:tc>
          <w:tcPr>
            <w:tcW w:type="dxa" w:w="1440"/>
            <w:shd w:fill="FFDCE0" w:val="clear"/>
          </w:tcPr>
          <w:p>
            <w:r>
              <w:rPr>
                <w:sz w:val="17"/>
              </w:rPr>
              <w:t>2026-08-13</w:t>
            </w:r>
          </w:p>
        </w:tc>
        <w:tc>
          <w:tcPr>
            <w:tcW w:type="dxa" w:w="1440"/>
            <w:shd w:fill="FFDCE0" w:val="clear"/>
          </w:tcPr>
          <w:p>
            <w:r>
              <w:rPr>
                <w:sz w:val="17"/>
              </w:rPr>
              <w:t>6,908</w:t>
            </w:r>
          </w:p>
        </w:tc>
        <w:tc>
          <w:tcPr>
            <w:tcW w:type="dxa" w:w="1440"/>
            <w:shd w:fill="FFDCE0" w:val="clear"/>
          </w:tcPr>
          <w:p>
            <w:r>
              <w:rPr>
                <w:b/>
                <w:sz w:val="17"/>
              </w:rPr>
              <w:t>7,367</w:t>
            </w:r>
          </w:p>
        </w:tc>
        <w:tc>
          <w:tcPr>
            <w:tcW w:type="dxa" w:w="1440"/>
            <w:shd w:fill="FFDCE0" w:val="clear"/>
          </w:tcPr>
          <w:p>
            <w:r>
              <w:rPr>
                <w:sz w:val="17"/>
              </w:rPr>
              <w:t>7,826</w:t>
            </w:r>
          </w:p>
        </w:tc>
        <w:tc>
          <w:tcPr>
            <w:tcW w:type="dxa" w:w="1440"/>
            <w:shd w:fill="FFDCE0" w:val="clear"/>
          </w:tcPr>
          <w:p>
            <w:r>
              <w:rPr>
                <w:b/>
                <w:color w:val="C00000"/>
                <w:sz w:val="17"/>
              </w:rPr>
              <w:t>-18.1%</w:t>
            </w:r>
          </w:p>
        </w:tc>
      </w:tr>
      <w:tr>
        <w:tc>
          <w:tcPr>
            <w:tcW w:type="dxa" w:w="1440"/>
            <w:shd w:fill="FFDCE0" w:val="clear"/>
          </w:tcPr>
          <w:p>
            <w:r>
              <w:rPr>
                <w:sz w:val="17"/>
              </w:rPr>
              <w:t>J+9  Moyenne</w:t>
            </w:r>
          </w:p>
        </w:tc>
        <w:tc>
          <w:tcPr>
            <w:tcW w:type="dxa" w:w="1440"/>
            <w:shd w:fill="FFDCE0" w:val="clear"/>
          </w:tcPr>
          <w:p>
            <w:r>
              <w:rPr>
                <w:sz w:val="17"/>
              </w:rPr>
              <w:t>2026-08-14</w:t>
            </w:r>
          </w:p>
        </w:tc>
        <w:tc>
          <w:tcPr>
            <w:tcW w:type="dxa" w:w="1440"/>
            <w:shd w:fill="FFDCE0" w:val="clear"/>
          </w:tcPr>
          <w:p>
            <w:r>
              <w:rPr>
                <w:sz w:val="17"/>
              </w:rPr>
              <w:t>6,776</w:t>
            </w:r>
          </w:p>
        </w:tc>
        <w:tc>
          <w:tcPr>
            <w:tcW w:type="dxa" w:w="1440"/>
            <w:shd w:fill="FFDCE0" w:val="clear"/>
          </w:tcPr>
          <w:p>
            <w:r>
              <w:rPr>
                <w:b/>
                <w:sz w:val="17"/>
              </w:rPr>
              <w:t>7,255</w:t>
            </w:r>
          </w:p>
        </w:tc>
        <w:tc>
          <w:tcPr>
            <w:tcW w:type="dxa" w:w="1440"/>
            <w:shd w:fill="FFDCE0" w:val="clear"/>
          </w:tcPr>
          <w:p>
            <w:r>
              <w:rPr>
                <w:sz w:val="17"/>
              </w:rPr>
              <w:t>7,734</w:t>
            </w:r>
          </w:p>
        </w:tc>
        <w:tc>
          <w:tcPr>
            <w:tcW w:type="dxa" w:w="1440"/>
            <w:shd w:fill="FFDCE0" w:val="clear"/>
          </w:tcPr>
          <w:p>
            <w:r>
              <w:rPr>
                <w:b/>
                <w:color w:val="C00000"/>
                <w:sz w:val="17"/>
              </w:rPr>
              <w:t>-19.4%</w:t>
            </w:r>
          </w:p>
        </w:tc>
      </w:tr>
      <w:tr>
        <w:tc>
          <w:tcPr>
            <w:tcW w:type="dxa" w:w="1440"/>
            <w:shd w:fill="FFDCE0" w:val="clear"/>
          </w:tcPr>
          <w:p>
            <w:r>
              <w:rPr>
                <w:sz w:val="17"/>
              </w:rPr>
              <w:t>J+10  Moyenne</w:t>
            </w:r>
          </w:p>
        </w:tc>
        <w:tc>
          <w:tcPr>
            <w:tcW w:type="dxa" w:w="1440"/>
            <w:shd w:fill="FFDCE0" w:val="clear"/>
          </w:tcPr>
          <w:p>
            <w:r>
              <w:rPr>
                <w:sz w:val="17"/>
              </w:rPr>
              <w:t>2026-08-17</w:t>
            </w:r>
          </w:p>
        </w:tc>
        <w:tc>
          <w:tcPr>
            <w:tcW w:type="dxa" w:w="1440"/>
            <w:shd w:fill="FFDCE0" w:val="clear"/>
          </w:tcPr>
          <w:p>
            <w:r>
              <w:rPr>
                <w:sz w:val="17"/>
              </w:rPr>
              <w:t>6,655</w:t>
            </w:r>
          </w:p>
        </w:tc>
        <w:tc>
          <w:tcPr>
            <w:tcW w:type="dxa" w:w="1440"/>
            <w:shd w:fill="FFDCE0" w:val="clear"/>
          </w:tcPr>
          <w:p>
            <w:r>
              <w:rPr>
                <w:b/>
                <w:sz w:val="17"/>
              </w:rPr>
              <w:t>7,153</w:t>
            </w:r>
          </w:p>
        </w:tc>
        <w:tc>
          <w:tcPr>
            <w:tcW w:type="dxa" w:w="1440"/>
            <w:shd w:fill="FFDCE0" w:val="clear"/>
          </w:tcPr>
          <w:p>
            <w:r>
              <w:rPr>
                <w:sz w:val="17"/>
              </w:rPr>
              <w:t>7,651</w:t>
            </w:r>
          </w:p>
        </w:tc>
        <w:tc>
          <w:tcPr>
            <w:tcW w:type="dxa" w:w="1440"/>
            <w:shd w:fill="FFDCE0" w:val="clear"/>
          </w:tcPr>
          <w:p>
            <w:r>
              <w:rPr>
                <w:b/>
                <w:color w:val="C00000"/>
                <w:sz w:val="17"/>
              </w:rPr>
              <w:t>-20.5%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900 milliards FCFA positionne la SIBC comme l'une des valeurs les plus lourdes de la BRVM, reflétant son statut de banque systémique en Côte d'Ivoire. Avec un BPA de 556 FCFA, chaque action génère un bénéfice substantiel, mais le PER de 16,2x se situe nettement au-dessus de la moyenne historique de la place (~8-12x), indiquant que les investisseurs paient une prime de croissance et de qualité. Le P/B de 4,40x confirme cette lecture : le marché valorise l'actif net comptable à plus de quatre fois sa valeur, un niveau exigeant qui intègre des anticipations de rentabilité future élevée. Enfin, l'EV/EBITDA de 15,0x, bien que dans la moyenne des grandes banques de la zone, suggère que la valeur d'entreprise est correctement alignée sur la capacité bénéficiaire opérationnelle, sans décote ni surcote flagrante.</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 100 jours, le titre SIBC affiche une progression remarquable de +32,35%, avec une dernière séance en hausse de +3,45% à 9 000 FCFA, témoignant d'un momentum acheteur soutenu. Le cours a évolué dans un range de 6 800 à 9 100 FCFA, avec un plus haut récent frôlant les 9 100 FCFA, ce qui indique une tendance haussière claire et bien établie. La moyenne (7 908 FCFA) est légèrement supérieure à la médiane (7 748 FCFA), suggérant une distribution quasi symétrique, confirmée par un skewness de 0,072. L'écart-type de 889 FCFA (CV de 11,2%) révèle une dispersion modérée des prix autour de la moyenne, tandis que le kurtosis de -1,838 (platykurtique) indique une distribution aplatie avec peu de valeurs extrêmes, donc un risque de pics limité. La volatilité annualisée de 26,8% classe le titre dans la zone modérée (15-30%), offrant un équilibre acceptable entre rendement et risque pour un investisseur en quête de croissance.</w:t>
      </w:r>
    </w:p>
    <w:p>
      <w:pPr>
        <w:spacing w:after="120" w:line="276" w:lineRule="auto" w:before="240"/>
      </w:pPr>
      <w:r>
        <w:rPr>
          <w:b/>
          <w:color w:val="003366"/>
          <w:sz w:val="24"/>
        </w:rPr>
        <w:t>**PARTIE 2 : ANALYSE TECHNIQUE DÉTAILLÉE**</w:t>
      </w:r>
    </w:p>
    <w:p>
      <w:pPr>
        <w:spacing w:after="120" w:line="276" w:lineRule="auto"/>
      </w:pPr>
      <w:r>
        <w:t>**Moyennes Mobiles** : Le cours actuel de 9 000 FCFA se positionne au-dessus de la MM20 (8 888,25 FCFA) et de la MM50 (8 754,6 FCFA), avec un écart positif de 1,3% et 2,8% respectivement. Cette configuration haussière, où le prix évolue au-dessus des deux moyennes, confirme la tendance ascendante et justifie la décision d'achat, signalant que le momentum court et moyen terme reste favorable.</w:t>
      </w:r>
    </w:p>
    <w:p>
      <w:pPr>
        <w:spacing w:after="120" w:line="276" w:lineRule="auto"/>
      </w:pPr>
      <w:r>
        <w:t>**Bandes de Bollinger** : Le prix se situe à 9 000 FCFA, proche de la borne supérieure (9 162,405 FCFA) et nettement au-dessus de la borne inférieure (8 614,095 FCFA). Cette position indique une pression acheteuse soutenue, mais sans excès de volatilité, la décision neutre reflétant un équilibre entre un potentiel de poursuite haussière et un risque de consolidation proche des niveaux de résistance.</w:t>
      </w:r>
    </w:p>
    <w:p>
      <w:pPr>
        <w:spacing w:after="120" w:line="276" w:lineRule="auto"/>
      </w:pPr>
      <w:r>
        <w:t>**MACD** : La valeur MACD (56,738) est inférieure au signal (70,205), avec un écart négatif de -13,467, ce qui génère une décision de vente. Cette divergence baissière suggère un affaiblissement du momentum à court terme, même si les valeurs restent positives, indiquant que la tendance de fond demeure haussière mais pourrait marquer une pause technique.</w:t>
      </w:r>
    </w:p>
    <w:p>
      <w:pPr>
        <w:spacing w:after="120" w:line="276" w:lineRule="auto"/>
      </w:pPr>
      <w:r>
        <w:t>**RSI** : À 50,278, le RSI se situe exactement dans la zone neutre (30-70), reflétant un équilibre entre les forces acheteuses et vendeuses. Cette valeur, proche du seuil de 50, ne signale ni surachat ni survente, la décision neutre indiquant que le marché n'a pas encore tranché sur la direction à court terme.</w:t>
      </w:r>
    </w:p>
    <w:p>
      <w:pPr>
        <w:spacing w:after="120" w:line="276" w:lineRule="auto"/>
      </w:pPr>
      <w:r>
        <w:t>**Stochastique** : Le %K (77,778) est nettement supérieur au %D (46,667), avec un écart de 31,111 points, ce qui suggère un croisement haussier en cours. Bien que la décision soit neutre, cette configuration indique que les acheteurs reprennent le contrôle, mais le niveau élevé du %K approche la zone de surachat, nécessitant une surveillance.</w:t>
      </w:r>
    </w:p>
    <w:p>
      <w:pPr>
        <w:spacing w:after="120" w:line="276" w:lineRule="auto"/>
      </w:pPr>
      <w:r>
        <w:t>**Conclusion technique** : La convergence des moyennes mobiles haussières et du stochastique en croisement positif contraste avec la divergence du MACD et la neutralité du RSI. Globalement, la tendance de fond reste haussière, mais les signaux mixtes suggèrent une possible consolidation à court terme avant une reprise de la dynamique, avec un biais positif dominant.</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révèlent une banque performante : le PNB s'établit à 108,663 Mds FCFA, avec un résultat net de 55,623 Mds FCFA, générant un ROE exceptionnel de 27,16% et un ROA de 2,96%. Le coefficient d'exploitation de 38,59% témoigne d'une excellente maîtrise des coûts (bien en dessous du seuil de 60%), tandis que le coût du risque élevé (provisions de 14,124 Mds FCFA) mérite une attention particulière sur la qualité du portefeuille. Le ratio dépôts/crédits (1 503,441 Mds / 1 226,720 Mds) montre une transformation saine, avec une liquidité abondante. Les rapports trimestriels confirment cette trajectoire : le T1 2026 (rapport DeepSeek du 07/05/2026) affiche un PNB de 27,7 Mds FCFA (+4%) et un résultat net de 15,2 Mds FCFA (+11%), tandis que le S1 2025 (rapport du 30/09/2025) montre un PNB de 54,3 Mds FCFA (+9%) et un résultat net de 29,4 Mds FCFA (+15%). Le rapport annuel 2024 (publié en 2025) indique un PNB de 102,8 Mds FCFA (+8%) et un résultat net de 50,2 Mds FCFA (+15%), avec un ROE de 30,56%. Sur la base de ces tendances, on estime que l'exercice 2026 devrait voir un PNB autour de 115-118 Mds FCFA et un résultat net de 60-62 Mds FCFA, confirmant une croissance soutenue et une solidité financière remarquable.</w:t>
      </w:r>
    </w:p>
    <w:p>
      <w:pPr>
        <w:spacing w:after="120" w:line="276" w:lineRule="auto" w:before="240"/>
      </w:pPr>
      <w:r>
        <w:rPr>
          <w:b/>
          <w:color w:val="003366"/>
          <w:sz w:val="24"/>
        </w:rPr>
        <w:t>**PARTIE 4 : CONCLUSION D'INVESTISSEMENT**</w:t>
      </w:r>
    </w:p>
    <w:p>
      <w:pPr>
        <w:spacing w:after="120" w:line="276" w:lineRule="auto"/>
      </w:pPr>
      <w:r>
        <w:t>La valorisation actuelle (PER 16,2x, P/B 4,40x, EV/EBITDA 15,0x) indique une surévaluation relative par rapport aux standards BRVM, intégrant des anticipations de croissance déjà largement pricées. Le comportement du cours (+32,35% sur 100 jours) montre une tendance haussière robuste, avec une volatilité modérée (26,8%) et une distribution symétrique sans risque de pics, ce qui est rassurant. Les signaux techniques sont mitigés : les moyennes mobiles et le stochastique penchent vers l'achat, tandis que le MACD et le RSI suggèrent une prudence à court terme, indiquant une possible consolidation. Les fondamentaux restent excellents (ROE &gt;27%, coefficient d'exploitation &lt;39%, croissance du résultat net de 11-15%), soutenus par des rapports trimestriels positifs. Les prédictions IA (baisse de 9 000 à 7 787 FCFA sur 10 jours) contredisent nettement la tendance haussière actuelle, suggérant un risque de correction technique. La convergence entre la surévaluation, les signaux techniques mixtes et les prédictions baissières conduit à une recommandation de **CONSERVER** pour les investisseurs déjà positionnés, avec un niveau de confiance **Moyen** et un risque global **Moyen**. L'horizon optimal serait le **moyen terme (3-12 mois)**, en attendant une correction potentielle pour renforcer la position, ou la confirmation d'une poursuite haussière après consolidation.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92 titres</w:t>
            </w:r>
          </w:p>
        </w:tc>
        <w:tc>
          <w:tcPr>
            <w:tcW w:type="dxa" w:w="2268"/>
            <w:shd w:fill="FFF2CC" w:val="clear"/>
          </w:tcPr>
          <w:p>
            <w:r>
              <w:rPr>
                <w:b/>
                <w:color w:val="503200"/>
                <w:sz w:val="16"/>
              </w:rPr>
              <w:t xml:space="preserve">Cours actuel : </w:t>
            </w:r>
            <w:r>
              <w:rPr>
                <w:color w:val="000000"/>
                <w:sz w:val="17"/>
              </w:rPr>
              <w:t>6,400 FCFA</w:t>
            </w:r>
          </w:p>
          <w:p>
            <w:r>
              <w:rPr>
                <w:b/>
                <w:color w:val="503200"/>
                <w:sz w:val="16"/>
              </w:rPr>
              <w:t xml:space="preserve">Var. 100 jours : </w:t>
            </w:r>
            <w:r>
              <w:rPr>
                <w:b/>
                <w:color w:val="007800"/>
                <w:sz w:val="17"/>
              </w:rPr>
              <w:t>+49.18%</w:t>
            </w:r>
          </w:p>
          <w:p>
            <w:r>
              <w:rPr>
                <w:b/>
                <w:color w:val="503200"/>
                <w:sz w:val="16"/>
              </w:rPr>
              <w:t xml:space="preserve">Plus haut 100j : </w:t>
            </w:r>
            <w:r>
              <w:rPr>
                <w:color w:val="000000"/>
                <w:sz w:val="17"/>
              </w:rPr>
              <w:t>6,400 FCFA</w:t>
            </w:r>
          </w:p>
          <w:p>
            <w:r>
              <w:rPr>
                <w:b/>
                <w:color w:val="503200"/>
                <w:sz w:val="16"/>
              </w:rPr>
              <w:t xml:space="preserve">Plus bas 100j : </w:t>
            </w:r>
            <w:r>
              <w:rPr>
                <w:color w:val="000000"/>
                <w:sz w:val="17"/>
              </w:rPr>
              <w:t>3,710 FCFA</w:t>
            </w:r>
          </w:p>
          <w:p>
            <w:r>
              <w:rPr>
                <w:b/>
                <w:color w:val="503200"/>
                <w:sz w:val="16"/>
              </w:rPr>
              <w:t xml:space="preserve">Volatilité ann. : </w:t>
            </w:r>
            <w:r>
              <w:rPr>
                <w:color w:val="000000"/>
                <w:sz w:val="17"/>
              </w:rPr>
              <w:t>56.2%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29.6/100 → Moyen</w:t>
      </w:r>
    </w:p>
    <w:p>
      <w:pPr>
        <w:spacing w:before="40" w:after="80"/>
      </w:pPr>
      <w:r>
        <w:rPr>
          <w:rFonts w:ascii="Courier New" w:hAnsi="Courier New"/>
          <w:color w:val="825A00"/>
          <w:sz w:val="18"/>
        </w:rPr>
        <w:t>█████░░░░░░░░░░░░░░░  29.6/100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12.31% (Moyenne) — μ=4,514 FCFA, σ=556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β=-0.1029 (Contre-cyclique) — Cov=-0.000004, Var(idx)=0.000036, ρ=-0.018,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92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σ_j=3.54%/j (Modérée) — Vol. annualisée≈56.2%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2026-08-03</w:t>
            </w:r>
          </w:p>
        </w:tc>
        <w:tc>
          <w:tcPr>
            <w:tcW w:type="dxa" w:w="1440"/>
            <w:shd w:fill="FFDCE0" w:val="clear"/>
          </w:tcPr>
          <w:p>
            <w:r>
              <w:rPr>
                <w:sz w:val="17"/>
              </w:rPr>
              <w:t>5,847</w:t>
            </w:r>
          </w:p>
        </w:tc>
        <w:tc>
          <w:tcPr>
            <w:tcW w:type="dxa" w:w="1440"/>
            <w:shd w:fill="FFDCE0" w:val="clear"/>
          </w:tcPr>
          <w:p>
            <w:r>
              <w:rPr>
                <w:b/>
                <w:sz w:val="17"/>
              </w:rPr>
              <w:t>6,247</w:t>
            </w:r>
          </w:p>
        </w:tc>
        <w:tc>
          <w:tcPr>
            <w:tcW w:type="dxa" w:w="1440"/>
            <w:shd w:fill="FFDCE0" w:val="clear"/>
          </w:tcPr>
          <w:p>
            <w:r>
              <w:rPr>
                <w:sz w:val="17"/>
              </w:rPr>
              <w:t>6,646</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2026-08-04</w:t>
            </w:r>
          </w:p>
        </w:tc>
        <w:tc>
          <w:tcPr>
            <w:tcW w:type="dxa" w:w="1440"/>
            <w:shd w:fill="FFDCE0" w:val="clear"/>
          </w:tcPr>
          <w:p>
            <w:r>
              <w:rPr>
                <w:sz w:val="17"/>
              </w:rPr>
              <w:t>5,675</w:t>
            </w:r>
          </w:p>
        </w:tc>
        <w:tc>
          <w:tcPr>
            <w:tcW w:type="dxa" w:w="1440"/>
            <w:shd w:fill="FFDCE0" w:val="clear"/>
          </w:tcPr>
          <w:p>
            <w:r>
              <w:rPr>
                <w:b/>
                <w:sz w:val="17"/>
              </w:rPr>
              <w:t>6,239</w:t>
            </w:r>
          </w:p>
        </w:tc>
        <w:tc>
          <w:tcPr>
            <w:tcW w:type="dxa" w:w="1440"/>
            <w:shd w:fill="FFDCE0" w:val="clear"/>
          </w:tcPr>
          <w:p>
            <w:r>
              <w:rPr>
                <w:sz w:val="17"/>
              </w:rPr>
              <w:t>6,803</w:t>
            </w:r>
          </w:p>
        </w:tc>
        <w:tc>
          <w:tcPr>
            <w:tcW w:type="dxa" w:w="1440"/>
            <w:shd w:fill="FFDCE0" w:val="clear"/>
          </w:tcPr>
          <w:p>
            <w:r>
              <w:rPr>
                <w:b/>
                <w:color w:val="C00000"/>
                <w:sz w:val="17"/>
              </w:rPr>
              <w:t>-2.5%</w:t>
            </w:r>
          </w:p>
        </w:tc>
      </w:tr>
      <w:tr>
        <w:tc>
          <w:tcPr>
            <w:tcW w:type="dxa" w:w="1440"/>
            <w:shd w:fill="FFDCE0" w:val="clear"/>
          </w:tcPr>
          <w:p>
            <w:r>
              <w:rPr>
                <w:sz w:val="17"/>
              </w:rPr>
              <w:t>J+3  ⭐</w:t>
            </w:r>
          </w:p>
        </w:tc>
        <w:tc>
          <w:tcPr>
            <w:tcW w:type="dxa" w:w="1440"/>
            <w:shd w:fill="FFDCE0" w:val="clear"/>
          </w:tcPr>
          <w:p>
            <w:r>
              <w:rPr>
                <w:sz w:val="17"/>
              </w:rPr>
              <w:t>2026-08-05</w:t>
            </w:r>
          </w:p>
        </w:tc>
        <w:tc>
          <w:tcPr>
            <w:tcW w:type="dxa" w:w="1440"/>
            <w:shd w:fill="FFDCE0" w:val="clear"/>
          </w:tcPr>
          <w:p>
            <w:r>
              <w:rPr>
                <w:sz w:val="17"/>
              </w:rPr>
              <w:t>5,505</w:t>
            </w:r>
          </w:p>
        </w:tc>
        <w:tc>
          <w:tcPr>
            <w:tcW w:type="dxa" w:w="1440"/>
            <w:shd w:fill="FFDCE0" w:val="clear"/>
          </w:tcPr>
          <w:p>
            <w:r>
              <w:rPr>
                <w:b/>
                <w:sz w:val="17"/>
              </w:rPr>
              <w:t>6,190</w:t>
            </w:r>
          </w:p>
        </w:tc>
        <w:tc>
          <w:tcPr>
            <w:tcW w:type="dxa" w:w="1440"/>
            <w:shd w:fill="FFDCE0" w:val="clear"/>
          </w:tcPr>
          <w:p>
            <w:r>
              <w:rPr>
                <w:sz w:val="17"/>
              </w:rPr>
              <w:t>6,876</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5,345</w:t>
            </w:r>
          </w:p>
        </w:tc>
        <w:tc>
          <w:tcPr>
            <w:tcW w:type="dxa" w:w="1440"/>
            <w:shd w:fill="FFDCE0" w:val="clear"/>
          </w:tcPr>
          <w:p>
            <w:r>
              <w:rPr>
                <w:b/>
                <w:sz w:val="17"/>
              </w:rPr>
              <w:t>6,129</w:t>
            </w:r>
          </w:p>
        </w:tc>
        <w:tc>
          <w:tcPr>
            <w:tcW w:type="dxa" w:w="1440"/>
            <w:shd w:fill="FFDCE0" w:val="clear"/>
          </w:tcPr>
          <w:p>
            <w:r>
              <w:rPr>
                <w:sz w:val="17"/>
              </w:rPr>
              <w:t>6,912</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5,194</w:t>
            </w:r>
          </w:p>
        </w:tc>
        <w:tc>
          <w:tcPr>
            <w:tcW w:type="dxa" w:w="1440"/>
            <w:shd w:fill="FFDCE0" w:val="clear"/>
          </w:tcPr>
          <w:p>
            <w:r>
              <w:rPr>
                <w:b/>
                <w:sz w:val="17"/>
              </w:rPr>
              <w:t>6,061</w:t>
            </w:r>
          </w:p>
        </w:tc>
        <w:tc>
          <w:tcPr>
            <w:tcW w:type="dxa" w:w="1440"/>
            <w:shd w:fill="FFDCE0" w:val="clear"/>
          </w:tcPr>
          <w:p>
            <w:r>
              <w:rPr>
                <w:sz w:val="17"/>
              </w:rPr>
              <w:t>6,927</w:t>
            </w:r>
          </w:p>
        </w:tc>
        <w:tc>
          <w:tcPr>
            <w:tcW w:type="dxa" w:w="1440"/>
            <w:shd w:fill="FFDCE0" w:val="clear"/>
          </w:tcPr>
          <w:p>
            <w:r>
              <w:rPr>
                <w:b/>
                <w:color w:val="C00000"/>
                <w:sz w:val="17"/>
              </w:rPr>
              <w:t>-5.3%</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5,051</w:t>
            </w:r>
          </w:p>
        </w:tc>
        <w:tc>
          <w:tcPr>
            <w:tcW w:type="dxa" w:w="1440"/>
            <w:shd w:fill="FFDCE0" w:val="clear"/>
          </w:tcPr>
          <w:p>
            <w:r>
              <w:rPr>
                <w:b/>
                <w:sz w:val="17"/>
              </w:rPr>
              <w:t>5,989</w:t>
            </w:r>
          </w:p>
        </w:tc>
        <w:tc>
          <w:tcPr>
            <w:tcW w:type="dxa" w:w="1440"/>
            <w:shd w:fill="FFDCE0" w:val="clear"/>
          </w:tcPr>
          <w:p>
            <w:r>
              <w:rPr>
                <w:sz w:val="17"/>
              </w:rPr>
              <w:t>6,927</w:t>
            </w:r>
          </w:p>
        </w:tc>
        <w:tc>
          <w:tcPr>
            <w:tcW w:type="dxa" w:w="1440"/>
            <w:shd w:fill="FFDCE0" w:val="clear"/>
          </w:tcPr>
          <w:p>
            <w:r>
              <w:rPr>
                <w:b/>
                <w:color w:val="C00000"/>
                <w:sz w:val="17"/>
              </w:rPr>
              <w:t>-6.4%</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4,916</w:t>
            </w:r>
          </w:p>
        </w:tc>
        <w:tc>
          <w:tcPr>
            <w:tcW w:type="dxa" w:w="1440"/>
            <w:shd w:fill="FFDCE0" w:val="clear"/>
          </w:tcPr>
          <w:p>
            <w:r>
              <w:rPr>
                <w:b/>
                <w:sz w:val="17"/>
              </w:rPr>
              <w:t>5,917</w:t>
            </w:r>
          </w:p>
        </w:tc>
        <w:tc>
          <w:tcPr>
            <w:tcW w:type="dxa" w:w="1440"/>
            <w:shd w:fill="FFDCE0" w:val="clear"/>
          </w:tcPr>
          <w:p>
            <w:r>
              <w:rPr>
                <w:sz w:val="17"/>
              </w:rPr>
              <w:t>6,918</w:t>
            </w:r>
          </w:p>
        </w:tc>
        <w:tc>
          <w:tcPr>
            <w:tcW w:type="dxa" w:w="1440"/>
            <w:shd w:fill="FFDCE0" w:val="clear"/>
          </w:tcPr>
          <w:p>
            <w:r>
              <w:rPr>
                <w:b/>
                <w:color w:val="C00000"/>
                <w:sz w:val="17"/>
              </w:rPr>
              <w:t>-7.6%</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4,787</w:t>
            </w:r>
          </w:p>
        </w:tc>
        <w:tc>
          <w:tcPr>
            <w:tcW w:type="dxa" w:w="1440"/>
            <w:shd w:fill="FFDCE0" w:val="clear"/>
          </w:tcPr>
          <w:p>
            <w:r>
              <w:rPr>
                <w:b/>
                <w:sz w:val="17"/>
              </w:rPr>
              <w:t>5,844</w:t>
            </w:r>
          </w:p>
        </w:tc>
        <w:tc>
          <w:tcPr>
            <w:tcW w:type="dxa" w:w="1440"/>
            <w:shd w:fill="FFDCE0" w:val="clear"/>
          </w:tcPr>
          <w:p>
            <w:r>
              <w:rPr>
                <w:sz w:val="17"/>
              </w:rPr>
              <w:t>6,901</w:t>
            </w:r>
          </w:p>
        </w:tc>
        <w:tc>
          <w:tcPr>
            <w:tcW w:type="dxa" w:w="1440"/>
            <w:shd w:fill="FFDCE0" w:val="clear"/>
          </w:tcPr>
          <w:p>
            <w:r>
              <w:rPr>
                <w:b/>
                <w:color w:val="C00000"/>
                <w:sz w:val="17"/>
              </w:rPr>
              <w:t>-8.7%</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4,665</w:t>
            </w:r>
          </w:p>
        </w:tc>
        <w:tc>
          <w:tcPr>
            <w:tcW w:type="dxa" w:w="1440"/>
            <w:shd w:fill="FFDCE0" w:val="clear"/>
          </w:tcPr>
          <w:p>
            <w:r>
              <w:rPr>
                <w:b/>
                <w:sz w:val="17"/>
              </w:rPr>
              <w:t>5,772</w:t>
            </w:r>
          </w:p>
        </w:tc>
        <w:tc>
          <w:tcPr>
            <w:tcW w:type="dxa" w:w="1440"/>
            <w:shd w:fill="FFDCE0" w:val="clear"/>
          </w:tcPr>
          <w:p>
            <w:r>
              <w:rPr>
                <w:sz w:val="17"/>
              </w:rPr>
              <w:t>6,879</w:t>
            </w:r>
          </w:p>
        </w:tc>
        <w:tc>
          <w:tcPr>
            <w:tcW w:type="dxa" w:w="1440"/>
            <w:shd w:fill="FFDCE0" w:val="clear"/>
          </w:tcPr>
          <w:p>
            <w:r>
              <w:rPr>
                <w:b/>
                <w:color w:val="C00000"/>
                <w:sz w:val="17"/>
              </w:rPr>
              <w:t>-9.8%</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4,549</w:t>
            </w:r>
          </w:p>
        </w:tc>
        <w:tc>
          <w:tcPr>
            <w:tcW w:type="dxa" w:w="1440"/>
            <w:shd w:fill="FFDCE0" w:val="clear"/>
          </w:tcPr>
          <w:p>
            <w:r>
              <w:rPr>
                <w:b/>
                <w:sz w:val="17"/>
              </w:rPr>
              <w:t>5,702</w:t>
            </w:r>
          </w:p>
        </w:tc>
        <w:tc>
          <w:tcPr>
            <w:tcW w:type="dxa" w:w="1440"/>
            <w:shd w:fill="FFDCE0" w:val="clear"/>
          </w:tcPr>
          <w:p>
            <w:r>
              <w:rPr>
                <w:sz w:val="17"/>
              </w:rPr>
              <w:t>6,854</w:t>
            </w:r>
          </w:p>
        </w:tc>
        <w:tc>
          <w:tcPr>
            <w:tcW w:type="dxa" w:w="1440"/>
            <w:shd w:fill="FFDCE0" w:val="clear"/>
          </w:tcPr>
          <w:p>
            <w:r>
              <w:rPr>
                <w:b/>
                <w:color w:val="C00000"/>
                <w:sz w:val="17"/>
              </w:rPr>
              <w:t>-10.9%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(BRVM)**</w:t>
      </w:r>
    </w:p>
    <w:p>
      <w:pPr>
        <w:spacing w:after="120" w:line="276" w:lineRule="auto" w:before="240"/>
      </w:pPr>
      <w:r>
        <w:rPr>
          <w:b/>
          <w:color w:val="003366"/>
          <w:sz w:val="24"/>
        </w:rPr>
        <w:t>**PARTIE 0 : INDICATEURS DE VALORISATION BOURSIÈRE**</w:t>
      </w:r>
    </w:p>
    <w:p>
      <w:pPr>
        <w:spacing w:after="120" w:line="276" w:lineRule="auto"/>
      </w:pPr>
      <w:r>
        <w:t>La capitalisation boursière de la SICOR s'établit à 3,84 milliards FCFA, un niveau modeste qui la classe parmi les petites capitalisations de la BRVM, offrant un profil de liquidité restreint mais un potentiel de revalorisation significatif. Les ratios de valorisation (BPA, PER, P/B, EV/EBITDA) ne sont pas calculables en raison de l'absence de données financières structurées récentes dans la base, ce qui constitue une limite importante pour une évaluation précise par les méthodes comparables. Toutefois, sur la base des bénéfices historiques (19,25 millions FCFA en 2023), le PER implicite ressortirait à environ 200 fois, soit une valorisation extrêmement élevée comparée à la moyenne historique de la BRVM (8-12 fois). Cette situation traduit une anticipation très optimiste du marché, probablement spéculative, qui ne saurait être justifiée par les fondamentaux actuels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l'action SICOR affiche une progression spectaculaire de +49,18%, avec une accélération marquée lors de la dernière séance (+7,11%), portant le cours à 6 400 FCFA, son plus haut niveau sur la période, contre un plus bas de 3 710 FCFA. La moyenne du cours (4 514 FCFA) est supérieure à la médiane (4 380 FCFA), indiquant une distribution asymétrique positive (skewness de 1,332) où les journées de forte hausse tirent la moyenne vers le haut. L'écart-type de 558 FCFA (CV de 12,4%) révèle une dispersion modérée, mais le kurtosis élevé (1,486) signale un risque de mouvements extrêmes, confirmé par une volatilité annualisée de 56,2%, très largement supérieure au seuil de 30% qualifiant les titres à forte volatilité. Le volume moyen de 92 titres par jour témoigne d'une liquidité très faible, amplifiant mécaniquement les variations de cours.</w:t>
      </w:r>
    </w:p>
    <w:p>
      <w:pPr>
        <w:spacing w:after="120" w:line="276" w:lineRule="auto" w:before="240"/>
      </w:pPr>
      <w:r>
        <w:rPr>
          <w:b/>
          <w:color w:val="003366"/>
          <w:sz w:val="24"/>
        </w:rPr>
        <w:t>**PARTIE 2 : ANALYSE TECHNIQUE DÉTAILLÉE**</w:t>
      </w:r>
    </w:p>
    <w:p>
      <w:pPr>
        <w:spacing w:after="120" w:line="276" w:lineRule="auto"/>
      </w:pPr>
      <w:r>
        <w:t>**Moyennes Mobiles** : Le cours actuel (6 400 FCFA) évolue nettement au-dessus de la MM20 (5 440,5 FCFA) et de la MM50 (4 891,2 FCFA), confirmant une dynamique haussière de court et moyen terme. L'écart positif entre les deux moyennes et leur orientation ascendante valident le signal d'achat, bien que l'ampleur de l'écart suggère une possible surenchère à court terme.</w:t>
      </w:r>
    </w:p>
    <w:p>
      <w:pPr>
        <w:spacing w:after="120" w:line="276" w:lineRule="auto"/>
      </w:pPr>
      <w:r>
        <w:t>**Bandes de Bollinger** : Le cours se situe au-dessus de la borne supérieure (6 303,3 FCFA), indiquant une situation de surachat extrême. Cette sortie de canal signale une volatilité exceptionnellement élevée et un écart probablement temporaire par rapport à la moyenne mobile centrale. Le signal de vente généré par cet indicateur appelle à la prudence, car de telles configurations précèdent souvent des corrections techniques.</w:t>
      </w:r>
    </w:p>
    <w:p>
      <w:pPr>
        <w:spacing w:after="120" w:line="276" w:lineRule="auto"/>
      </w:pPr>
      <w:r>
        <w:t>**MACD** : La valeur du MACD (355,6) est nettement supérieure à sa ligne de signal (269,6), confirmant un momentum haussier puissant. L'écart positif entre les deux lignes, bien que non divergent, indique une dynamique de tendance toujours active. Le signal d'achat est validé, mais la distance importante entre le MACD et sa moyenne suggère une possible saturation à court terme.</w:t>
      </w:r>
    </w:p>
    <w:p>
      <w:pPr>
        <w:spacing w:after="120" w:line="276" w:lineRule="auto"/>
      </w:pPr>
      <w:r>
        <w:t>**RSI** : À 69,6, le RSI se situe en zone neutre haute, proche du seuil de surachat de 70. Cette valeur reflète une pression acheteuse soutenue sans toutefois atteindre des niveaux extrêmes. La décision neutre est cohérente avec une situation où le titre conserve un potentiel haussier mais avec un risque croissant de retournement.</w:t>
      </w:r>
    </w:p>
    <w:p>
      <w:pPr>
        <w:spacing w:after="120" w:line="276" w:lineRule="auto"/>
      </w:pPr>
      <w:r>
        <w:t>**Stochastique** : Le %K à 100 et le %D à 92,3 indiquent une condition de surachat extrême, le titre étant au plus haut sur sa période de référence. La configuration actuelle, avec %K au plafond, suggère une probabilité élevée de croisement baissier imminent, justifiant le signal de vente.</w:t>
      </w:r>
    </w:p>
    <w:p>
      <w:pPr>
        <w:spacing w:after="120" w:line="276" w:lineRule="auto"/>
      </w:pPr>
      <w:r>
        <w:t>**Conclusion technique** : Les indicateurs de tendance (MM, MACD) restent positifs, mais les oscillateurs de momentum (Bollinger, Stochastique) signalent une situation de surachat prononcée. Cette divergence entre indicateurs de tendance et de momentum suggère une poursuite possible de la hausse à très court terme, suivie d'une correction technique probable. La prudence est recommandée.</w:t>
      </w:r>
    </w:p>
    <w:p>
      <w:pPr>
        <w:spacing w:after="120" w:line="276" w:lineRule="auto" w:before="240"/>
      </w:pPr>
      <w:r>
        <w:rPr>
          <w:b/>
          <w:color w:val="003366"/>
          <w:sz w:val="24"/>
        </w:rPr>
        <w:t>**PARTIE 3 : ANALYSE FONDAMENTALE (SECTION CRITIQUE)**</w:t>
      </w:r>
    </w:p>
    <w:p>
      <w:pPr>
        <w:spacing w:after="120" w:line="276" w:lineRule="auto"/>
      </w:pPr>
      <w:r>
        <w:t>Les rapports financiers disponibles, datés du 31 décembre 2024 mais couvrant les exercices 2023 et 2022, révèlent une situation contrastée. En 2023, le chiffre d'affaires s'est établi à 701,09 millions FCFA, en forte baisse de 38,4% par rapport à 2022 (1 138,17 millions FCFA), principalement en raison de l'effondrement des ventes d'huile de coprah (-98,82%) et des tourteaux (-86,03%). Malgré cette contraction, l'entreprise a renoué avec les bénéfices, affichant un résultat net positif de 19,25 millions FCFA en 2023, contre une perte de 39,95 millions FCFA en 2022, grâce à une réduction drastique des charges (-43,68%) incluant le transfert de 50% du personnel vers la SIPAL. La marge nette reste faible (2,75% en 2023) et inférieure aux standards sectoriels (5-10%). Les pertes cumulées s'élèvent à 689,86 millions FCFA, interdisant toute distribution de dividende conformément à l'OHADA. L'entreprise fait face à des risques opérationnels majeurs (vols de noix de coco, arrêt du site de Boulay) et financiers (découverts bancaires multipliés par 14). Les perspectives de distribution de dividendes ne sont pas envisageables avant 2025-2026 au plus tôt, et la rentabilité demeure fragile, dépendante de la maîtrise des coûts et de la reprise des volumes.</w:t>
      </w:r>
    </w:p>
    <w:p>
      <w:pPr>
        <w:spacing w:after="120" w:line="276" w:lineRule="auto" w:before="240"/>
      </w:pPr>
      <w:r>
        <w:rPr>
          <w:b/>
          <w:color w:val="003366"/>
          <w:sz w:val="24"/>
        </w:rPr>
        <w:t>**PARTIE 4 : CONCLUSION D'INVESTISSEMENT**</w:t>
      </w:r>
    </w:p>
    <w:p>
      <w:pPr>
        <w:spacing w:after="120" w:line="276" w:lineRule="auto"/>
      </w:pPr>
      <w:r>
        <w:t>La valorisation boursière actuelle de la SICOR, avec un PER implicite d'environ 200 fois, apparaît extrêmement surévaluée au regard des fondamentaux, tandis que le comportement du cours (+49,18% en 100 jours, volatilité de 56,2%) reflète une dynamique spéculative préoccupante. Les signaux techniques sont partagés : les indicateurs de tendance (MM, MACD) restent positifs, mais les oscillateurs (Bollinger, Stochastique) signalent un surachat extrême, suggérant une correction imminente. Les fondamentaux, bien qu'en amélioration en 2023, demeurent fragiles avec une rentabilité marginale et des pertes cumulées importantes. Les prédictions IA pour les 10 prochains jours (6 247 à 6 061 FCFA) confirment cette anticipation de correction, avec une baisse progressive attendue. La convergence entre les signaux techniques de surachat, la valorisation excessive et les prédictions IA conduit à une recommandation de **VENTE**, avec un niveau de confiance **Moyen** (la liquidité très faible peut fausser les signaux) et un risque global **Élevé**. L'horizon d'investissement optimal serait le court terme (&lt;3 mois) pour les investisseurs cherchant à sécuriser leurs gains, tandis que les investisseurs à long terme devraient attendre une correction significative et une amélioration durable des fondamentaux avant d'envisager une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19.21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6,369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B40000"/>
                <w:sz w:val="17"/>
              </w:rPr>
              <w:t>-12.00%</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9.99% (Moyenne) — μ=2,676 FCFA, σ=268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β=0.0015 (Défensif) — Cov=0.000000, Var(idx)=0.000036, ρ=0.000,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2026-08-03</w:t>
            </w:r>
          </w:p>
        </w:tc>
        <w:tc>
          <w:tcPr>
            <w:tcW w:type="dxa" w:w="1440"/>
            <w:shd w:fill="FFDCE0" w:val="clear"/>
          </w:tcPr>
          <w:p>
            <w:r>
              <w:rPr>
                <w:sz w:val="17"/>
              </w:rPr>
              <w:t>1,917</w:t>
            </w:r>
          </w:p>
        </w:tc>
        <w:tc>
          <w:tcPr>
            <w:tcW w:type="dxa" w:w="1440"/>
            <w:shd w:fill="FFDCE0" w:val="clear"/>
          </w:tcPr>
          <w:p>
            <w:r>
              <w:rPr>
                <w:b/>
                <w:sz w:val="17"/>
              </w:rPr>
              <w:t>2,072</w:t>
            </w:r>
          </w:p>
        </w:tc>
        <w:tc>
          <w:tcPr>
            <w:tcW w:type="dxa" w:w="1440"/>
            <w:shd w:fill="FFDCE0" w:val="clear"/>
          </w:tcPr>
          <w:p>
            <w:r>
              <w:rPr>
                <w:sz w:val="17"/>
              </w:rPr>
              <w:t>2,228</w:t>
            </w:r>
          </w:p>
        </w:tc>
        <w:tc>
          <w:tcPr>
            <w:tcW w:type="dxa" w:w="1440"/>
            <w:shd w:fill="FFDCE0" w:val="clear"/>
          </w:tcPr>
          <w:p>
            <w:r>
              <w:rPr>
                <w:b/>
                <w:color w:val="C00000"/>
                <w:sz w:val="17"/>
              </w:rPr>
              <w:t>-5.8%</w:t>
            </w:r>
          </w:p>
        </w:tc>
      </w:tr>
      <w:tr>
        <w:tc>
          <w:tcPr>
            <w:tcW w:type="dxa" w:w="1440"/>
            <w:shd w:fill="FFDCE0" w:val="clear"/>
          </w:tcPr>
          <w:p>
            <w:r>
              <w:rPr>
                <w:sz w:val="17"/>
              </w:rPr>
              <w:t>J+2  ⭐</w:t>
            </w:r>
          </w:p>
        </w:tc>
        <w:tc>
          <w:tcPr>
            <w:tcW w:type="dxa" w:w="1440"/>
            <w:shd w:fill="FFDCE0" w:val="clear"/>
          </w:tcPr>
          <w:p>
            <w:r>
              <w:rPr>
                <w:sz w:val="17"/>
              </w:rPr>
              <w:t>2026-08-04</w:t>
            </w:r>
          </w:p>
        </w:tc>
        <w:tc>
          <w:tcPr>
            <w:tcW w:type="dxa" w:w="1440"/>
            <w:shd w:fill="FFDCE0" w:val="clear"/>
          </w:tcPr>
          <w:p>
            <w:r>
              <w:rPr>
                <w:sz w:val="17"/>
              </w:rPr>
              <w:t>1,821</w:t>
            </w:r>
          </w:p>
        </w:tc>
        <w:tc>
          <w:tcPr>
            <w:tcW w:type="dxa" w:w="1440"/>
            <w:shd w:fill="FFDCE0" w:val="clear"/>
          </w:tcPr>
          <w:p>
            <w:r>
              <w:rPr>
                <w:b/>
                <w:sz w:val="17"/>
              </w:rPr>
              <w:t>2,037</w:t>
            </w:r>
          </w:p>
        </w:tc>
        <w:tc>
          <w:tcPr>
            <w:tcW w:type="dxa" w:w="1440"/>
            <w:shd w:fill="FFDCE0" w:val="clear"/>
          </w:tcPr>
          <w:p>
            <w:r>
              <w:rPr>
                <w:sz w:val="17"/>
              </w:rPr>
              <w:t>2,254</w:t>
            </w:r>
          </w:p>
        </w:tc>
        <w:tc>
          <w:tcPr>
            <w:tcW w:type="dxa" w:w="1440"/>
            <w:shd w:fill="FFDCE0" w:val="clear"/>
          </w:tcPr>
          <w:p>
            <w:r>
              <w:rPr>
                <w:b/>
                <w:color w:val="C00000"/>
                <w:sz w:val="17"/>
              </w:rPr>
              <w:t>-7.4%</w:t>
            </w:r>
          </w:p>
        </w:tc>
      </w:tr>
      <w:tr>
        <w:tc>
          <w:tcPr>
            <w:tcW w:type="dxa" w:w="1440"/>
            <w:shd w:fill="FFDCE0" w:val="clear"/>
          </w:tcPr>
          <w:p>
            <w:r>
              <w:rPr>
                <w:sz w:val="17"/>
              </w:rPr>
              <w:t>J+3  ⭐</w:t>
            </w:r>
          </w:p>
        </w:tc>
        <w:tc>
          <w:tcPr>
            <w:tcW w:type="dxa" w:w="1440"/>
            <w:shd w:fill="FFDCE0" w:val="clear"/>
          </w:tcPr>
          <w:p>
            <w:r>
              <w:rPr>
                <w:sz w:val="17"/>
              </w:rPr>
              <w:t>2026-08-05</w:t>
            </w:r>
          </w:p>
        </w:tc>
        <w:tc>
          <w:tcPr>
            <w:tcW w:type="dxa" w:w="1440"/>
            <w:shd w:fill="FFDCE0" w:val="clear"/>
          </w:tcPr>
          <w:p>
            <w:r>
              <w:rPr>
                <w:sz w:val="17"/>
              </w:rPr>
              <w:t>1,735</w:t>
            </w:r>
          </w:p>
        </w:tc>
        <w:tc>
          <w:tcPr>
            <w:tcW w:type="dxa" w:w="1440"/>
            <w:shd w:fill="FFDCE0" w:val="clear"/>
          </w:tcPr>
          <w:p>
            <w:r>
              <w:rPr>
                <w:b/>
                <w:sz w:val="17"/>
              </w:rPr>
              <w:t>1,995</w:t>
            </w:r>
          </w:p>
        </w:tc>
        <w:tc>
          <w:tcPr>
            <w:tcW w:type="dxa" w:w="1440"/>
            <w:shd w:fill="FFDCE0" w:val="clear"/>
          </w:tcPr>
          <w:p>
            <w:r>
              <w:rPr>
                <w:sz w:val="17"/>
              </w:rPr>
              <w:t>2,254</w:t>
            </w:r>
          </w:p>
        </w:tc>
        <w:tc>
          <w:tcPr>
            <w:tcW w:type="dxa" w:w="1440"/>
            <w:shd w:fill="FFDCE0" w:val="clear"/>
          </w:tcPr>
          <w:p>
            <w:r>
              <w:rPr>
                <w:b/>
                <w:color w:val="C00000"/>
                <w:sz w:val="17"/>
              </w:rPr>
              <w:t>-9.3%</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1,658</w:t>
            </w:r>
          </w:p>
        </w:tc>
        <w:tc>
          <w:tcPr>
            <w:tcW w:type="dxa" w:w="1440"/>
            <w:shd w:fill="FFDCE0" w:val="clear"/>
          </w:tcPr>
          <w:p>
            <w:r>
              <w:rPr>
                <w:b/>
                <w:sz w:val="17"/>
              </w:rPr>
              <w:t>1,951</w:t>
            </w:r>
          </w:p>
        </w:tc>
        <w:tc>
          <w:tcPr>
            <w:tcW w:type="dxa" w:w="1440"/>
            <w:shd w:fill="FFDCE0" w:val="clear"/>
          </w:tcPr>
          <w:p>
            <w:r>
              <w:rPr>
                <w:sz w:val="17"/>
              </w:rPr>
              <w:t>2,244</w:t>
            </w:r>
          </w:p>
        </w:tc>
        <w:tc>
          <w:tcPr>
            <w:tcW w:type="dxa" w:w="1440"/>
            <w:shd w:fill="FFDCE0" w:val="clear"/>
          </w:tcPr>
          <w:p>
            <w:r>
              <w:rPr>
                <w:b/>
                <w:color w:val="C00000"/>
                <w:sz w:val="17"/>
              </w:rPr>
              <w:t>-11.3%</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1,588</w:t>
            </w:r>
          </w:p>
        </w:tc>
        <w:tc>
          <w:tcPr>
            <w:tcW w:type="dxa" w:w="1440"/>
            <w:shd w:fill="FFDCE0" w:val="clear"/>
          </w:tcPr>
          <w:p>
            <w:r>
              <w:rPr>
                <w:b/>
                <w:sz w:val="17"/>
              </w:rPr>
              <w:t>1,908</w:t>
            </w:r>
          </w:p>
        </w:tc>
        <w:tc>
          <w:tcPr>
            <w:tcW w:type="dxa" w:w="1440"/>
            <w:shd w:fill="FFDCE0" w:val="clear"/>
          </w:tcPr>
          <w:p>
            <w:r>
              <w:rPr>
                <w:sz w:val="17"/>
              </w:rPr>
              <w:t>2,229</w:t>
            </w:r>
          </w:p>
        </w:tc>
        <w:tc>
          <w:tcPr>
            <w:tcW w:type="dxa" w:w="1440"/>
            <w:shd w:fill="FFDCE0" w:val="clear"/>
          </w:tcPr>
          <w:p>
            <w:r>
              <w:rPr>
                <w:b/>
                <w:color w:val="C00000"/>
                <w:sz w:val="17"/>
              </w:rPr>
              <w:t>-13.3%</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1,523</w:t>
            </w:r>
          </w:p>
        </w:tc>
        <w:tc>
          <w:tcPr>
            <w:tcW w:type="dxa" w:w="1440"/>
            <w:shd w:fill="FFDCE0" w:val="clear"/>
          </w:tcPr>
          <w:p>
            <w:r>
              <w:rPr>
                <w:b/>
                <w:sz w:val="17"/>
              </w:rPr>
              <w:t>1,867</w:t>
            </w:r>
          </w:p>
        </w:tc>
        <w:tc>
          <w:tcPr>
            <w:tcW w:type="dxa" w:w="1440"/>
            <w:shd w:fill="FFDCE0" w:val="clear"/>
          </w:tcPr>
          <w:p>
            <w:r>
              <w:rPr>
                <w:sz w:val="17"/>
              </w:rPr>
              <w:t>2,211</w:t>
            </w:r>
          </w:p>
        </w:tc>
        <w:tc>
          <w:tcPr>
            <w:tcW w:type="dxa" w:w="1440"/>
            <w:shd w:fill="FFDCE0" w:val="clear"/>
          </w:tcPr>
          <w:p>
            <w:r>
              <w:rPr>
                <w:b/>
                <w:color w:val="C00000"/>
                <w:sz w:val="17"/>
              </w:rPr>
              <w:t>-15.1%</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1,464</w:t>
            </w:r>
          </w:p>
        </w:tc>
        <w:tc>
          <w:tcPr>
            <w:tcW w:type="dxa" w:w="1440"/>
            <w:shd w:fill="FFDCE0" w:val="clear"/>
          </w:tcPr>
          <w:p>
            <w:r>
              <w:rPr>
                <w:b/>
                <w:sz w:val="17"/>
              </w:rPr>
              <w:t>1,827</w:t>
            </w:r>
          </w:p>
        </w:tc>
        <w:tc>
          <w:tcPr>
            <w:tcW w:type="dxa" w:w="1440"/>
            <w:shd w:fill="FFDCE0" w:val="clear"/>
          </w:tcPr>
          <w:p>
            <w:r>
              <w:rPr>
                <w:sz w:val="17"/>
              </w:rPr>
              <w:t>2,190</w:t>
            </w:r>
          </w:p>
        </w:tc>
        <w:tc>
          <w:tcPr>
            <w:tcW w:type="dxa" w:w="1440"/>
            <w:shd w:fill="FFDCE0" w:val="clear"/>
          </w:tcPr>
          <w:p>
            <w:r>
              <w:rPr>
                <w:b/>
                <w:color w:val="C00000"/>
                <w:sz w:val="17"/>
              </w:rPr>
              <w:t>-17.0%</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1,408</w:t>
            </w:r>
          </w:p>
        </w:tc>
        <w:tc>
          <w:tcPr>
            <w:tcW w:type="dxa" w:w="1440"/>
            <w:shd w:fill="FFDCE0" w:val="clear"/>
          </w:tcPr>
          <w:p>
            <w:r>
              <w:rPr>
                <w:b/>
                <w:sz w:val="17"/>
              </w:rPr>
              <w:t>1,788</w:t>
            </w:r>
          </w:p>
        </w:tc>
        <w:tc>
          <w:tcPr>
            <w:tcW w:type="dxa" w:w="1440"/>
            <w:shd w:fill="FFDCE0" w:val="clear"/>
          </w:tcPr>
          <w:p>
            <w:r>
              <w:rPr>
                <w:sz w:val="17"/>
              </w:rPr>
              <w:t>2,169</w:t>
            </w:r>
          </w:p>
        </w:tc>
        <w:tc>
          <w:tcPr>
            <w:tcW w:type="dxa" w:w="1440"/>
            <w:shd w:fill="FFDCE0" w:val="clear"/>
          </w:tcPr>
          <w:p>
            <w:r>
              <w:rPr>
                <w:b/>
                <w:color w:val="C00000"/>
                <w:sz w:val="17"/>
              </w:rPr>
              <w:t>-18.7%</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1,356</w:t>
            </w:r>
          </w:p>
        </w:tc>
        <w:tc>
          <w:tcPr>
            <w:tcW w:type="dxa" w:w="1440"/>
            <w:shd w:fill="FFDCE0" w:val="clear"/>
          </w:tcPr>
          <w:p>
            <w:r>
              <w:rPr>
                <w:b/>
                <w:sz w:val="17"/>
              </w:rPr>
              <w:t>1,751</w:t>
            </w:r>
          </w:p>
        </w:tc>
        <w:tc>
          <w:tcPr>
            <w:tcW w:type="dxa" w:w="1440"/>
            <w:shd w:fill="FFDCE0" w:val="clear"/>
          </w:tcPr>
          <w:p>
            <w:r>
              <w:rPr>
                <w:sz w:val="17"/>
              </w:rPr>
              <w:t>2,146</w:t>
            </w:r>
          </w:p>
        </w:tc>
        <w:tc>
          <w:tcPr>
            <w:tcW w:type="dxa" w:w="1440"/>
            <w:shd w:fill="FFDCE0" w:val="clear"/>
          </w:tcPr>
          <w:p>
            <w:r>
              <w:rPr>
                <w:b/>
                <w:color w:val="C00000"/>
                <w:sz w:val="17"/>
              </w:rPr>
              <w:t>-20.4%</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1,307</w:t>
            </w:r>
          </w:p>
        </w:tc>
        <w:tc>
          <w:tcPr>
            <w:tcW w:type="dxa" w:w="1440"/>
            <w:shd w:fill="FFDCE0" w:val="clear"/>
          </w:tcPr>
          <w:p>
            <w:r>
              <w:rPr>
                <w:b/>
                <w:sz w:val="17"/>
              </w:rPr>
              <w:t>1,715</w:t>
            </w:r>
          </w:p>
        </w:tc>
        <w:tc>
          <w:tcPr>
            <w:tcW w:type="dxa" w:w="1440"/>
            <w:shd w:fill="FFDCE0" w:val="clear"/>
          </w:tcPr>
          <w:p>
            <w:r>
              <w:rPr>
                <w:sz w:val="17"/>
              </w:rPr>
              <w:t>2,123</w:t>
            </w:r>
          </w:p>
        </w:tc>
        <w:tc>
          <w:tcPr>
            <w:tcW w:type="dxa" w:w="1440"/>
            <w:shd w:fill="FFDCE0" w:val="clear"/>
          </w:tcPr>
          <w:p>
            <w:r>
              <w:rPr>
                <w:b/>
                <w:color w:val="C00000"/>
                <w:sz w:val="17"/>
              </w:rPr>
              <w:t>-22.0%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COTE D'IVOIRE**</w:t>
        <w:br/>
        <w:t>**Date de l'analyse : 30 juillet 2026**</w:t>
        <w:br/>
        <w:t>**Cours de référence : 2 200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19,21 milliards FCFA positionne SIVC comme une valeur de taille moyenne sur la BRVM. Le BPA de 43 FCFA par action est particulièrement faible, ce qui explique un PER de 51,0x, très largement supérieur à la moyenne du marché BRVM (8-12x). Les investisseurs paient donc un prix extrêmement élevé pour chaque franc de bénéfice, signe d'une valorisation très exigeante. Le P/B de 5,87x confirme cette surévaluation, le marché valorisant l'actif net comptable près de six fois sa valeur, contre un standard de 1 à 2x pour les valeurs industrielles. Enfin, l'EV/EBITDA de 16,3x indique que la valeur d'entreprise (dette incluse) représente plus de 16 fois la capacité opérationnelle, un niveau qui reflète des attentes de croissance très fortes mais qui laisse peu de marge de sécurité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SIVC a enregistré une baisse significative de -12,00%, avec une légère stabilisation lors de la dernière séance (+0,23%). Le cours a évolué dans une fourchette très large, entre un plus haut de 3 215 FCFA et un plus bas de 1 920 FCFA, illustrant une forte amplitude de variation. La moyenne du cours sur la période (2 676 FCFA) est inférieure à la médiane (2 780 FCFA), ce qui, combiné à un skewness négatif de -0,879, indique une distribution asymétrique avec des épisodes de fortes baisses plus fréquents que les hausses. L'écart-type de 269 FCFA (CV=10%) montre une dispersion modérée, tandis que le kurtosis proche de zéro (0,030) suggère une distribution mésokurtique sans risque de pics extrêmes. La volatilité annualisée de 52,0% est très élevée (&gt;30%), classant ce titre parmi les plus risqués du marché, avec une tendance globale baissière marquée depuis le plus haut de 3 215 FCFA.</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(2 200 FCFA) est inférieur à la MM20 (2 228 FCFA) et nettement sous la MM50 (2 527 FCFA). Cette configuration en pente descendante confirme une tendance baissière de moyen terme. La décision de "Vente" est justifiée par la position du prix sous les deux moyennes mobiles, signalant une dynamique négative persistante.</w:t>
      </w:r>
    </w:p>
    <w:p>
      <w:pPr>
        <w:spacing w:after="120" w:line="276" w:lineRule="auto"/>
      </w:pPr>
      <w:r>
        <w:t>**Bandes de Bollinger :** Le prix se situe dans la partie médiane-basse des bandes (borne inférieure à 1 951,63 FCFA, borne supérieure à 2 504,87 FCFA). L'écart entre les bornes est large, reflétant la volatilité élevée du titre. La décision "Neutre" s'explique par le fait que le cours n'est ni en situation de surachat ni de survente extrême, mais la proximité de la borne inférieure suggère un potentiel de rebond technique.</w:t>
      </w:r>
    </w:p>
    <w:p>
      <w:pPr>
        <w:spacing w:after="120" w:line="276" w:lineRule="auto"/>
      </w:pPr>
      <w:r>
        <w:t>**MACD :** Le MACD (-84,63) est négatif mais se situe au-dessus de sa ligne de signal (-95,08). Cette configuration en convergence haussière, bien que les deux lignes restent en territoire négatif, indique un ralentissement de la dynamique baissière. La décision "Achat" reflète ce début de retournement du momentum.</w:t>
      </w:r>
    </w:p>
    <w:p>
      <w:pPr>
        <w:spacing w:after="120" w:line="276" w:lineRule="auto"/>
      </w:pPr>
      <w:r>
        <w:t>**RSI :** À 49,49, le RSI se situe exactement dans la zone neutre (30-70), indiquant un équilibre entre pressions acheteuses et vendeuses. Cette valeur ne signale ni surachat ni survente, laissant place à une interprétation "Neutre" cohérente avec l'absence de direction claire à court terme.</w:t>
      </w:r>
    </w:p>
    <w:p>
      <w:pPr>
        <w:spacing w:after="120" w:line="276" w:lineRule="auto"/>
      </w:pPr>
      <w:r>
        <w:t>**Stochastique :** Le %K (10,81) et le %D (16,69) sont tous deux en zone de survente profonde (&lt;20). Cette configuration suggère que le titre est techniquement survendu, avec un croisement haussier potentiel. La décision "Achat" est justifiée par ce niveau extrême qui précède souvent un rebond technique.</w:t>
      </w:r>
    </w:p>
    <w:p>
      <w:pPr>
        <w:spacing w:after="120" w:line="276" w:lineRule="auto"/>
      </w:pPr>
      <w:r>
        <w:t>**Conclusion technique :** Les indicateurs sont mitigés : les moyennes mobiles et la tendance générale restent baissières, mais le MACD, le stochastique et le RSI suggèrent un épuisement de la vente et un potentiel de rebond à court terme. La prudence reste de mise tant que le cours ne repasse pas au-dessus de la MM20.</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2024 :** Pour l'exercice 2024, le chiffre d'affaires s'établit à 9,283 milliards FCFA avec un résultat net de 376,96 millions FCFA, soit une marge nette de 4,06%. Le ROE ressort à 11,52% et le ROA à 2,69%, des niveaux corrects mais perfectibles. Le coefficient d'exploitation de 95,83% est très élevé (bien au-dessus du seuil de 60% considéré comme efficace), indiquant une mauvaise maîtrise des charges. Le coût du risque de 3,10% est significatif, témoignant d'un risque de crédit notable. La trésorerie nette est négative (-2,143 milliards FCFA) et le fonds de roulement est déficitaire (-3,883 milliards FCFA), signalant une fragilité financière structurelle.</w:t>
      </w:r>
    </w:p>
    <w:p>
      <w:pPr>
        <w:spacing w:after="120" w:line="276" w:lineRule="auto"/>
      </w:pPr>
      <w:r>
        <w:t>**Évolution récente (rapports 2025) :** Le rapport du 3ème trimestre 2025 (daté du 30 septembre 2025) fait état d'un chiffre d'affaires cumulé de 7,585 milliards FCFA (+13% vs 2024) et d'un résultat net de 832,5 millions FCFA (+58%), soit une marge nette de 11%. Le rapport annuel 2025 (analysé le 29 juin 2026) confirme cette dynamique avec un CA de 10,075 milliards FCFA (+8,53%) mais un résultat net en forte baisse à 179,3 millions FCFA (-52,4%), traduisant une dégradation de la rentabilité en fin d'exercice. Les capitaux propres s'élèvent à 2,526 milliards FCFA, en baisse par rapport à 2024 (3,272 milliards FCFA).</w:t>
      </w:r>
    </w:p>
    <w:p>
      <w:pPr>
        <w:spacing w:after="120" w:line="276" w:lineRule="auto"/>
      </w:pPr>
      <w:r>
        <w:t>**Estimations et perspectives :** Sur la base du rapport T3 2025 très positif (résultat net de 832,5 millions sur 9 mois), on estime que l'exercice 2025 aurait pu dépasser 1 milliard FCFA de bénéfice. Cependant, le résultat annuel final de 179 millions FCFA révèle un quatrième trimestre fortement déficitaire. Pour 2026, la tendance reste incertaine : la croissance du CA est solide (+8-13%), mais la maîtrise des charges et la gestion de la trésorerie (toujours négative à -1,660 milliard FCFA fin 2025) constituent des défis majeurs. La recommandation fondamentale est **CONSERVER avec surveillance**, compte tenu du paradoxe entre croissance commerciale et fragilité financière.</w:t>
      </w:r>
    </w:p>
    <w:p>
      <w:pPr>
        <w:spacing w:after="120" w:line="276" w:lineRule="auto"/>
      </w:pPr>
      <w:r>
        <w:t>---</w:t>
      </w:r>
    </w:p>
    <w:p>
      <w:pPr>
        <w:spacing w:after="120" w:line="276" w:lineRule="auto"/>
      </w:pPr>
      <w:r>
        <w:t>### PARTIE 4 : CONCLUSION D'INVESTISSEMENT</w:t>
      </w:r>
    </w:p>
    <w:p>
      <w:pPr>
        <w:spacing w:after="120" w:line="276" w:lineRule="auto"/>
      </w:pPr>
      <w:r>
        <w:t>La synthèse globale fait ressortir des signaux contrastés. **Valorisation** : les ratios (PER 51x, P/B 5,87x, EV/EBITDA 16,3x) indiquent une nette surévaluation du titre par rapport aux fondamentaux actuels. **Comportement du cours** : la tendance baissière (-12% sur 100 jours) avec une volatilité très élevée (52%) et une asymétrie négative (skewness -0,879) reflète un risque important. **Signaux techniques** : mitigés, avec une tendance baissière mais des indicateurs de retournement (MACD, stochastique en zone de survente). **Fondamentaux** : croissance du CA solide (+8,5% en 2025) mais rentabilité en chute (marge nette de 1,78% fin 2025) et trésorerie négative persistante. **Prédictions IA** : la trajectoire projetée (2 072 → 1 908 FCFA sur 10 jours) confirme la poursuite de la baisse, en cohérence avec les signaux baissiers. **Recommandation finale : VENTE** avec un niveau de confiance **Moyen** et un risque global **Élevé**. L'horizon d'investissement optimal est le **court terme (&lt;3 mois)** pour les investisseurs existants cherchant à limiter leurs pertes, tandis que les nouveaux investisseurs devraient attendre une stabilisation du cours sous les 1 900 FCFA et une amélioration visible de la rentabilité avant toute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affiche des pertes r\u00e9currentes avec une d\u00e9gradation continue de la rentabilit\u00e9 op\u00e9rationnelle et un environnement \u00e9conomique tr\u00e8s instable. Les perspectives restent incertaines malgr\u00e9 les efforts de restructuration."}</w:t>
      </w:r>
    </w:p>
    <w:p>
      <w:pPr>
        <w:spacing w:before="40"/>
        <w:ind w:left="400"/>
      </w:pPr>
      <w:r>
        <w:rPr>
          <w:sz w:val="18"/>
        </w:rPr>
        <w:t>Air Liquide Côte d'Ivoire a enregistré une performance dégradée au premier semestre 2020 avec un chiffre d'affaires en recul de 5% à 3,3 milliards FCFA, impacté par la pandémie COVID-19. La société affiche une perte nette de 112 millions FCFA contre un bénéfice de 147 millions FCFA au premier semestre 2019, soit une dégradation de 176%. Le résultat d'exploitation s'est détérioré de 19% à -226 millions FCFA en raison de coûts de restructuration plus élevés. Cependant, l'amélioration du système de gestion clients et stock a permis une réduction des provisions. Le résultat financier s'améliore légèrement grâce au remboursement progressif des emprunts bancaires.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'resultat_financier': '-87 657 K.FCFA', 'resultat_exploitation': '-226 184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-112 006 K.FCFA (S1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3 303 060 K.FCFA (S1 2020)</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 à 3,3 milliards FCFA au S1 2020</w:t>
      </w:r>
    </w:p>
    <w:p>
      <w:pPr>
        <w:pStyle w:val="ListBullet"/>
        <w:spacing w:before="20" w:after="20"/>
        <w:ind w:left="700"/>
      </w:pPr>
      <w:r>
        <w:rPr>
          <w:sz w:val="18"/>
        </w:rPr>
        <w:t>Perte nette de 112 millions FCFA contre un bénéfice de 147 millions FCFA au S1 2019</w:t>
      </w:r>
    </w:p>
    <w:p>
      <w:pPr>
        <w:pStyle w:val="ListBullet"/>
        <w:spacing w:before="20" w:after="20"/>
        <w:ind w:left="700"/>
      </w:pPr>
      <w:r>
        <w:rPr>
          <w:sz w:val="18"/>
        </w:rPr>
        <w:t>Résultat d'exploitation négatif aggravé de 19% à -226 millions FCFA</w:t>
      </w:r>
    </w:p>
    <w:p>
      <w:pPr>
        <w:pStyle w:val="ListBullet"/>
        <w:spacing w:before="20" w:after="20"/>
        <w:ind w:left="700"/>
      </w:pPr>
      <w:r>
        <w:rPr>
          <w:sz w:val="18"/>
        </w:rPr>
        <w:t>Impact significatif de la pandémie COVID-19 sur l'activité</w:t>
      </w:r>
    </w:p>
    <w:p>
      <w:pPr>
        <w:pStyle w:val="ListBullet"/>
        <w:spacing w:before="20" w:after="20"/>
        <w:ind w:left="700"/>
      </w:pPr>
      <w:r>
        <w:rPr>
          <w:sz w:val="18"/>
        </w:rPr>
        <w:t>Coûts de restructuration organisationnelle élevés</w:t>
      </w:r>
    </w:p>
    <w:p>
      <w:pPr>
        <w:pStyle w:val="ListBullet"/>
        <w:spacing w:before="20" w:after="20"/>
        <w:ind w:left="700"/>
      </w:pPr>
      <w:r>
        <w:rPr>
          <w:sz w:val="18"/>
        </w:rPr>
        <w:t>Amélioration du système de gestion clients et stock réduisant les provisions</w:t>
      </w:r>
    </w:p>
    <w:p>
      <w:pPr>
        <w:spacing w:before="40"/>
        <w:ind w:left="400"/>
      </w:pPr>
      <w:r>
        <w:rPr>
          <w:b/>
          <w:color w:val="C05000"/>
          <w:sz w:val="18"/>
        </w:rPr>
        <w:t xml:space="preserve">⚠️ Risques : </w:t>
      </w:r>
      <w:r>
        <w:rPr>
          <w:sz w:val="18"/>
        </w:rPr>
        <w:t>["Impact prolong\u00e9 de la pand\u00e9mie COVID-19 sur l'activit\u00e9", "Contexte \u00e9conomique tr\u00e8s instable en C\u00f4te d'Ivoire", "Difficult\u00e9s r\u00e9currentes de rentabilit\u00e9 op\u00e9rationnelle avec des pertes d'exploitation persistantes"]</w:t>
      </w:r>
    </w:p>
    <w:p>
      <w:pPr>
        <w:spacing w:before="40"/>
        <w:ind w:left="400"/>
      </w:pPr>
      <w:r>
        <w:rPr>
          <w:b/>
          <w:color w:val="0064A0"/>
          <w:sz w:val="18"/>
        </w:rPr>
        <w:t xml:space="preserve">🔮 Perspectives : </w:t>
      </w:r>
      <w:r>
        <w:rPr>
          <w:sz w:val="18"/>
        </w:rPr>
        <w:t>Les perspectives du second semestre 2020 restent marquées par l'incertitude liée à la pandémie COVID-19 toujours présente. La société mise sur l'amélioration du processus de collecte de cash et la conservation de sa part de marché pour garantir la continuité d'exploitation dans un environnement écon</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621.40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991 titres</w:t>
            </w:r>
          </w:p>
        </w:tc>
        <w:tc>
          <w:tcPr>
            <w:tcW w:type="dxa" w:w="2268"/>
            <w:shd w:fill="FFF2CC" w:val="clear"/>
          </w:tcPr>
          <w:p>
            <w:r>
              <w:rPr>
                <w:b/>
                <w:color w:val="503200"/>
                <w:sz w:val="16"/>
              </w:rPr>
              <w:t xml:space="preserve">Cours actuel : </w:t>
            </w:r>
            <w:r>
              <w:rPr>
                <w:color w:val="000000"/>
                <w:sz w:val="17"/>
              </w:rPr>
              <w:t>37,750 FCFA</w:t>
            </w:r>
          </w:p>
          <w:p>
            <w:r>
              <w:rPr>
                <w:b/>
                <w:color w:val="503200"/>
                <w:sz w:val="16"/>
              </w:rPr>
              <w:t xml:space="preserve">Var. 100 jours : </w:t>
            </w:r>
            <w:r>
              <w:rPr>
                <w:b/>
                <w:color w:val="B40000"/>
                <w:sz w:val="17"/>
              </w:rPr>
              <w:t>-7.57%</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34.4%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2.49% (Faible) — μ=38,588 FCFA, σ=960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β=0.2094 (Défensif) — Cov=0.000008, Var(idx)=0.000036, ρ=0.064,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991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2026-08-03</w:t>
            </w:r>
          </w:p>
        </w:tc>
        <w:tc>
          <w:tcPr>
            <w:tcW w:type="dxa" w:w="1440"/>
            <w:shd w:fill="FAFAFA" w:val="clear"/>
          </w:tcPr>
          <w:p>
            <w:r>
              <w:rPr>
                <w:sz w:val="17"/>
              </w:rPr>
              <w:t>36,982</w:t>
            </w:r>
          </w:p>
        </w:tc>
        <w:tc>
          <w:tcPr>
            <w:tcW w:type="dxa" w:w="1440"/>
            <w:shd w:fill="FAFAFA" w:val="clear"/>
          </w:tcPr>
          <w:p>
            <w:r>
              <w:rPr>
                <w:b/>
                <w:sz w:val="17"/>
              </w:rPr>
              <w:t>38,331</w:t>
            </w:r>
          </w:p>
        </w:tc>
        <w:tc>
          <w:tcPr>
            <w:tcW w:type="dxa" w:w="1440"/>
            <w:shd w:fill="FAFAFA" w:val="clear"/>
          </w:tcPr>
          <w:p>
            <w:r>
              <w:rPr>
                <w:sz w:val="17"/>
              </w:rPr>
              <w:t>39,680</w:t>
            </w:r>
          </w:p>
        </w:tc>
        <w:tc>
          <w:tcPr>
            <w:tcW w:type="dxa" w:w="1440"/>
            <w:shd w:fill="FAFAFA" w:val="clear"/>
          </w:tcPr>
          <w:p>
            <w:r>
              <w:rPr>
                <w:b/>
                <w:color w:val="008000"/>
                <w:sz w:val="17"/>
              </w:rPr>
              <w:t>+1.5%</w:t>
            </w:r>
          </w:p>
        </w:tc>
      </w:tr>
      <w:tr>
        <w:tc>
          <w:tcPr>
            <w:tcW w:type="dxa" w:w="1440"/>
            <w:shd w:fill="FAFAFA" w:val="clear"/>
          </w:tcPr>
          <w:p>
            <w:r>
              <w:rPr>
                <w:sz w:val="17"/>
              </w:rPr>
              <w:t>J+2  Moyenne</w:t>
            </w:r>
          </w:p>
        </w:tc>
        <w:tc>
          <w:tcPr>
            <w:tcW w:type="dxa" w:w="1440"/>
            <w:shd w:fill="FAFAFA" w:val="clear"/>
          </w:tcPr>
          <w:p>
            <w:r>
              <w:rPr>
                <w:sz w:val="17"/>
              </w:rPr>
              <w:t>2026-08-04</w:t>
            </w:r>
          </w:p>
        </w:tc>
        <w:tc>
          <w:tcPr>
            <w:tcW w:type="dxa" w:w="1440"/>
            <w:shd w:fill="FAFAFA" w:val="clear"/>
          </w:tcPr>
          <w:p>
            <w:r>
              <w:rPr>
                <w:sz w:val="17"/>
              </w:rPr>
              <w:t>36,341</w:t>
            </w:r>
          </w:p>
        </w:tc>
        <w:tc>
          <w:tcPr>
            <w:tcW w:type="dxa" w:w="1440"/>
            <w:shd w:fill="FAFAFA" w:val="clear"/>
          </w:tcPr>
          <w:p>
            <w:r>
              <w:rPr>
                <w:b/>
                <w:sz w:val="17"/>
              </w:rPr>
              <w:t>38,244</w:t>
            </w:r>
          </w:p>
        </w:tc>
        <w:tc>
          <w:tcPr>
            <w:tcW w:type="dxa" w:w="1440"/>
            <w:shd w:fill="FAFAFA" w:val="clear"/>
          </w:tcPr>
          <w:p>
            <w:r>
              <w:rPr>
                <w:sz w:val="17"/>
              </w:rPr>
              <w:t>40,147</w:t>
            </w:r>
          </w:p>
        </w:tc>
        <w:tc>
          <w:tcPr>
            <w:tcW w:type="dxa" w:w="1440"/>
            <w:shd w:fill="FAFAFA" w:val="clear"/>
          </w:tcPr>
          <w:p>
            <w:r>
              <w:rPr>
                <w:b/>
                <w:color w:val="008000"/>
                <w:sz w:val="17"/>
              </w:rPr>
              <w:t>+1.3%</w:t>
            </w:r>
          </w:p>
        </w:tc>
      </w:tr>
      <w:tr>
        <w:tc>
          <w:tcPr>
            <w:tcW w:type="dxa" w:w="1440"/>
            <w:shd w:fill="FAFAFA" w:val="clear"/>
          </w:tcPr>
          <w:p>
            <w:r>
              <w:rPr>
                <w:sz w:val="17"/>
              </w:rPr>
              <w:t>J+3  Moyenne</w:t>
            </w:r>
          </w:p>
        </w:tc>
        <w:tc>
          <w:tcPr>
            <w:tcW w:type="dxa" w:w="1440"/>
            <w:shd w:fill="FAFAFA" w:val="clear"/>
          </w:tcPr>
          <w:p>
            <w:r>
              <w:rPr>
                <w:sz w:val="17"/>
              </w:rPr>
              <w:t>2026-08-05</w:t>
            </w:r>
          </w:p>
        </w:tc>
        <w:tc>
          <w:tcPr>
            <w:tcW w:type="dxa" w:w="1440"/>
            <w:shd w:fill="FAFAFA" w:val="clear"/>
          </w:tcPr>
          <w:p>
            <w:r>
              <w:rPr>
                <w:sz w:val="17"/>
              </w:rPr>
              <w:t>35,872</w:t>
            </w:r>
          </w:p>
        </w:tc>
        <w:tc>
          <w:tcPr>
            <w:tcW w:type="dxa" w:w="1440"/>
            <w:shd w:fill="FAFAFA" w:val="clear"/>
          </w:tcPr>
          <w:p>
            <w:r>
              <w:rPr>
                <w:b/>
                <w:sz w:val="17"/>
              </w:rPr>
              <w:t>38,200</w:t>
            </w:r>
          </w:p>
        </w:tc>
        <w:tc>
          <w:tcPr>
            <w:tcW w:type="dxa" w:w="1440"/>
            <w:shd w:fill="FAFAFA" w:val="clear"/>
          </w:tcPr>
          <w:p>
            <w:r>
              <w:rPr>
                <w:sz w:val="17"/>
              </w:rPr>
              <w:t>40,528</w:t>
            </w:r>
          </w:p>
        </w:tc>
        <w:tc>
          <w:tcPr>
            <w:tcW w:type="dxa" w:w="1440"/>
            <w:shd w:fill="FAFAFA" w:val="clear"/>
          </w:tcPr>
          <w:p>
            <w:r>
              <w:rPr>
                <w:b/>
                <w:color w:val="008000"/>
                <w:sz w:val="17"/>
              </w:rPr>
              <w:t>+1.2%</w:t>
            </w:r>
          </w:p>
        </w:tc>
      </w:tr>
      <w:tr>
        <w:tc>
          <w:tcPr>
            <w:tcW w:type="dxa" w:w="1440"/>
            <w:shd w:fill="FAFAFA" w:val="clear"/>
          </w:tcPr>
          <w:p>
            <w:r>
              <w:rPr>
                <w:sz w:val="17"/>
              </w:rPr>
              <w:t>J+4  ⭐</w:t>
            </w:r>
          </w:p>
        </w:tc>
        <w:tc>
          <w:tcPr>
            <w:tcW w:type="dxa" w:w="1440"/>
            <w:shd w:fill="FAFAFA" w:val="clear"/>
          </w:tcPr>
          <w:p>
            <w:r>
              <w:rPr>
                <w:sz w:val="17"/>
              </w:rPr>
              <w:t>2026-08-06</w:t>
            </w:r>
          </w:p>
        </w:tc>
        <w:tc>
          <w:tcPr>
            <w:tcW w:type="dxa" w:w="1440"/>
            <w:shd w:fill="FAFAFA" w:val="clear"/>
          </w:tcPr>
          <w:p>
            <w:r>
              <w:rPr>
                <w:sz w:val="17"/>
              </w:rPr>
              <w:t>35,480</w:t>
            </w:r>
          </w:p>
        </w:tc>
        <w:tc>
          <w:tcPr>
            <w:tcW w:type="dxa" w:w="1440"/>
            <w:shd w:fill="FAFAFA" w:val="clear"/>
          </w:tcPr>
          <w:p>
            <w:r>
              <w:rPr>
                <w:b/>
                <w:sz w:val="17"/>
              </w:rPr>
              <w:t>38,166</w:t>
            </w:r>
          </w:p>
        </w:tc>
        <w:tc>
          <w:tcPr>
            <w:tcW w:type="dxa" w:w="1440"/>
            <w:shd w:fill="FAFAFA" w:val="clear"/>
          </w:tcPr>
          <w:p>
            <w:r>
              <w:rPr>
                <w:sz w:val="17"/>
              </w:rPr>
              <w:t>40,852</w:t>
            </w:r>
          </w:p>
        </w:tc>
        <w:tc>
          <w:tcPr>
            <w:tcW w:type="dxa" w:w="1440"/>
            <w:shd w:fill="FAFAFA" w:val="clear"/>
          </w:tcPr>
          <w:p>
            <w:r>
              <w:rPr>
                <w:b/>
                <w:color w:val="008000"/>
                <w:sz w:val="17"/>
              </w:rPr>
              <w:t>+1.1%</w:t>
            </w:r>
          </w:p>
        </w:tc>
      </w:tr>
      <w:tr>
        <w:tc>
          <w:tcPr>
            <w:tcW w:type="dxa" w:w="1440"/>
            <w:shd w:fill="FAFAFA" w:val="clear"/>
          </w:tcPr>
          <w:p>
            <w:r>
              <w:rPr>
                <w:sz w:val="17"/>
              </w:rPr>
              <w:t>J+5  ⭐</w:t>
            </w:r>
          </w:p>
        </w:tc>
        <w:tc>
          <w:tcPr>
            <w:tcW w:type="dxa" w:w="1440"/>
            <w:shd w:fill="FAFAFA" w:val="clear"/>
          </w:tcPr>
          <w:p>
            <w:r>
              <w:rPr>
                <w:sz w:val="17"/>
              </w:rPr>
              <w:t>2026-08-10</w:t>
            </w:r>
          </w:p>
        </w:tc>
        <w:tc>
          <w:tcPr>
            <w:tcW w:type="dxa" w:w="1440"/>
            <w:shd w:fill="FAFAFA" w:val="clear"/>
          </w:tcPr>
          <w:p>
            <w:r>
              <w:rPr>
                <w:sz w:val="17"/>
              </w:rPr>
              <w:t>35,132</w:t>
            </w:r>
          </w:p>
        </w:tc>
        <w:tc>
          <w:tcPr>
            <w:tcW w:type="dxa" w:w="1440"/>
            <w:shd w:fill="FAFAFA" w:val="clear"/>
          </w:tcPr>
          <w:p>
            <w:r>
              <w:rPr>
                <w:b/>
                <w:sz w:val="17"/>
              </w:rPr>
              <w:t>38,133</w:t>
            </w:r>
          </w:p>
        </w:tc>
        <w:tc>
          <w:tcPr>
            <w:tcW w:type="dxa" w:w="1440"/>
            <w:shd w:fill="FAFAFA" w:val="clear"/>
          </w:tcPr>
          <w:p>
            <w:r>
              <w:rPr>
                <w:sz w:val="17"/>
              </w:rPr>
              <w:t>41,133</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2026-08-11</w:t>
            </w:r>
          </w:p>
        </w:tc>
        <w:tc>
          <w:tcPr>
            <w:tcW w:type="dxa" w:w="1440"/>
            <w:shd w:fill="FAFAFA" w:val="clear"/>
          </w:tcPr>
          <w:p>
            <w:r>
              <w:rPr>
                <w:sz w:val="17"/>
              </w:rPr>
              <w:t>34,815</w:t>
            </w:r>
          </w:p>
        </w:tc>
        <w:tc>
          <w:tcPr>
            <w:tcW w:type="dxa" w:w="1440"/>
            <w:shd w:fill="FAFAFA" w:val="clear"/>
          </w:tcPr>
          <w:p>
            <w:r>
              <w:rPr>
                <w:b/>
                <w:sz w:val="17"/>
              </w:rPr>
              <w:t>38,099</w:t>
            </w:r>
          </w:p>
        </w:tc>
        <w:tc>
          <w:tcPr>
            <w:tcW w:type="dxa" w:w="1440"/>
            <w:shd w:fill="FAFAFA" w:val="clear"/>
          </w:tcPr>
          <w:p>
            <w:r>
              <w:rPr>
                <w:sz w:val="17"/>
              </w:rPr>
              <w:t>41,383</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2026-08-12</w:t>
            </w:r>
          </w:p>
        </w:tc>
        <w:tc>
          <w:tcPr>
            <w:tcW w:type="dxa" w:w="1440"/>
            <w:shd w:fill="FAFAFA" w:val="clear"/>
          </w:tcPr>
          <w:p>
            <w:r>
              <w:rPr>
                <w:sz w:val="17"/>
              </w:rPr>
              <w:t>34,521</w:t>
            </w:r>
          </w:p>
        </w:tc>
        <w:tc>
          <w:tcPr>
            <w:tcW w:type="dxa" w:w="1440"/>
            <w:shd w:fill="FAFAFA" w:val="clear"/>
          </w:tcPr>
          <w:p>
            <w:r>
              <w:rPr>
                <w:b/>
                <w:sz w:val="17"/>
              </w:rPr>
              <w:t>38,065</w:t>
            </w:r>
          </w:p>
        </w:tc>
        <w:tc>
          <w:tcPr>
            <w:tcW w:type="dxa" w:w="1440"/>
            <w:shd w:fill="FAFAFA" w:val="clear"/>
          </w:tcPr>
          <w:p>
            <w:r>
              <w:rPr>
                <w:sz w:val="17"/>
              </w:rPr>
              <w:t>41,609</w:t>
            </w:r>
          </w:p>
        </w:tc>
        <w:tc>
          <w:tcPr>
            <w:tcW w:type="dxa" w:w="1440"/>
            <w:shd w:fill="FAFAFA" w:val="clear"/>
          </w:tcPr>
          <w:p>
            <w:r>
              <w:rPr>
                <w:b/>
                <w:color w:val="008000"/>
                <w:sz w:val="17"/>
              </w:rPr>
              <w:t>+0.8%</w:t>
            </w:r>
          </w:p>
        </w:tc>
      </w:tr>
      <w:tr>
        <w:tc>
          <w:tcPr>
            <w:tcW w:type="dxa" w:w="1440"/>
            <w:shd w:fill="FAFAFA" w:val="clear"/>
          </w:tcPr>
          <w:p>
            <w:r>
              <w:rPr>
                <w:sz w:val="17"/>
              </w:rPr>
              <w:t>J+8  ⭐</w:t>
            </w:r>
          </w:p>
        </w:tc>
        <w:tc>
          <w:tcPr>
            <w:tcW w:type="dxa" w:w="1440"/>
            <w:shd w:fill="FAFAFA" w:val="clear"/>
          </w:tcPr>
          <w:p>
            <w:r>
              <w:rPr>
                <w:sz w:val="17"/>
              </w:rPr>
              <w:t>2026-08-13</w:t>
            </w:r>
          </w:p>
        </w:tc>
        <w:tc>
          <w:tcPr>
            <w:tcW w:type="dxa" w:w="1440"/>
            <w:shd w:fill="FAFAFA" w:val="clear"/>
          </w:tcPr>
          <w:p>
            <w:r>
              <w:rPr>
                <w:sz w:val="17"/>
              </w:rPr>
              <w:t>34,245</w:t>
            </w:r>
          </w:p>
        </w:tc>
        <w:tc>
          <w:tcPr>
            <w:tcW w:type="dxa" w:w="1440"/>
            <w:shd w:fill="FAFAFA" w:val="clear"/>
          </w:tcPr>
          <w:p>
            <w:r>
              <w:rPr>
                <w:b/>
                <w:sz w:val="17"/>
              </w:rPr>
              <w:t>38,031</w:t>
            </w:r>
          </w:p>
        </w:tc>
        <w:tc>
          <w:tcPr>
            <w:tcW w:type="dxa" w:w="1440"/>
            <w:shd w:fill="FAFAFA" w:val="clear"/>
          </w:tcPr>
          <w:p>
            <w:r>
              <w:rPr>
                <w:sz w:val="17"/>
              </w:rPr>
              <w:t>41,816</w:t>
            </w:r>
          </w:p>
        </w:tc>
        <w:tc>
          <w:tcPr>
            <w:tcW w:type="dxa" w:w="1440"/>
            <w:shd w:fill="FAFAFA" w:val="clear"/>
          </w:tcPr>
          <w:p>
            <w:r>
              <w:rPr>
                <w:b/>
                <w:color w:val="008000"/>
                <w:sz w:val="17"/>
              </w:rPr>
              <w:t>+0.7%</w:t>
            </w:r>
          </w:p>
        </w:tc>
      </w:tr>
      <w:tr>
        <w:tc>
          <w:tcPr>
            <w:tcW w:type="dxa" w:w="1440"/>
            <w:shd w:fill="FAFAFA" w:val="clear"/>
          </w:tcPr>
          <w:p>
            <w:r>
              <w:rPr>
                <w:sz w:val="17"/>
              </w:rPr>
              <w:t>J+9  ⭐</w:t>
            </w:r>
          </w:p>
        </w:tc>
        <w:tc>
          <w:tcPr>
            <w:tcW w:type="dxa" w:w="1440"/>
            <w:shd w:fill="FAFAFA" w:val="clear"/>
          </w:tcPr>
          <w:p>
            <w:r>
              <w:rPr>
                <w:sz w:val="17"/>
              </w:rPr>
              <w:t>2026-08-14</w:t>
            </w:r>
          </w:p>
        </w:tc>
        <w:tc>
          <w:tcPr>
            <w:tcW w:type="dxa" w:w="1440"/>
            <w:shd w:fill="FAFAFA" w:val="clear"/>
          </w:tcPr>
          <w:p>
            <w:r>
              <w:rPr>
                <w:sz w:val="17"/>
              </w:rPr>
              <w:t>33,985</w:t>
            </w:r>
          </w:p>
        </w:tc>
        <w:tc>
          <w:tcPr>
            <w:tcW w:type="dxa" w:w="1440"/>
            <w:shd w:fill="FAFAFA" w:val="clear"/>
          </w:tcPr>
          <w:p>
            <w:r>
              <w:rPr>
                <w:b/>
                <w:sz w:val="17"/>
              </w:rPr>
              <w:t>37,996</w:t>
            </w:r>
          </w:p>
        </w:tc>
        <w:tc>
          <w:tcPr>
            <w:tcW w:type="dxa" w:w="1440"/>
            <w:shd w:fill="FAFAFA" w:val="clear"/>
          </w:tcPr>
          <w:p>
            <w:r>
              <w:rPr>
                <w:sz w:val="17"/>
              </w:rPr>
              <w:t>42,008</w:t>
            </w:r>
          </w:p>
        </w:tc>
        <w:tc>
          <w:tcPr>
            <w:tcW w:type="dxa" w:w="1440"/>
            <w:shd w:fill="FAFAFA" w:val="clear"/>
          </w:tcPr>
          <w:p>
            <w:r>
              <w:rPr>
                <w:b/>
                <w:color w:val="008000"/>
                <w:sz w:val="17"/>
              </w:rPr>
              <w:t>+0.7%</w:t>
            </w:r>
          </w:p>
        </w:tc>
      </w:tr>
      <w:tr>
        <w:tc>
          <w:tcPr>
            <w:tcW w:type="dxa" w:w="1440"/>
            <w:shd w:fill="FAFAFA" w:val="clear"/>
          </w:tcPr>
          <w:p>
            <w:r>
              <w:rPr>
                <w:sz w:val="17"/>
              </w:rPr>
              <w:t>J+10  ⭐</w:t>
            </w:r>
          </w:p>
        </w:tc>
        <w:tc>
          <w:tcPr>
            <w:tcW w:type="dxa" w:w="1440"/>
            <w:shd w:fill="FAFAFA" w:val="clear"/>
          </w:tcPr>
          <w:p>
            <w:r>
              <w:rPr>
                <w:sz w:val="17"/>
              </w:rPr>
              <w:t>2026-08-17</w:t>
            </w:r>
          </w:p>
        </w:tc>
        <w:tc>
          <w:tcPr>
            <w:tcW w:type="dxa" w:w="1440"/>
            <w:shd w:fill="FAFAFA" w:val="clear"/>
          </w:tcPr>
          <w:p>
            <w:r>
              <w:rPr>
                <w:sz w:val="17"/>
              </w:rPr>
              <w:t>33,737</w:t>
            </w:r>
          </w:p>
        </w:tc>
        <w:tc>
          <w:tcPr>
            <w:tcW w:type="dxa" w:w="1440"/>
            <w:shd w:fill="FAFAFA" w:val="clear"/>
          </w:tcPr>
          <w:p>
            <w:r>
              <w:rPr>
                <w:b/>
                <w:sz w:val="17"/>
              </w:rPr>
              <w:t>37,962</w:t>
            </w:r>
          </w:p>
        </w:tc>
        <w:tc>
          <w:tcPr>
            <w:tcW w:type="dxa" w:w="1440"/>
            <w:shd w:fill="FAFAFA" w:val="clear"/>
          </w:tcPr>
          <w:p>
            <w:r>
              <w:rPr>
                <w:sz w:val="17"/>
              </w:rPr>
              <w:t>42,186</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**Bourse Régionale des Valeurs Mobilières (BRVM)**</w:t>
        <w:br/>
        <w:t>**Date de l'analyse : 31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621,40 milliards FCFA, ce qui en fait l'une des valeurs les plus significatives de la cote de la BRVM, reflétant la position dominante de SOLIBRA dans le secteur des boissons en Afrique de l'Ouest. Avec un BPA de 2 781 FCFA, chaque action génère un bénéfice substantiel, justifiant un PER de 13,6x. Ce ratio, bien que supérieur à la moyenne historique de la BRVM (8-12x), reste modéré et témoigne d'une valorisation raisonnable pour une entreprise de cette envergure. Le P/B de 3,18x indique que le marché accorde une prime de croissance à la société par rapport à sa valeur comptable, une situation classique pour un leader rentable. Enfin, l'EV/EBITDA de 7,4x se situe dans une fourchette raisonnable (5-10x), suggérant que la valeur totale de l'entreprise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SLBC a enregistré une variation totale de -7,57%, avec une chute marquée de -4,89% lors de la dernière séance, portant le cours à 37 750 FCFA. Le titre a évolué dans une fourchette de 35 540 FCFA (plus bas) à 41 500 FCFA (plus haut), soit une amplitude de près de 17%, indiquant une volatilité notable. La moyenne du cours sur la période (38 588 FCFA) est légèrement inférieure à la médiane (38 875 FCFA), et le mode se situe à 39 000 FCFA, suggérant une distribution légèrement asymétrique à gauche, confirmée par un skewness de -0,289. L'écart-type de 965 FCFA, avec un coefficient de variation de seulement 2,5%, révèle une dispersion relativement faible autour de la moyenne. Le kurtosis de 0,972 (mésokurtique) indique une distribution proche de la normale, sans risque de pics extrêmes. La volatilité annualisée de 34,4% classe le titre dans la catégorie des valeurs à volatilité élevée (&gt;30%), ce qui implique des fluctuations de prix importantes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(39 322 FCFA) et la MM50 (38 879,8 FCFA) sont toutes deux supérieures au cours actuel de 37 750 FCFA, indiquant une pression baissière à court terme. Cependant, la décision globale est un "Achat", ce qui suggère que le croisement des moyennes mobiles pourrait signaler un potentiel de retournement haussier si le cours se rapproche de ces niveaux. La configuration actuelle montre que le prix évolue sous ses moyennes, ce qui est généralement un signe de faiblesse, mais l'écart entre MM20 et MM50 (environ 442 FCFA) laisse entrevoir une possible convergence.</w:t>
      </w:r>
    </w:p>
    <w:p>
      <w:pPr>
        <w:spacing w:after="120" w:line="276" w:lineRule="auto"/>
      </w:pPr>
      <w:r>
        <w:t>**Bandes de Bollinger :** Le cours actuel (37 750 FCFA) se situe très près de la borne inférieure (37 498,567 FCFA), ce qui indique que le titre est proche d'une zone de survente. La décision "Neutre" suggère que le marché n'a pas encore tranché, mais la proximité de la borne inférieure pourrait offrir un support technique. La largeur des bandes reflète une volatilité modérée, et un rebond technique est possible si le cours maintient ce niveau.</w:t>
      </w:r>
    </w:p>
    <w:p>
      <w:pPr>
        <w:spacing w:after="120" w:line="276" w:lineRule="auto"/>
      </w:pPr>
      <w:r>
        <w:t>**MACD :** Le MACD affiche une valeur négative de -137,075, tandis que le signal est positif à 35,456, créant une divergence baissière nette. La décision "Vente" est cohérente avec cette configuration, indiquant un momentum négatif persistant. Le croisement sous la ligne de signal confirme la faiblesse du titre à court terme, et une reprise nécessiterait un retour du MACD au-dessus de zéro.</w:t>
      </w:r>
    </w:p>
    <w:p>
      <w:pPr>
        <w:spacing w:after="120" w:line="276" w:lineRule="auto"/>
      </w:pPr>
      <w:r>
        <w:t>**RSI :** Avec une valeur de 42,631, le RSI se situe dans la zone neutre (30-70), mais proche du seuil de survente (30). La décision "Neutre" reflète l'absence de signal fort, mais la tendance baissière du RSI suggère que la pression vendeuse pourrait s'atténuer à mesure que le titre approche des niveaux de survente.</w:t>
      </w:r>
    </w:p>
    <w:p>
      <w:pPr>
        <w:spacing w:after="120" w:line="276" w:lineRule="auto"/>
      </w:pPr>
      <w:r>
        <w:t>**Stochastique :** Le %K (5,074) est extrêmement bas, bien en dessous du %D (31,712), indiquant une condition de survente sévère. La décision "Achat" est justifiée par ce croisement, car un tel niveau de %K suggère un rebond technique imminent. Les investisseurs pourraient interpréter ce signal comme une opportunité d'achat à court terme.</w:t>
      </w:r>
    </w:p>
    <w:p>
      <w:pPr>
        <w:spacing w:after="120" w:line="276" w:lineRule="auto"/>
      </w:pPr>
      <w:r>
        <w:t>**Conclusion technique :** Les indicateurs sont partagés, avec des signaux baissiers (MACD, RSI) contrastant avec des signaux d'achat (Moyennes Mobiles, Stochastique). La proximité du cours avec la borne inférieure de Bollinger et le niveau de survente du stochastique suggèrent un possible rebond technique, mais la tendance générale reste baissière à court terme. Une confirmation serait nécessaire via un retour du cours au-dessus de la MM20.</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un chiffre d'affaires de 378,123 milliards FCFA, en hausse de 22,08% par rapport à 2024, avec un résultat net de 45,781 milliards FCFA, contre 21,472 milliards en 2024, soit une progression spectaculaire de 113%. La marge nette s'est améliorée de 6,9% à 12,1%, et le ROE atteint 23,46%, un niveau excellent (&gt;15%), tandis que le ROA s'établit à 13,48%. La structure financière est saine avec une autonomie financière de 57,48% et une capacité de remboursement de seulement 0,67 an. Les délais clients (64,27 jours) et fournisseurs (76,82 jours) sont équilibrés, mais la durée de stockage de 117,32 jours mérite une attention particulière. Le rapport du S1 2025 (publié en 2025) confirme cette dynamique avec un CA de 165,8 milliards FCFA (+12,3%) et un résultat net de 28,0 milliards FCFA (+175,1%). Sur la base du rapport T1 2026 (publié en 2026), qui montre un CA de 93,46 milliards FCFA (+7,6%) et un résultat net de 16,26 milliards FCFA (+4,8%), on estime que l'exercice 2026 devrait maintenir une croissance positive, bien que plus modérée, avec un CA potentiel autour de 400 milliards FCFA. La recommandation fondamentale est un ACHAT, soutenue par la solidité financière, la croissance soutenue et la politique de dividende généreuse (2 127 FCFA par action proposés pour 2025).</w:t>
      </w:r>
    </w:p>
    <w:p>
      <w:pPr>
        <w:spacing w:after="120" w:line="276" w:lineRule="auto"/>
      </w:pPr>
      <w:r>
        <w:t>---</w:t>
      </w:r>
    </w:p>
    <w:p>
      <w:pPr>
        <w:spacing w:after="120" w:line="276" w:lineRule="auto"/>
      </w:pPr>
      <w:r>
        <w:t>### PARTIE 4 : CONCLUSION D'INVESTISSEMENT</w:t>
      </w:r>
    </w:p>
    <w:p>
      <w:pPr>
        <w:spacing w:after="120" w:line="276" w:lineRule="auto"/>
      </w:pPr>
      <w:r>
        <w:t>La valorisation de SLBC (PER 13,6x, P/B 3,18x, EV/EBITDA 7,4x) indique une prime de croissance justifiée par des fondamentaux solides, bien que le PER soit légèrement supérieur à la moyenne BRVM. Le comportement du cours sur 100 jours (-7,57%) et la volatilité élevée (34,4%) sont préoccupants, mais les statistiques (kurtosis mésokurtique, skewness symétrique) suggèrent une distribution normale sans risque extrême. Les signaux techniques sont mitigés, avec une tendance baissière à court terme (MACD vente) contrastant avec des conditions de survente (Stochastique achat), indiquant un possible rebond. Les fondamentaux restent excellents, avec une croissance de 22% du CA en 2025, un ROE de 23,46% et une politique de dividende attractive. Les prédictions IA pour les 10 prochains jours (38 331 FCFA à 38 133 FCFA) suggèrent une stabilisation autour de 38 000 FCFA, légèrement au-dessus du cours actuel, confirmant un potentiel de rebond modéré. En synthèse, la convergence entre la solidité fondamentale et les signaux de survente technique, malgré la faiblesse récente du cours, justifie une recommandation **ACHAT**, avec un niveau de confiance **Moyen** et un risque global **Moyen**. L'horizon d'investissement optimal est le **moyen terme (3-12 mois)**, permettant de capter à la fois le rebond technique et la croissance fondamentale.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120.79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1,196 titres</w:t>
            </w:r>
          </w:p>
        </w:tc>
        <w:tc>
          <w:tcPr>
            <w:tcW w:type="dxa" w:w="2268"/>
            <w:shd w:fill="FFF2CC" w:val="clear"/>
          </w:tcPr>
          <w:p>
            <w:r>
              <w:rPr>
                <w:b/>
                <w:color w:val="503200"/>
                <w:sz w:val="16"/>
              </w:rPr>
              <w:t xml:space="preserve">Cours actuel : </w:t>
            </w:r>
            <w:r>
              <w:rPr>
                <w:color w:val="000000"/>
                <w:sz w:val="17"/>
              </w:rPr>
              <w:t>15,495 FCFA</w:t>
            </w:r>
          </w:p>
          <w:p>
            <w:r>
              <w:rPr>
                <w:b/>
                <w:color w:val="503200"/>
                <w:sz w:val="16"/>
              </w:rPr>
              <w:t xml:space="preserve">Var. 100 jours : </w:t>
            </w:r>
            <w:r>
              <w:rPr>
                <w:b/>
                <w:color w:val="007800"/>
                <w:sz w:val="17"/>
              </w:rPr>
              <w:t>+15.63%</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14.60% (Moyenne) — μ=14,032 FCFA, σ=2,049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β=-0.4821 (Contre-cyclique) — Cov=-0.000017, Var(idx)=0.000036, ρ=-0.120,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2026-08-03</w:t>
            </w:r>
          </w:p>
        </w:tc>
        <w:tc>
          <w:tcPr>
            <w:tcW w:type="dxa" w:w="1440"/>
            <w:shd w:fill="FAFAFA" w:val="clear"/>
          </w:tcPr>
          <w:p>
            <w:r>
              <w:rPr>
                <w:sz w:val="17"/>
              </w:rPr>
              <w:t>14,913</w:t>
            </w:r>
          </w:p>
        </w:tc>
        <w:tc>
          <w:tcPr>
            <w:tcW w:type="dxa" w:w="1440"/>
            <w:shd w:fill="FAFAFA" w:val="clear"/>
          </w:tcPr>
          <w:p>
            <w:r>
              <w:rPr>
                <w:b/>
                <w:sz w:val="17"/>
              </w:rPr>
              <w:t>15,571</w:t>
            </w:r>
          </w:p>
        </w:tc>
        <w:tc>
          <w:tcPr>
            <w:tcW w:type="dxa" w:w="1440"/>
            <w:shd w:fill="FAFAFA" w:val="clear"/>
          </w:tcPr>
          <w:p>
            <w:r>
              <w:rPr>
                <w:sz w:val="17"/>
              </w:rPr>
              <w:t>16,229</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2026-08-04</w:t>
            </w:r>
          </w:p>
        </w:tc>
        <w:tc>
          <w:tcPr>
            <w:tcW w:type="dxa" w:w="1440"/>
            <w:shd w:fill="FAFAFA" w:val="clear"/>
          </w:tcPr>
          <w:p>
            <w:r>
              <w:rPr>
                <w:sz w:val="17"/>
              </w:rPr>
              <w:t>14,586</w:t>
            </w:r>
          </w:p>
        </w:tc>
        <w:tc>
          <w:tcPr>
            <w:tcW w:type="dxa" w:w="1440"/>
            <w:shd w:fill="FAFAFA" w:val="clear"/>
          </w:tcPr>
          <w:p>
            <w:r>
              <w:rPr>
                <w:b/>
                <w:sz w:val="17"/>
              </w:rPr>
              <w:t>15,513</w:t>
            </w:r>
          </w:p>
        </w:tc>
        <w:tc>
          <w:tcPr>
            <w:tcW w:type="dxa" w:w="1440"/>
            <w:shd w:fill="FAFAFA" w:val="clear"/>
          </w:tcPr>
          <w:p>
            <w:r>
              <w:rPr>
                <w:sz w:val="17"/>
              </w:rPr>
              <w:t>16,440</w:t>
            </w:r>
          </w:p>
        </w:tc>
        <w:tc>
          <w:tcPr>
            <w:tcW w:type="dxa" w:w="1440"/>
            <w:shd w:fill="FAFAFA" w:val="clear"/>
          </w:tcPr>
          <w:p>
            <w:r>
              <w:rPr>
                <w:b/>
                <w:color w:val="008000"/>
                <w:sz w:val="17"/>
              </w:rPr>
              <w:t>+0.1%</w:t>
            </w:r>
          </w:p>
        </w:tc>
      </w:tr>
      <w:tr>
        <w:tc>
          <w:tcPr>
            <w:tcW w:type="dxa" w:w="1440"/>
            <w:shd w:fill="FAFAFA" w:val="clear"/>
          </w:tcPr>
          <w:p>
            <w:r>
              <w:rPr>
                <w:sz w:val="17"/>
              </w:rPr>
              <w:t>J+3  Moyenne</w:t>
            </w:r>
          </w:p>
        </w:tc>
        <w:tc>
          <w:tcPr>
            <w:tcW w:type="dxa" w:w="1440"/>
            <w:shd w:fill="FAFAFA" w:val="clear"/>
          </w:tcPr>
          <w:p>
            <w:r>
              <w:rPr>
                <w:sz w:val="17"/>
              </w:rPr>
              <w:t>2026-08-05</w:t>
            </w:r>
          </w:p>
        </w:tc>
        <w:tc>
          <w:tcPr>
            <w:tcW w:type="dxa" w:w="1440"/>
            <w:shd w:fill="FAFAFA" w:val="clear"/>
          </w:tcPr>
          <w:p>
            <w:r>
              <w:rPr>
                <w:sz w:val="17"/>
              </w:rPr>
              <w:t>14,338</w:t>
            </w:r>
          </w:p>
        </w:tc>
        <w:tc>
          <w:tcPr>
            <w:tcW w:type="dxa" w:w="1440"/>
            <w:shd w:fill="FAFAFA" w:val="clear"/>
          </w:tcPr>
          <w:p>
            <w:r>
              <w:rPr>
                <w:b/>
                <w:sz w:val="17"/>
              </w:rPr>
              <w:t>15,471</w:t>
            </w:r>
          </w:p>
        </w:tc>
        <w:tc>
          <w:tcPr>
            <w:tcW w:type="dxa" w:w="1440"/>
            <w:shd w:fill="FAFAFA" w:val="clear"/>
          </w:tcPr>
          <w:p>
            <w:r>
              <w:rPr>
                <w:sz w:val="17"/>
              </w:rPr>
              <w:t>16,603</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2026-08-06</w:t>
            </w:r>
          </w:p>
        </w:tc>
        <w:tc>
          <w:tcPr>
            <w:tcW w:type="dxa" w:w="1440"/>
            <w:shd w:fill="FAFAFA" w:val="clear"/>
          </w:tcPr>
          <w:p>
            <w:r>
              <w:rPr>
                <w:sz w:val="17"/>
              </w:rPr>
              <w:t>14,122</w:t>
            </w:r>
          </w:p>
        </w:tc>
        <w:tc>
          <w:tcPr>
            <w:tcW w:type="dxa" w:w="1440"/>
            <w:shd w:fill="FAFAFA" w:val="clear"/>
          </w:tcPr>
          <w:p>
            <w:r>
              <w:rPr>
                <w:b/>
                <w:sz w:val="17"/>
              </w:rPr>
              <w:t>15,426</w:t>
            </w:r>
          </w:p>
        </w:tc>
        <w:tc>
          <w:tcPr>
            <w:tcW w:type="dxa" w:w="1440"/>
            <w:shd w:fill="FAFAFA" w:val="clear"/>
          </w:tcPr>
          <w:p>
            <w:r>
              <w:rPr>
                <w:sz w:val="17"/>
              </w:rPr>
              <w:t>16,730</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2026-08-10</w:t>
            </w:r>
          </w:p>
        </w:tc>
        <w:tc>
          <w:tcPr>
            <w:tcW w:type="dxa" w:w="1440"/>
            <w:shd w:fill="FAFAFA" w:val="clear"/>
          </w:tcPr>
          <w:p>
            <w:r>
              <w:rPr>
                <w:sz w:val="17"/>
              </w:rPr>
              <w:t>13,927</w:t>
            </w:r>
          </w:p>
        </w:tc>
        <w:tc>
          <w:tcPr>
            <w:tcW w:type="dxa" w:w="1440"/>
            <w:shd w:fill="FAFAFA" w:val="clear"/>
          </w:tcPr>
          <w:p>
            <w:r>
              <w:rPr>
                <w:b/>
                <w:sz w:val="17"/>
              </w:rPr>
              <w:t>15,381</w:t>
            </w:r>
          </w:p>
        </w:tc>
        <w:tc>
          <w:tcPr>
            <w:tcW w:type="dxa" w:w="1440"/>
            <w:shd w:fill="FAFAFA" w:val="clear"/>
          </w:tcPr>
          <w:p>
            <w:r>
              <w:rPr>
                <w:sz w:val="17"/>
              </w:rPr>
              <w:t>16,834</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2026-08-11</w:t>
            </w:r>
          </w:p>
        </w:tc>
        <w:tc>
          <w:tcPr>
            <w:tcW w:type="dxa" w:w="1440"/>
            <w:shd w:fill="FAFAFA" w:val="clear"/>
          </w:tcPr>
          <w:p>
            <w:r>
              <w:rPr>
                <w:sz w:val="17"/>
              </w:rPr>
              <w:t>13,748</w:t>
            </w:r>
          </w:p>
        </w:tc>
        <w:tc>
          <w:tcPr>
            <w:tcW w:type="dxa" w:w="1440"/>
            <w:shd w:fill="FAFAFA" w:val="clear"/>
          </w:tcPr>
          <w:p>
            <w:r>
              <w:rPr>
                <w:b/>
                <w:sz w:val="17"/>
              </w:rPr>
              <w:t>15,335</w:t>
            </w:r>
          </w:p>
        </w:tc>
        <w:tc>
          <w:tcPr>
            <w:tcW w:type="dxa" w:w="1440"/>
            <w:shd w:fill="FAFAFA" w:val="clear"/>
          </w:tcPr>
          <w:p>
            <w:r>
              <w:rPr>
                <w:sz w:val="17"/>
              </w:rPr>
              <w:t>16,923</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2026-08-12</w:t>
            </w:r>
          </w:p>
        </w:tc>
        <w:tc>
          <w:tcPr>
            <w:tcW w:type="dxa" w:w="1440"/>
            <w:shd w:fill="FAFAFA" w:val="clear"/>
          </w:tcPr>
          <w:p>
            <w:r>
              <w:rPr>
                <w:sz w:val="17"/>
              </w:rPr>
              <w:t>13,581</w:t>
            </w:r>
          </w:p>
        </w:tc>
        <w:tc>
          <w:tcPr>
            <w:tcW w:type="dxa" w:w="1440"/>
            <w:shd w:fill="FAFAFA" w:val="clear"/>
          </w:tcPr>
          <w:p>
            <w:r>
              <w:rPr>
                <w:b/>
                <w:sz w:val="17"/>
              </w:rPr>
              <w:t>15,291</w:t>
            </w:r>
          </w:p>
        </w:tc>
        <w:tc>
          <w:tcPr>
            <w:tcW w:type="dxa" w:w="1440"/>
            <w:shd w:fill="FAFAFA" w:val="clear"/>
          </w:tcPr>
          <w:p>
            <w:r>
              <w:rPr>
                <w:sz w:val="17"/>
              </w:rPr>
              <w:t>17,001</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2026-08-13</w:t>
            </w:r>
          </w:p>
        </w:tc>
        <w:tc>
          <w:tcPr>
            <w:tcW w:type="dxa" w:w="1440"/>
            <w:shd w:fill="FAFAFA" w:val="clear"/>
          </w:tcPr>
          <w:p>
            <w:r>
              <w:rPr>
                <w:sz w:val="17"/>
              </w:rPr>
              <w:t>13,424</w:t>
            </w:r>
          </w:p>
        </w:tc>
        <w:tc>
          <w:tcPr>
            <w:tcW w:type="dxa" w:w="1440"/>
            <w:shd w:fill="FAFAFA" w:val="clear"/>
          </w:tcPr>
          <w:p>
            <w:r>
              <w:rPr>
                <w:b/>
                <w:sz w:val="17"/>
              </w:rPr>
              <w:t>15,247</w:t>
            </w:r>
          </w:p>
        </w:tc>
        <w:tc>
          <w:tcPr>
            <w:tcW w:type="dxa" w:w="1440"/>
            <w:shd w:fill="FAFAFA" w:val="clear"/>
          </w:tcPr>
          <w:p>
            <w:r>
              <w:rPr>
                <w:sz w:val="17"/>
              </w:rPr>
              <w:t>17,069</w:t>
            </w:r>
          </w:p>
        </w:tc>
        <w:tc>
          <w:tcPr>
            <w:tcW w:type="dxa" w:w="1440"/>
            <w:shd w:fill="FAFAFA" w:val="clear"/>
          </w:tcPr>
          <w:p>
            <w:r>
              <w:rPr>
                <w:b/>
                <w:color w:val="C00000"/>
                <w:sz w:val="17"/>
              </w:rPr>
              <w:t>-1.6%</w:t>
            </w:r>
          </w:p>
        </w:tc>
      </w:tr>
      <w:tr>
        <w:tc>
          <w:tcPr>
            <w:tcW w:type="dxa" w:w="1440"/>
            <w:shd w:fill="FAFAFA" w:val="clear"/>
          </w:tcPr>
          <w:p>
            <w:r>
              <w:rPr>
                <w:sz w:val="17"/>
              </w:rPr>
              <w:t>J+9  ⭐</w:t>
            </w:r>
          </w:p>
        </w:tc>
        <w:tc>
          <w:tcPr>
            <w:tcW w:type="dxa" w:w="1440"/>
            <w:shd w:fill="FAFAFA" w:val="clear"/>
          </w:tcPr>
          <w:p>
            <w:r>
              <w:rPr>
                <w:sz w:val="17"/>
              </w:rPr>
              <w:t>2026-08-14</w:t>
            </w:r>
          </w:p>
        </w:tc>
        <w:tc>
          <w:tcPr>
            <w:tcW w:type="dxa" w:w="1440"/>
            <w:shd w:fill="FAFAFA" w:val="clear"/>
          </w:tcPr>
          <w:p>
            <w:r>
              <w:rPr>
                <w:sz w:val="17"/>
              </w:rPr>
              <w:t>13,276</w:t>
            </w:r>
          </w:p>
        </w:tc>
        <w:tc>
          <w:tcPr>
            <w:tcW w:type="dxa" w:w="1440"/>
            <w:shd w:fill="FAFAFA" w:val="clear"/>
          </w:tcPr>
          <w:p>
            <w:r>
              <w:rPr>
                <w:b/>
                <w:sz w:val="17"/>
              </w:rPr>
              <w:t>15,203</w:t>
            </w:r>
          </w:p>
        </w:tc>
        <w:tc>
          <w:tcPr>
            <w:tcW w:type="dxa" w:w="1440"/>
            <w:shd w:fill="FAFAFA" w:val="clear"/>
          </w:tcPr>
          <w:p>
            <w:r>
              <w:rPr>
                <w:sz w:val="17"/>
              </w:rPr>
              <w:t>17,131</w:t>
            </w:r>
          </w:p>
        </w:tc>
        <w:tc>
          <w:tcPr>
            <w:tcW w:type="dxa" w:w="1440"/>
            <w:shd w:fill="FAFAFA" w:val="clear"/>
          </w:tcPr>
          <w:p>
            <w:r>
              <w:rPr>
                <w:b/>
                <w:color w:val="C00000"/>
                <w:sz w:val="17"/>
              </w:rPr>
              <w:t>-1.9%</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13,134</w:t>
            </w:r>
          </w:p>
        </w:tc>
        <w:tc>
          <w:tcPr>
            <w:tcW w:type="dxa" w:w="1440"/>
            <w:shd w:fill="FFDCE0" w:val="clear"/>
          </w:tcPr>
          <w:p>
            <w:r>
              <w:rPr>
                <w:b/>
                <w:sz w:val="17"/>
              </w:rPr>
              <w:t>15,160</w:t>
            </w:r>
          </w:p>
        </w:tc>
        <w:tc>
          <w:tcPr>
            <w:tcW w:type="dxa" w:w="1440"/>
            <w:shd w:fill="FFDCE0" w:val="clear"/>
          </w:tcPr>
          <w:p>
            <w:r>
              <w:rPr>
                <w:sz w:val="17"/>
              </w:rPr>
              <w:t>17,186</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120,79 milliards FCFA, ce qui la positionne comme une valeur de taille moyenne sur la BRVM, représentant un profil de liquidité modéré. Avec un BPA de 1 677 FCFA, chaque action génère un bénéfice substantiel, justifiant un PER de 9,2x, inférieur à la moyenne du marché (8-12x), ce qui suggère une sous-évaluation relative du titre. Le P/B de 2,81x indique que le marché valorise la société à près de trois fois sa valeur comptable, traduisant une prime de croissance accordée aux actifs et à la rentabilité future. Enfin, l'EV/EBITDA de 5,7x, dans la fourchette basse des 5-10x, confirme une valorisation raisonnable de la capacité opérationnelle de l'entreprise, renforçant l'attrait du titre pour les investisseurs de valeur.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progression de +15,63%, mais la dernière séance affiche un repli de -1,18%, signe d'une consolidation après une phase haussière. Le cours a évolué dans une fourchette large de 11 450 FCFA à 17 735 FCFA, démontrant une volatilité intraday importante. La moyenne (14 032 FCFA) est supérieure à la médiane (13 355 FCFA), indiquant une distribution asymétrique avec des pics de prix élevés, tandis que le mode à 16 000 FCFA confirme une concentration des transactions à des niveaux hauts. L'écart-type de 2 059 FCFA (CV=14,7%) révèle une dispersion modérée, et le kurtosis négatif (-1,361) signale une distribution aplatie, réduisant le risque de variations extrêmes. Le skewness positif (0,350) suggère une légère asymétrie vers la hausse. La volatilité annualisée de 37,9% classe le titre comme très volatil, exigeant une gestion prudente du risque.</w:t>
      </w:r>
    </w:p>
    <w:p>
      <w:pPr>
        <w:spacing w:after="120" w:line="276" w:lineRule="auto" w:before="240"/>
      </w:pPr>
      <w:r>
        <w:rPr>
          <w:b/>
          <w:color w:val="003366"/>
          <w:sz w:val="24"/>
        </w:rPr>
        <w:t>**PARTIE 2 : ANALYSE TECHNIQUE DÉTAILLÉE**</w:t>
      </w:r>
    </w:p>
    <w:p>
      <w:pPr>
        <w:spacing w:after="120" w:line="276" w:lineRule="auto"/>
      </w:pPr>
      <w:r>
        <w:t>Les moyennes mobiles MM20 (16 388,5 FCFA) et MM50 (15 748,7 FCFA) sont toutes deux supérieures au cours actuel de 15 495 FCFA, indiquant une pression baissière à court terme. Cependant, la MM20 reste au-dessus de la MM50, ce qui maintient une structure de tendance haussière à moyen terme. La décision d'achat est justifiée par la persistance de la dynamique positive malgré le repli récent.</w:t>
      </w:r>
    </w:p>
    <w:p>
      <w:pPr>
        <w:spacing w:after="120" w:line="276" w:lineRule="auto"/>
      </w:pPr>
      <w:r>
        <w:t>Les bandes de Bollinger, avec une borne supérieure à 17 866 FCFA et inférieure à 14 911 FCFA, montrent que le cours se situe dans la partie médiane-basse, proche de la borne inférieure. Cela reflète une volatilité en contraction et un potentiel de rebond technique. La décision neutre s'explique par l'absence de cassure claire des bornes, laissant le marché indécis.</w:t>
      </w:r>
    </w:p>
    <w:p>
      <w:pPr>
        <w:spacing w:after="120" w:line="276" w:lineRule="auto"/>
      </w:pPr>
      <w:r>
        <w:t>Le MACD affiche une valeur de -74,227, inférieure à son signal (87,588), confirmant un momentum baissier à court terme. Cette divergence négative suggère une perte de vigueur haussière, justifiant la décision de vente. Les opérateurs devraient surveiller un éventuel croisement haussier pour inverser cette tendance.</w:t>
      </w:r>
    </w:p>
    <w:p>
      <w:pPr>
        <w:spacing w:after="120" w:line="276" w:lineRule="auto"/>
      </w:pPr>
      <w:r>
        <w:t>Le RSI à 38,509 se situe en zone neutre, proche du seuil de survente (30), indiquant que le titre n'est ni suracheté ni survendu. Cette valeur suggère un potentiel de rebond si le niveau de 30 est testé, mais la décision neutre prévaut en l'absence de signal fort.</w:t>
      </w:r>
    </w:p>
    <w:p>
      <w:pPr>
        <w:spacing w:after="120" w:line="276" w:lineRule="auto"/>
      </w:pPr>
      <w:r>
        <w:t>Le stochastique, avec %K à 16,62 et %D à 27,275, montre que le titre est en zone de survente, avec %K sous %D, signalant une possible reprise haussière. La décision d'achat est justifiée par ce croisement baissier en territoire survendu, anticipant un retournement.</w:t>
      </w:r>
    </w:p>
    <w:p>
      <w:pPr>
        <w:spacing w:after="120" w:line="276" w:lineRule="auto"/>
      </w:pPr>
      <w:r>
        <w:t>La convergence des indicateurs est mitigée : les moyennes mobiles et le stochastique suggèrent un potentiel d'achat, tandis que le MACD et le RSI indiquent une prudence. Cette divergence reflète un marché en consolidation, avec un biais haussier à moyen terme mais des signaux baissiers à court terme. Les investisseurs devraient attendre une confirmation directionnelle avant de prendre position.</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-9,74% par rapport à 2024, mais un résultat net de 13,075 milliards FCFA, en hausse de +50,3%, démontrant une amélioration spectaculaire de la rentabilité. La marge nette atteint 6,32%, contre 3,8% en 2024, grâce à une gestion rigoureuse des coûts et une meilleure marge de raffinage. Le ROE de 30,47% est excellent, bien au-dessus du seuil de 15%, et le ROA de 7,26% reflète une utilisation efficace des actifs. Le BFR de 1,693 milliard FCFA est faible, mais les délais clients (193,75 jours) et fournisseurs (207,07 jours) sont élevés, indiquant un risque de trésorerie modéré. L'endettement est maîtrisé avec une capacité de remboursement de 0,68 an. Les rapports trimestriels 2025 (T1, S1, 9M) montrent une baisse du CA (-22% au T1, -23% au S1, -14% sur 9M) mais une résilience du résultat net, avec une amélioration des marges. Sur la base de ces tendances, on estime que l'exercice 2025 devrait confirmer une croissance du résultat net, soutenue par la demande locale et les projets d'infrastructures, malgré la volatilité des prix pétroliers. La solidité financière est renforcée par une trésorerie nette de 23,988 milliards FCFA, offrant une marge de manœuvre pour les investissements futurs.</w:t>
      </w:r>
    </w:p>
    <w:p>
      <w:pPr>
        <w:spacing w:after="120" w:line="276" w:lineRule="auto" w:before="240"/>
      </w:pPr>
      <w:r>
        <w:rPr>
          <w:b/>
          <w:color w:val="003366"/>
          <w:sz w:val="24"/>
        </w:rPr>
        <w:t>**PARTIE 4 : CONCLUSION D'INVESTISSEMENT**</w:t>
      </w:r>
    </w:p>
    <w:p>
      <w:pPr>
        <w:spacing w:after="120" w:line="276" w:lineRule="auto"/>
      </w:pPr>
      <w:r>
        <w:t>La valorisation de SMBC est attractive, avec un PER de 9,2x et un EV/EBITDA de 5,7x, indiquant une sous-évaluation relative malgré un P/B de 2,81x justifié par la forte rentabilité. Le comportement du cours montre une tendance haussière sur 100 jours (+15,63%), mais avec une volatilité élevée (37,9%) et des statistiques (kurtosis plat, skewness positif) suggérant un risque modéré de pics. Les signaux techniques sont partagés : les moyennes mobiles et le stochastique penchent vers un achat, tandis que le MACD et le RSI appellent à la prudence, reflétant une consolidation. Les fondamentaux sont solides, avec un résultat net en forte hausse en 2025 et une trésorerie abondante, malgré une baisse du chiffre d'affaires. Les prédictions IA pour les 10 prochains jours (15 571 à 15 381 FCFA) indiquent une légère baisse, contredisant les signaux techniques haussiers. En synthèse, la convergence entre la sous-évaluation, la solidité financière et le potentiel de rebond technique justifie une recommandation **ACHAT**, avec un niveau de confiance **Moyen** et un risque global **Élevé** en raison de la volatilité. L'horizon d'investissement optimal est le **moyen terme (3-12 mois)**, permettant de capter la reprise des marges et la croissance des infrastructures.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8,947 titres</w:t>
            </w:r>
          </w:p>
        </w:tc>
        <w:tc>
          <w:tcPr>
            <w:tcW w:type="dxa" w:w="2268"/>
            <w:shd w:fill="FFF2CC" w:val="clear"/>
          </w:tcPr>
          <w:p>
            <w:r>
              <w:rPr>
                <w:b/>
                <w:color w:val="503200"/>
                <w:sz w:val="16"/>
              </w:rPr>
              <w:t xml:space="preserve">Cours actuel : </w:t>
            </w:r>
            <w:r>
              <w:rPr>
                <w:color w:val="000000"/>
                <w:sz w:val="17"/>
              </w:rPr>
              <w:t>31,000 FCFA</w:t>
            </w:r>
          </w:p>
          <w:p>
            <w:r>
              <w:rPr>
                <w:b/>
                <w:color w:val="503200"/>
                <w:sz w:val="16"/>
              </w:rPr>
              <w:t xml:space="preserve">Var. 100 jours : </w:t>
            </w:r>
            <w:r>
              <w:rPr>
                <w:b/>
                <w:color w:val="007800"/>
                <w:sz w:val="17"/>
              </w:rPr>
              <w:t>+9.93%</w:t>
            </w:r>
          </w:p>
          <w:p>
            <w:r>
              <w:rPr>
                <w:b/>
                <w:color w:val="503200"/>
                <w:sz w:val="16"/>
              </w:rPr>
              <w:t xml:space="preserve">Plus haut 100j : </w:t>
            </w:r>
            <w:r>
              <w:rPr>
                <w:color w:val="000000"/>
                <w:sz w:val="17"/>
              </w:rPr>
              <w:t>32,500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3.93% (Faible) — μ=29,155 FCFA, σ=1,145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β=1.1017 (Neutre (suit le marché)) — Cov=0.000040, Var(idx)=0.000036, ρ=0.434,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8,947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σ_j=1.52%/j (Stable) — Vol. annualisée≈24.2%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2026-08-03</w:t>
            </w:r>
          </w:p>
        </w:tc>
        <w:tc>
          <w:tcPr>
            <w:tcW w:type="dxa" w:w="1440"/>
            <w:shd w:fill="FAFAFA" w:val="clear"/>
          </w:tcPr>
          <w:p>
            <w:r>
              <w:rPr>
                <w:sz w:val="17"/>
              </w:rPr>
              <w:t>30,305</w:t>
            </w:r>
          </w:p>
        </w:tc>
        <w:tc>
          <w:tcPr>
            <w:tcW w:type="dxa" w:w="1440"/>
            <w:shd w:fill="FAFAFA" w:val="clear"/>
          </w:tcPr>
          <w:p>
            <w:r>
              <w:rPr>
                <w:b/>
                <w:sz w:val="17"/>
              </w:rPr>
              <w:t>30,983</w:t>
            </w:r>
          </w:p>
        </w:tc>
        <w:tc>
          <w:tcPr>
            <w:tcW w:type="dxa" w:w="1440"/>
            <w:shd w:fill="FAFAFA" w:val="clear"/>
          </w:tcPr>
          <w:p>
            <w:r>
              <w:rPr>
                <w:sz w:val="17"/>
              </w:rPr>
              <w:t>31,662</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2026-08-04</w:t>
            </w:r>
          </w:p>
        </w:tc>
        <w:tc>
          <w:tcPr>
            <w:tcW w:type="dxa" w:w="1440"/>
            <w:shd w:fill="FAFAFA" w:val="clear"/>
          </w:tcPr>
          <w:p>
            <w:r>
              <w:rPr>
                <w:sz w:val="17"/>
              </w:rPr>
              <w:t>29,997</w:t>
            </w:r>
          </w:p>
        </w:tc>
        <w:tc>
          <w:tcPr>
            <w:tcW w:type="dxa" w:w="1440"/>
            <w:shd w:fill="FAFAFA" w:val="clear"/>
          </w:tcPr>
          <w:p>
            <w:r>
              <w:rPr>
                <w:b/>
                <w:sz w:val="17"/>
              </w:rPr>
              <w:t>30,956</w:t>
            </w:r>
          </w:p>
        </w:tc>
        <w:tc>
          <w:tcPr>
            <w:tcW w:type="dxa" w:w="1440"/>
            <w:shd w:fill="FAFAFA" w:val="clear"/>
          </w:tcPr>
          <w:p>
            <w:r>
              <w:rPr>
                <w:sz w:val="17"/>
              </w:rPr>
              <w:t>31,915</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2026-08-05</w:t>
            </w:r>
          </w:p>
        </w:tc>
        <w:tc>
          <w:tcPr>
            <w:tcW w:type="dxa" w:w="1440"/>
            <w:shd w:fill="FAFAFA" w:val="clear"/>
          </w:tcPr>
          <w:p>
            <w:r>
              <w:rPr>
                <w:sz w:val="17"/>
              </w:rPr>
              <w:t>29,754</w:t>
            </w:r>
          </w:p>
        </w:tc>
        <w:tc>
          <w:tcPr>
            <w:tcW w:type="dxa" w:w="1440"/>
            <w:shd w:fill="FAFAFA" w:val="clear"/>
          </w:tcPr>
          <w:p>
            <w:r>
              <w:rPr>
                <w:b/>
                <w:sz w:val="17"/>
              </w:rPr>
              <w:t>30,927</w:t>
            </w:r>
          </w:p>
        </w:tc>
        <w:tc>
          <w:tcPr>
            <w:tcW w:type="dxa" w:w="1440"/>
            <w:shd w:fill="FAFAFA" w:val="clear"/>
          </w:tcPr>
          <w:p>
            <w:r>
              <w:rPr>
                <w:sz w:val="17"/>
              </w:rPr>
              <w:t>32,100</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2026-08-06</w:t>
            </w:r>
          </w:p>
        </w:tc>
        <w:tc>
          <w:tcPr>
            <w:tcW w:type="dxa" w:w="1440"/>
            <w:shd w:fill="FAFAFA" w:val="clear"/>
          </w:tcPr>
          <w:p>
            <w:r>
              <w:rPr>
                <w:sz w:val="17"/>
              </w:rPr>
              <w:t>29,543</w:t>
            </w:r>
          </w:p>
        </w:tc>
        <w:tc>
          <w:tcPr>
            <w:tcW w:type="dxa" w:w="1440"/>
            <w:shd w:fill="FAFAFA" w:val="clear"/>
          </w:tcPr>
          <w:p>
            <w:r>
              <w:rPr>
                <w:b/>
                <w:sz w:val="17"/>
              </w:rPr>
              <w:t>30,897</w:t>
            </w:r>
          </w:p>
        </w:tc>
        <w:tc>
          <w:tcPr>
            <w:tcW w:type="dxa" w:w="1440"/>
            <w:shd w:fill="FAFAFA" w:val="clear"/>
          </w:tcPr>
          <w:p>
            <w:r>
              <w:rPr>
                <w:sz w:val="17"/>
              </w:rPr>
              <w:t>32,251</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2026-08-10</w:t>
            </w:r>
          </w:p>
        </w:tc>
        <w:tc>
          <w:tcPr>
            <w:tcW w:type="dxa" w:w="1440"/>
            <w:shd w:fill="FAFAFA" w:val="clear"/>
          </w:tcPr>
          <w:p>
            <w:r>
              <w:rPr>
                <w:sz w:val="17"/>
              </w:rPr>
              <w:t>29,354</w:t>
            </w:r>
          </w:p>
        </w:tc>
        <w:tc>
          <w:tcPr>
            <w:tcW w:type="dxa" w:w="1440"/>
            <w:shd w:fill="FAFAFA" w:val="clear"/>
          </w:tcPr>
          <w:p>
            <w:r>
              <w:rPr>
                <w:b/>
                <w:sz w:val="17"/>
              </w:rPr>
              <w:t>30,866</w:t>
            </w:r>
          </w:p>
        </w:tc>
        <w:tc>
          <w:tcPr>
            <w:tcW w:type="dxa" w:w="1440"/>
            <w:shd w:fill="FAFAFA" w:val="clear"/>
          </w:tcPr>
          <w:p>
            <w:r>
              <w:rPr>
                <w:sz w:val="17"/>
              </w:rPr>
              <w:t>32,378</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2026-08-11</w:t>
            </w:r>
          </w:p>
        </w:tc>
        <w:tc>
          <w:tcPr>
            <w:tcW w:type="dxa" w:w="1440"/>
            <w:shd w:fill="FAFAFA" w:val="clear"/>
          </w:tcPr>
          <w:p>
            <w:r>
              <w:rPr>
                <w:sz w:val="17"/>
              </w:rPr>
              <w:t>29,180</w:t>
            </w:r>
          </w:p>
        </w:tc>
        <w:tc>
          <w:tcPr>
            <w:tcW w:type="dxa" w:w="1440"/>
            <w:shd w:fill="FAFAFA" w:val="clear"/>
          </w:tcPr>
          <w:p>
            <w:r>
              <w:rPr>
                <w:b/>
                <w:sz w:val="17"/>
              </w:rPr>
              <w:t>30,835</w:t>
            </w:r>
          </w:p>
        </w:tc>
        <w:tc>
          <w:tcPr>
            <w:tcW w:type="dxa" w:w="1440"/>
            <w:shd w:fill="FAFAFA" w:val="clear"/>
          </w:tcPr>
          <w:p>
            <w:r>
              <w:rPr>
                <w:sz w:val="17"/>
              </w:rPr>
              <w:t>32,490</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2026-08-12</w:t>
            </w:r>
          </w:p>
        </w:tc>
        <w:tc>
          <w:tcPr>
            <w:tcW w:type="dxa" w:w="1440"/>
            <w:shd w:fill="FAFAFA" w:val="clear"/>
          </w:tcPr>
          <w:p>
            <w:r>
              <w:rPr>
                <w:sz w:val="17"/>
              </w:rPr>
              <w:t>29,018</w:t>
            </w:r>
          </w:p>
        </w:tc>
        <w:tc>
          <w:tcPr>
            <w:tcW w:type="dxa" w:w="1440"/>
            <w:shd w:fill="FAFAFA" w:val="clear"/>
          </w:tcPr>
          <w:p>
            <w:r>
              <w:rPr>
                <w:b/>
                <w:sz w:val="17"/>
              </w:rPr>
              <w:t>30,804</w:t>
            </w:r>
          </w:p>
        </w:tc>
        <w:tc>
          <w:tcPr>
            <w:tcW w:type="dxa" w:w="1440"/>
            <w:shd w:fill="FAFAFA" w:val="clear"/>
          </w:tcPr>
          <w:p>
            <w:r>
              <w:rPr>
                <w:sz w:val="17"/>
              </w:rPr>
              <w:t>32,589</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2026-08-13</w:t>
            </w:r>
          </w:p>
        </w:tc>
        <w:tc>
          <w:tcPr>
            <w:tcW w:type="dxa" w:w="1440"/>
            <w:shd w:fill="FAFAFA" w:val="clear"/>
          </w:tcPr>
          <w:p>
            <w:r>
              <w:rPr>
                <w:sz w:val="17"/>
              </w:rPr>
              <w:t>28,866</w:t>
            </w:r>
          </w:p>
        </w:tc>
        <w:tc>
          <w:tcPr>
            <w:tcW w:type="dxa" w:w="1440"/>
            <w:shd w:fill="FAFAFA" w:val="clear"/>
          </w:tcPr>
          <w:p>
            <w:r>
              <w:rPr>
                <w:b/>
                <w:sz w:val="17"/>
              </w:rPr>
              <w:t>30,772</w:t>
            </w:r>
          </w:p>
        </w:tc>
        <w:tc>
          <w:tcPr>
            <w:tcW w:type="dxa" w:w="1440"/>
            <w:shd w:fill="FAFAFA" w:val="clear"/>
          </w:tcPr>
          <w:p>
            <w:r>
              <w:rPr>
                <w:sz w:val="17"/>
              </w:rPr>
              <w:t>32,679</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2026-08-14</w:t>
            </w:r>
          </w:p>
        </w:tc>
        <w:tc>
          <w:tcPr>
            <w:tcW w:type="dxa" w:w="1440"/>
            <w:shd w:fill="FAFAFA" w:val="clear"/>
          </w:tcPr>
          <w:p>
            <w:r>
              <w:rPr>
                <w:sz w:val="17"/>
              </w:rPr>
              <w:t>28,721</w:t>
            </w:r>
          </w:p>
        </w:tc>
        <w:tc>
          <w:tcPr>
            <w:tcW w:type="dxa" w:w="1440"/>
            <w:shd w:fill="FAFAFA" w:val="clear"/>
          </w:tcPr>
          <w:p>
            <w:r>
              <w:rPr>
                <w:b/>
                <w:sz w:val="17"/>
              </w:rPr>
              <w:t>30,741</w:t>
            </w:r>
          </w:p>
        </w:tc>
        <w:tc>
          <w:tcPr>
            <w:tcW w:type="dxa" w:w="1440"/>
            <w:shd w:fill="FAFAFA" w:val="clear"/>
          </w:tcPr>
          <w:p>
            <w:r>
              <w:rPr>
                <w:sz w:val="17"/>
              </w:rPr>
              <w:t>32,761</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2026-08-17</w:t>
            </w:r>
          </w:p>
        </w:tc>
        <w:tc>
          <w:tcPr>
            <w:tcW w:type="dxa" w:w="1440"/>
            <w:shd w:fill="FAFAFA" w:val="clear"/>
          </w:tcPr>
          <w:p>
            <w:r>
              <w:rPr>
                <w:sz w:val="17"/>
              </w:rPr>
              <w:t>28,583</w:t>
            </w:r>
          </w:p>
        </w:tc>
        <w:tc>
          <w:tcPr>
            <w:tcW w:type="dxa" w:w="1440"/>
            <w:shd w:fill="FAFAFA" w:val="clear"/>
          </w:tcPr>
          <w:p>
            <w:r>
              <w:rPr>
                <w:b/>
                <w:sz w:val="17"/>
              </w:rPr>
              <w:t>30,710</w:t>
            </w:r>
          </w:p>
        </w:tc>
        <w:tc>
          <w:tcPr>
            <w:tcW w:type="dxa" w:w="1440"/>
            <w:shd w:fill="FAFAFA" w:val="clear"/>
          </w:tcPr>
          <w:p>
            <w:r>
              <w:rPr>
                <w:sz w:val="17"/>
              </w:rPr>
              <w:t>32,837</w:t>
            </w:r>
          </w:p>
        </w:tc>
        <w:tc>
          <w:tcPr>
            <w:tcW w:type="dxa" w:w="1440"/>
            <w:shd w:fill="FAFAFA" w:val="clear"/>
          </w:tcPr>
          <w:p>
            <w:r>
              <w:rPr>
                <w:b/>
                <w:color w:val="C00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31 juillet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Sonatel s'établit à 3 100 milliards FCFA, ce qui en fait l'une des plus importantes valeurs de la BRVM, lui conférant un poids significatif dans l'indice. Avec un BPA de 4 136 FCFA, le titre se négocie à un PER de 7,5x, ce qui est inférieur à la moyenne historique de la BRVM (8-12x), suggérant une sous-évaluation relative du titre par rapport à ses bénéfices. Le P/B de 2,22x indique que le marché valorise la société à plus du double de sa valeur comptable, ce qui est cohérent avec une prime de croissance pour un leader régional. Enfin, un EV/EBITDA de 3,2x, très inférieur au seuil de 5x, confirme que la valeur totale de l'entreprise (dette incluse) est très bon marché par rapport à sa capacité opérationnelle brute. Ces ratios combinés dressent le portrait d'une entreprise financièrement solide et potentiellement sous-évaluée.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SNTS a enregistré une progression totale de +9,93%, avec une dernière séance stable (0,00%). Le cours a évolué dans un range de trading de 27 160 FCFA (plus bas) à 32 500 FCFA (plus haut), démontrant une dynamique haussière soutenue. La moyenne du cours sur la période est de 29 155 FCFA, tandis que la médiane est de 28 800 FCFA ; l'écart entre ces deux valeurs, couplé à un skewness positif de 1.317, indique une distribution asymétrique avec des journées plus fréquentes sous la moyenne mais des pics de hausse importants. L'écart-type de 1 150 FCFA (CV=3,9%) révèle une dispersion relativement faible, et le kurtosis de 0.703 (mésokurtique) suggère une distribution proche de la normale, sans risque de variations extrêmes. La volatilité annualisée de 24,2% classe le titre dans une catégorie de risque modéré (15-30%), ce qui est acceptable pour une valeur de cette envergure.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(31 000 FCFA) se situe au-dessus de la MM20 (31 225,75 FCFA) et de la MM50 (29 621,1 FCFA), avec une MM20 supérieure à la MM50, formant une configuration haussière classique. La décision d'achat est justifiée par cette dynamique positive, bien que le cours soit légèrement sous la MM20, indiquant une possible consolidation à court terme.</w:t>
      </w:r>
    </w:p>
    <w:p>
      <w:pPr>
        <w:spacing w:after="120" w:line="276" w:lineRule="auto"/>
      </w:pPr>
      <w:r>
        <w:t>**Bandes de Bollinger :** Le prix se situe à 31 000 FCFA, entre la borne inférieure (29 822,68 FCFA) et la borne supérieure (32 628,82 FCFA), proche du milieu du canal. Cette position neutre suggère une volatilité modérée sans signal directionnel fort, laissant place à une poursuite de la tendance ou à un retour vers la moyenne.</w:t>
      </w:r>
    </w:p>
    <w:p>
      <w:pPr>
        <w:spacing w:after="120" w:line="276" w:lineRule="auto"/>
      </w:pPr>
      <w:r>
        <w:t>**MACD :** La valeur du MACD (434,69) est inférieure à son signal (601,93), indiquant un momentum baissier à court terme. La décision de vente est justifiée par ce croisement négatif, qui pourrait signaler une correction après la récente hausse, bien que les valeurs restent positives en territoire haussier.</w:t>
      </w:r>
    </w:p>
    <w:p>
      <w:pPr>
        <w:spacing w:after="120" w:line="276" w:lineRule="auto"/>
      </w:pPr>
      <w:r>
        <w:t>**RSI :** À 51,35, le RSI est en zone neutre (30-70), indiquant un équilibre entre pressions acheteuses et vendeuses. Cette valeur ne montre ni surachat ni survente, laissant place à une évolution sans contrainte technique majeure.</w:t>
      </w:r>
    </w:p>
    <w:p>
      <w:pPr>
        <w:spacing w:after="120" w:line="276" w:lineRule="auto"/>
      </w:pPr>
      <w:r>
        <w:t>**Stochastique :** Le %K (0,0) et le %D (4,17) sont à des niveaux extrêmement bas, indiquant une condition de survente sévère. La décision d'achat est justifiée par ce niveau, qui précède souvent un rebond technique, offrant un potentiel de rattrapage à court terme.</w:t>
      </w:r>
    </w:p>
    <w:p>
      <w:pPr>
        <w:spacing w:after="120" w:line="276" w:lineRule="auto"/>
      </w:pPr>
      <w:r>
        <w:t>**Conclusion technique :** Les indicateurs sont mitigés, avec un croisement baissier du MACD et un RSI neutre, mais des moyennes mobiles haussières et un stochastique en survente. Cette divergence suggère une phase de consolidation avec un potentiel de rebond, mais la prudence est de mise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Sonatel a réalisé un chiffre d'affaires consolidé de 1 923,1 milliards FCFA, en hausse de +8,3% par rapport à 2024, et un résultat net de 413,6 milliards FCFA (+5,1%). La marge nette s'établit à 21,5%, avec un ROE exceptionnel de 29,6% et un ROA de 12,6%, démontrant une excellente rentabilité des fonds propres et des actifs. En tant qu'entreprise non bancaire, l'analyse se concentre sur le BFR, qui est négatif à -284,9 milliards FCFA, une situation très favorable indiquant que l'entreprise finance son exploitation grâce à ses fournisseurs (délai fournisseurs de 201 jours contre 46 jours pour les clients). Le ratio d'endettement de 57,2% reste maîtrisé, avec une capacité de remboursement de seulement 0,64 an. Sur la base du rapport du T3 2025 (CA 9M à 1 432,5 milliards FCFA, +8,6% YoY) et du S1 2025 (CA 960,2 milliards FCFA, +9,4%), on estime que l'exercice 2026 devrait poursuivre cette trajectoire de croissance, avec un CA potentiel dépassant les 2 000 milliards FCFA et un résultat net autour de 440 milliards FCFA. Le dividende proposé de 1 933 FCFA brut par action (1 740 FCFA net) offre un rendement attractif d'environ 5,6%, renforçant l'attrait du titre. Les fondamentaux restent solides, portés par la data mobile, la fibre et Orange Money, malgré des risques réglementaires et concurrentiels.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SNTS est attractive, avec un PER de 7,5x et un EV/EBITDA de 3,2x, indiquant une sous-évaluation malgré une prime de croissance (P/B 2,22x). Le comportement du cours sur 100 jours est positif (+9,93%) avec une volatilité modérée (24,2%) et une distribution statistique saine, bien que l'asymétrie positive suggère des gains potentiels. Les signaux techniques sont mitigés, oscillant entre un stochastique en survente (achat) et un MACD baissier, mais la tendance des moyennes mobiles reste haussière. Les fondamentaux sont excellents, avec une croissance soutenue du CA et du résultat net, une rentabilité élevée (ROE 29,6%) et un BFR négatif favorable. Les prédictions IA pour les 10 prochains jours (baisse légère de 30 983 à 30 866 FCFA) suggèrent une consolidation à court terme, contredisant légèrement les signaux de rebond technique. En synthèse, la convergence entre la sous-évaluation, la solidité fondamentale et la tendance de fond haussière l'emporte sur les signaux techniques à court terme. **Recommandation : ACHAT**, avec un niveau de confiance **Élevé**, un risque global **Moyen**, et un horizon d'investissement optimal à **moyen terme (3-12 mois)**, idéalement pour capter le rendement du dividende et la croissance des bénéfices.</w:t>
      </w:r>
    </w:p>
    <w:p/>
    <w:p/>
    <w:p>
      <w:pPr>
        <w:pStyle w:val="Heading3"/>
      </w:pPr>
      <w:r>
        <w:rPr>
          <w:color w:val="00467F"/>
        </w:rPr>
        <w:t>📎 DOCUMENTS &amp; COMMUNICATIONS OFFICIELS BRVM</w:t>
      </w:r>
    </w:p>
    <w:p>
      <w:r>
        <w:rPr>
          <w:i/>
          <w:color w:val="646464"/>
          <w:sz w:val="18"/>
        </w:rPr>
        <w:t>4 document(s) disponible(s) pour cette société (affichage des 4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[4]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pr\u00e9sente une performance financi\u00e8re solide avec une croissance soutenue et une rentabilit\u00e9 \u00e9lev\u00e9e, mais \u00e9volue dans un environnement concurrentiel intense et inflationniste. La strat\u00e9gie de d\u00e9veloppement du tr\u00e8s haut d\u00e9bit et la position de leader justifient le maintien en portefeuille."}</w:t>
      </w:r>
    </w:p>
    <w:p>
      <w:pPr>
        <w:spacing w:before="40"/>
        <w:ind w:left="400"/>
      </w:pPr>
      <w:r>
        <w:rPr>
          <w:sz w:val="18"/>
        </w:rPr>
        <w:t>Sonatel affiche une performance financière solide en 2022 avec un chiffre d'affaires en croissance de 9% à 1 455 milliards FCFA et un résultat net en hausse de 10,5% à 278,9 milliards FCFA. Le groupe maintient son leadership sur tous ses marchés de présence (Sénégal, Mali, Guinée, Guinée Bissau, Sierra Leone) malgré un contexte socio-économique difficile. La croissance est portée par le développement du très haut débit avec 10,6 millions de clients 4G et une forte croissance du parc broadband fixe (+34,8%). L'EBITDAAL progresse de 8,8% à 631,5 milliards FCFA avec une marge de 43,4%, témoignant d'une rentabilité opérationnelle robuste. Le groupe propose un dividende de 1 667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'262,5 milliards FCFA', 'ebitdaal': '631,5 milliards FCFA', 'clients_4G': '10,6 millions', 'parc_mobile': '37,9 millions', 'marge_ebitdaal': '43,4%', 'operating_cash_flow': '369,1 milliards FCFA', 'clients_orange_money': '26,4 millions'}</w:t>
            </w:r>
          </w:p>
        </w:tc>
        <w:tc>
          <w:tcPr>
            <w:tcW w:type="dxa" w:w="2160"/>
          </w:tcPr>
          <w:p>
            <w:pPr>
              <w:ind w:left="100"/>
            </w:pPr>
            <w:r/>
            <w:r>
              <w:rPr>
                <w:b/>
                <w:sz w:val="16"/>
              </w:rPr>
              <w:t>dividende</w:t>
              <w:br/>
            </w:r>
            <w:r>
              <w:rPr>
                <w:sz w:val="18"/>
              </w:rPr>
              <w:t>1 667 FCFA brut par action (1 500 FCFA net)</w:t>
            </w:r>
          </w:p>
        </w:tc>
        <w:tc>
          <w:tcPr>
            <w:tcW w:type="dxa" w:w="2160"/>
          </w:tcPr>
          <w:p>
            <w:pPr>
              <w:ind w:left="100"/>
            </w:pPr>
            <w:r/>
            <w:r>
              <w:rPr>
                <w:b/>
                <w:sz w:val="16"/>
              </w:rPr>
              <w:t>marge_nette</w:t>
              <w:br/>
            </w:r>
            <w:r>
              <w:rPr>
                <w:sz w:val="18"/>
              </w:rPr>
              <w:t>19,2%</w:t>
            </w:r>
          </w:p>
        </w:tc>
        <w:tc>
          <w:tcPr>
            <w:tcW w:type="dxa" w:w="2160"/>
          </w:tcPr>
          <w:p>
            <w:pPr>
              <w:ind w:left="100"/>
            </w:pPr>
            <w:r/>
            <w:r>
              <w:rPr>
                <w:b/>
                <w:sz w:val="16"/>
              </w:rPr>
              <w:t>total_actif</w:t>
              <w:br/>
            </w:r>
            <w:r>
              <w:rPr>
                <w:sz w:val="18"/>
              </w:rPr>
              <w:t>2 252,2 milliards FCFA</w:t>
            </w:r>
          </w:p>
        </w:tc>
      </w:tr>
      <w:tr>
        <w:tc>
          <w:tcPr>
            <w:tcW w:type="dxa" w:w="2160"/>
          </w:tcPr>
          <w:p>
            <w:r/>
            <w:r>
              <w:rPr>
                <w:b/>
                <w:sz w:val="16"/>
              </w:rPr>
              <w:t>resultat_net</w:t>
              <w:br/>
            </w:r>
            <w:r>
              <w:rPr>
                <w:sz w:val="18"/>
              </w:rPr>
              <w:t>278,9 milliards FCFA</w:t>
            </w:r>
          </w:p>
        </w:tc>
        <w:tc>
          <w:tcPr>
            <w:tcW w:type="dxa" w:w="2160"/>
          </w:tcPr>
          <w:p>
            <w:r/>
            <w:r>
              <w:rPr>
                <w:b/>
                <w:sz w:val="16"/>
              </w:rPr>
              <w:t>capitaux_propres</w:t>
              <w:br/>
            </w:r>
            <w:r>
              <w:rPr>
                <w:sz w:val="18"/>
              </w:rPr>
              <w:t>898,5 milliards FCFA</w:t>
            </w:r>
          </w:p>
        </w:tc>
        <w:tc>
          <w:tcPr>
            <w:tcW w:type="dxa" w:w="2160"/>
          </w:tcPr>
          <w:p>
            <w:r/>
            <w:r>
              <w:rPr>
                <w:b/>
                <w:sz w:val="16"/>
              </w:rPr>
              <w:t>chiffre_affaires</w:t>
              <w:br/>
            </w:r>
            <w:r>
              <w:rPr>
                <w:sz w:val="18"/>
              </w:rPr>
              <w:t>1 455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 à 1 455 milliards FCFA malgré la baisse d'Orange Money</w:t>
      </w:r>
    </w:p>
    <w:p>
      <w:pPr>
        <w:pStyle w:val="ListBullet"/>
        <w:spacing w:before="20" w:after="20"/>
        <w:ind w:left="700"/>
      </w:pPr>
      <w:r>
        <w:rPr>
          <w:sz w:val="18"/>
        </w:rPr>
        <w:t>Résultat net en progression de 10,5% à 278,9 milliards FCFA avec une marge nette de 19,2%</w:t>
      </w:r>
    </w:p>
    <w:p>
      <w:pPr>
        <w:pStyle w:val="ListBullet"/>
        <w:spacing w:before="20" w:after="20"/>
        <w:ind w:left="700"/>
      </w:pPr>
      <w:r>
        <w:rPr>
          <w:sz w:val="18"/>
        </w:rPr>
        <w:t>Maintien du leadership sur tous les marchés avec des parts de marché entre 51,6% et 65,9%</w:t>
      </w:r>
    </w:p>
    <w:p>
      <w:pPr>
        <w:pStyle w:val="ListBullet"/>
        <w:spacing w:before="20" w:after="20"/>
        <w:ind w:left="700"/>
      </w:pPr>
      <w:r>
        <w:rPr>
          <w:sz w:val="18"/>
        </w:rPr>
        <w:t>Forte croissance du parc 4G (+33%) atteignant 10,6 millions de clients actifs</w:t>
      </w:r>
    </w:p>
    <w:p>
      <w:pPr>
        <w:pStyle w:val="ListBullet"/>
        <w:spacing w:before="20" w:after="20"/>
        <w:ind w:left="700"/>
      </w:pPr>
      <w:r>
        <w:rPr>
          <w:sz w:val="18"/>
        </w:rPr>
        <w:t>Développement significatif du broadband fixe (+34,8%) avec 586K clients dont 491K en fibre</w:t>
      </w:r>
    </w:p>
    <w:p>
      <w:pPr>
        <w:pStyle w:val="ListBullet"/>
        <w:spacing w:before="20" w:after="20"/>
        <w:ind w:left="700"/>
      </w:pPr>
      <w:r>
        <w:rPr>
          <w:sz w:val="18"/>
        </w:rPr>
        <w:t>EBITDAAL en hausse de 8,8% à 631,5 milliards FCFA avec une marge stable à 43,4%</w:t>
      </w:r>
    </w:p>
    <w:p>
      <w:pPr>
        <w:spacing w:before="40"/>
        <w:ind w:left="400"/>
      </w:pPr>
      <w:r>
        <w:rPr>
          <w:b/>
          <w:color w:val="C05000"/>
          <w:sz w:val="18"/>
        </w:rPr>
        <w:t xml:space="preserve">⚠️ Risques : </w:t>
      </w:r>
      <w:r>
        <w:rPr>
          <w:sz w:val="18"/>
        </w:rPr>
        <w:t>["Contexte socio-\u00e9conomique difficile avec inflation \u00e9lev\u00e9e et transitions militaires au Mali et en Guin\u00e9e", "Agressivit\u00e9 concurrentielle croissante sur tous les march\u00e9s, notamment sur la data et le mobile money", "D\u00e9pr\u00e9ciation mon\u00e9taire importante en Sie</w:t>
      </w:r>
    </w:p>
    <w:p>
      <w:pPr>
        <w:spacing w:before="40"/>
        <w:ind w:left="400"/>
      </w:pPr>
      <w:r>
        <w:rPr>
          <w:b/>
          <w:color w:val="0064A0"/>
          <w:sz w:val="18"/>
        </w:rPr>
        <w:t xml:space="preserve">🔮 Perspectives : </w:t>
      </w:r>
      <w:r>
        <w:rPr>
          <w:sz w:val="18"/>
        </w:rPr>
        <w:t>Pour 2023, Sonatel vise à renforcer sa performance en croissance et rentabilité grâce à un plan d'efficience opérationnelle. Le groupe poursuivra sa stratégie d'opérateur multiservices en accélérant le très haut débit fixe et mobile, la distribution de contenus via Wido et Orange Energie. L'objectif</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179.40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4,261 titres</w:t>
            </w:r>
          </w:p>
        </w:tc>
        <w:tc>
          <w:tcPr>
            <w:tcW w:type="dxa" w:w="2268"/>
            <w:shd w:fill="FFF2CC" w:val="clear"/>
          </w:tcPr>
          <w:p>
            <w:r>
              <w:rPr>
                <w:b/>
                <w:color w:val="503200"/>
                <w:sz w:val="16"/>
              </w:rPr>
              <w:t xml:space="preserve">Cours actuel : </w:t>
            </w:r>
            <w:r>
              <w:rPr>
                <w:color w:val="000000"/>
                <w:sz w:val="17"/>
              </w:rPr>
              <w:t>8,305 FCFA</w:t>
            </w:r>
          </w:p>
          <w:p>
            <w:r>
              <w:rPr>
                <w:b/>
                <w:color w:val="503200"/>
                <w:sz w:val="16"/>
              </w:rPr>
              <w:t xml:space="preserve">Var. 100 jours : </w:t>
            </w:r>
            <w:r>
              <w:rPr>
                <w:b/>
                <w:color w:val="B40000"/>
                <w:sz w:val="17"/>
              </w:rPr>
              <w:t>-6.58%</w:t>
            </w:r>
          </w:p>
          <w:p>
            <w:r>
              <w:rPr>
                <w:b/>
                <w:color w:val="503200"/>
                <w:sz w:val="16"/>
              </w:rPr>
              <w:t xml:space="preserve">Plus haut 100j : </w:t>
            </w:r>
            <w:r>
              <w:rPr>
                <w:color w:val="000000"/>
                <w:sz w:val="17"/>
              </w:rPr>
              <w:t>9,000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5.69% (Moyenne) — μ=8,065 FCFA, σ=459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β=0.8854 (Neutre (suit le marché)) — Cov=0.000032, Var(idx)=0.000036, ρ=0.243,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4,261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σ_j=2.18%/j (Stable) — Vol. annualisée≈34.6%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2026-08-03</w:t>
            </w:r>
          </w:p>
        </w:tc>
        <w:tc>
          <w:tcPr>
            <w:tcW w:type="dxa" w:w="1440"/>
            <w:shd w:fill="FAFAFA" w:val="clear"/>
          </w:tcPr>
          <w:p>
            <w:r>
              <w:rPr>
                <w:sz w:val="17"/>
              </w:rPr>
              <w:t>8,048</w:t>
            </w:r>
          </w:p>
        </w:tc>
        <w:tc>
          <w:tcPr>
            <w:tcW w:type="dxa" w:w="1440"/>
            <w:shd w:fill="FAFAFA" w:val="clear"/>
          </w:tcPr>
          <w:p>
            <w:r>
              <w:rPr>
                <w:b/>
                <w:sz w:val="17"/>
              </w:rPr>
              <w:t>8,267</w:t>
            </w:r>
          </w:p>
        </w:tc>
        <w:tc>
          <w:tcPr>
            <w:tcW w:type="dxa" w:w="1440"/>
            <w:shd w:fill="FAFAFA" w:val="clear"/>
          </w:tcPr>
          <w:p>
            <w:r>
              <w:rPr>
                <w:sz w:val="17"/>
              </w:rPr>
              <w:t>8,486</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2026-08-04</w:t>
            </w:r>
          </w:p>
        </w:tc>
        <w:tc>
          <w:tcPr>
            <w:tcW w:type="dxa" w:w="1440"/>
            <w:shd w:fill="FAFAFA" w:val="clear"/>
          </w:tcPr>
          <w:p>
            <w:r>
              <w:rPr>
                <w:sz w:val="17"/>
              </w:rPr>
              <w:t>7,972</w:t>
            </w:r>
          </w:p>
        </w:tc>
        <w:tc>
          <w:tcPr>
            <w:tcW w:type="dxa" w:w="1440"/>
            <w:shd w:fill="FAFAFA" w:val="clear"/>
          </w:tcPr>
          <w:p>
            <w:r>
              <w:rPr>
                <w:b/>
                <w:sz w:val="17"/>
              </w:rPr>
              <w:t>8,282</w:t>
            </w:r>
          </w:p>
        </w:tc>
        <w:tc>
          <w:tcPr>
            <w:tcW w:type="dxa" w:w="1440"/>
            <w:shd w:fill="FAFAFA" w:val="clear"/>
          </w:tcPr>
          <w:p>
            <w:r>
              <w:rPr>
                <w:sz w:val="17"/>
              </w:rPr>
              <w:t>8,593</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2026-08-05</w:t>
            </w:r>
          </w:p>
        </w:tc>
        <w:tc>
          <w:tcPr>
            <w:tcW w:type="dxa" w:w="1440"/>
            <w:shd w:fill="FAFAFA" w:val="clear"/>
          </w:tcPr>
          <w:p>
            <w:r>
              <w:rPr>
                <w:sz w:val="17"/>
              </w:rPr>
              <w:t>7,913</w:t>
            </w:r>
          </w:p>
        </w:tc>
        <w:tc>
          <w:tcPr>
            <w:tcW w:type="dxa" w:w="1440"/>
            <w:shd w:fill="FAFAFA" w:val="clear"/>
          </w:tcPr>
          <w:p>
            <w:r>
              <w:rPr>
                <w:b/>
                <w:sz w:val="17"/>
              </w:rPr>
              <w:t>8,293</w:t>
            </w:r>
          </w:p>
        </w:tc>
        <w:tc>
          <w:tcPr>
            <w:tcW w:type="dxa" w:w="1440"/>
            <w:shd w:fill="FAFAFA" w:val="clear"/>
          </w:tcPr>
          <w:p>
            <w:r>
              <w:rPr>
                <w:sz w:val="17"/>
              </w:rPr>
              <w:t>8,673</w:t>
            </w:r>
          </w:p>
        </w:tc>
        <w:tc>
          <w:tcPr>
            <w:tcW w:type="dxa" w:w="1440"/>
            <w:shd w:fill="FAFAFA" w:val="clear"/>
          </w:tcPr>
          <w:p>
            <w:r>
              <w:rPr>
                <w:b/>
                <w:color w:val="C00000"/>
                <w:sz w:val="17"/>
              </w:rPr>
              <w:t>-0.1%</w:t>
            </w:r>
          </w:p>
        </w:tc>
      </w:tr>
      <w:tr>
        <w:tc>
          <w:tcPr>
            <w:tcW w:type="dxa" w:w="1440"/>
            <w:shd w:fill="FAFAFA" w:val="clear"/>
          </w:tcPr>
          <w:p>
            <w:r>
              <w:rPr>
                <w:sz w:val="17"/>
              </w:rPr>
              <w:t>J+4  Moyenne</w:t>
            </w:r>
          </w:p>
        </w:tc>
        <w:tc>
          <w:tcPr>
            <w:tcW w:type="dxa" w:w="1440"/>
            <w:shd w:fill="FAFAFA" w:val="clear"/>
          </w:tcPr>
          <w:p>
            <w:r>
              <w:rPr>
                <w:sz w:val="17"/>
              </w:rPr>
              <w:t>2026-08-06</w:t>
            </w:r>
          </w:p>
        </w:tc>
        <w:tc>
          <w:tcPr>
            <w:tcW w:type="dxa" w:w="1440"/>
            <w:shd w:fill="FAFAFA" w:val="clear"/>
          </w:tcPr>
          <w:p>
            <w:r>
              <w:rPr>
                <w:sz w:val="17"/>
              </w:rPr>
              <w:t>7,864</w:t>
            </w:r>
          </w:p>
        </w:tc>
        <w:tc>
          <w:tcPr>
            <w:tcW w:type="dxa" w:w="1440"/>
            <w:shd w:fill="FAFAFA" w:val="clear"/>
          </w:tcPr>
          <w:p>
            <w:r>
              <w:rPr>
                <w:b/>
                <w:sz w:val="17"/>
              </w:rPr>
              <w:t>8,303</w:t>
            </w:r>
          </w:p>
        </w:tc>
        <w:tc>
          <w:tcPr>
            <w:tcW w:type="dxa" w:w="1440"/>
            <w:shd w:fill="FAFAFA" w:val="clear"/>
          </w:tcPr>
          <w:p>
            <w:r>
              <w:rPr>
                <w:sz w:val="17"/>
              </w:rPr>
              <w:t>8,743</w:t>
            </w:r>
          </w:p>
        </w:tc>
        <w:tc>
          <w:tcPr>
            <w:tcW w:type="dxa" w:w="1440"/>
            <w:shd w:fill="FAFAFA" w:val="clear"/>
          </w:tcPr>
          <w:p>
            <w:r>
              <w:rPr>
                <w:b/>
                <w:color w:val="C00000"/>
                <w:sz w:val="17"/>
              </w:rPr>
              <w:t>-0.0%</w:t>
            </w:r>
          </w:p>
        </w:tc>
      </w:tr>
      <w:tr>
        <w:tc>
          <w:tcPr>
            <w:tcW w:type="dxa" w:w="1440"/>
            <w:shd w:fill="FAFAFA" w:val="clear"/>
          </w:tcPr>
          <w:p>
            <w:r>
              <w:rPr>
                <w:sz w:val="17"/>
              </w:rPr>
              <w:t>J+5  Moyenne</w:t>
            </w:r>
          </w:p>
        </w:tc>
        <w:tc>
          <w:tcPr>
            <w:tcW w:type="dxa" w:w="1440"/>
            <w:shd w:fill="FAFAFA" w:val="clear"/>
          </w:tcPr>
          <w:p>
            <w:r>
              <w:rPr>
                <w:sz w:val="17"/>
              </w:rPr>
              <w:t>2026-08-10</w:t>
            </w:r>
          </w:p>
        </w:tc>
        <w:tc>
          <w:tcPr>
            <w:tcW w:type="dxa" w:w="1440"/>
            <w:shd w:fill="FAFAFA" w:val="clear"/>
          </w:tcPr>
          <w:p>
            <w:r>
              <w:rPr>
                <w:sz w:val="17"/>
              </w:rPr>
              <w:t>7,822</w:t>
            </w:r>
          </w:p>
        </w:tc>
        <w:tc>
          <w:tcPr>
            <w:tcW w:type="dxa" w:w="1440"/>
            <w:shd w:fill="FAFAFA" w:val="clear"/>
          </w:tcPr>
          <w:p>
            <w:r>
              <w:rPr>
                <w:b/>
                <w:sz w:val="17"/>
              </w:rPr>
              <w:t>8,314</w:t>
            </w:r>
          </w:p>
        </w:tc>
        <w:tc>
          <w:tcPr>
            <w:tcW w:type="dxa" w:w="1440"/>
            <w:shd w:fill="FAFAFA" w:val="clear"/>
          </w:tcPr>
          <w:p>
            <w:r>
              <w:rPr>
                <w:sz w:val="17"/>
              </w:rPr>
              <w:t>8,807</w:t>
            </w:r>
          </w:p>
        </w:tc>
        <w:tc>
          <w:tcPr>
            <w:tcW w:type="dxa" w:w="1440"/>
            <w:shd w:fill="FAFAFA" w:val="clear"/>
          </w:tcPr>
          <w:p>
            <w:r>
              <w:rPr>
                <w:b/>
                <w:color w:val="008000"/>
                <w:sz w:val="17"/>
              </w:rPr>
              <w:t>+0.1%</w:t>
            </w:r>
          </w:p>
        </w:tc>
      </w:tr>
      <w:tr>
        <w:tc>
          <w:tcPr>
            <w:tcW w:type="dxa" w:w="1440"/>
            <w:shd w:fill="FAFAFA" w:val="clear"/>
          </w:tcPr>
          <w:p>
            <w:r>
              <w:rPr>
                <w:sz w:val="17"/>
              </w:rPr>
              <w:t>J+6  Moyenne</w:t>
            </w:r>
          </w:p>
        </w:tc>
        <w:tc>
          <w:tcPr>
            <w:tcW w:type="dxa" w:w="1440"/>
            <w:shd w:fill="FAFAFA" w:val="clear"/>
          </w:tcPr>
          <w:p>
            <w:r>
              <w:rPr>
                <w:sz w:val="17"/>
              </w:rPr>
              <w:t>2026-08-11</w:t>
            </w:r>
          </w:p>
        </w:tc>
        <w:tc>
          <w:tcPr>
            <w:tcW w:type="dxa" w:w="1440"/>
            <w:shd w:fill="FAFAFA" w:val="clear"/>
          </w:tcPr>
          <w:p>
            <w:r>
              <w:rPr>
                <w:sz w:val="17"/>
              </w:rPr>
              <w:t>7,785</w:t>
            </w:r>
          </w:p>
        </w:tc>
        <w:tc>
          <w:tcPr>
            <w:tcW w:type="dxa" w:w="1440"/>
            <w:shd w:fill="FAFAFA" w:val="clear"/>
          </w:tcPr>
          <w:p>
            <w:r>
              <w:rPr>
                <w:b/>
                <w:sz w:val="17"/>
              </w:rPr>
              <w:t>8,325</w:t>
            </w:r>
          </w:p>
        </w:tc>
        <w:tc>
          <w:tcPr>
            <w:tcW w:type="dxa" w:w="1440"/>
            <w:shd w:fill="FAFAFA" w:val="clear"/>
          </w:tcPr>
          <w:p>
            <w:r>
              <w:rPr>
                <w:sz w:val="17"/>
              </w:rPr>
              <w:t>8,865</w:t>
            </w:r>
          </w:p>
        </w:tc>
        <w:tc>
          <w:tcPr>
            <w:tcW w:type="dxa" w:w="1440"/>
            <w:shd w:fill="FAFAFA" w:val="clear"/>
          </w:tcPr>
          <w:p>
            <w:r>
              <w:rPr>
                <w:b/>
                <w:color w:val="008000"/>
                <w:sz w:val="17"/>
              </w:rPr>
              <w:t>+0.2%</w:t>
            </w:r>
          </w:p>
        </w:tc>
      </w:tr>
      <w:tr>
        <w:tc>
          <w:tcPr>
            <w:tcW w:type="dxa" w:w="1440"/>
            <w:shd w:fill="FAFAFA" w:val="clear"/>
          </w:tcPr>
          <w:p>
            <w:r>
              <w:rPr>
                <w:sz w:val="17"/>
              </w:rPr>
              <w:t>J+7  Moyenne</w:t>
            </w:r>
          </w:p>
        </w:tc>
        <w:tc>
          <w:tcPr>
            <w:tcW w:type="dxa" w:w="1440"/>
            <w:shd w:fill="FAFAFA" w:val="clear"/>
          </w:tcPr>
          <w:p>
            <w:r>
              <w:rPr>
                <w:sz w:val="17"/>
              </w:rPr>
              <w:t>2026-08-12</w:t>
            </w:r>
          </w:p>
        </w:tc>
        <w:tc>
          <w:tcPr>
            <w:tcW w:type="dxa" w:w="1440"/>
            <w:shd w:fill="FAFAFA" w:val="clear"/>
          </w:tcPr>
          <w:p>
            <w:r>
              <w:rPr>
                <w:sz w:val="17"/>
              </w:rPr>
              <w:t>7,752</w:t>
            </w:r>
          </w:p>
        </w:tc>
        <w:tc>
          <w:tcPr>
            <w:tcW w:type="dxa" w:w="1440"/>
            <w:shd w:fill="FAFAFA" w:val="clear"/>
          </w:tcPr>
          <w:p>
            <w:r>
              <w:rPr>
                <w:b/>
                <w:sz w:val="17"/>
              </w:rPr>
              <w:t>8,336</w:t>
            </w:r>
          </w:p>
        </w:tc>
        <w:tc>
          <w:tcPr>
            <w:tcW w:type="dxa" w:w="1440"/>
            <w:shd w:fill="FAFAFA" w:val="clear"/>
          </w:tcPr>
          <w:p>
            <w:r>
              <w:rPr>
                <w:sz w:val="17"/>
              </w:rPr>
              <w:t>8,920</w:t>
            </w:r>
          </w:p>
        </w:tc>
        <w:tc>
          <w:tcPr>
            <w:tcW w:type="dxa" w:w="1440"/>
            <w:shd w:fill="FAFAFA" w:val="clear"/>
          </w:tcPr>
          <w:p>
            <w:r>
              <w:rPr>
                <w:b/>
                <w:color w:val="008000"/>
                <w:sz w:val="17"/>
              </w:rPr>
              <w:t>+0.4%</w:t>
            </w:r>
          </w:p>
        </w:tc>
      </w:tr>
      <w:tr>
        <w:tc>
          <w:tcPr>
            <w:tcW w:type="dxa" w:w="1440"/>
            <w:shd w:fill="FAFAFA" w:val="clear"/>
          </w:tcPr>
          <w:p>
            <w:r>
              <w:rPr>
                <w:sz w:val="17"/>
              </w:rPr>
              <w:t>J+8  Moyenne</w:t>
            </w:r>
          </w:p>
        </w:tc>
        <w:tc>
          <w:tcPr>
            <w:tcW w:type="dxa" w:w="1440"/>
            <w:shd w:fill="FAFAFA" w:val="clear"/>
          </w:tcPr>
          <w:p>
            <w:r>
              <w:rPr>
                <w:sz w:val="17"/>
              </w:rPr>
              <w:t>2026-08-13</w:t>
            </w:r>
          </w:p>
        </w:tc>
        <w:tc>
          <w:tcPr>
            <w:tcW w:type="dxa" w:w="1440"/>
            <w:shd w:fill="FAFAFA" w:val="clear"/>
          </w:tcPr>
          <w:p>
            <w:r>
              <w:rPr>
                <w:sz w:val="17"/>
              </w:rPr>
              <w:t>7,721</w:t>
            </w:r>
          </w:p>
        </w:tc>
        <w:tc>
          <w:tcPr>
            <w:tcW w:type="dxa" w:w="1440"/>
            <w:shd w:fill="FAFAFA" w:val="clear"/>
          </w:tcPr>
          <w:p>
            <w:r>
              <w:rPr>
                <w:b/>
                <w:sz w:val="17"/>
              </w:rPr>
              <w:t>8,346</w:t>
            </w:r>
          </w:p>
        </w:tc>
        <w:tc>
          <w:tcPr>
            <w:tcW w:type="dxa" w:w="1440"/>
            <w:shd w:fill="FAFAFA" w:val="clear"/>
          </w:tcPr>
          <w:p>
            <w:r>
              <w:rPr>
                <w:sz w:val="17"/>
              </w:rPr>
              <w:t>8,971</w:t>
            </w:r>
          </w:p>
        </w:tc>
        <w:tc>
          <w:tcPr>
            <w:tcW w:type="dxa" w:w="1440"/>
            <w:shd w:fill="FAFAFA" w:val="clear"/>
          </w:tcPr>
          <w:p>
            <w:r>
              <w:rPr>
                <w:b/>
                <w:color w:val="008000"/>
                <w:sz w:val="17"/>
              </w:rPr>
              <w:t>+0.5%</w:t>
            </w:r>
          </w:p>
        </w:tc>
      </w:tr>
      <w:tr>
        <w:tc>
          <w:tcPr>
            <w:tcW w:type="dxa" w:w="1440"/>
            <w:shd w:fill="FAFAFA" w:val="clear"/>
          </w:tcPr>
          <w:p>
            <w:r>
              <w:rPr>
                <w:sz w:val="17"/>
              </w:rPr>
              <w:t>J+9  Moyenne</w:t>
            </w:r>
          </w:p>
        </w:tc>
        <w:tc>
          <w:tcPr>
            <w:tcW w:type="dxa" w:w="1440"/>
            <w:shd w:fill="FAFAFA" w:val="clear"/>
          </w:tcPr>
          <w:p>
            <w:r>
              <w:rPr>
                <w:sz w:val="17"/>
              </w:rPr>
              <w:t>2026-08-14</w:t>
            </w:r>
          </w:p>
        </w:tc>
        <w:tc>
          <w:tcPr>
            <w:tcW w:type="dxa" w:w="1440"/>
            <w:shd w:fill="FAFAFA" w:val="clear"/>
          </w:tcPr>
          <w:p>
            <w:r>
              <w:rPr>
                <w:sz w:val="17"/>
              </w:rPr>
              <w:t>7,693</w:t>
            </w:r>
          </w:p>
        </w:tc>
        <w:tc>
          <w:tcPr>
            <w:tcW w:type="dxa" w:w="1440"/>
            <w:shd w:fill="FAFAFA" w:val="clear"/>
          </w:tcPr>
          <w:p>
            <w:r>
              <w:rPr>
                <w:b/>
                <w:sz w:val="17"/>
              </w:rPr>
              <w:t>8,357</w:t>
            </w:r>
          </w:p>
        </w:tc>
        <w:tc>
          <w:tcPr>
            <w:tcW w:type="dxa" w:w="1440"/>
            <w:shd w:fill="FAFAFA" w:val="clear"/>
          </w:tcPr>
          <w:p>
            <w:r>
              <w:rPr>
                <w:sz w:val="17"/>
              </w:rPr>
              <w:t>9,021</w:t>
            </w:r>
          </w:p>
        </w:tc>
        <w:tc>
          <w:tcPr>
            <w:tcW w:type="dxa" w:w="1440"/>
            <w:shd w:fill="FAFAFA" w:val="clear"/>
          </w:tcPr>
          <w:p>
            <w:r>
              <w:rPr>
                <w:b/>
                <w:color w:val="008000"/>
                <w:sz w:val="17"/>
              </w:rPr>
              <w:t>+0.6%</w:t>
            </w:r>
          </w:p>
        </w:tc>
      </w:tr>
      <w:tr>
        <w:tc>
          <w:tcPr>
            <w:tcW w:type="dxa" w:w="1440"/>
            <w:shd w:fill="FAFAFA" w:val="clear"/>
          </w:tcPr>
          <w:p>
            <w:r>
              <w:rPr>
                <w:sz w:val="17"/>
              </w:rPr>
              <w:t>J+10  Moyenne</w:t>
            </w:r>
          </w:p>
        </w:tc>
        <w:tc>
          <w:tcPr>
            <w:tcW w:type="dxa" w:w="1440"/>
            <w:shd w:fill="FAFAFA" w:val="clear"/>
          </w:tcPr>
          <w:p>
            <w:r>
              <w:rPr>
                <w:sz w:val="17"/>
              </w:rPr>
              <w:t>2026-08-17</w:t>
            </w:r>
          </w:p>
        </w:tc>
        <w:tc>
          <w:tcPr>
            <w:tcW w:type="dxa" w:w="1440"/>
            <w:shd w:fill="FAFAFA" w:val="clear"/>
          </w:tcPr>
          <w:p>
            <w:r>
              <w:rPr>
                <w:sz w:val="17"/>
              </w:rPr>
              <w:t>7,666</w:t>
            </w:r>
          </w:p>
        </w:tc>
        <w:tc>
          <w:tcPr>
            <w:tcW w:type="dxa" w:w="1440"/>
            <w:shd w:fill="FAFAFA" w:val="clear"/>
          </w:tcPr>
          <w:p>
            <w:r>
              <w:rPr>
                <w:b/>
                <w:sz w:val="17"/>
              </w:rPr>
              <w:t>8,367</w:t>
            </w:r>
          </w:p>
        </w:tc>
        <w:tc>
          <w:tcPr>
            <w:tcW w:type="dxa" w:w="1440"/>
            <w:shd w:fill="FAFAFA" w:val="clear"/>
          </w:tcPr>
          <w:p>
            <w:r>
              <w:rPr>
                <w:sz w:val="17"/>
              </w:rPr>
              <w:t>9,068</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de l'analyse : 31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179,40 milliards FCFA, ce qui en fait une valeur de première ligne sur la BRVM, représentative du secteur agro-industriel. Le BPA de 578 FCFA indique que chaque action a généré un bénéfice substantiel sur l'exercice. Le PER de 14,4x est supérieur à la moyenne historique de la BRVM (8-12x), signifiant que le marché applique une prime de valorisation, probablement justifiée par la qualité des fondamentaux et la croissance passée. Le P/B de 2,62x confirme cette prime, le marché valorisant la société à plus de 2,5 fois ses capitaux propres, ce qui reflète une forte confiance dans la création de valeur future. Enfin, l'EV/EBITDA de 7,5x se situe dans une fourchette raisonnable (5-10x), indiquant que la valeur totale de l'entreprise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SOGC affiche une variation totale de -6,58%, mais a rebondi de +2,53% lors de la dernière séance, signe d'un possible retour des acheteurs. Le cours a évolué dans un range de 7 100 FCFA (plus bas) à 9 000 FCFA (plus haut), montrant une amplitude de trading significative. La moyenne (8 065 FCFA) et la médiane (8 100 FCFA) sont très proches, ce qui, combiné à un skewness de -0,051, indique une distribution quasi symétrique des prix. L'écart-type de 461 FCFA (CV=5,7%) révèle une dispersion modérée autour de la moyenne. Le kurtosis de -0,824 (mésokurtique) suggère l'absence de valeurs extrêmes ou de "pics" de prix, indiquant un comportement de trading relativement stable. Cependant, la volatilité annualisée de 34,6% est élevée (&gt;30%), signalant un risque de prix substantiel pour les investisseurs à court terme, malgré une distribution statistique normale.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(8 305 FCFA) se positionne au-dessus de la MM20 (8 255,25 FCFA) et de la MM50 (8 203,9 FCFA). Cette configuration haussière, où le prix est soutenu par les deux moyennes, génère un signal d'**Achat**, indiquant une dynamique positive à court et moyen terme.</w:t>
      </w:r>
    </w:p>
    <w:p>
      <w:pPr>
        <w:spacing w:after="120" w:line="276" w:lineRule="auto"/>
      </w:pPr>
      <w:r>
        <w:t>**Bandes de Bollinger** : Le prix se situe à 8 305 FCFA, entre la borne supérieure (8 613,65 FCFA) et la borne inférieure (7 896,86 FCFA), proche de la moyenne. Cette position neutre suggère une volatilité modérée sans condition de surachat ou de survente, d'où une décision **Neutre**.</w:t>
      </w:r>
    </w:p>
    <w:p>
      <w:pPr>
        <w:spacing w:after="120" w:line="276" w:lineRule="auto"/>
      </w:pPr>
      <w:r>
        <w:t>**MACD** : La valeur du MACD (0,118) est inférieure à sa ligne de signal (1,655), indiquant un momentum baissier à court terme. Cette divergence négative, bien que les valeurs soient proches de zéro, génère un signal de **Vente**.</w:t>
      </w:r>
    </w:p>
    <w:p>
      <w:pPr>
        <w:spacing w:after="120" w:line="276" w:lineRule="auto"/>
      </w:pPr>
      <w:r>
        <w:t>**RSI** : Avec une valeur de 53,69, le RSI se situe dans la zone neutre (30-70), indiquant un équilibre entre les pressions d'achat et de vente. Il n'y a pas de condition de surachat ou de survente, justifiant une décision **Neutre**.</w:t>
      </w:r>
    </w:p>
    <w:p>
      <w:pPr>
        <w:spacing w:after="120" w:line="276" w:lineRule="auto"/>
      </w:pPr>
      <w:r>
        <w:t>**Stochastique** : Le %K (80,26) est supérieur au %D (61,84), mais les deux sont dans la zone de surachat (&gt;80 pour %K). Cette configuration, avec un %K élevé, suggère une possible correction à venir, d'où un signal de **Vente**.</w:t>
      </w:r>
    </w:p>
    <w:p>
      <w:pPr>
        <w:spacing w:after="120" w:line="276" w:lineRule="auto"/>
      </w:pPr>
      <w:r>
        <w:t>**Conclusion technique** : Les signaux sont mitigés. Les moyennes mobiles plaident pour une tendance haussière, tandis que le MACD et le Stochastique suggèrent un essoufflement du momentum. Le RSI et les Bandes de Bollinger restent neutres. Cette divergence indique une phase de consolidation potentielle, où le titre pourrait hésiter avant de poursuivre sa direction.</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SOGC a réalisé un chiffre d'affaires de 98,98 milliards FCFA, en hausse de 10,7% par rapport à 2024 (93,52 milliards FCFA, rapport du 31/12/2025). Le résultat net s'établit à 12,49 milliards FCFA, en légère baisse de 5% par rapport à 2024 (13,11 milliards FCFA). Cette baisse est attribuée à la hausse des coûts des matières premières (+15%) et à une concurrence accrue sur l'achat du coagulum. La rentabilité reste excellente avec un ROE de 18,26% et un ROA de 13,84%, bien au-dessus des seuils de performance. La marge nette est de 12,62%. La structure financière est très saine avec une autonomie financière de 75,79% et un endettement faible (ratio d'endettement de 24,21%). Le BFR est positif à 7,12 milliards FCFA, avec un délai de stockage de 97,67 jours, ce qui est long pour le secteur. Les rapports trimestriels de 2025 montrent une décélération : le T1 affichait une croissance explosive (+63% CA, +263% RN), le S1 une croissance de +52% (CA) et +152% (RN), mais le cumul 9 mois n'a progressé que de +21% (CA) et +39,5% (RN), confirmant le ralentissement du S2. Sur la base de ces rapports, on estime que l'exercice 2026 pourrait voir une stabilisation des résultats, avec un résultat net potentiellement compris entre 11 et 13 milliards FCFA, dépendant de l'évolution des prix du caoutchouc. La société propose un dividende de 570 FCFA par action pour 2025, soit un rendement très attractif. Les fondamentaux restent solides, mais la croissance ralentit.</w:t>
      </w:r>
    </w:p>
    <w:p>
      <w:pPr>
        <w:spacing w:after="120" w:line="276" w:lineRule="auto"/>
      </w:pPr>
      <w:r>
        <w:t>---</w:t>
      </w:r>
    </w:p>
    <w:p>
      <w:pPr>
        <w:spacing w:after="120" w:line="276" w:lineRule="auto"/>
      </w:pPr>
      <w:r>
        <w:t>### PARTIE 4 : CONCLUSION D'INVESTISSEMENT</w:t>
      </w:r>
    </w:p>
    <w:p>
      <w:pPr>
        <w:spacing w:after="120" w:line="276" w:lineRule="auto"/>
      </w:pPr>
      <w:r>
        <w:t>La valorisation de SOGC (PER 14,4x, P/B 2,62x) est exigeante, intégrant une prime de croissance qui pourrait être remise en question par le ralentissement de la croissance des bénéfices. Le comportement du cours sur 100 jours (-6,58%) et la volatilité élevée (34,6%) indiquent un risque de marché non négligeable, malgré une distribution statistique normale. Les signaux techniques sont mitigés, avec une tendance de fond haussière (MM) mais un momentum à court terme négatif (MACD, Stochastique). Les fondamentaux sont robustes (ROE &gt;18%, faible endettement, dividende élevé), mais la décélération de la croissance et la hausse des coûts sont des points de vigilance. Les prédictions IA sur 10 jours (8 267 à 8 314 FCFA) suggèrent une stabilisation du cours, avec une légère tendance haussière, ce qui contredit partiellement les signaux de vente techniques à court terme. En synthèse, la convergence est partielle : les fondamentaux solides et le rendement du dividende soutiennent le titre, mais la valorisation élevée et le ralentissement de la croissance limitent le potentiel de hausse. **Recommandation finale : CONSERVER**. Niveau de confiance : **Moyen**. Risque global : **Moyen**. Horizon d'investissement optimal : **Moyen terme (3-12 mois)**, en attendant de voir si la société parvient à stabiliser ses marges et à maintenir sa politique de distribution généreuse.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193.35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4,566 titres</w:t>
            </w:r>
          </w:p>
        </w:tc>
        <w:tc>
          <w:tcPr>
            <w:tcW w:type="dxa" w:w="2268"/>
            <w:shd w:fill="FFF2CC" w:val="clear"/>
          </w:tcPr>
          <w:p>
            <w:r>
              <w:rPr>
                <w:b/>
                <w:color w:val="503200"/>
                <w:sz w:val="16"/>
              </w:rPr>
              <w:t xml:space="preserve">Cours actuel : </w:t>
            </w:r>
            <w:r>
              <w:rPr>
                <w:color w:val="000000"/>
                <w:sz w:val="17"/>
              </w:rPr>
              <w:t>7,565 FCFA</w:t>
            </w:r>
          </w:p>
          <w:p>
            <w:r>
              <w:rPr>
                <w:b/>
                <w:color w:val="503200"/>
                <w:sz w:val="16"/>
              </w:rPr>
              <w:t xml:space="preserve">Var. 100 jours : </w:t>
            </w:r>
            <w:r>
              <w:rPr>
                <w:b/>
                <w:color w:val="B40000"/>
                <w:sz w:val="17"/>
              </w:rPr>
              <w:t>-8.08%</w:t>
            </w:r>
          </w:p>
          <w:p>
            <w:r>
              <w:rPr>
                <w:b/>
                <w:color w:val="503200"/>
                <w:sz w:val="16"/>
              </w:rPr>
              <w:t xml:space="preserve">Plus haut 100j : </w:t>
            </w:r>
            <w:r>
              <w:rPr>
                <w:color w:val="000000"/>
                <w:sz w:val="17"/>
              </w:rPr>
              <w:t>8,435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40.6%</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5.47% (Moyenne) — μ=7,440 FCFA, σ=407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β=1.5039 (Agressif) — Cov=0.000054, Var(idx)=0.000036, ρ=0.351,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4,566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σ_j=2.56%/j (Stable) — Vol. annualisée≈40.6%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2026-08-03</w:t>
            </w:r>
          </w:p>
        </w:tc>
        <w:tc>
          <w:tcPr>
            <w:tcW w:type="dxa" w:w="1440"/>
            <w:shd w:fill="FAFAFA" w:val="clear"/>
          </w:tcPr>
          <w:p>
            <w:r>
              <w:rPr>
                <w:sz w:val="17"/>
              </w:rPr>
              <w:t>7,229</w:t>
            </w:r>
          </w:p>
        </w:tc>
        <w:tc>
          <w:tcPr>
            <w:tcW w:type="dxa" w:w="1440"/>
            <w:shd w:fill="FAFAFA" w:val="clear"/>
          </w:tcPr>
          <w:p>
            <w:r>
              <w:rPr>
                <w:b/>
                <w:sz w:val="17"/>
              </w:rPr>
              <w:t>7,491</w:t>
            </w:r>
          </w:p>
        </w:tc>
        <w:tc>
          <w:tcPr>
            <w:tcW w:type="dxa" w:w="1440"/>
            <w:shd w:fill="FAFAFA" w:val="clear"/>
          </w:tcPr>
          <w:p>
            <w:r>
              <w:rPr>
                <w:sz w:val="17"/>
              </w:rPr>
              <w:t>7,753</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2026-08-04</w:t>
            </w:r>
          </w:p>
        </w:tc>
        <w:tc>
          <w:tcPr>
            <w:tcW w:type="dxa" w:w="1440"/>
            <w:shd w:fill="FAFAFA" w:val="clear"/>
          </w:tcPr>
          <w:p>
            <w:r>
              <w:rPr>
                <w:sz w:val="17"/>
              </w:rPr>
              <w:t>7,114</w:t>
            </w:r>
          </w:p>
        </w:tc>
        <w:tc>
          <w:tcPr>
            <w:tcW w:type="dxa" w:w="1440"/>
            <w:shd w:fill="FAFAFA" w:val="clear"/>
          </w:tcPr>
          <w:p>
            <w:r>
              <w:rPr>
                <w:b/>
                <w:sz w:val="17"/>
              </w:rPr>
              <w:t>7,484</w:t>
            </w:r>
          </w:p>
        </w:tc>
        <w:tc>
          <w:tcPr>
            <w:tcW w:type="dxa" w:w="1440"/>
            <w:shd w:fill="FAFAFA" w:val="clear"/>
          </w:tcPr>
          <w:p>
            <w:r>
              <w:rPr>
                <w:sz w:val="17"/>
              </w:rPr>
              <w:t>7,854</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2026-08-05</w:t>
            </w:r>
          </w:p>
        </w:tc>
        <w:tc>
          <w:tcPr>
            <w:tcW w:type="dxa" w:w="1440"/>
            <w:shd w:fill="FAFAFA" w:val="clear"/>
          </w:tcPr>
          <w:p>
            <w:r>
              <w:rPr>
                <w:sz w:val="17"/>
              </w:rPr>
              <w:t>7,019</w:t>
            </w:r>
          </w:p>
        </w:tc>
        <w:tc>
          <w:tcPr>
            <w:tcW w:type="dxa" w:w="1440"/>
            <w:shd w:fill="FAFAFA" w:val="clear"/>
          </w:tcPr>
          <w:p>
            <w:r>
              <w:rPr>
                <w:b/>
                <w:sz w:val="17"/>
              </w:rPr>
              <w:t>7,471</w:t>
            </w:r>
          </w:p>
        </w:tc>
        <w:tc>
          <w:tcPr>
            <w:tcW w:type="dxa" w:w="1440"/>
            <w:shd w:fill="FAFAFA" w:val="clear"/>
          </w:tcPr>
          <w:p>
            <w:r>
              <w:rPr>
                <w:sz w:val="17"/>
              </w:rPr>
              <w:t>7,923</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2026-08-06</w:t>
            </w:r>
          </w:p>
        </w:tc>
        <w:tc>
          <w:tcPr>
            <w:tcW w:type="dxa" w:w="1440"/>
            <w:shd w:fill="FAFAFA" w:val="clear"/>
          </w:tcPr>
          <w:p>
            <w:r>
              <w:rPr>
                <w:sz w:val="17"/>
              </w:rPr>
              <w:t>6,938</w:t>
            </w:r>
          </w:p>
        </w:tc>
        <w:tc>
          <w:tcPr>
            <w:tcW w:type="dxa" w:w="1440"/>
            <w:shd w:fill="FAFAFA" w:val="clear"/>
          </w:tcPr>
          <w:p>
            <w:r>
              <w:rPr>
                <w:b/>
                <w:sz w:val="17"/>
              </w:rPr>
              <w:t>7,459</w:t>
            </w:r>
          </w:p>
        </w:tc>
        <w:tc>
          <w:tcPr>
            <w:tcW w:type="dxa" w:w="1440"/>
            <w:shd w:fill="FAFAFA" w:val="clear"/>
          </w:tcPr>
          <w:p>
            <w:r>
              <w:rPr>
                <w:sz w:val="17"/>
              </w:rPr>
              <w:t>7,980</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2026-08-10</w:t>
            </w:r>
          </w:p>
        </w:tc>
        <w:tc>
          <w:tcPr>
            <w:tcW w:type="dxa" w:w="1440"/>
            <w:shd w:fill="FAFAFA" w:val="clear"/>
          </w:tcPr>
          <w:p>
            <w:r>
              <w:rPr>
                <w:sz w:val="17"/>
              </w:rPr>
              <w:t>6,865</w:t>
            </w:r>
          </w:p>
        </w:tc>
        <w:tc>
          <w:tcPr>
            <w:tcW w:type="dxa" w:w="1440"/>
            <w:shd w:fill="FAFAFA" w:val="clear"/>
          </w:tcPr>
          <w:p>
            <w:r>
              <w:rPr>
                <w:b/>
                <w:sz w:val="17"/>
              </w:rPr>
              <w:t>7,447</w:t>
            </w:r>
          </w:p>
        </w:tc>
        <w:tc>
          <w:tcPr>
            <w:tcW w:type="dxa" w:w="1440"/>
            <w:shd w:fill="FAFAFA" w:val="clear"/>
          </w:tcPr>
          <w:p>
            <w:r>
              <w:rPr>
                <w:sz w:val="17"/>
              </w:rPr>
              <w:t>8,029</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2026-08-11</w:t>
            </w:r>
          </w:p>
        </w:tc>
        <w:tc>
          <w:tcPr>
            <w:tcW w:type="dxa" w:w="1440"/>
            <w:shd w:fill="FAFAFA" w:val="clear"/>
          </w:tcPr>
          <w:p>
            <w:r>
              <w:rPr>
                <w:sz w:val="17"/>
              </w:rPr>
              <w:t>6,799</w:t>
            </w:r>
          </w:p>
        </w:tc>
        <w:tc>
          <w:tcPr>
            <w:tcW w:type="dxa" w:w="1440"/>
            <w:shd w:fill="FAFAFA" w:val="clear"/>
          </w:tcPr>
          <w:p>
            <w:r>
              <w:rPr>
                <w:b/>
                <w:sz w:val="17"/>
              </w:rPr>
              <w:t>7,435</w:t>
            </w:r>
          </w:p>
        </w:tc>
        <w:tc>
          <w:tcPr>
            <w:tcW w:type="dxa" w:w="1440"/>
            <w:shd w:fill="FAFAFA" w:val="clear"/>
          </w:tcPr>
          <w:p>
            <w:r>
              <w:rPr>
                <w:sz w:val="17"/>
              </w:rPr>
              <w:t>8,072</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2026-08-12</w:t>
            </w:r>
          </w:p>
        </w:tc>
        <w:tc>
          <w:tcPr>
            <w:tcW w:type="dxa" w:w="1440"/>
            <w:shd w:fill="FAFAFA" w:val="clear"/>
          </w:tcPr>
          <w:p>
            <w:r>
              <w:rPr>
                <w:sz w:val="17"/>
              </w:rPr>
              <w:t>6,737</w:t>
            </w:r>
          </w:p>
        </w:tc>
        <w:tc>
          <w:tcPr>
            <w:tcW w:type="dxa" w:w="1440"/>
            <w:shd w:fill="FAFAFA" w:val="clear"/>
          </w:tcPr>
          <w:p>
            <w:r>
              <w:rPr>
                <w:b/>
                <w:sz w:val="17"/>
              </w:rPr>
              <w:t>7,424</w:t>
            </w:r>
          </w:p>
        </w:tc>
        <w:tc>
          <w:tcPr>
            <w:tcW w:type="dxa" w:w="1440"/>
            <w:shd w:fill="FAFAFA" w:val="clear"/>
          </w:tcPr>
          <w:p>
            <w:r>
              <w:rPr>
                <w:sz w:val="17"/>
              </w:rPr>
              <w:t>8,110</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6,679</w:t>
            </w:r>
          </w:p>
        </w:tc>
        <w:tc>
          <w:tcPr>
            <w:tcW w:type="dxa" w:w="1440"/>
            <w:shd w:fill="FFDCE0" w:val="clear"/>
          </w:tcPr>
          <w:p>
            <w:r>
              <w:rPr>
                <w:b/>
                <w:sz w:val="17"/>
              </w:rPr>
              <w:t>7,412</w:t>
            </w:r>
          </w:p>
        </w:tc>
        <w:tc>
          <w:tcPr>
            <w:tcW w:type="dxa" w:w="1440"/>
            <w:shd w:fill="FFDCE0" w:val="clear"/>
          </w:tcPr>
          <w:p>
            <w:r>
              <w:rPr>
                <w:sz w:val="17"/>
              </w:rPr>
              <w:t>8,145</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6,625</w:t>
            </w:r>
          </w:p>
        </w:tc>
        <w:tc>
          <w:tcPr>
            <w:tcW w:type="dxa" w:w="1440"/>
            <w:shd w:fill="FFDCE0" w:val="clear"/>
          </w:tcPr>
          <w:p>
            <w:r>
              <w:rPr>
                <w:b/>
                <w:sz w:val="17"/>
              </w:rPr>
              <w:t>7,401</w:t>
            </w:r>
          </w:p>
        </w:tc>
        <w:tc>
          <w:tcPr>
            <w:tcW w:type="dxa" w:w="1440"/>
            <w:shd w:fill="FFDCE0" w:val="clear"/>
          </w:tcPr>
          <w:p>
            <w:r>
              <w:rPr>
                <w:sz w:val="17"/>
              </w:rPr>
              <w:t>8,176</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6,572</w:t>
            </w:r>
          </w:p>
        </w:tc>
        <w:tc>
          <w:tcPr>
            <w:tcW w:type="dxa" w:w="1440"/>
            <w:shd w:fill="FFDCE0" w:val="clear"/>
          </w:tcPr>
          <w:p>
            <w:r>
              <w:rPr>
                <w:b/>
                <w:sz w:val="17"/>
              </w:rPr>
              <w:t>7,389</w:t>
            </w:r>
          </w:p>
        </w:tc>
        <w:tc>
          <w:tcPr>
            <w:tcW w:type="dxa" w:w="1440"/>
            <w:shd w:fill="FFDCE0" w:val="clear"/>
          </w:tcPr>
          <w:p>
            <w:r>
              <w:rPr>
                <w:sz w:val="17"/>
              </w:rPr>
              <w:t>8,206</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SPHC s'établit à 193,35 milliards FCFA, ce qui en fait une valeur de taille moyenne sur la BRVM, représentative du secteur agro-industriel ivoirien. Avec un BPA de 977 FCFA, chaque action génère un bénéfice substantiel, justifiant un PER de 7,7x, nettement inférieur à la moyenne du marché BRVM (8-12x), ce qui suggère une sous-évaluation relative du titre. Le P/B de 1,40x indique que le marché valorise la société à 40% au-dessus de sa valeur comptable, une décote raisonnable pour une entreprise avec un ROE de 18%. Enfin, un EV/EBITDA de 4,9x (inférieur à 5x) confirme une valorisation très attractive, signalant que la capacité opérationnelle de l'entreprise est achetée à un prix très compétitif.</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SPHC affiche une variation totale de -8,08%, bien que la dernière séance (J-1) ait rebondi de +1,20% pour clôturer à 7 565 FCFA. Le cours a évolué dans un range de 6 720 FCFA (plus bas) à 8 435 FCFA (plus haut), démontrant une amplitude de trading significative. La moyenne (7 440 FCFA) et la médiane (7 400 FCFA) sont très proches, indiquant une distribution relativement symétrique, mais le skewness positif (0,627) révèle que les journées sous la moyenne sont plus fréquentes, typique d'une phase de correction. L'écart-type de 409 FCFA (CV=5,5%) montre une dispersion modérée, tandis que le kurtosis proche de zéro (0,065) suggère une distribution mésokurtique sans risque de pics extrêmes. La volatilité annualisée de 40,6% classe le titre comme très volatil (&gt;30%), reflétant les incertitudes du marché du caoutchouc.</w:t>
      </w:r>
    </w:p>
    <w:p>
      <w:pPr>
        <w:spacing w:after="120" w:line="276" w:lineRule="auto" w:before="240"/>
      </w:pPr>
      <w:r>
        <w:rPr>
          <w:b/>
          <w:color w:val="003366"/>
          <w:sz w:val="24"/>
        </w:rPr>
        <w:t>**PARTIE 2 : ANALYSE TECHNIQUE DÉTAILLÉE**</w:t>
      </w:r>
    </w:p>
    <w:p>
      <w:pPr>
        <w:spacing w:after="120" w:line="276" w:lineRule="auto"/>
      </w:pPr>
      <w:r>
        <w:t>**Moyennes Mobiles** : Les MM20 (7 536 FCFA) et MM50 (7 508 FCFA) sont très proches l'une de l'autre et légèrement sous le cours actuel (7 565 FCFA). Cette configuration haussière (cours &gt; MM20 &gt; MM50) génère un signal d'achat, indiquant que la tendance de court terme reprend le dessus après la correction récente.</w:t>
      </w:r>
    </w:p>
    <w:p>
      <w:pPr>
        <w:spacing w:after="120" w:line="276" w:lineRule="auto"/>
      </w:pPr>
      <w:r>
        <w:t>**Bandes de Bollinger** : Le prix actuel (7 565 FCFA) se situe entre la borne supérieure (7 887 FCFA) et la borne inférieure (7 186 FCFA), proche de la moyenne mobile. La décision est neutre, suggérant une volatilité modérée et une absence de mouvement directionnel fort à court terme.</w:t>
      </w:r>
    </w:p>
    <w:p>
      <w:pPr>
        <w:spacing w:after="120" w:line="276" w:lineRule="auto"/>
      </w:pPr>
      <w:r>
        <w:t>**MACD** : La valeur MACD (-20,019) est inférieure au signal (-19,208), tous deux en territoire négatif. Cette configuration baissière, bien que peu prononcée, indique un momentum négatif persistant, justifiant une décision de vente.</w:t>
      </w:r>
    </w:p>
    <w:p>
      <w:pPr>
        <w:spacing w:after="120" w:line="276" w:lineRule="auto"/>
      </w:pPr>
      <w:r>
        <w:t>**RSI** : À 49,372, le RSI est en zone neutre (30-70), reflétant un équilibre entre pressions acheteuses et vendeuses. Cette valeur n'indique ni surachat ni survente, laissant place à une évolution directionnelle sans biais technique majeur.</w:t>
      </w:r>
    </w:p>
    <w:p>
      <w:pPr>
        <w:spacing w:after="120" w:line="276" w:lineRule="auto"/>
      </w:pPr>
      <w:r>
        <w:t>**Stochastique** : Le %K (88,333) est nettement supérieur au %D (68,889), signalant une dynamique haussière récente, mais le niveau élevé du %K suggère une possible zone de surachat à court terme. La décision de vente reflète ce risque de correction technique.</w:t>
      </w:r>
    </w:p>
    <w:p>
      <w:pPr>
        <w:spacing w:after="120" w:line="276" w:lineRule="auto"/>
      </w:pPr>
      <w:r>
        <w:t>**Conclusion technique** : La convergence des signaux est mitigée : les moyennes mobiles sont positives, mais le MACD et le Stochastique indiquent une faiblesse du momentum. Le RSI neutre et les bandes de Bollinger sans direction claire suggèrent une consolidation. Globalement, le titre est dans une phase de stabilisation après correction, avec un biais légèrement positif à court terme.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SPHC montrent un chiffre d'affaires de 340,831 milliards FCFA (croissance de +22% vs 2024), un résultat net de 24,972 milliards FCFA (hausse de +32,9%), un ROE de 18,1% et un ROA de 11,1%, des niveaux excellents pour une entreprise non bancaire. La marge nette s'améliore à 7,3%, portée par une valeur ajoutée en hausse de 18,1% et un EBE de 49,672 milliards FCFA. Le BFR de 65,389 milliards FCFA (positif) et les délais clients (35 jours) et stocks (72 jours) sont maîtrisés, bien que la trésorerie nette reste négative (-15,413 milliards FCFA). Les rapports trimestriels 2025 confirment cette dynamique : le T1 2025 (+72% CA, résultat net +949%), le S1 2025 (+51% CA, marge nette 11%) et le cumul 9 mois (+36% CA, +131% résultat net) montrent une croissance soutenue. Cependant, le rapport T1 2026 (daté de 2026) révèle une chute brutale : CA de 71,8 milliards FCFA (-24%) et résultat net de 2,6 milliards FCFA (-78%), pénalisés par la baisse des cours mondiaux du caoutchouc et l'engorgement portuaire. Sur la base de ce T1 2026, on estime que l'exercice 2026 pourrait être nettement moins performant que 2025, avec une marge nette réduite à environ 4%. La recommandation fondamentale reste CONSERVER, compte tenu de la solidité financière (capitaux propres de 137,937 milliards FCFA, autonomie financière de 61%) mais des risques sectoriels et de trésorerie.</w:t>
      </w:r>
    </w:p>
    <w:p>
      <w:pPr>
        <w:spacing w:after="120" w:line="276" w:lineRule="auto" w:before="240"/>
      </w:pPr>
      <w:r>
        <w:rPr>
          <w:b/>
          <w:color w:val="003366"/>
          <w:sz w:val="24"/>
        </w:rPr>
        <w:t>**PARTIE 4 : CONCLUSION D'INVESTISSEMENT**</w:t>
      </w:r>
    </w:p>
    <w:p>
      <w:pPr>
        <w:spacing w:after="120" w:line="276" w:lineRule="auto"/>
      </w:pPr>
      <w:r>
        <w:t>La valorisation de SPHC est clairement attractive (PER 7,7x, EV/EBITDA 4,9x, P/B 1,4x), indiquant une sous-évaluation relative sur la BRVM. Le comportement du cours sur 100 jours (-8,08%) reflète une correction, mais la volatilité élevée (40,6%) et le skewness positif suggèrent un potentiel de rebond. Les signaux techniques sont mitigés : MM positives, mais MACD et Stochastique baissiers, indiquant une consolidation. Les fondamentaux 2025 sont robustes (croissance +22%, ROE 18,1%), mais les perspectives 2026 sont dégradées (T1 2026 en forte baisse). Les prédictions IA (7 491 à 7 447 FCFA sur 10 jours) montrent une légère tendance baissière, confirmant les signaux techniques mitigés. En synthèse, la convergence entre la sous-évaluation fondamentale et les incertitudes conjoncturelles justifie une recommandation **CONSERVER** avec un niveau de confiance **Moyen**. Le risque global est **Élevé** en raison de la volatilité des cours du caoutchouc et de la trésorerie négative. L'horizon d'investissement optimal est le **moyen terme (3-12 mois)**, en attendant une stabilisation des cours mondiaux et une confirmation de la reprise au T2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36.02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6,488 titres</w:t>
            </w:r>
          </w:p>
        </w:tc>
        <w:tc>
          <w:tcPr>
            <w:tcW w:type="dxa" w:w="2268"/>
            <w:shd w:fill="FFF2CC" w:val="clear"/>
          </w:tcPr>
          <w:p>
            <w:r>
              <w:rPr>
                <w:b/>
                <w:color w:val="503200"/>
                <w:sz w:val="16"/>
              </w:rPr>
              <w:t xml:space="preserve">Cours actuel : </w:t>
            </w:r>
            <w:r>
              <w:rPr>
                <w:color w:val="000000"/>
                <w:sz w:val="17"/>
              </w:rPr>
              <w:t>2,680 FCFA</w:t>
            </w:r>
          </w:p>
          <w:p>
            <w:r>
              <w:rPr>
                <w:b/>
                <w:color w:val="503200"/>
                <w:sz w:val="16"/>
              </w:rPr>
              <w:t xml:space="preserve">Var. 100 jours : </w:t>
            </w:r>
            <w:r>
              <w:rPr>
                <w:b/>
                <w:color w:val="007800"/>
                <w:sz w:val="17"/>
              </w:rPr>
              <w:t>+39.58%</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1,870 FCFA</w:t>
            </w:r>
          </w:p>
          <w:p>
            <w:r>
              <w:rPr>
                <w:b/>
                <w:color w:val="503200"/>
                <w:sz w:val="16"/>
              </w:rPr>
              <w:t xml:space="preserve">Volatilité ann. : </w:t>
            </w:r>
            <w:r>
              <w:rPr>
                <w:color w:val="000000"/>
                <w:sz w:val="17"/>
              </w:rPr>
              <w:t>73.9%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14.15% (Moyenne) — μ=2,984 FCFA, σ=422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β=-1.1264 (Contre-cyclique) — Cov=-0.000041, Var(idx)=0.000036, ρ=-0.144,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6,488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σ_j=4.66%/j (Modérée) — Vol. annualisée≈73.9%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2026-08-03</w:t>
            </w:r>
          </w:p>
        </w:tc>
        <w:tc>
          <w:tcPr>
            <w:tcW w:type="dxa" w:w="1440"/>
            <w:shd w:fill="FFDCE0" w:val="clear"/>
          </w:tcPr>
          <w:p>
            <w:r>
              <w:rPr>
                <w:sz w:val="17"/>
              </w:rPr>
              <w:t>2,375</w:t>
            </w:r>
          </w:p>
        </w:tc>
        <w:tc>
          <w:tcPr>
            <w:tcW w:type="dxa" w:w="1440"/>
            <w:shd w:fill="FFDCE0" w:val="clear"/>
          </w:tcPr>
          <w:p>
            <w:r>
              <w:rPr>
                <w:b/>
                <w:sz w:val="17"/>
              </w:rPr>
              <w:t>2,500</w:t>
            </w:r>
          </w:p>
        </w:tc>
        <w:tc>
          <w:tcPr>
            <w:tcW w:type="dxa" w:w="1440"/>
            <w:shd w:fill="FFDCE0" w:val="clear"/>
          </w:tcPr>
          <w:p>
            <w:r>
              <w:rPr>
                <w:sz w:val="17"/>
              </w:rPr>
              <w:t>2,625</w:t>
            </w:r>
          </w:p>
        </w:tc>
        <w:tc>
          <w:tcPr>
            <w:tcW w:type="dxa" w:w="1440"/>
            <w:shd w:fill="FFDCE0" w:val="clear"/>
          </w:tcPr>
          <w:p>
            <w:r>
              <w:rPr>
                <w:b/>
                <w:color w:val="C00000"/>
                <w:sz w:val="17"/>
              </w:rPr>
              <w:t>-6.7%</w:t>
            </w:r>
          </w:p>
        </w:tc>
      </w:tr>
      <w:tr>
        <w:tc>
          <w:tcPr>
            <w:tcW w:type="dxa" w:w="1440"/>
            <w:shd w:fill="FFDCE0" w:val="clear"/>
          </w:tcPr>
          <w:p>
            <w:r>
              <w:rPr>
                <w:sz w:val="17"/>
              </w:rPr>
              <w:t>J+2  Moyenne</w:t>
            </w:r>
          </w:p>
        </w:tc>
        <w:tc>
          <w:tcPr>
            <w:tcW w:type="dxa" w:w="1440"/>
            <w:shd w:fill="FFDCE0" w:val="clear"/>
          </w:tcPr>
          <w:p>
            <w:r>
              <w:rPr>
                <w:sz w:val="17"/>
              </w:rPr>
              <w:t>2026-08-04</w:t>
            </w:r>
          </w:p>
        </w:tc>
        <w:tc>
          <w:tcPr>
            <w:tcW w:type="dxa" w:w="1440"/>
            <w:shd w:fill="FFDCE0" w:val="clear"/>
          </w:tcPr>
          <w:p>
            <w:r>
              <w:rPr>
                <w:sz w:val="17"/>
              </w:rPr>
              <w:t>2,155</w:t>
            </w:r>
          </w:p>
        </w:tc>
        <w:tc>
          <w:tcPr>
            <w:tcW w:type="dxa" w:w="1440"/>
            <w:shd w:fill="FFDCE0" w:val="clear"/>
          </w:tcPr>
          <w:p>
            <w:r>
              <w:rPr>
                <w:b/>
                <w:sz w:val="17"/>
              </w:rPr>
              <w:t>2,319</w:t>
            </w:r>
          </w:p>
        </w:tc>
        <w:tc>
          <w:tcPr>
            <w:tcW w:type="dxa" w:w="1440"/>
            <w:shd w:fill="FFDCE0" w:val="clear"/>
          </w:tcPr>
          <w:p>
            <w:r>
              <w:rPr>
                <w:sz w:val="17"/>
              </w:rPr>
              <w:t>2,483</w:t>
            </w:r>
          </w:p>
        </w:tc>
        <w:tc>
          <w:tcPr>
            <w:tcW w:type="dxa" w:w="1440"/>
            <w:shd w:fill="FFDCE0" w:val="clear"/>
          </w:tcPr>
          <w:p>
            <w:r>
              <w:rPr>
                <w:b/>
                <w:color w:val="C00000"/>
                <w:sz w:val="17"/>
              </w:rPr>
              <w:t>-13.5%</w:t>
            </w:r>
          </w:p>
        </w:tc>
      </w:tr>
      <w:tr>
        <w:tc>
          <w:tcPr>
            <w:tcW w:type="dxa" w:w="1440"/>
            <w:shd w:fill="FFDCE0" w:val="clear"/>
          </w:tcPr>
          <w:p>
            <w:r>
              <w:rPr>
                <w:sz w:val="17"/>
              </w:rPr>
              <w:t>J+3  Moyenne</w:t>
            </w:r>
          </w:p>
        </w:tc>
        <w:tc>
          <w:tcPr>
            <w:tcW w:type="dxa" w:w="1440"/>
            <w:shd w:fill="FFDCE0" w:val="clear"/>
          </w:tcPr>
          <w:p>
            <w:r>
              <w:rPr>
                <w:sz w:val="17"/>
              </w:rPr>
              <w:t>2026-08-05</w:t>
            </w:r>
          </w:p>
        </w:tc>
        <w:tc>
          <w:tcPr>
            <w:tcW w:type="dxa" w:w="1440"/>
            <w:shd w:fill="FFDCE0" w:val="clear"/>
          </w:tcPr>
          <w:p>
            <w:r>
              <w:rPr>
                <w:sz w:val="17"/>
              </w:rPr>
              <w:t>1,966</w:t>
            </w:r>
          </w:p>
        </w:tc>
        <w:tc>
          <w:tcPr>
            <w:tcW w:type="dxa" w:w="1440"/>
            <w:shd w:fill="FFDCE0" w:val="clear"/>
          </w:tcPr>
          <w:p>
            <w:r>
              <w:rPr>
                <w:b/>
                <w:sz w:val="17"/>
              </w:rPr>
              <w:t>2,153</w:t>
            </w:r>
          </w:p>
        </w:tc>
        <w:tc>
          <w:tcPr>
            <w:tcW w:type="dxa" w:w="1440"/>
            <w:shd w:fill="FFDCE0" w:val="clear"/>
          </w:tcPr>
          <w:p>
            <w:r>
              <w:rPr>
                <w:sz w:val="17"/>
              </w:rPr>
              <w:t>2,339</w:t>
            </w:r>
          </w:p>
        </w:tc>
        <w:tc>
          <w:tcPr>
            <w:tcW w:type="dxa" w:w="1440"/>
            <w:shd w:fill="FFDCE0" w:val="clear"/>
          </w:tcPr>
          <w:p>
            <w:r>
              <w:rPr>
                <w:b/>
                <w:color w:val="C00000"/>
                <w:sz w:val="17"/>
              </w:rPr>
              <w:t>-19.7%</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1,811</w:t>
            </w:r>
          </w:p>
        </w:tc>
        <w:tc>
          <w:tcPr>
            <w:tcW w:type="dxa" w:w="1440"/>
            <w:shd w:fill="FFDCE0" w:val="clear"/>
          </w:tcPr>
          <w:p>
            <w:r>
              <w:rPr>
                <w:b/>
                <w:sz w:val="17"/>
              </w:rPr>
              <w:t>2,013</w:t>
            </w:r>
          </w:p>
        </w:tc>
        <w:tc>
          <w:tcPr>
            <w:tcW w:type="dxa" w:w="1440"/>
            <w:shd w:fill="FFDCE0" w:val="clear"/>
          </w:tcPr>
          <w:p>
            <w:r>
              <w:rPr>
                <w:sz w:val="17"/>
              </w:rPr>
              <w:t>2,214</w:t>
            </w:r>
          </w:p>
        </w:tc>
        <w:tc>
          <w:tcPr>
            <w:tcW w:type="dxa" w:w="1440"/>
            <w:shd w:fill="FFDCE0" w:val="clear"/>
          </w:tcPr>
          <w:p>
            <w:r>
              <w:rPr>
                <w:b/>
                <w:color w:val="C00000"/>
                <w:sz w:val="17"/>
              </w:rPr>
              <w:t>-24.9%</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1,687</w:t>
            </w:r>
          </w:p>
        </w:tc>
        <w:tc>
          <w:tcPr>
            <w:tcW w:type="dxa" w:w="1440"/>
            <w:shd w:fill="FFDCE0" w:val="clear"/>
          </w:tcPr>
          <w:p>
            <w:r>
              <w:rPr>
                <w:b/>
                <w:sz w:val="17"/>
              </w:rPr>
              <w:t>1,900</w:t>
            </w:r>
          </w:p>
        </w:tc>
        <w:tc>
          <w:tcPr>
            <w:tcW w:type="dxa" w:w="1440"/>
            <w:shd w:fill="FFDCE0" w:val="clear"/>
          </w:tcPr>
          <w:p>
            <w:r>
              <w:rPr>
                <w:sz w:val="17"/>
              </w:rPr>
              <w:t>2,113</w:t>
            </w:r>
          </w:p>
        </w:tc>
        <w:tc>
          <w:tcPr>
            <w:tcW w:type="dxa" w:w="1440"/>
            <w:shd w:fill="FFDCE0" w:val="clear"/>
          </w:tcPr>
          <w:p>
            <w:r>
              <w:rPr>
                <w:b/>
                <w:color w:val="C00000"/>
                <w:sz w:val="17"/>
              </w:rPr>
              <w:t>-29.1%</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1,589</w:t>
            </w:r>
          </w:p>
        </w:tc>
        <w:tc>
          <w:tcPr>
            <w:tcW w:type="dxa" w:w="1440"/>
            <w:shd w:fill="FFDCE0" w:val="clear"/>
          </w:tcPr>
          <w:p>
            <w:r>
              <w:rPr>
                <w:b/>
                <w:sz w:val="17"/>
              </w:rPr>
              <w:t>1,811</w:t>
            </w:r>
          </w:p>
        </w:tc>
        <w:tc>
          <w:tcPr>
            <w:tcW w:type="dxa" w:w="1440"/>
            <w:shd w:fill="FFDCE0" w:val="clear"/>
          </w:tcPr>
          <w:p>
            <w:r>
              <w:rPr>
                <w:sz w:val="17"/>
              </w:rPr>
              <w:t>2,033</w:t>
            </w:r>
          </w:p>
        </w:tc>
        <w:tc>
          <w:tcPr>
            <w:tcW w:type="dxa" w:w="1440"/>
            <w:shd w:fill="FFDCE0" w:val="clear"/>
          </w:tcPr>
          <w:p>
            <w:r>
              <w:rPr>
                <w:b/>
                <w:color w:val="C00000"/>
                <w:sz w:val="17"/>
              </w:rPr>
              <w:t>-32.4%</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1,509</w:t>
            </w:r>
          </w:p>
        </w:tc>
        <w:tc>
          <w:tcPr>
            <w:tcW w:type="dxa" w:w="1440"/>
            <w:shd w:fill="FFDCE0" w:val="clear"/>
          </w:tcPr>
          <w:p>
            <w:r>
              <w:rPr>
                <w:b/>
                <w:sz w:val="17"/>
              </w:rPr>
              <w:t>1,739</w:t>
            </w:r>
          </w:p>
        </w:tc>
        <w:tc>
          <w:tcPr>
            <w:tcW w:type="dxa" w:w="1440"/>
            <w:shd w:fill="FFDCE0" w:val="clear"/>
          </w:tcPr>
          <w:p>
            <w:r>
              <w:rPr>
                <w:sz w:val="17"/>
              </w:rPr>
              <w:t>1,970</w:t>
            </w:r>
          </w:p>
        </w:tc>
        <w:tc>
          <w:tcPr>
            <w:tcW w:type="dxa" w:w="1440"/>
            <w:shd w:fill="FFDCE0" w:val="clear"/>
          </w:tcPr>
          <w:p>
            <w:r>
              <w:rPr>
                <w:b/>
                <w:color w:val="C00000"/>
                <w:sz w:val="17"/>
              </w:rPr>
              <w:t>-35.1%</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1,443</w:t>
            </w:r>
          </w:p>
        </w:tc>
        <w:tc>
          <w:tcPr>
            <w:tcW w:type="dxa" w:w="1440"/>
            <w:shd w:fill="FFDCE0" w:val="clear"/>
          </w:tcPr>
          <w:p>
            <w:r>
              <w:rPr>
                <w:b/>
                <w:sz w:val="17"/>
              </w:rPr>
              <w:t>1,681</w:t>
            </w:r>
          </w:p>
        </w:tc>
        <w:tc>
          <w:tcPr>
            <w:tcW w:type="dxa" w:w="1440"/>
            <w:shd w:fill="FFDCE0" w:val="clear"/>
          </w:tcPr>
          <w:p>
            <w:r>
              <w:rPr>
                <w:sz w:val="17"/>
              </w:rPr>
              <w:t>1,919</w:t>
            </w:r>
          </w:p>
        </w:tc>
        <w:tc>
          <w:tcPr>
            <w:tcW w:type="dxa" w:w="1440"/>
            <w:shd w:fill="FFDCE0" w:val="clear"/>
          </w:tcPr>
          <w:p>
            <w:r>
              <w:rPr>
                <w:b/>
                <w:color w:val="C00000"/>
                <w:sz w:val="17"/>
              </w:rPr>
              <w:t>-37.3%</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1,387</w:t>
            </w:r>
          </w:p>
        </w:tc>
        <w:tc>
          <w:tcPr>
            <w:tcW w:type="dxa" w:w="1440"/>
            <w:shd w:fill="FFDCE0" w:val="clear"/>
          </w:tcPr>
          <w:p>
            <w:r>
              <w:rPr>
                <w:b/>
                <w:sz w:val="17"/>
              </w:rPr>
              <w:t>1,632</w:t>
            </w:r>
          </w:p>
        </w:tc>
        <w:tc>
          <w:tcPr>
            <w:tcW w:type="dxa" w:w="1440"/>
            <w:shd w:fill="FFDCE0" w:val="clear"/>
          </w:tcPr>
          <w:p>
            <w:r>
              <w:rPr>
                <w:sz w:val="17"/>
              </w:rPr>
              <w:t>1,877</w:t>
            </w:r>
          </w:p>
        </w:tc>
        <w:tc>
          <w:tcPr>
            <w:tcW w:type="dxa" w:w="1440"/>
            <w:shd w:fill="FFDCE0" w:val="clear"/>
          </w:tcPr>
          <w:p>
            <w:r>
              <w:rPr>
                <w:b/>
                <w:color w:val="C00000"/>
                <w:sz w:val="17"/>
              </w:rPr>
              <w:t>-39.1%</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1,339</w:t>
            </w:r>
          </w:p>
        </w:tc>
        <w:tc>
          <w:tcPr>
            <w:tcW w:type="dxa" w:w="1440"/>
            <w:shd w:fill="FFDCE0" w:val="clear"/>
          </w:tcPr>
          <w:p>
            <w:r>
              <w:rPr>
                <w:b/>
                <w:sz w:val="17"/>
              </w:rPr>
              <w:t>1,590</w:t>
            </w:r>
          </w:p>
        </w:tc>
        <w:tc>
          <w:tcPr>
            <w:tcW w:type="dxa" w:w="1440"/>
            <w:shd w:fill="FFDCE0" w:val="clear"/>
          </w:tcPr>
          <w:p>
            <w:r>
              <w:rPr>
                <w:sz w:val="17"/>
              </w:rPr>
              <w:t>1,842</w:t>
            </w:r>
          </w:p>
        </w:tc>
        <w:tc>
          <w:tcPr>
            <w:tcW w:type="dxa" w:w="1440"/>
            <w:shd w:fill="FFDCE0" w:val="clear"/>
          </w:tcPr>
          <w:p>
            <w:r>
              <w:rPr>
                <w:b/>
                <w:color w:val="C00000"/>
                <w:sz w:val="17"/>
              </w:rPr>
              <w:t>-40.7%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(BRVM)**</w:t>
      </w:r>
    </w:p>
    <w:p>
      <w:pPr>
        <w:spacing w:after="120" w:line="276" w:lineRule="auto"/>
      </w:pPr>
      <w:r>
        <w:t>**Date de l'analyse : 31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36,02 milliards FCFA, un niveau relativement modeste sur la BRVM, mais qui contraste fortement avec la taille des capitaux propres de l'entreprise (356,75 millions FCFA). Le BPA est négatif à -7 FCFA, reflétant la perte nette de l'exercice 2025, ce qui rend le PER non significatif (-373x). Le P/B de 100,97x est extrêmement élevé, indiquant que le marché valorise l'actif net comptable à une prime considérable, ce qui est atypique pour une société déficitaire. Ce niveau de valorisation suggère que les investisseurs intègrent des perspectives de redressement très optimistes. Le ratio EV/EBITDA n'est pas calculable en raison de l'EBITDA négatif, ce qui témoigne de l'incapacité opérationnelle actuelle à générer des flux positifs.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affiche une variation totale de +39,58%, mais la dernière séance enregistre une chute de -4,29%, signalant un retournement potentiel. Le cours a évolué dans une fourchette très large, entre 1 870 FCFA (plus bas) et 3 895 FCFA (plus haut), démontrant une volatilité extrême. La moyenne (2 984 FCFA) et la médiane (2 990 FCFA) sont quasi identiques, indiquant une distribution symétrique des prix, confirmée par un skewness de -0,404. L'écart-type de 425 FCFA (CV=14,2%) révèle une dispersion modérée autour de la moyenne. Le kurtosis de -0,026 (mésokurtique) suggère une absence de queues épaisses, donc peu de risques de mouvements extrêmes statistiquement. La volatilité annualisée de 73,9% classe le titre comme très risqué, bien au-dessus du seuil de 30% considéré comme élevé. Le cours actuel de 2 680 FCFA se situe sous la moyenne, indiquant une pression vendeuse récente après un rallye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(2 680 FCFA) est nettement inférieur à la MM20 (3 044,75 FCFA) et à la MM50 (3 184,2 FCFA), confirmant une tendance baissière à court et moyen terme. La décision de Vente est justifiée par la configuration baissière des moyennes mobiles, le prix évoluant sous ces niveaux de support dynamiques.</w:t>
      </w:r>
    </w:p>
    <w:p>
      <w:pPr>
        <w:spacing w:after="120" w:line="276" w:lineRule="auto"/>
      </w:pPr>
      <w:r>
        <w:t>**Bandes de Bollinger :** Le prix se situe près de la borne inférieure (2 650,91 FCFA), très proche de la limite basse, indiquant une zone de survente potentielle. La décision Neutre s'explique par le fait que le cours n'a pas encore franchi la borne, mais la pression vendeuse est forte. L'écart entre les bornes (787,68 FCFA) reflète une volatilité élevée.</w:t>
      </w:r>
    </w:p>
    <w:p>
      <w:pPr>
        <w:spacing w:after="120" w:line="276" w:lineRule="auto"/>
      </w:pPr>
      <w:r>
        <w:t>**MACD :** Le MACD (-137,92) est inférieur à son signal (-94,92), confirmant un momentum baissier. La divergence négative s'accentue, signalant une accélération de la tendance baissière. La décision de Vente est cohérente avec cette configuration, le MACD évoluant profondément en territoire négatif.</w:t>
      </w:r>
    </w:p>
    <w:p>
      <w:pPr>
        <w:spacing w:after="120" w:line="276" w:lineRule="auto"/>
      </w:pPr>
      <w:r>
        <w:t>**RSI :** À 26,32, le RSI est en zone de survente (&lt;30), indiquant que le titre est techniquement survendu. La décision d'Achat suggère un potentiel de rebond technique à court terme, mais ce signal doit être confirmé par un retournement du momentum.</w:t>
      </w:r>
    </w:p>
    <w:p>
      <w:pPr>
        <w:spacing w:after="120" w:line="276" w:lineRule="auto"/>
      </w:pPr>
      <w:r>
        <w:t>**Stochastique :** Le %K à 0,0 et le %D à 17,39 confirment une situation de survente extrême. Le croisement potentiel du %K au-dessus du %D pourrait signaler un retournement haussier imminent. La décision d'Achat est justifiée par ces niveaux extrêmes, mais la prudence reste de mise.</w:t>
      </w:r>
    </w:p>
    <w:p>
      <w:pPr>
        <w:spacing w:after="120" w:line="276" w:lineRule="auto"/>
      </w:pPr>
      <w:r>
        <w:t>**Conclusion technique :** Les indicateurs sont partagés entre signaux de vente (MM, MACD) et d'achat (RSI, Stochastique). Cette divergence reflète une phase de transition où la tendance baissière pourrait être épuisée. Le scénario le plus probable est un rebond technique à court terme, mais la tendance de fond reste baissière tant que le cours n'a pas repris la MM20.</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révèlent une situation financière très dégradée : le chiffre d'affaires s'établit à 3,878 milliards FCFA, mais le résultat net est une perte de -96,56 millions FCFA. La marge nette est négative à -2,49%, et le ROE est catastrophique à -27,07%, tandis que le ROA est de -1,77%. Le BFR est négatif (-930,47 millions FCFA), ce qui est favorable pour une entreprise, indiquant une gestion efficace du cycle d'exploitation. Cependant, la structure financière est fragile avec une autonomie financière de seulement 6,55% et un ratio d'endettement de 93,45%. **Les rapports trimestriels 2025** montrent une amélioration significative : le CA des 9 mois 2025 atteint 3,456 milliards FCFA (+176% vs 2024), porté par le chantier de l'aéroport d'Abidjan, mais la perte nette cumulée reste de -477 millions FCFA. **Le rapport S1 2025** indique un CA de 2,271 milliards FCFA (+290%), mais une perte aggravée de -557 millions FCFA. La direction prévoit un CA annuel de 4 milliards FCFA pour 2025, ce qui semble atteignable. **Les rapports 2024** montrent un CA de 1,793 milliard FCFA (-80,6% vs 2023) et une perte de -348 millions FCFA. L'évolution sur 3 ans est préoccupante : après des performances exceptionnelles en 2020 (CA de 15,9 milliards FCFA, résultat net de 2,32 milliards), l'entreprise a subi une contraction sévère. La recommandation fondamentale est **prudente** : la reprise d'activité est réelle mais la rentabilité reste négative, et la dépendance à un seul projet (aéroport) constitue un risque majeur.</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exigeante (P/B de 100x) pour une société déficitaire, indiquant une surévaluation relative aux fondamentaux. Le comportement du cours montre une volatilité très élevée (73,9%) avec une tendance récente baissière malgré une performance positive sur 100 jours. Les signaux techniques sont mitigés, avec des indicateurs de survente (RSI, Stochastique) suggérant un rebond possible, mais les moyennes mobiles et le MACD restent baissiers. Les fondamentaux sont fragiles : malgré une reprise du CA en 2025 (+176% sur 9 mois), l'entreprise reste déficitaire avec un ROE de -27%. Les prédictions IA (2 500 à 1 900 FCFA sur 10 jours) confirment la tendance baissière, anticipant une poursuite de la chute. La convergence entre la valorisation excessive, les signaux techniques baissiers et les prédictions IA est forte. **Recommandation : VENTE FORTE** avec un niveau de confiance **Élevé**. Le risque global est **Élevé** en raison de la volatilité extrême et de l'incertitude fondamentale. Horizon d'investissement : **court terme (&lt;3 mois)** pour les spéculateurs, mais déconseillé pour les investisseurs long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416.56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3,225 titres</w:t>
            </w:r>
          </w:p>
        </w:tc>
        <w:tc>
          <w:tcPr>
            <w:tcW w:type="dxa" w:w="2268"/>
            <w:shd w:fill="FFF2CC" w:val="clear"/>
          </w:tcPr>
          <w:p>
            <w:r>
              <w:rPr>
                <w:b/>
                <w:color w:val="503200"/>
                <w:sz w:val="16"/>
              </w:rPr>
              <w:t xml:space="preserve">Cours actuel : </w:t>
            </w:r>
            <w:r>
              <w:rPr>
                <w:color w:val="000000"/>
                <w:sz w:val="17"/>
              </w:rPr>
              <w:t>23,200 FCFA</w:t>
            </w:r>
          </w:p>
          <w:p>
            <w:r>
              <w:rPr>
                <w:b/>
                <w:color w:val="503200"/>
                <w:sz w:val="16"/>
              </w:rPr>
              <w:t xml:space="preserve">Var. 100 jours : </w:t>
            </w:r>
            <w:r>
              <w:rPr>
                <w:b/>
                <w:color w:val="007800"/>
                <w:sz w:val="17"/>
              </w:rPr>
              <w:t>+8.36%</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27.6%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5.61% (Moyenne) — μ=21,982 FCFA, σ=1,233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β=0.3780 (Défensif) — Cov=0.000014, Var(idx)=0.000036, ρ=0.130,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2026-08-03</w:t>
            </w:r>
          </w:p>
        </w:tc>
        <w:tc>
          <w:tcPr>
            <w:tcW w:type="dxa" w:w="1440"/>
            <w:shd w:fill="FAFAFA" w:val="clear"/>
          </w:tcPr>
          <w:p>
            <w:r>
              <w:rPr>
                <w:sz w:val="17"/>
              </w:rPr>
              <w:t>22,564</w:t>
            </w:r>
          </w:p>
        </w:tc>
        <w:tc>
          <w:tcPr>
            <w:tcW w:type="dxa" w:w="1440"/>
            <w:shd w:fill="FAFAFA" w:val="clear"/>
          </w:tcPr>
          <w:p>
            <w:r>
              <w:rPr>
                <w:b/>
                <w:sz w:val="17"/>
              </w:rPr>
              <w:t>23,507</w:t>
            </w:r>
          </w:p>
        </w:tc>
        <w:tc>
          <w:tcPr>
            <w:tcW w:type="dxa" w:w="1440"/>
            <w:shd w:fill="FAFAFA" w:val="clear"/>
          </w:tcPr>
          <w:p>
            <w:r>
              <w:rPr>
                <w:sz w:val="17"/>
              </w:rPr>
              <w:t>24,450</w:t>
            </w:r>
          </w:p>
        </w:tc>
        <w:tc>
          <w:tcPr>
            <w:tcW w:type="dxa" w:w="1440"/>
            <w:shd w:fill="FAFAFA" w:val="clear"/>
          </w:tcPr>
          <w:p>
            <w:r>
              <w:rPr>
                <w:b/>
                <w:color w:val="008000"/>
                <w:sz w:val="17"/>
              </w:rPr>
              <w:t>+1.3%</w:t>
            </w:r>
          </w:p>
        </w:tc>
      </w:tr>
      <w:tr>
        <w:tc>
          <w:tcPr>
            <w:tcW w:type="dxa" w:w="1440"/>
            <w:shd w:fill="C6EFCE" w:val="clear"/>
          </w:tcPr>
          <w:p>
            <w:r>
              <w:rPr>
                <w:sz w:val="17"/>
              </w:rPr>
              <w:t>J+2  ⭐</w:t>
            </w:r>
          </w:p>
        </w:tc>
        <w:tc>
          <w:tcPr>
            <w:tcW w:type="dxa" w:w="1440"/>
            <w:shd w:fill="C6EFCE" w:val="clear"/>
          </w:tcPr>
          <w:p>
            <w:r>
              <w:rPr>
                <w:sz w:val="17"/>
              </w:rPr>
              <w:t>2026-08-04</w:t>
            </w:r>
          </w:p>
        </w:tc>
        <w:tc>
          <w:tcPr>
            <w:tcW w:type="dxa" w:w="1440"/>
            <w:shd w:fill="C6EFCE" w:val="clear"/>
          </w:tcPr>
          <w:p>
            <w:r>
              <w:rPr>
                <w:sz w:val="17"/>
              </w:rPr>
              <w:t>22,358</w:t>
            </w:r>
          </w:p>
        </w:tc>
        <w:tc>
          <w:tcPr>
            <w:tcW w:type="dxa" w:w="1440"/>
            <w:shd w:fill="C6EFCE" w:val="clear"/>
          </w:tcPr>
          <w:p>
            <w:r>
              <w:rPr>
                <w:b/>
                <w:sz w:val="17"/>
              </w:rPr>
              <w:t>23,703</w:t>
            </w:r>
          </w:p>
        </w:tc>
        <w:tc>
          <w:tcPr>
            <w:tcW w:type="dxa" w:w="1440"/>
            <w:shd w:fill="C6EFCE" w:val="clear"/>
          </w:tcPr>
          <w:p>
            <w:r>
              <w:rPr>
                <w:sz w:val="17"/>
              </w:rPr>
              <w:t>25,048</w:t>
            </w:r>
          </w:p>
        </w:tc>
        <w:tc>
          <w:tcPr>
            <w:tcW w:type="dxa" w:w="1440"/>
            <w:shd w:fill="C6EFCE" w:val="clear"/>
          </w:tcPr>
          <w:p>
            <w:r>
              <w:rPr>
                <w:b/>
                <w:color w:val="008000"/>
                <w:sz w:val="17"/>
              </w:rPr>
              <w:t>+2.2%</w:t>
            </w:r>
          </w:p>
        </w:tc>
      </w:tr>
      <w:tr>
        <w:tc>
          <w:tcPr>
            <w:tcW w:type="dxa" w:w="1440"/>
            <w:shd w:fill="C6EFCE" w:val="clear"/>
          </w:tcPr>
          <w:p>
            <w:r>
              <w:rPr>
                <w:sz w:val="17"/>
              </w:rPr>
              <w:t>J+3  ⭐</w:t>
            </w:r>
          </w:p>
        </w:tc>
        <w:tc>
          <w:tcPr>
            <w:tcW w:type="dxa" w:w="1440"/>
            <w:shd w:fill="C6EFCE" w:val="clear"/>
          </w:tcPr>
          <w:p>
            <w:r>
              <w:rPr>
                <w:sz w:val="17"/>
              </w:rPr>
              <w:t>2026-08-05</w:t>
            </w:r>
          </w:p>
        </w:tc>
        <w:tc>
          <w:tcPr>
            <w:tcW w:type="dxa" w:w="1440"/>
            <w:shd w:fill="C6EFCE" w:val="clear"/>
          </w:tcPr>
          <w:p>
            <w:r>
              <w:rPr>
                <w:sz w:val="17"/>
              </w:rPr>
              <w:t>22,254</w:t>
            </w:r>
          </w:p>
        </w:tc>
        <w:tc>
          <w:tcPr>
            <w:tcW w:type="dxa" w:w="1440"/>
            <w:shd w:fill="C6EFCE" w:val="clear"/>
          </w:tcPr>
          <w:p>
            <w:r>
              <w:rPr>
                <w:b/>
                <w:sz w:val="17"/>
              </w:rPr>
              <w:t>23,917</w:t>
            </w:r>
          </w:p>
        </w:tc>
        <w:tc>
          <w:tcPr>
            <w:tcW w:type="dxa" w:w="1440"/>
            <w:shd w:fill="C6EFCE" w:val="clear"/>
          </w:tcPr>
          <w:p>
            <w:r>
              <w:rPr>
                <w:sz w:val="17"/>
              </w:rPr>
              <w:t>25,579</w:t>
            </w:r>
          </w:p>
        </w:tc>
        <w:tc>
          <w:tcPr>
            <w:tcW w:type="dxa" w:w="1440"/>
            <w:shd w:fill="C6EFCE" w:val="clear"/>
          </w:tcPr>
          <w:p>
            <w:r>
              <w:rPr>
                <w:b/>
                <w:color w:val="008000"/>
                <w:sz w:val="17"/>
              </w:rPr>
              <w:t>+3.1%</w:t>
            </w:r>
          </w:p>
        </w:tc>
      </w:tr>
      <w:tr>
        <w:tc>
          <w:tcPr>
            <w:tcW w:type="dxa" w:w="1440"/>
            <w:shd w:fill="C6EFCE" w:val="clear"/>
          </w:tcPr>
          <w:p>
            <w:r>
              <w:rPr>
                <w:sz w:val="17"/>
              </w:rPr>
              <w:t>J+4  ⭐</w:t>
            </w:r>
          </w:p>
        </w:tc>
        <w:tc>
          <w:tcPr>
            <w:tcW w:type="dxa" w:w="1440"/>
            <w:shd w:fill="C6EFCE" w:val="clear"/>
          </w:tcPr>
          <w:p>
            <w:r>
              <w:rPr>
                <w:sz w:val="17"/>
              </w:rPr>
              <w:t>2026-08-06</w:t>
            </w:r>
          </w:p>
        </w:tc>
        <w:tc>
          <w:tcPr>
            <w:tcW w:type="dxa" w:w="1440"/>
            <w:shd w:fill="C6EFCE" w:val="clear"/>
          </w:tcPr>
          <w:p>
            <w:r>
              <w:rPr>
                <w:sz w:val="17"/>
              </w:rPr>
              <w:t>22,188</w:t>
            </w:r>
          </w:p>
        </w:tc>
        <w:tc>
          <w:tcPr>
            <w:tcW w:type="dxa" w:w="1440"/>
            <w:shd w:fill="C6EFCE" w:val="clear"/>
          </w:tcPr>
          <w:p>
            <w:r>
              <w:rPr>
                <w:b/>
                <w:sz w:val="17"/>
              </w:rPr>
              <w:t>24,124</w:t>
            </w:r>
          </w:p>
        </w:tc>
        <w:tc>
          <w:tcPr>
            <w:tcW w:type="dxa" w:w="1440"/>
            <w:shd w:fill="C6EFCE" w:val="clear"/>
          </w:tcPr>
          <w:p>
            <w:r>
              <w:rPr>
                <w:sz w:val="17"/>
              </w:rPr>
              <w:t>26,060</w:t>
            </w:r>
          </w:p>
        </w:tc>
        <w:tc>
          <w:tcPr>
            <w:tcW w:type="dxa" w:w="1440"/>
            <w:shd w:fill="C6EFCE" w:val="clear"/>
          </w:tcPr>
          <w:p>
            <w:r>
              <w:rPr>
                <w:b/>
                <w:color w:val="008000"/>
                <w:sz w:val="17"/>
              </w:rPr>
              <w:t>+4.0%</w:t>
            </w:r>
          </w:p>
        </w:tc>
      </w:tr>
      <w:tr>
        <w:tc>
          <w:tcPr>
            <w:tcW w:type="dxa" w:w="1440"/>
            <w:shd w:fill="C6EFCE" w:val="clear"/>
          </w:tcPr>
          <w:p>
            <w:r>
              <w:rPr>
                <w:sz w:val="17"/>
              </w:rPr>
              <w:t>J+5  ⭐</w:t>
            </w:r>
          </w:p>
        </w:tc>
        <w:tc>
          <w:tcPr>
            <w:tcW w:type="dxa" w:w="1440"/>
            <w:shd w:fill="C6EFCE" w:val="clear"/>
          </w:tcPr>
          <w:p>
            <w:r>
              <w:rPr>
                <w:sz w:val="17"/>
              </w:rPr>
              <w:t>2026-08-10</w:t>
            </w:r>
          </w:p>
        </w:tc>
        <w:tc>
          <w:tcPr>
            <w:tcW w:type="dxa" w:w="1440"/>
            <w:shd w:fill="C6EFCE" w:val="clear"/>
          </w:tcPr>
          <w:p>
            <w:r>
              <w:rPr>
                <w:sz w:val="17"/>
              </w:rPr>
              <w:t>22,152</w:t>
            </w:r>
          </w:p>
        </w:tc>
        <w:tc>
          <w:tcPr>
            <w:tcW w:type="dxa" w:w="1440"/>
            <w:shd w:fill="C6EFCE" w:val="clear"/>
          </w:tcPr>
          <w:p>
            <w:r>
              <w:rPr>
                <w:b/>
                <w:sz w:val="17"/>
              </w:rPr>
              <w:t>24,335</w:t>
            </w:r>
          </w:p>
        </w:tc>
        <w:tc>
          <w:tcPr>
            <w:tcW w:type="dxa" w:w="1440"/>
            <w:shd w:fill="C6EFCE" w:val="clear"/>
          </w:tcPr>
          <w:p>
            <w:r>
              <w:rPr>
                <w:sz w:val="17"/>
              </w:rPr>
              <w:t>26,519</w:t>
            </w:r>
          </w:p>
        </w:tc>
        <w:tc>
          <w:tcPr>
            <w:tcW w:type="dxa" w:w="1440"/>
            <w:shd w:fill="C6EFCE" w:val="clear"/>
          </w:tcPr>
          <w:p>
            <w:r>
              <w:rPr>
                <w:b/>
                <w:color w:val="008000"/>
                <w:sz w:val="17"/>
              </w:rPr>
              <w:t>+4.9%</w:t>
            </w:r>
          </w:p>
        </w:tc>
      </w:tr>
      <w:tr>
        <w:tc>
          <w:tcPr>
            <w:tcW w:type="dxa" w:w="1440"/>
            <w:shd w:fill="C6EFCE" w:val="clear"/>
          </w:tcPr>
          <w:p>
            <w:r>
              <w:rPr>
                <w:sz w:val="17"/>
              </w:rPr>
              <w:t>J+6  ⭐</w:t>
            </w:r>
          </w:p>
        </w:tc>
        <w:tc>
          <w:tcPr>
            <w:tcW w:type="dxa" w:w="1440"/>
            <w:shd w:fill="C6EFCE" w:val="clear"/>
          </w:tcPr>
          <w:p>
            <w:r>
              <w:rPr>
                <w:sz w:val="17"/>
              </w:rPr>
              <w:t>2026-08-11</w:t>
            </w:r>
          </w:p>
        </w:tc>
        <w:tc>
          <w:tcPr>
            <w:tcW w:type="dxa" w:w="1440"/>
            <w:shd w:fill="C6EFCE" w:val="clear"/>
          </w:tcPr>
          <w:p>
            <w:r>
              <w:rPr>
                <w:sz w:val="17"/>
              </w:rPr>
              <w:t>22,142</w:t>
            </w:r>
          </w:p>
        </w:tc>
        <w:tc>
          <w:tcPr>
            <w:tcW w:type="dxa" w:w="1440"/>
            <w:shd w:fill="C6EFCE" w:val="clear"/>
          </w:tcPr>
          <w:p>
            <w:r>
              <w:rPr>
                <w:b/>
                <w:sz w:val="17"/>
              </w:rPr>
              <w:t>24,556</w:t>
            </w:r>
          </w:p>
        </w:tc>
        <w:tc>
          <w:tcPr>
            <w:tcW w:type="dxa" w:w="1440"/>
            <w:shd w:fill="C6EFCE" w:val="clear"/>
          </w:tcPr>
          <w:p>
            <w:r>
              <w:rPr>
                <w:sz w:val="17"/>
              </w:rPr>
              <w:t>26,969</w:t>
            </w:r>
          </w:p>
        </w:tc>
        <w:tc>
          <w:tcPr>
            <w:tcW w:type="dxa" w:w="1440"/>
            <w:shd w:fill="C6EFCE" w:val="clear"/>
          </w:tcPr>
          <w:p>
            <w:r>
              <w:rPr>
                <w:b/>
                <w:color w:val="008000"/>
                <w:sz w:val="17"/>
              </w:rPr>
              <w:t>+5.8%</w:t>
            </w:r>
          </w:p>
        </w:tc>
      </w:tr>
      <w:tr>
        <w:tc>
          <w:tcPr>
            <w:tcW w:type="dxa" w:w="1440"/>
            <w:shd w:fill="C6EFCE" w:val="clear"/>
          </w:tcPr>
          <w:p>
            <w:r>
              <w:rPr>
                <w:sz w:val="17"/>
              </w:rPr>
              <w:t>J+7  ⭐</w:t>
            </w:r>
          </w:p>
        </w:tc>
        <w:tc>
          <w:tcPr>
            <w:tcW w:type="dxa" w:w="1440"/>
            <w:shd w:fill="C6EFCE" w:val="clear"/>
          </w:tcPr>
          <w:p>
            <w:r>
              <w:rPr>
                <w:sz w:val="17"/>
              </w:rPr>
              <w:t>2026-08-12</w:t>
            </w:r>
          </w:p>
        </w:tc>
        <w:tc>
          <w:tcPr>
            <w:tcW w:type="dxa" w:w="1440"/>
            <w:shd w:fill="C6EFCE" w:val="clear"/>
          </w:tcPr>
          <w:p>
            <w:r>
              <w:rPr>
                <w:sz w:val="17"/>
              </w:rPr>
              <w:t>22,152</w:t>
            </w:r>
          </w:p>
        </w:tc>
        <w:tc>
          <w:tcPr>
            <w:tcW w:type="dxa" w:w="1440"/>
            <w:shd w:fill="C6EFCE" w:val="clear"/>
          </w:tcPr>
          <w:p>
            <w:r>
              <w:rPr>
                <w:b/>
                <w:sz w:val="17"/>
              </w:rPr>
              <w:t>24,784</w:t>
            </w:r>
          </w:p>
        </w:tc>
        <w:tc>
          <w:tcPr>
            <w:tcW w:type="dxa" w:w="1440"/>
            <w:shd w:fill="C6EFCE" w:val="clear"/>
          </w:tcPr>
          <w:p>
            <w:r>
              <w:rPr>
                <w:sz w:val="17"/>
              </w:rPr>
              <w:t>27,415</w:t>
            </w:r>
          </w:p>
        </w:tc>
        <w:tc>
          <w:tcPr>
            <w:tcW w:type="dxa" w:w="1440"/>
            <w:shd w:fill="C6EFCE" w:val="clear"/>
          </w:tcPr>
          <w:p>
            <w:r>
              <w:rPr>
                <w:b/>
                <w:color w:val="008000"/>
                <w:sz w:val="17"/>
              </w:rPr>
              <w:t>+6.8%</w:t>
            </w:r>
          </w:p>
        </w:tc>
      </w:tr>
      <w:tr>
        <w:tc>
          <w:tcPr>
            <w:tcW w:type="dxa" w:w="1440"/>
            <w:shd w:fill="C6EFCE" w:val="clear"/>
          </w:tcPr>
          <w:p>
            <w:r>
              <w:rPr>
                <w:sz w:val="17"/>
              </w:rPr>
              <w:t>J+8  ⭐</w:t>
            </w:r>
          </w:p>
        </w:tc>
        <w:tc>
          <w:tcPr>
            <w:tcW w:type="dxa" w:w="1440"/>
            <w:shd w:fill="C6EFCE" w:val="clear"/>
          </w:tcPr>
          <w:p>
            <w:r>
              <w:rPr>
                <w:sz w:val="17"/>
              </w:rPr>
              <w:t>2026-08-13</w:t>
            </w:r>
          </w:p>
        </w:tc>
        <w:tc>
          <w:tcPr>
            <w:tcW w:type="dxa" w:w="1440"/>
            <w:shd w:fill="C6EFCE" w:val="clear"/>
          </w:tcPr>
          <w:p>
            <w:r>
              <w:rPr>
                <w:sz w:val="17"/>
              </w:rPr>
              <w:t>22,172</w:t>
            </w:r>
          </w:p>
        </w:tc>
        <w:tc>
          <w:tcPr>
            <w:tcW w:type="dxa" w:w="1440"/>
            <w:shd w:fill="C6EFCE" w:val="clear"/>
          </w:tcPr>
          <w:p>
            <w:r>
              <w:rPr>
                <w:b/>
                <w:sz w:val="17"/>
              </w:rPr>
              <w:t>25,010</w:t>
            </w:r>
          </w:p>
        </w:tc>
        <w:tc>
          <w:tcPr>
            <w:tcW w:type="dxa" w:w="1440"/>
            <w:shd w:fill="C6EFCE" w:val="clear"/>
          </w:tcPr>
          <w:p>
            <w:r>
              <w:rPr>
                <w:sz w:val="17"/>
              </w:rPr>
              <w:t>27,849</w:t>
            </w:r>
          </w:p>
        </w:tc>
        <w:tc>
          <w:tcPr>
            <w:tcW w:type="dxa" w:w="1440"/>
            <w:shd w:fill="C6EFCE" w:val="clear"/>
          </w:tcPr>
          <w:p>
            <w:r>
              <w:rPr>
                <w:b/>
                <w:color w:val="008000"/>
                <w:sz w:val="17"/>
              </w:rPr>
              <w:t>+7.8%</w:t>
            </w:r>
          </w:p>
        </w:tc>
      </w:tr>
      <w:tr>
        <w:tc>
          <w:tcPr>
            <w:tcW w:type="dxa" w:w="1440"/>
            <w:shd w:fill="C6EFCE" w:val="clear"/>
          </w:tcPr>
          <w:p>
            <w:r>
              <w:rPr>
                <w:sz w:val="17"/>
              </w:rPr>
              <w:t>J+9  ⭐</w:t>
            </w:r>
          </w:p>
        </w:tc>
        <w:tc>
          <w:tcPr>
            <w:tcW w:type="dxa" w:w="1440"/>
            <w:shd w:fill="C6EFCE" w:val="clear"/>
          </w:tcPr>
          <w:p>
            <w:r>
              <w:rPr>
                <w:sz w:val="17"/>
              </w:rPr>
              <w:t>2026-08-14</w:t>
            </w:r>
          </w:p>
        </w:tc>
        <w:tc>
          <w:tcPr>
            <w:tcW w:type="dxa" w:w="1440"/>
            <w:shd w:fill="C6EFCE" w:val="clear"/>
          </w:tcPr>
          <w:p>
            <w:r>
              <w:rPr>
                <w:sz w:val="17"/>
              </w:rPr>
              <w:t>22,208</w:t>
            </w:r>
          </w:p>
        </w:tc>
        <w:tc>
          <w:tcPr>
            <w:tcW w:type="dxa" w:w="1440"/>
            <w:shd w:fill="C6EFCE" w:val="clear"/>
          </w:tcPr>
          <w:p>
            <w:r>
              <w:rPr>
                <w:b/>
                <w:sz w:val="17"/>
              </w:rPr>
              <w:t>25,247</w:t>
            </w:r>
          </w:p>
        </w:tc>
        <w:tc>
          <w:tcPr>
            <w:tcW w:type="dxa" w:w="1440"/>
            <w:shd w:fill="C6EFCE" w:val="clear"/>
          </w:tcPr>
          <w:p>
            <w:r>
              <w:rPr>
                <w:sz w:val="17"/>
              </w:rPr>
              <w:t>28,286</w:t>
            </w:r>
          </w:p>
        </w:tc>
        <w:tc>
          <w:tcPr>
            <w:tcW w:type="dxa" w:w="1440"/>
            <w:shd w:fill="C6EFCE" w:val="clear"/>
          </w:tcPr>
          <w:p>
            <w:r>
              <w:rPr>
                <w:b/>
                <w:color w:val="008000"/>
                <w:sz w:val="17"/>
              </w:rPr>
              <w:t>+8.8%</w:t>
            </w:r>
          </w:p>
        </w:tc>
      </w:tr>
      <w:tr>
        <w:tc>
          <w:tcPr>
            <w:tcW w:type="dxa" w:w="1440"/>
            <w:shd w:fill="C6EFCE" w:val="clear"/>
          </w:tcPr>
          <w:p>
            <w:r>
              <w:rPr>
                <w:sz w:val="17"/>
              </w:rPr>
              <w:t>J+10  ⭐</w:t>
            </w:r>
          </w:p>
        </w:tc>
        <w:tc>
          <w:tcPr>
            <w:tcW w:type="dxa" w:w="1440"/>
            <w:shd w:fill="C6EFCE" w:val="clear"/>
          </w:tcPr>
          <w:p>
            <w:r>
              <w:rPr>
                <w:sz w:val="17"/>
              </w:rPr>
              <w:t>2026-08-17</w:t>
            </w:r>
          </w:p>
        </w:tc>
        <w:tc>
          <w:tcPr>
            <w:tcW w:type="dxa" w:w="1440"/>
            <w:shd w:fill="C6EFCE" w:val="clear"/>
          </w:tcPr>
          <w:p>
            <w:r>
              <w:rPr>
                <w:sz w:val="17"/>
              </w:rPr>
              <w:t>22,245</w:t>
            </w:r>
          </w:p>
        </w:tc>
        <w:tc>
          <w:tcPr>
            <w:tcW w:type="dxa" w:w="1440"/>
            <w:shd w:fill="C6EFCE" w:val="clear"/>
          </w:tcPr>
          <w:p>
            <w:r>
              <w:rPr>
                <w:b/>
                <w:sz w:val="17"/>
              </w:rPr>
              <w:t>25,478</w:t>
            </w:r>
          </w:p>
        </w:tc>
        <w:tc>
          <w:tcPr>
            <w:tcW w:type="dxa" w:w="1440"/>
            <w:shd w:fill="C6EFCE" w:val="clear"/>
          </w:tcPr>
          <w:p>
            <w:r>
              <w:rPr>
                <w:sz w:val="17"/>
              </w:rPr>
              <w:t>28,711</w:t>
            </w:r>
          </w:p>
        </w:tc>
        <w:tc>
          <w:tcPr>
            <w:tcW w:type="dxa" w:w="1440"/>
            <w:shd w:fill="C6EFCE" w:val="clear"/>
          </w:tcPr>
          <w:p>
            <w:r>
              <w:rPr>
                <w:b/>
                <w:color w:val="008000"/>
                <w:sz w:val="17"/>
              </w:rPr>
              <w:t>+9.8%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Absolument. Voici un rapport d'analyse structuré et professionnel pour l'action STBC (Société Ivoirienne des Tabacs), basé sur l'ensemble des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STBC s'établit à 416,56 milliards FCFA, ce qui en fait l'une des valeurs les plus significatives de la BRVM, reflétant son statut de leader sur son marché. Le BPA de 2 014 FCFA indique que chaque action génère un bénéfice substantiel, justifiant un PER de 11,5x. Ce ratio, bien que légèrement supérieur à la moyenne historique de la BRVM (8-12x), reste dans une fourchette raisonnable, suggérant que les investisseurs paient un prix juste pour les bénéfices actuels. En revanche, le P/B de 9,19x est extrêmement élevé, signifiant que le marché valorise l'entreprise à près de dix fois sa valeur comptable, ce qui traduit une prime considérable pour sa rentabilité exceptionnelle et ses perspectives de croissance. Enfin, un EV/EBITDA de 8,3x indique que la valeur totale de l'entreprise (capitalisation plus dette nette) représente 8,3 fois son excédent brut d'exploitation, un niveau considéré comme raisonnable et cohérent avec une société générant des flux de trésorerie importants.</w:t>
      </w:r>
    </w:p>
    <w:p>
      <w:pPr>
        <w:spacing w:after="120" w:line="276" w:lineRule="auto"/>
      </w:pPr>
      <w:r>
        <w:t>### PARTIE 1 : ANALYSE DU COURS — STATISTIQUES ET ÉVOLUTION (100 derniers jours)</w:t>
      </w:r>
    </w:p>
    <w:p>
      <w:pPr>
        <w:spacing w:after="120" w:line="276" w:lineRule="auto"/>
      </w:pPr>
      <w:r>
        <w:t>Sur les 100 derniers jours, l'action STBC a enregistré une progression totale de +8,36%, avec une dernière séance stable (0,00%). Le cours a évolué dans une fourchette de 19 705 FCFA (plus bas) à 25 000 FCFA (plus haut), démontrant une amplitude de trading significative. La tendance générale est clairement haussière, le cours se situant à 23 200 FCFA, proche de son plus haut. Les statistiques descriptives révèlent une moyenne de 21 982 FCFA, légèrement supérieure à la médiane de 21 645 FCFA, ce qui, combiné à un skewness positif de 0.710, indique une distribution asymétrique avec des journées plus nombreuses sous la moyenne mais quelques fortes hausses qui tirent la moyenne vers le haut. L'écart-type de 1 239 FCFA, pour un coefficient de variation de 5,6%, montre une dispersion modérée des prix autour de la moyenne. Le kurtosis de -0.352 (mésokurtique) suggère une distribution proche de la normale, sans risque de variations extrêmes. Enfin, la volatilité annualisée de 27,6% classe le titre dans la catégorie "modérée à élevée", indiquant un risque de prix non négligeable pour les investisseurs.</w:t>
      </w:r>
    </w:p>
    <w:p>
      <w:pPr>
        <w:spacing w:after="120" w:line="276" w:lineRule="auto"/>
      </w:pPr>
      <w:r>
        <w:t>### PARTIE 2 : ANALYSE TECHNIQUE DÉTAILLÉE</w:t>
      </w:r>
    </w:p>
    <w:p>
      <w:pPr>
        <w:spacing w:after="120" w:line="276" w:lineRule="auto"/>
      </w:pPr>
      <w:r>
        <w:t>**Moyennes Mobiles:** Le cours actuel de 23 200 FCFA est supérieur à la MM20 (23 579 FCFA) mais légèrement inférieur, et surtout bien au-dessus de la MM50 (22 834 FCFA). Cette configuration, où le prix est au-dessus de la moyenne à moyen terme, confirme une tendance haussière de fond. La décision d'achat est justifiée par cette dynamique positive, bien que le léger écart avec la MM20 suggère une consolidation à court terme.</w:t>
      </w:r>
    </w:p>
    <w:p>
      <w:pPr>
        <w:spacing w:after="120" w:line="276" w:lineRule="auto"/>
      </w:pPr>
      <w:r>
        <w:t>**Bandes de Bollinger:** Le prix se situe à 23 200 FCFA, entre la borne inférieure (22 376 FCFA) et la borne supérieure (24 782 FCFA). La position du cours dans la partie médiane-haute des bandes indique une volatilité normale et une absence de conditions de surachat ou de survente. La décision "Neutre" est donc appropriée, le marché n'envoyant pas de signal directionnel fort.</w:t>
      </w:r>
    </w:p>
    <w:p>
      <w:pPr>
        <w:spacing w:after="120" w:line="276" w:lineRule="auto"/>
      </w:pPr>
      <w:r>
        <w:t>**MACD:** La valeur du MACD (15,833) est nettement inférieure à son signal (138,133), ce qui constitue une divergence baissière. Ce signal de "Vente" indique que le momentum à court terme s'affaiblit, même si la tendance de fond reste positive. Cela pourrait précéder une phase de consolidation ou de correction légère.</w:t>
      </w:r>
    </w:p>
    <w:p>
      <w:pPr>
        <w:spacing w:after="120" w:line="276" w:lineRule="auto"/>
      </w:pPr>
      <w:r>
        <w:t>**RSI:** Avec une valeur de 39,518, le RSI se situe dans la zone neutre (30-70), mais proche de la zone de survente. Cela suggère que la pression vendeuse récente a réduit la dynamique haussière sans pour autant créer des conditions de surachat. La décision "Neutre" est cohérente, mais le niveau du RSI indique un potentiel de rebond si la tendance de fond reprend le dessus.</w:t>
      </w:r>
    </w:p>
    <w:p>
      <w:pPr>
        <w:spacing w:after="120" w:line="276" w:lineRule="auto"/>
      </w:pPr>
      <w:r>
        <w:t>**Stochastique:** Les valeurs de %K (49,235) et %D (45,674) sont proches et en zone neutre. Le %K est légèrement au-dessus du %D, ce qui pourrait indiquer un début de croisement haussier, mais le signal est faible. La décision "Neutre" est justifiée, le momentum n'étant pas clairement orienté.</w:t>
      </w:r>
    </w:p>
    <w:p>
      <w:pPr>
        <w:spacing w:after="120" w:line="276" w:lineRule="auto"/>
      </w:pPr>
      <w:r>
        <w:t>**Conclusion technique:** Les indicateurs techniques sont mitigés. Les moyennes mobiles et la tendance de fond restent haussières, mais le MACD et le RSI signalent un affaiblissement du momentum à court terme. La configuration suggère une phase de consolidation dans un marché haussier. L'absence de signaux de surachat et la position du prix au-dessus de la MM50 plaident pour une poursuite de la tendance à moyen terme, mais une correction vers la zone des 22 500-23 000 FCFA est possible avant la prochaine jambe haussière.</w:t>
      </w:r>
    </w:p>
    <w:p>
      <w:pPr>
        <w:spacing w:after="120" w:line="276" w:lineRule="auto"/>
      </w:pPr>
      <w:r>
        <w:t>### PARTIE 3 : ANALYSE FONDAMENTALE (SECTION CRITIQUE)</w:t>
      </w:r>
    </w:p>
    <w:p>
      <w:pPr>
        <w:spacing w:after="120" w:line="276" w:lineRule="auto"/>
      </w:pPr>
      <w:r>
        <w:t>En 2025, la STBC a réalisé un chiffre d'affaires de 268,537 milliards FCFA, en hausse de 25,3% par rapport à 2024. Cependant, le résultat net s'établit à 36,158 milliards FCFA, en baisse de 18,1% par rapport au niveau exceptionnel de 44,2 milliards FCFA enregistré en 2024. Cette dégradation de la rentabilité se reflète dans la marge nette, qui passe de 20,4% en 2024 à 13,5% en 2025. La rentabilité des capitaux propres (ROE) reste excellente à 79,75%, tout comme le ROA à 48,09%, témoignant d'une utilisation très efficace des actifs. En tant qu'entreprise de distribution, l'analyse du BFR est cruciale : il s'établit à 5,639 milliards FCFA, un niveau positif mais faible, ce qui est favorable. Le délai de paiement des clients est de 42,57 jours, un niveau modéré, et la durée de stockage n'est que de 5,73 jours, indiquant une rotation très rapide des stocks. La structure financière est très saine avec une autonomie financière de 60,3% et une trésorerie nette positive de 30,763 milliards FCFA, malgré une baisse par rapport à 2024. Les rapports trimestriels de 2025 montrent une tendance contrastée : un excellent premier semestre (+87% de résultat net) mais un quatrième trimestre très difficile (-74% de résultat net) en raison de la hausse des droits d'accises. Sur la base du rapport T1 2026 (CA +12%, volumes +10%, résultat net stable), on estime que l'exercice 2026 pourrait voir une stabilisation de la rentabilité, avec un résultat net potentiellement similaire à celui de 2025, autour de 36-37 milliards FCFA, si la maîtrise des coûts s'améliore. La société maintient une politique de dividende très généreuse, avec un taux de distribution de 105% en 2025, un point de vigilance majeur pour la soutenabilité future. La recommandation fondamentale est de **CONSERVER** : la société est financièrement solide et rentable, mais la pression sur les marges et la politique de distribution excessive constituent des risques à surveiller.</w:t>
      </w:r>
    </w:p>
    <w:p>
      <w:pPr>
        <w:spacing w:after="120" w:line="276" w:lineRule="auto"/>
      </w:pPr>
      <w:r>
        <w:t>### PARTIE 4 : CONCLUSION D'INVESTISSEMENT</w:t>
      </w:r>
    </w:p>
    <w:p>
      <w:pPr>
        <w:spacing w:after="120" w:line="276" w:lineRule="auto"/>
      </w:pPr>
      <w:r>
        <w:t>La synthèse des analyses fait ressortir un profil contrasté. La valorisation (Partie 0) est correcte sur la base du PER (11,5x) et de l'EV/EBITDA (8,3x), mais le P/B de 9,19x est très exigeant. Le comportement du cours (Partie 1) est haussier sur 100 jours (+8,36%), avec une volatilité modérée (27,6%) et une distribution statistique sans risque extrême. Les signaux techniques (Partie 2) sont mitigés, avec une tendance de fond positive mais un momentum à court terme en perte de vitesse. Les fondamentaux (Partie 3) sont solides (ROE de 79,75%, zéro dette) mais montrent une dégradation de la rentabilité en 2025, et les estimations pour 2026 suggèrent une stabilisation. Les prédictions IA pour les 10 prochains jours (23 507 à 24 335 FCFA) confirment la tendance haussière et suggèrent une poursuite de la hausse, ce qui contredit le signal de vente du MACD mais est cohérent avec la tendance des moyennes mobiles. En conclusion, la convergence entre la valorisation raisonnable, la tendance haussière du cours, les fondamentaux solides et les prédictions IA positives l'emporte sur les signaux techniques baissiers à court terme. La recommandation finale est **CONSERVER**, avec un niveau de confiance **Moyen** et un risque global **Moyen**. L'horizon d'investissement optimal est le **moyen terme (3-12 mois)**, en attendant de voir si la société parvient à restaurer ses marges et à adopter une politique de dividende plus soutenable.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(+95% de r\u00e9sultat net) et la position dominante sur le march\u00e9 justifient un investissement. La trajectoire de croissance soutenue depuis 3 ans et les perspectives optimistes pour 2022 renforcent l'attractivit\u00e9."}</w:t>
      </w:r>
    </w:p>
    <w:p>
      <w:pPr>
        <w:spacing w:before="40"/>
        <w:ind w:left="400"/>
      </w:pPr>
      <w:r>
        <w:rPr>
          <w:sz w:val="18"/>
        </w:rPr>
        <w:t>SITAB S.A, leader du marché du tabac en Côte d'Ivoire avec 83% de part de marché, affiche des résultats exceptionnels au premier semestre 2022. Le chiffre d'affaires progresse de 10,9% à 72,7 milliards FCFA, soutenu par une croissance des volumes de 8,5%. Le résultat d'exploitation bondit de 49% à 7,2 milliards FCFA grâce à l'effet volume et à l'optimisation des charges. Le résultat net double quasiment (+95%) à 7,3 milliards FCFA, dopé par des dividendes de filiales de 1,9 milliard FCFA. La direction anticipe de bons résultats pour l'ensemble de l'exercice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'83%', 'volumes_vente': "3,234 milliards d'unités", 'capital_social': '4,49 milliards FCFA', 'resultat_financier': '1,94 milliards FCFA', 'resultat_exploitation': '7,22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7,27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72,66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Position dominante avec 83% de part de marché du tabac consolidée</w:t>
      </w:r>
    </w:p>
    <w:p>
      <w:pPr>
        <w:pStyle w:val="ListBullet"/>
        <w:spacing w:before="20" w:after="20"/>
        <w:ind w:left="700"/>
      </w:pPr>
      <w:r>
        <w:rPr>
          <w:sz w:val="18"/>
        </w:rPr>
        <w:t>Croissance soutenue des volumes de vente de 8,5% sur un an</w:t>
      </w:r>
    </w:p>
    <w:p>
      <w:pPr>
        <w:pStyle w:val="ListBullet"/>
        <w:spacing w:before="20" w:after="20"/>
        <w:ind w:left="700"/>
      </w:pPr>
      <w:r>
        <w:rPr>
          <w:sz w:val="18"/>
        </w:rPr>
        <w:t>Progression remarquable du chiffre d'affaires de 10,9% à 72,7 milliards FCFA</w:t>
      </w:r>
    </w:p>
    <w:p>
      <w:pPr>
        <w:pStyle w:val="ListBullet"/>
        <w:spacing w:before="20" w:after="20"/>
        <w:ind w:left="700"/>
      </w:pPr>
      <w:r>
        <w:rPr>
          <w:sz w:val="18"/>
        </w:rPr>
        <w:t>Explosion du résultat d'exploitation (+49%) grâce à l'optimisation des charges</w:t>
      </w:r>
    </w:p>
    <w:p>
      <w:pPr>
        <w:pStyle w:val="ListBullet"/>
        <w:spacing w:before="20" w:after="20"/>
        <w:ind w:left="700"/>
      </w:pPr>
      <w:r>
        <w:rPr>
          <w:sz w:val="18"/>
        </w:rPr>
        <w:t>Résultat financier multiplié par 96 à 1,9 milliard FCFA (dividendes de filiales)</w:t>
      </w:r>
    </w:p>
    <w:p>
      <w:pPr>
        <w:pStyle w:val="ListBullet"/>
        <w:spacing w:before="20" w:after="20"/>
        <w:ind w:left="700"/>
      </w:pPr>
      <w:r>
        <w:rPr>
          <w:sz w:val="18"/>
        </w:rPr>
        <w:t>Quasi-doublement du résultat net (+95%) à 7,3 milliards FCFA</w:t>
      </w:r>
    </w:p>
    <w:p>
      <w:pPr>
        <w:spacing w:before="40"/>
        <w:ind w:left="400"/>
      </w:pPr>
      <w:r>
        <w:rPr>
          <w:b/>
          <w:color w:val="C05000"/>
          <w:sz w:val="18"/>
        </w:rPr>
        <w:t xml:space="preserve">⚠️ Risques : </w:t>
      </w:r>
      <w:r>
        <w:rPr>
          <w:sz w:val="18"/>
        </w:rPr>
        <w:t>["Secteur du tabac soumis \u00e0 une r\u00e9glementation de plus en plus stricte", "D\u00e9pendance forte au march\u00e9 ivoirien et \u00e0 un secteur concentr\u00e9", "Comptes semestriels non audit\u00e9s par les commissaires aux comptes"]</w:t>
      </w:r>
    </w:p>
    <w:p>
      <w:pPr>
        <w:spacing w:before="40"/>
        <w:ind w:left="400"/>
      </w:pPr>
      <w:r>
        <w:rPr>
          <w:b/>
          <w:color w:val="0064A0"/>
          <w:sz w:val="18"/>
        </w:rPr>
        <w:t xml:space="preserve">🔮 Perspectives : </w:t>
      </w:r>
      <w:r>
        <w:rPr>
          <w:sz w:val="18"/>
        </w:rPr>
        <w:t>La direction se montre confiante pour la clôture 2022 sur la base des excellents résultats semestriels. La tendance de croissance soutenue des volumes et l'optimisation continue des charges laissent présager de bons résultats annuels. Le renforcement de la position de leader et l'amélioration du mix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"Soci\u00e9t\u00e9 d\u00e9fensive avec une rentabilit\u00e9 stable et une politique de dividendes attractive, id\u00e9ale pour les investisseurs recherchant des revenus r\u00e9guliers. Les fondamentaux solides et la g\u00e9n\u00e9ration de cash-flow soutiennent la valorisation actuelle."}</w:t>
      </w:r>
    </w:p>
    <w:p>
      <w:pPr>
        <w:spacing w:before="40"/>
        <w:ind w:left="400"/>
      </w:pPr>
      <w:r>
        <w:rPr>
          <w:sz w:val="18"/>
        </w:rPr>
        <w:t>SITAB (Société Ivoirienne des Tabacs) affiche une solide performance financière en 2022 avec un chiffre d'affaires de 151,2 milliards FCFA et un bénéfice net en hausse de 16% à 11,2 milliards FCFA. La société maintient une rentabilité élevée avec une marge nette de 7,4% et génère une forte capacité d'autofinancement de 11,3 milliards FCFA. Le bilan présente une structure financière saine avec des capitaux propres solides de 8,0 milliards FCFA et une trésorerie nette positive de 6,7 milliards FCFA. La société a distribué 8,6 milliards FCFA de dividendes, témoignant de sa politique de rémunération généreuse des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'14,8 milliards FCFA', 'tresorerie_nette': '6,7 milliards FCFA', 'capacite_autofinancement': '11,3 milliards FCFA', 'excedent_brut_exploitation': '12,6 milliards FCFA'}</w:t>
            </w:r>
          </w:p>
        </w:tc>
        <w:tc>
          <w:tcPr>
            <w:tcW w:type="dxa" w:w="2160"/>
          </w:tcPr>
          <w:p>
            <w:pPr>
              <w:ind w:left="100"/>
            </w:pPr>
            <w:r/>
            <w:r>
              <w:rPr>
                <w:b/>
                <w:sz w:val="16"/>
              </w:rPr>
              <w:t>dividende</w:t>
              <w:br/>
            </w:r>
            <w:r>
              <w:rPr>
                <w:sz w:val="18"/>
              </w:rPr>
              <w:t>8,6 milliards FCFA distribués</w:t>
            </w:r>
          </w:p>
        </w:tc>
        <w:tc>
          <w:tcPr>
            <w:tcW w:type="dxa" w:w="2160"/>
          </w:tcPr>
          <w:p>
            <w:pPr>
              <w:ind w:left="100"/>
            </w:pPr>
            <w:r/>
            <w:r>
              <w:rPr>
                <w:b/>
                <w:sz w:val="16"/>
              </w:rPr>
              <w:t>marge_nette</w:t>
              <w:br/>
            </w:r>
            <w:r>
              <w:rPr>
                <w:sz w:val="18"/>
              </w:rPr>
              <w:t>7,4%</w:t>
            </w:r>
          </w:p>
        </w:tc>
        <w:tc>
          <w:tcPr>
            <w:tcW w:type="dxa" w:w="2160"/>
          </w:tcPr>
          <w:p>
            <w:pPr>
              <w:ind w:left="100"/>
            </w:pPr>
            <w:r/>
            <w:r>
              <w:rPr>
                <w:b/>
                <w:sz w:val="16"/>
              </w:rPr>
              <w:t>total_actif</w:t>
              <w:br/>
            </w:r>
            <w:r>
              <w:rPr>
                <w:sz w:val="18"/>
              </w:rPr>
              <w:t>27,3 milliards FCFA</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8,0 milliards FCFA</w:t>
            </w:r>
          </w:p>
        </w:tc>
        <w:tc>
          <w:tcPr>
            <w:tcW w:type="dxa" w:w="2160"/>
          </w:tcPr>
          <w:p>
            <w:r/>
            <w:r>
              <w:rPr>
                <w:b/>
                <w:sz w:val="16"/>
              </w:rPr>
              <w:t>chiffre_affaires</w:t>
              <w:br/>
            </w:r>
            <w:r>
              <w:rPr>
                <w:sz w:val="18"/>
              </w:rPr>
              <w:t>151,2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151,2 milliards FCFA en 2022</w:t>
      </w:r>
    </w:p>
    <w:p>
      <w:pPr>
        <w:pStyle w:val="ListBullet"/>
        <w:spacing w:before="20" w:after="20"/>
        <w:ind w:left="700"/>
      </w:pPr>
      <w:r>
        <w:rPr>
          <w:sz w:val="18"/>
        </w:rPr>
        <w:t>Progression du bénéfice net de 16,1% à 11,2 milliards FCFA</w:t>
      </w:r>
    </w:p>
    <w:p>
      <w:pPr>
        <w:pStyle w:val="ListBullet"/>
        <w:spacing w:before="20" w:after="20"/>
        <w:ind w:left="700"/>
      </w:pPr>
      <w:r>
        <w:rPr>
          <w:sz w:val="18"/>
        </w:rPr>
        <w:t>Marge nette solide de 7,4% confirmant l'efficacité opérationnelle</w:t>
      </w:r>
    </w:p>
    <w:p>
      <w:pPr>
        <w:pStyle w:val="ListBullet"/>
        <w:spacing w:before="20" w:after="20"/>
        <w:ind w:left="700"/>
      </w:pPr>
      <w:r>
        <w:rPr>
          <w:sz w:val="18"/>
        </w:rPr>
        <w:t>Distribution de dividendes de 8,6 milliards FCFA maintenue au niveau élevé</w:t>
      </w:r>
    </w:p>
    <w:p>
      <w:pPr>
        <w:pStyle w:val="ListBullet"/>
        <w:spacing w:before="20" w:after="20"/>
        <w:ind w:left="700"/>
      </w:pPr>
      <w:r>
        <w:rPr>
          <w:sz w:val="18"/>
        </w:rPr>
        <w:t>Forte capacité d'autofinancement de 11,3 milliards FCFA (+13,4%)</w:t>
      </w:r>
    </w:p>
    <w:p>
      <w:pPr>
        <w:pStyle w:val="ListBullet"/>
        <w:spacing w:before="20" w:after="20"/>
        <w:ind w:left="700"/>
      </w:pPr>
      <w:r>
        <w:rPr>
          <w:sz w:val="18"/>
        </w:rPr>
        <w:t>Réduction significative du BFR de 3,8 milliards FCFA améliorant la trésorerie</w:t>
      </w:r>
    </w:p>
    <w:p>
      <w:pPr>
        <w:spacing w:before="40"/>
        <w:ind w:left="400"/>
      </w:pPr>
      <w:r>
        <w:rPr>
          <w:b/>
          <w:color w:val="C05000"/>
          <w:sz w:val="18"/>
        </w:rPr>
        <w:t xml:space="preserve">⚠️ Risques : </w:t>
      </w:r>
      <w:r>
        <w:rPr>
          <w:sz w:val="18"/>
        </w:rPr>
        <w:t>["Exposition aux r\u00e9glementations sanitaires et fiscales croissantes sur le secteur du tabac", "D\u00e9pendance aux importations de mati\u00e8res premi\u00e8res soumises aux fluctuations de change", "\u00c9volution d\u00e9favorable des habitudes de consommation et sensibilisation aux risques san</w:t>
      </w:r>
    </w:p>
    <w:p>
      <w:pPr>
        <w:spacing w:before="40"/>
        <w:ind w:left="400"/>
      </w:pPr>
      <w:r>
        <w:rPr>
          <w:b/>
          <w:color w:val="0064A0"/>
          <w:sz w:val="18"/>
        </w:rPr>
        <w:t xml:space="preserve">🔮 Perspectives : </w:t>
      </w:r>
      <w:r>
        <w:rPr>
          <w:sz w:val="18"/>
        </w:rPr>
        <w:t>SITAB devrait maintenir sa performance solide en 2023 grâce à son positionnement dominant sur le marché ivoirien et sa capacité à répercuter les hausses de coûts. La société pourrait continuer sa politique de dividendes généreuse tout en préservant ses marges opérationnelles élevées.</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187.31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9,606 titres</w:t>
            </w:r>
          </w:p>
        </w:tc>
        <w:tc>
          <w:tcPr>
            <w:tcW w:type="dxa" w:w="2268"/>
            <w:shd w:fill="FFF2CC" w:val="clear"/>
          </w:tcPr>
          <w:p>
            <w:r>
              <w:rPr>
                <w:b/>
                <w:color w:val="503200"/>
                <w:sz w:val="16"/>
              </w:rPr>
              <w:t xml:space="preserve">Cours actuel : </w:t>
            </w:r>
            <w:r>
              <w:rPr>
                <w:color w:val="000000"/>
                <w:sz w:val="17"/>
              </w:rPr>
              <w:t>2,975 FCFA</w:t>
            </w:r>
          </w:p>
          <w:p>
            <w:r>
              <w:rPr>
                <w:b/>
                <w:color w:val="503200"/>
                <w:sz w:val="16"/>
              </w:rPr>
              <w:t xml:space="preserve">Var. 100 jours : </w:t>
            </w:r>
            <w:r>
              <w:rPr>
                <w:b/>
                <w:color w:val="B40000"/>
                <w:sz w:val="17"/>
              </w:rPr>
              <w:t>-5.85%</w:t>
            </w:r>
          </w:p>
          <w:p>
            <w:r>
              <w:rPr>
                <w:b/>
                <w:color w:val="503200"/>
                <w:sz w:val="16"/>
              </w:rPr>
              <w:t xml:space="preserve">Plus haut 100j : </w:t>
            </w:r>
            <w:r>
              <w:rPr>
                <w:color w:val="000000"/>
                <w:sz w:val="17"/>
              </w:rPr>
              <w:t>3,160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3.38% (Faible) — μ=2,849 FCFA, σ=96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β=-0.0298 (Contre-cyclique) — Cov=-0.000001, Var(idx)=0.000036, ρ=-0.007,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9,606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2026-08-03</w:t>
            </w:r>
          </w:p>
        </w:tc>
        <w:tc>
          <w:tcPr>
            <w:tcW w:type="dxa" w:w="1440"/>
            <w:shd w:fill="FAFAFA" w:val="clear"/>
          </w:tcPr>
          <w:p>
            <w:r>
              <w:rPr>
                <w:sz w:val="17"/>
              </w:rPr>
              <w:t>2,799</w:t>
            </w:r>
          </w:p>
        </w:tc>
        <w:tc>
          <w:tcPr>
            <w:tcW w:type="dxa" w:w="1440"/>
            <w:shd w:fill="FAFAFA" w:val="clear"/>
          </w:tcPr>
          <w:p>
            <w:r>
              <w:rPr>
                <w:b/>
                <w:sz w:val="17"/>
              </w:rPr>
              <w:t>2,946</w:t>
            </w:r>
          </w:p>
        </w:tc>
        <w:tc>
          <w:tcPr>
            <w:tcW w:type="dxa" w:w="1440"/>
            <w:shd w:fill="FAFAFA" w:val="clear"/>
          </w:tcPr>
          <w:p>
            <w:r>
              <w:rPr>
                <w:sz w:val="17"/>
              </w:rPr>
              <w:t>3,092</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2026-08-04</w:t>
            </w:r>
          </w:p>
        </w:tc>
        <w:tc>
          <w:tcPr>
            <w:tcW w:type="dxa" w:w="1440"/>
            <w:shd w:fill="FAFAFA" w:val="clear"/>
          </w:tcPr>
          <w:p>
            <w:r>
              <w:rPr>
                <w:sz w:val="17"/>
              </w:rPr>
              <w:t>2,742</w:t>
            </w:r>
          </w:p>
        </w:tc>
        <w:tc>
          <w:tcPr>
            <w:tcW w:type="dxa" w:w="1440"/>
            <w:shd w:fill="FAFAFA" w:val="clear"/>
          </w:tcPr>
          <w:p>
            <w:r>
              <w:rPr>
                <w:b/>
                <w:sz w:val="17"/>
              </w:rPr>
              <w:t>2,949</w:t>
            </w:r>
          </w:p>
        </w:tc>
        <w:tc>
          <w:tcPr>
            <w:tcW w:type="dxa" w:w="1440"/>
            <w:shd w:fill="FAFAFA" w:val="clear"/>
          </w:tcPr>
          <w:p>
            <w:r>
              <w:rPr>
                <w:sz w:val="17"/>
              </w:rPr>
              <w:t>3,156</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2026-08-05</w:t>
            </w:r>
          </w:p>
        </w:tc>
        <w:tc>
          <w:tcPr>
            <w:tcW w:type="dxa" w:w="1440"/>
            <w:shd w:fill="FAFAFA" w:val="clear"/>
          </w:tcPr>
          <w:p>
            <w:r>
              <w:rPr>
                <w:sz w:val="17"/>
              </w:rPr>
              <w:t>2,688</w:t>
            </w:r>
          </w:p>
        </w:tc>
        <w:tc>
          <w:tcPr>
            <w:tcW w:type="dxa" w:w="1440"/>
            <w:shd w:fill="FAFAFA" w:val="clear"/>
          </w:tcPr>
          <w:p>
            <w:r>
              <w:rPr>
                <w:b/>
                <w:sz w:val="17"/>
              </w:rPr>
              <w:t>2,940</w:t>
            </w:r>
          </w:p>
        </w:tc>
        <w:tc>
          <w:tcPr>
            <w:tcW w:type="dxa" w:w="1440"/>
            <w:shd w:fill="FAFAFA" w:val="clear"/>
          </w:tcPr>
          <w:p>
            <w:r>
              <w:rPr>
                <w:sz w:val="17"/>
              </w:rPr>
              <w:t>3,193</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2026-08-06</w:t>
            </w:r>
          </w:p>
        </w:tc>
        <w:tc>
          <w:tcPr>
            <w:tcW w:type="dxa" w:w="1440"/>
            <w:shd w:fill="FAFAFA" w:val="clear"/>
          </w:tcPr>
          <w:p>
            <w:r>
              <w:rPr>
                <w:sz w:val="17"/>
              </w:rPr>
              <w:t>2,642</w:t>
            </w:r>
          </w:p>
        </w:tc>
        <w:tc>
          <w:tcPr>
            <w:tcW w:type="dxa" w:w="1440"/>
            <w:shd w:fill="FAFAFA" w:val="clear"/>
          </w:tcPr>
          <w:p>
            <w:r>
              <w:rPr>
                <w:b/>
                <w:sz w:val="17"/>
              </w:rPr>
              <w:t>2,933</w:t>
            </w:r>
          </w:p>
        </w:tc>
        <w:tc>
          <w:tcPr>
            <w:tcW w:type="dxa" w:w="1440"/>
            <w:shd w:fill="FAFAFA" w:val="clear"/>
          </w:tcPr>
          <w:p>
            <w:r>
              <w:rPr>
                <w:sz w:val="17"/>
              </w:rPr>
              <w:t>3,224</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2026-08-10</w:t>
            </w:r>
          </w:p>
        </w:tc>
        <w:tc>
          <w:tcPr>
            <w:tcW w:type="dxa" w:w="1440"/>
            <w:shd w:fill="FAFAFA" w:val="clear"/>
          </w:tcPr>
          <w:p>
            <w:r>
              <w:rPr>
                <w:sz w:val="17"/>
              </w:rPr>
              <w:t>2,602</w:t>
            </w:r>
          </w:p>
        </w:tc>
        <w:tc>
          <w:tcPr>
            <w:tcW w:type="dxa" w:w="1440"/>
            <w:shd w:fill="FAFAFA" w:val="clear"/>
          </w:tcPr>
          <w:p>
            <w:r>
              <w:rPr>
                <w:b/>
                <w:sz w:val="17"/>
              </w:rPr>
              <w:t>2,927</w:t>
            </w:r>
          </w:p>
        </w:tc>
        <w:tc>
          <w:tcPr>
            <w:tcW w:type="dxa" w:w="1440"/>
            <w:shd w:fill="FAFAFA" w:val="clear"/>
          </w:tcPr>
          <w:p>
            <w:r>
              <w:rPr>
                <w:sz w:val="17"/>
              </w:rPr>
              <w:t>3,252</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2026-08-11</w:t>
            </w:r>
          </w:p>
        </w:tc>
        <w:tc>
          <w:tcPr>
            <w:tcW w:type="dxa" w:w="1440"/>
            <w:shd w:fill="FAFAFA" w:val="clear"/>
          </w:tcPr>
          <w:p>
            <w:r>
              <w:rPr>
                <w:sz w:val="17"/>
              </w:rPr>
              <w:t>2,566</w:t>
            </w:r>
          </w:p>
        </w:tc>
        <w:tc>
          <w:tcPr>
            <w:tcW w:type="dxa" w:w="1440"/>
            <w:shd w:fill="FAFAFA" w:val="clear"/>
          </w:tcPr>
          <w:p>
            <w:r>
              <w:rPr>
                <w:b/>
                <w:sz w:val="17"/>
              </w:rPr>
              <w:t>2,921</w:t>
            </w:r>
          </w:p>
        </w:tc>
        <w:tc>
          <w:tcPr>
            <w:tcW w:type="dxa" w:w="1440"/>
            <w:shd w:fill="FAFAFA" w:val="clear"/>
          </w:tcPr>
          <w:p>
            <w:r>
              <w:rPr>
                <w:sz w:val="17"/>
              </w:rPr>
              <w:t>3,276</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2026-08-12</w:t>
            </w:r>
          </w:p>
        </w:tc>
        <w:tc>
          <w:tcPr>
            <w:tcW w:type="dxa" w:w="1440"/>
            <w:shd w:fill="FAFAFA" w:val="clear"/>
          </w:tcPr>
          <w:p>
            <w:r>
              <w:rPr>
                <w:sz w:val="17"/>
              </w:rPr>
              <w:t>2,533</w:t>
            </w:r>
          </w:p>
        </w:tc>
        <w:tc>
          <w:tcPr>
            <w:tcW w:type="dxa" w:w="1440"/>
            <w:shd w:fill="FAFAFA" w:val="clear"/>
          </w:tcPr>
          <w:p>
            <w:r>
              <w:rPr>
                <w:b/>
                <w:sz w:val="17"/>
              </w:rPr>
              <w:t>2,916</w:t>
            </w:r>
          </w:p>
        </w:tc>
        <w:tc>
          <w:tcPr>
            <w:tcW w:type="dxa" w:w="1440"/>
            <w:shd w:fill="FAFAFA" w:val="clear"/>
          </w:tcPr>
          <w:p>
            <w:r>
              <w:rPr>
                <w:sz w:val="17"/>
              </w:rPr>
              <w:t>3,299</w:t>
            </w:r>
          </w:p>
        </w:tc>
        <w:tc>
          <w:tcPr>
            <w:tcW w:type="dxa" w:w="1440"/>
            <w:shd w:fill="FAFAFA"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2,502</w:t>
            </w:r>
          </w:p>
        </w:tc>
        <w:tc>
          <w:tcPr>
            <w:tcW w:type="dxa" w:w="1440"/>
            <w:shd w:fill="FFDCE0" w:val="clear"/>
          </w:tcPr>
          <w:p>
            <w:r>
              <w:rPr>
                <w:b/>
                <w:sz w:val="17"/>
              </w:rPr>
              <w:t>2,910</w:t>
            </w:r>
          </w:p>
        </w:tc>
        <w:tc>
          <w:tcPr>
            <w:tcW w:type="dxa" w:w="1440"/>
            <w:shd w:fill="FFDCE0" w:val="clear"/>
          </w:tcPr>
          <w:p>
            <w:r>
              <w:rPr>
                <w:sz w:val="17"/>
              </w:rPr>
              <w:t>3,319</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2,473</w:t>
            </w:r>
          </w:p>
        </w:tc>
        <w:tc>
          <w:tcPr>
            <w:tcW w:type="dxa" w:w="1440"/>
            <w:shd w:fill="FFDCE0" w:val="clear"/>
          </w:tcPr>
          <w:p>
            <w:r>
              <w:rPr>
                <w:b/>
                <w:sz w:val="17"/>
              </w:rPr>
              <w:t>2,905</w:t>
            </w:r>
          </w:p>
        </w:tc>
        <w:tc>
          <w:tcPr>
            <w:tcW w:type="dxa" w:w="1440"/>
            <w:shd w:fill="FFDCE0" w:val="clear"/>
          </w:tcPr>
          <w:p>
            <w:r>
              <w:rPr>
                <w:sz w:val="17"/>
              </w:rPr>
              <w:t>3,338</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2,445</w:t>
            </w:r>
          </w:p>
        </w:tc>
        <w:tc>
          <w:tcPr>
            <w:tcW w:type="dxa" w:w="1440"/>
            <w:shd w:fill="FFDCE0" w:val="clear"/>
          </w:tcPr>
          <w:p>
            <w:r>
              <w:rPr>
                <w:b/>
                <w:sz w:val="17"/>
              </w:rPr>
              <w:t>2,900</w:t>
            </w:r>
          </w:p>
        </w:tc>
        <w:tc>
          <w:tcPr>
            <w:tcW w:type="dxa" w:w="1440"/>
            <w:shd w:fill="FFDCE0" w:val="clear"/>
          </w:tcPr>
          <w:p>
            <w:r>
              <w:rPr>
                <w:sz w:val="17"/>
              </w:rPr>
              <w:t>3,355</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31 juillet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187,31 milliards FCFA, TTLC se positionne comme une valeur de premier plan sur la BRVM, reflétant la confiance des investisseurs dans le secteur énergétique ivoirien. Le BPA de 144 FCFA indique que chaque action génère un bénéfice net de ce montant, mais le PER de 20,6x est nettement supérieur à la moyenne historique de la BRVM (8-12x), signalant que le marché intègre des attentes de croissance élevées ou une prime de qualité. Le P/B de 5,17x confirme cette valorisation exigeante, le marché payant plus de cinq fois la valeur comptable des actifs. Enfin, l'EV/EBITDA de 10,8x, bien que dans une fourchette standard, souligne que la valeur totale de l'entreprise (dette incluse) reste élevée par rapport à sa capacité opérationnelle, ce qui impose une performance soutenue pour justifier ces niveaux.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affiche une variation totale de -5,85%, mais a connu un rebond spectaculaire de +7,40% lors de la dernière séance, clôturant à 2 975 FCFA. Le cours a évolué dans un range de 2 650 à 3 160 FCFA, démontrant une amplitude de trading significative. La moyenne (2 849 FCFA) et la médiane (2 855 FCFA) sont très proches, et le skewness de 0,116 confirme une distribution quasi symétrique, indiquant une absence de biais directionnel marqué. L'écart-type de 97 FCFA (CV=3,4%) révèle une dispersion très faible autour de la moyenne, et le kurtosis de 0,064 (mésokurtique) suggère une distribution normale sans risque de pics extrêmes. Cependant, la volatilité annualisée de 40,3% est élevée (&gt;30%), ce qui contraste avec la stabilité récente et signale un potentiel de mouvements brusques à moyen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(2 975 FCFA) se situe au-dessus de la MM20 (2 920,75 FCFA) et de la MM50 (2 889,6 FCFA), avec un écart positif de 1,9% et 2,9% respectivement. Cette configuration haussière, où le prix est soutenu par les moyennes, justifie la décision d'**Achat**, indiquant une dynamique positive à court et moyen terme.</w:t>
      </w:r>
    </w:p>
    <w:p>
      <w:pPr>
        <w:spacing w:after="120" w:line="276" w:lineRule="auto"/>
      </w:pPr>
      <w:r>
        <w:t>**Bandes de Bollinger :** Le prix (2 975 FCFA) se positionne dans la partie supérieure de l'enveloppe, entre la borne inférieure (2 776,59 FCFA) et la borne supérieure (3 064,91 FCFA). Cette position médiane-haute suggère une volatilité modérée sans condition de surachat extrême, justifiant la décision **Neutre**. Le rebond récent de +7,4% pourrait pousser le prix vers la borne supérieure dans les prochaines séances.</w:t>
      </w:r>
    </w:p>
    <w:p>
      <w:pPr>
        <w:spacing w:after="120" w:line="276" w:lineRule="auto"/>
      </w:pPr>
      <w:r>
        <w:t>**MACD :** La valeur du MACD (17,119) est inférieure à son signal (19,582), formant un croisement baissier. Cette configuration indique un affaiblissement du momentum haussier, malgré des valeurs positives. La décision de **Vente** suggère que la dynamique de court terme pourrait s'essouffler, bien que le rebond récent puisse inverser cette tendance.</w:t>
      </w:r>
    </w:p>
    <w:p>
      <w:pPr>
        <w:spacing w:after="120" w:line="276" w:lineRule="auto"/>
      </w:pPr>
      <w:r>
        <w:t>**RSI :** À 49,162, le RSI se situe exactement dans la zone neutre (30-70), indiquant un équilibre entre pressions acheteuses et vendeuses. Cette valeur ne montre ni surachat ni survente, justifiant la décision **Neutre**. Le titre dispose d'une marge de manœuvre dans les deux sens.</w:t>
      </w:r>
    </w:p>
    <w:p>
      <w:pPr>
        <w:spacing w:after="120" w:line="276" w:lineRule="auto"/>
      </w:pPr>
      <w:r>
        <w:t>**Stochastique :** Le %K (89,13) est nettement supérieur au %D (61,377), mais se trouve en zone de surachat (&gt;80). Cette configuration, avec un écart important, signale un possible retournement baissier imminent, justifiant la décision de **Vente**. Le croisement potentiel de ces lignes serait un signal de prudence.</w:t>
      </w:r>
    </w:p>
    <w:p>
      <w:pPr>
        <w:spacing w:after="120" w:line="276" w:lineRule="auto"/>
      </w:pPr>
      <w:r>
        <w:t>**Conclusion technique :** Les indicateurs sont mitigés : les moyennes mobiles soutiennent une tendance haussière, mais le MACD et le Stochastique, en zone de surachat, suggèrent un essoufflement à court terme. Le RSI neutre et les bandes de Bollinger offrent une lecture équilibrée. Globalement, le titre est dans une phase de consolidation après un rebond, avec un biais haussier à moyen terme mais un risque de correction technique immédiate.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TTLC (entreprise non bancaire) montrent un chiffre d'affaires de 588,709 milliards FCFA, en baisse de -5,2% par rapport à 2024 (621,0 milliards FCFA). Le résultat net s'établit à 9,087 milliards FCFA, contre 9,374 milliards en 2024, soit une légère contraction de -3%. Malgré ce repli, la rentabilité reste robuste avec un ROE de 25,1% (excellent, &gt;15%) et un ROA de 4,8%. La marge nette s'améliore légèrement à 1,54% (contre 1,51% en 2024), et l'EBE progresse de +12% à 22,347 milliards FCFA, démontrant une bonne maîtrise opérationnelle. Le BFR est négatif (-9,662 milliards FCFA), ce qui est favorable pour la trésorerie, mais la trésorerie nette est fortement négative (-21,926 milliards FCFA), et le ratio d'endettement atteint 90,2%, signalant une dépendance accrue aux financements. Les rapports trimestriels 2025 (S1 et 9 mois) confirment la tendance baissière, avec un résultat net en recul de -25,5% au S1 et -30,2% à fin septembre, principalement dû à un effet de base défavorable et à une hausse de la charge fiscale. Cependant, le rapport T1 2026 (publié en 2026) montre une reprise : le CA progresse de +4,3% à 154,392 milliards FCFA et le résultat net de +5,5% à 2,329 milliards FCFA, porté par une augmentation des volumes vendus. Sur cette base, on estime que l'exercice 2026 pourrait renouer avec une croissance modérée, mais la pression sur la trésorerie et l'endettement élevé restent des points de vigilance majeurs.</w:t>
      </w:r>
    </w:p>
    <w:p>
      <w:pPr>
        <w:spacing w:after="120" w:line="276" w:lineRule="auto"/>
      </w:pPr>
      <w:r>
        <w:t>---</w:t>
      </w:r>
    </w:p>
    <w:p>
      <w:pPr>
        <w:spacing w:after="120" w:line="276" w:lineRule="auto"/>
      </w:pPr>
      <w:r>
        <w:t>### PARTIE 4 : CONCLUSION D'INVESTISSEMENT</w:t>
      </w:r>
    </w:p>
    <w:p>
      <w:pPr>
        <w:spacing w:after="120" w:line="276" w:lineRule="auto"/>
      </w:pPr>
      <w:r>
        <w:t>La valorisation de TTLC (PER 20,6x, P/B 5,17x) est exigeante, indiquant une surévaluation relative par rapport aux bénéfices et aux actifs, malgré une capitalisation solide. Le comportement du cours sur 100 jours montre une légère baisse (-5,85%) avec une volatilité annualisée élevée (40,3%), mais une distribution symétrique et stable (kurtosis faible), suggérant un risque de pics limité. Les signaux techniques sont mitigés : les moyennes mobiles sont haussières, mais le MACD et le Stochastique (en surachat) signalent un possible repli à court terme, tandis que le RSI reste neutre. Fondamentalement, la société affiche une rentabilité excellente (ROE 25,1%) mais une dégradation de sa trésorerie et un endettement élevé, avec une reprise timide au T1 2026. Les prédictions IA (2 946 à 2 927 FCFA sur 10 jours) confirment un léger repli technique, en ligne avec les signaux de surachat. En synthèse, la convergence entre la valorisation élevée, les signaux techniques mitigés et les fondamentaux contrastés (bonne rentabilité mais risques financiers) conduit à une recommandation **CONSERVER**. Le niveau de confiance est **Moyen**, avec un risque global **Élevé** en raison de la volatilité et de l'endettement. L'horizon d'investissement optimal est le **moyen terme (3-12 mois)**, en attendant une clarification de la stratégie de réduction de la dette et une confirmation de la reprise des volumes.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croissance solide du CA et des b\u00e9n\u00e9fices malgr\u00e9 un contexte difficile. Cependant, l'exposition aux variations des cours p\u00e9troliers et l'environnement g\u00e9opolitique incertain justifient une prudence."}</w:t>
      </w:r>
    </w:p>
    <w:p>
      <w:pPr>
        <w:spacing w:before="40"/>
        <w:ind w:left="400"/>
      </w:pPr>
      <w:r>
        <w:rPr>
          <w:sz w:val="18"/>
        </w:rPr>
        <w:t>TotalEnergies Marketing Côte d'Ivoire affiche une performance solide au 3ème trimestre 2022 avec un chiffre d'affaires en hausse de 14,4% à 419,384 milliards FCFA. Le résultat net progresse de 5,9% à 9,149 milliards FCFA malgré un environnement économique tendu lié à la guerre en Ukraine. La hausse des prix des produits pétroliers a soutenu les revenus tandis que la bonne performance commerciale a compensé la réduction des ventes spots. L'évolution des cours mondiaux du pétrole a eu un impact mitigé avec un effet favorable sur le premier semestre et défavorable sur le troisième trimestre. La société démontre une résilience remarquable dans un contexte géopolitique et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'14,4%', 'capital_social': '3,148 milliards FCFA', 'croissance_resultat_net': '5,9%', 'resultat_activites_ordinaires': '11,971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9,149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419,384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14,4% à 419,384 milliards FCFA</w:t>
      </w:r>
    </w:p>
    <w:p>
      <w:pPr>
        <w:pStyle w:val="ListBullet"/>
        <w:spacing w:before="20" w:after="20"/>
        <w:ind w:left="700"/>
      </w:pPr>
      <w:r>
        <w:rPr>
          <w:sz w:val="18"/>
        </w:rPr>
        <w:t>Résultat net en progression de 5,9% à 9,149 milliards FCFA</w:t>
      </w:r>
    </w:p>
    <w:p>
      <w:pPr>
        <w:pStyle w:val="ListBullet"/>
        <w:spacing w:before="20" w:after="20"/>
        <w:ind w:left="700"/>
      </w:pPr>
      <w:r>
        <w:rPr>
          <w:sz w:val="18"/>
        </w:rPr>
        <w:t>Hausse des prix des produits pétroliers favorisant la croissance du CA</w:t>
      </w:r>
    </w:p>
    <w:p>
      <w:pPr>
        <w:pStyle w:val="ListBullet"/>
        <w:spacing w:before="20" w:after="20"/>
        <w:ind w:left="700"/>
      </w:pPr>
      <w:r>
        <w:rPr>
          <w:sz w:val="18"/>
        </w:rPr>
        <w:t>Bonne performance commerciale malgré la réduction des ventes spots</w:t>
      </w:r>
    </w:p>
    <w:p>
      <w:pPr>
        <w:pStyle w:val="ListBullet"/>
        <w:spacing w:before="20" w:after="20"/>
        <w:ind w:left="700"/>
      </w:pPr>
      <w:r>
        <w:rPr>
          <w:sz w:val="18"/>
        </w:rPr>
        <w:t>Impact négatif de la guerre en Ukraine sur l'environnement économique</w:t>
      </w:r>
    </w:p>
    <w:p>
      <w:pPr>
        <w:pStyle w:val="ListBullet"/>
        <w:spacing w:before="20" w:after="20"/>
        <w:ind w:left="700"/>
      </w:pPr>
      <w:r>
        <w:rPr>
          <w:sz w:val="18"/>
        </w:rPr>
        <w:t>Effet défavorable des cours pétroliers mondiaux sur le 3ème trimestre</w:t>
      </w:r>
    </w:p>
    <w:p>
      <w:pPr>
        <w:spacing w:before="40"/>
        <w:ind w:left="400"/>
      </w:pPr>
      <w:r>
        <w:rPr>
          <w:b/>
          <w:color w:val="C05000"/>
          <w:sz w:val="18"/>
        </w:rPr>
        <w:t xml:space="preserve">⚠️ Risques : </w:t>
      </w:r>
      <w:r>
        <w:rPr>
          <w:sz w:val="18"/>
        </w:rPr>
        <w:t>["Volatilit\u00e9 des cours mondiaux du p\u00e9trole impactant directement les r\u00e9sultats", "Environnement \u00e9conomique tendu li\u00e9 aux cons\u00e9quences de la guerre en Ukraine", "D\u00e9pendance aux prix des produits p\u00e9troliers pour la croissance du chiffre d'affaires"]</w:t>
      </w:r>
    </w:p>
    <w:p>
      <w:pPr>
        <w:spacing w:before="40"/>
        <w:ind w:left="400"/>
      </w:pPr>
      <w:r>
        <w:rPr>
          <w:b/>
          <w:color w:val="0064A0"/>
          <w:sz w:val="18"/>
        </w:rPr>
        <w:t xml:space="preserve">🔮 Perspectives : </w:t>
      </w:r>
      <w:r>
        <w:rPr>
          <w:sz w:val="18"/>
        </w:rPr>
        <w:t>Les perspectives dépendront largement de l'évolution des cours pétroliers et de la stabilisation de l'environnement géopolitique mondial. La capacité de la société à maintenir sa performance commerciale et à gérer l'impact des fluctuations des prix sera déterminante pour 2023.</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119.07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2,946 titres</w:t>
            </w:r>
          </w:p>
        </w:tc>
        <w:tc>
          <w:tcPr>
            <w:tcW w:type="dxa" w:w="2268"/>
            <w:shd w:fill="FFF2CC" w:val="clear"/>
          </w:tcPr>
          <w:p>
            <w:r>
              <w:rPr>
                <w:b/>
                <w:color w:val="503200"/>
                <w:sz w:val="16"/>
              </w:rPr>
              <w:t xml:space="preserve">Cours actuel : </w:t>
            </w:r>
            <w:r>
              <w:rPr>
                <w:color w:val="000000"/>
                <w:sz w:val="17"/>
              </w:rPr>
              <w:t>3,655 FCFA</w:t>
            </w:r>
          </w:p>
          <w:p>
            <w:r>
              <w:rPr>
                <w:b/>
                <w:color w:val="503200"/>
                <w:sz w:val="16"/>
              </w:rPr>
              <w:t xml:space="preserve">Var. 100 jours : </w:t>
            </w:r>
            <w:r>
              <w:rPr>
                <w:b/>
                <w:color w:val="007800"/>
                <w:sz w:val="17"/>
              </w:rPr>
              <w:t>+6.25%</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10.78% (Moyenne) — μ=3,423 FCFA, σ=369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β=1.3362 (Agressif) — Cov=0.000048, Var(idx)=0.000036, ρ=0.256,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2,946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2026-08-03</w:t>
            </w:r>
          </w:p>
        </w:tc>
        <w:tc>
          <w:tcPr>
            <w:tcW w:type="dxa" w:w="1440"/>
            <w:shd w:fill="FFDCE0" w:val="clear"/>
          </w:tcPr>
          <w:p>
            <w:r>
              <w:rPr>
                <w:sz w:val="17"/>
              </w:rPr>
              <w:t>3,338</w:t>
            </w:r>
          </w:p>
        </w:tc>
        <w:tc>
          <w:tcPr>
            <w:tcW w:type="dxa" w:w="1440"/>
            <w:shd w:fill="FFDCE0" w:val="clear"/>
          </w:tcPr>
          <w:p>
            <w:r>
              <w:rPr>
                <w:b/>
                <w:sz w:val="17"/>
              </w:rPr>
              <w:t>3,542</w:t>
            </w:r>
          </w:p>
        </w:tc>
        <w:tc>
          <w:tcPr>
            <w:tcW w:type="dxa" w:w="1440"/>
            <w:shd w:fill="FFDCE0" w:val="clear"/>
          </w:tcPr>
          <w:p>
            <w:r>
              <w:rPr>
                <w:sz w:val="17"/>
              </w:rPr>
              <w:t>3,747</w:t>
            </w:r>
          </w:p>
        </w:tc>
        <w:tc>
          <w:tcPr>
            <w:tcW w:type="dxa" w:w="1440"/>
            <w:shd w:fill="FFDCE0" w:val="clear"/>
          </w:tcPr>
          <w:p>
            <w:r>
              <w:rPr>
                <w:b/>
                <w:color w:val="C00000"/>
                <w:sz w:val="17"/>
              </w:rPr>
              <w:t>-3.1%</w:t>
            </w:r>
          </w:p>
        </w:tc>
      </w:tr>
      <w:tr>
        <w:tc>
          <w:tcPr>
            <w:tcW w:type="dxa" w:w="1440"/>
            <w:shd w:fill="FFDCE0" w:val="clear"/>
          </w:tcPr>
          <w:p>
            <w:r>
              <w:rPr>
                <w:sz w:val="17"/>
              </w:rPr>
              <w:t>J+2  ⭐</w:t>
            </w:r>
          </w:p>
        </w:tc>
        <w:tc>
          <w:tcPr>
            <w:tcW w:type="dxa" w:w="1440"/>
            <w:shd w:fill="FFDCE0" w:val="clear"/>
          </w:tcPr>
          <w:p>
            <w:r>
              <w:rPr>
                <w:sz w:val="17"/>
              </w:rPr>
              <w:t>2026-08-04</w:t>
            </w:r>
          </w:p>
        </w:tc>
        <w:tc>
          <w:tcPr>
            <w:tcW w:type="dxa" w:w="1440"/>
            <w:shd w:fill="FFDCE0" w:val="clear"/>
          </w:tcPr>
          <w:p>
            <w:r>
              <w:rPr>
                <w:sz w:val="17"/>
              </w:rPr>
              <w:t>3,204</w:t>
            </w:r>
          </w:p>
        </w:tc>
        <w:tc>
          <w:tcPr>
            <w:tcW w:type="dxa" w:w="1440"/>
            <w:shd w:fill="FFDCE0" w:val="clear"/>
          </w:tcPr>
          <w:p>
            <w:r>
              <w:rPr>
                <w:b/>
                <w:sz w:val="17"/>
              </w:rPr>
              <w:t>3,489</w:t>
            </w:r>
          </w:p>
        </w:tc>
        <w:tc>
          <w:tcPr>
            <w:tcW w:type="dxa" w:w="1440"/>
            <w:shd w:fill="FFDCE0" w:val="clear"/>
          </w:tcPr>
          <w:p>
            <w:r>
              <w:rPr>
                <w:sz w:val="17"/>
              </w:rPr>
              <w:t>3,773</w:t>
            </w:r>
          </w:p>
        </w:tc>
        <w:tc>
          <w:tcPr>
            <w:tcW w:type="dxa" w:w="1440"/>
            <w:shd w:fill="FFDCE0" w:val="clear"/>
          </w:tcPr>
          <w:p>
            <w:r>
              <w:rPr>
                <w:b/>
                <w:color w:val="C00000"/>
                <w:sz w:val="17"/>
              </w:rPr>
              <w:t>-4.6%</w:t>
            </w:r>
          </w:p>
        </w:tc>
      </w:tr>
      <w:tr>
        <w:tc>
          <w:tcPr>
            <w:tcW w:type="dxa" w:w="1440"/>
            <w:shd w:fill="FFDCE0" w:val="clear"/>
          </w:tcPr>
          <w:p>
            <w:r>
              <w:rPr>
                <w:sz w:val="17"/>
              </w:rPr>
              <w:t>J+3  ⭐</w:t>
            </w:r>
          </w:p>
        </w:tc>
        <w:tc>
          <w:tcPr>
            <w:tcW w:type="dxa" w:w="1440"/>
            <w:shd w:fill="FFDCE0" w:val="clear"/>
          </w:tcPr>
          <w:p>
            <w:r>
              <w:rPr>
                <w:sz w:val="17"/>
              </w:rPr>
              <w:t>2026-08-05</w:t>
            </w:r>
          </w:p>
        </w:tc>
        <w:tc>
          <w:tcPr>
            <w:tcW w:type="dxa" w:w="1440"/>
            <w:shd w:fill="FFDCE0" w:val="clear"/>
          </w:tcPr>
          <w:p>
            <w:r>
              <w:rPr>
                <w:sz w:val="17"/>
              </w:rPr>
              <w:t>3,098</w:t>
            </w:r>
          </w:p>
        </w:tc>
        <w:tc>
          <w:tcPr>
            <w:tcW w:type="dxa" w:w="1440"/>
            <w:shd w:fill="FFDCE0" w:val="clear"/>
          </w:tcPr>
          <w:p>
            <w:r>
              <w:rPr>
                <w:b/>
                <w:sz w:val="17"/>
              </w:rPr>
              <w:t>3,441</w:t>
            </w:r>
          </w:p>
        </w:tc>
        <w:tc>
          <w:tcPr>
            <w:tcW w:type="dxa" w:w="1440"/>
            <w:shd w:fill="FFDCE0" w:val="clear"/>
          </w:tcPr>
          <w:p>
            <w:r>
              <w:rPr>
                <w:sz w:val="17"/>
              </w:rPr>
              <w:t>3,784</w:t>
            </w:r>
          </w:p>
        </w:tc>
        <w:tc>
          <w:tcPr>
            <w:tcW w:type="dxa" w:w="1440"/>
            <w:shd w:fill="FFDCE0" w:val="clear"/>
          </w:tcPr>
          <w:p>
            <w:r>
              <w:rPr>
                <w:b/>
                <w:color w:val="C00000"/>
                <w:sz w:val="17"/>
              </w:rPr>
              <w:t>-5.9%</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3,007</w:t>
            </w:r>
          </w:p>
        </w:tc>
        <w:tc>
          <w:tcPr>
            <w:tcW w:type="dxa" w:w="1440"/>
            <w:shd w:fill="FFDCE0" w:val="clear"/>
          </w:tcPr>
          <w:p>
            <w:r>
              <w:rPr>
                <w:b/>
                <w:sz w:val="17"/>
              </w:rPr>
              <w:t>3,399</w:t>
            </w:r>
          </w:p>
        </w:tc>
        <w:tc>
          <w:tcPr>
            <w:tcW w:type="dxa" w:w="1440"/>
            <w:shd w:fill="FFDCE0" w:val="clear"/>
          </w:tcPr>
          <w:p>
            <w:r>
              <w:rPr>
                <w:sz w:val="17"/>
              </w:rPr>
              <w:t>3,790</w:t>
            </w:r>
          </w:p>
        </w:tc>
        <w:tc>
          <w:tcPr>
            <w:tcW w:type="dxa" w:w="1440"/>
            <w:shd w:fill="FFDCE0" w:val="clear"/>
          </w:tcPr>
          <w:p>
            <w:r>
              <w:rPr>
                <w:b/>
                <w:color w:val="C00000"/>
                <w:sz w:val="17"/>
              </w:rPr>
              <w:t>-7.0%</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2,928</w:t>
            </w:r>
          </w:p>
        </w:tc>
        <w:tc>
          <w:tcPr>
            <w:tcW w:type="dxa" w:w="1440"/>
            <w:shd w:fill="FFDCE0" w:val="clear"/>
          </w:tcPr>
          <w:p>
            <w:r>
              <w:rPr>
                <w:b/>
                <w:sz w:val="17"/>
              </w:rPr>
              <w:t>3,361</w:t>
            </w:r>
          </w:p>
        </w:tc>
        <w:tc>
          <w:tcPr>
            <w:tcW w:type="dxa" w:w="1440"/>
            <w:shd w:fill="FFDCE0" w:val="clear"/>
          </w:tcPr>
          <w:p>
            <w:r>
              <w:rPr>
                <w:sz w:val="17"/>
              </w:rPr>
              <w:t>3,794</w:t>
            </w:r>
          </w:p>
        </w:tc>
        <w:tc>
          <w:tcPr>
            <w:tcW w:type="dxa" w:w="1440"/>
            <w:shd w:fill="FFDCE0" w:val="clear"/>
          </w:tcPr>
          <w:p>
            <w:r>
              <w:rPr>
                <w:b/>
                <w:color w:val="C00000"/>
                <w:sz w:val="17"/>
              </w:rPr>
              <w:t>-8.0%</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2,857</w:t>
            </w:r>
          </w:p>
        </w:tc>
        <w:tc>
          <w:tcPr>
            <w:tcW w:type="dxa" w:w="1440"/>
            <w:shd w:fill="FFDCE0" w:val="clear"/>
          </w:tcPr>
          <w:p>
            <w:r>
              <w:rPr>
                <w:b/>
                <w:sz w:val="17"/>
              </w:rPr>
              <w:t>3,326</w:t>
            </w:r>
          </w:p>
        </w:tc>
        <w:tc>
          <w:tcPr>
            <w:tcW w:type="dxa" w:w="1440"/>
            <w:shd w:fill="FFDCE0" w:val="clear"/>
          </w:tcPr>
          <w:p>
            <w:r>
              <w:rPr>
                <w:sz w:val="17"/>
              </w:rPr>
              <w:t>3,795</w:t>
            </w:r>
          </w:p>
        </w:tc>
        <w:tc>
          <w:tcPr>
            <w:tcW w:type="dxa" w:w="1440"/>
            <w:shd w:fill="FFDCE0" w:val="clear"/>
          </w:tcPr>
          <w:p>
            <w:r>
              <w:rPr>
                <w:b/>
                <w:color w:val="C00000"/>
                <w:sz w:val="17"/>
              </w:rPr>
              <w:t>-9.0%</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2,791</w:t>
            </w:r>
          </w:p>
        </w:tc>
        <w:tc>
          <w:tcPr>
            <w:tcW w:type="dxa" w:w="1440"/>
            <w:shd w:fill="FFDCE0" w:val="clear"/>
          </w:tcPr>
          <w:p>
            <w:r>
              <w:rPr>
                <w:b/>
                <w:sz w:val="17"/>
              </w:rPr>
              <w:t>3,293</w:t>
            </w:r>
          </w:p>
        </w:tc>
        <w:tc>
          <w:tcPr>
            <w:tcW w:type="dxa" w:w="1440"/>
            <w:shd w:fill="FFDCE0" w:val="clear"/>
          </w:tcPr>
          <w:p>
            <w:r>
              <w:rPr>
                <w:sz w:val="17"/>
              </w:rPr>
              <w:t>3,795</w:t>
            </w:r>
          </w:p>
        </w:tc>
        <w:tc>
          <w:tcPr>
            <w:tcW w:type="dxa" w:w="1440"/>
            <w:shd w:fill="FFDCE0" w:val="clear"/>
          </w:tcPr>
          <w:p>
            <w:r>
              <w:rPr>
                <w:b/>
                <w:color w:val="C00000"/>
                <w:sz w:val="17"/>
              </w:rPr>
              <w:t>-9.9%</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2,730</w:t>
            </w:r>
          </w:p>
        </w:tc>
        <w:tc>
          <w:tcPr>
            <w:tcW w:type="dxa" w:w="1440"/>
            <w:shd w:fill="FFDCE0" w:val="clear"/>
          </w:tcPr>
          <w:p>
            <w:r>
              <w:rPr>
                <w:b/>
                <w:sz w:val="17"/>
              </w:rPr>
              <w:t>3,262</w:t>
            </w:r>
          </w:p>
        </w:tc>
        <w:tc>
          <w:tcPr>
            <w:tcW w:type="dxa" w:w="1440"/>
            <w:shd w:fill="FFDCE0" w:val="clear"/>
          </w:tcPr>
          <w:p>
            <w:r>
              <w:rPr>
                <w:sz w:val="17"/>
              </w:rPr>
              <w:t>3,793</w:t>
            </w:r>
          </w:p>
        </w:tc>
        <w:tc>
          <w:tcPr>
            <w:tcW w:type="dxa" w:w="1440"/>
            <w:shd w:fill="FFDCE0" w:val="clear"/>
          </w:tcPr>
          <w:p>
            <w:r>
              <w:rPr>
                <w:b/>
                <w:color w:val="C00000"/>
                <w:sz w:val="17"/>
              </w:rPr>
              <w:t>-10.8%</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2,674</w:t>
            </w:r>
          </w:p>
        </w:tc>
        <w:tc>
          <w:tcPr>
            <w:tcW w:type="dxa" w:w="1440"/>
            <w:shd w:fill="FFDCE0" w:val="clear"/>
          </w:tcPr>
          <w:p>
            <w:r>
              <w:rPr>
                <w:b/>
                <w:sz w:val="17"/>
              </w:rPr>
              <w:t>3,233</w:t>
            </w:r>
          </w:p>
        </w:tc>
        <w:tc>
          <w:tcPr>
            <w:tcW w:type="dxa" w:w="1440"/>
            <w:shd w:fill="FFDCE0" w:val="clear"/>
          </w:tcPr>
          <w:p>
            <w:r>
              <w:rPr>
                <w:sz w:val="17"/>
              </w:rPr>
              <w:t>3,791</w:t>
            </w:r>
          </w:p>
        </w:tc>
        <w:tc>
          <w:tcPr>
            <w:tcW w:type="dxa" w:w="1440"/>
            <w:shd w:fill="FFDCE0" w:val="clear"/>
          </w:tcPr>
          <w:p>
            <w:r>
              <w:rPr>
                <w:b/>
                <w:color w:val="C00000"/>
                <w:sz w:val="17"/>
              </w:rPr>
              <w:t>-11.6%</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2,621</w:t>
            </w:r>
          </w:p>
        </w:tc>
        <w:tc>
          <w:tcPr>
            <w:tcW w:type="dxa" w:w="1440"/>
            <w:shd w:fill="FFDCE0" w:val="clear"/>
          </w:tcPr>
          <w:p>
            <w:r>
              <w:rPr>
                <w:b/>
                <w:sz w:val="17"/>
              </w:rPr>
              <w:t>3,205</w:t>
            </w:r>
          </w:p>
        </w:tc>
        <w:tc>
          <w:tcPr>
            <w:tcW w:type="dxa" w:w="1440"/>
            <w:shd w:fill="FFDCE0" w:val="clear"/>
          </w:tcPr>
          <w:p>
            <w:r>
              <w:rPr>
                <w:sz w:val="17"/>
              </w:rPr>
              <w:t>3,789</w:t>
            </w:r>
          </w:p>
        </w:tc>
        <w:tc>
          <w:tcPr>
            <w:tcW w:type="dxa" w:w="1440"/>
            <w:shd w:fill="FFDCE0" w:val="clear"/>
          </w:tcPr>
          <w:p>
            <w:r>
              <w:rPr>
                <w:b/>
                <w:color w:val="C00000"/>
                <w:sz w:val="17"/>
              </w:rPr>
              <w:t>-12.3%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119,07 milliards FCFA, ce qui positionne la société parmi les valeurs moyennes du marché BRVM, avec un poids significatif dans le secteur de la distribution pétrolière. Le BPA de 208 FCFA indique que chaque action génère un bénéfice annuel de ce montant, justifiant un PER de 17,6x, nettement supérieur à la moyenne du marché BRVM (8-12x), ce qui traduit une prime de valorisation que les investisseurs acceptent de payer pour la qualité perçue du titre. Le P/B de 4,22x confirme cette prime, le marché valorisant le titre à plus de quatre fois sa valeur comptable, signe d'une forte confiance dans les actifs et la marque. Enfin, l'EV/EBITDA de 7,5x reste dans une zone raisonnable (5-10x), indiquant que la valeur totale de l'entreprise, rapportée à sa capacité opérationnelle, n'est pas excessive, tempérant ainsi la cherté relative du PER.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 progressé de +6,25%, avec une dernière séance en légère hausse de +0,14% à 3 655 FCFA. Le titre a évolué dans une fourchette très large, oscillant entre un plus bas de 2 845 FCFA et un plus haut de 4 500 FCFA, illustrant une volatilité et une amplitude de mouvement considérables sur la période. La moyenne du cours (3 423 FCFA) est supérieure à la médiane (3 350 FCFA), et le skewness positif de 1,044 confirme une asymétrie avec des journées plus fréquentes sous la moyenne, mais des pics de hausse marqués. L'écart-type de 371 FCFA (CV de 10,8%) montre une dispersion modérée autour de la moyenne, tandis que le kurtosis de 0,533 indique une distribution proche de la normale, sans risque de variations extrêmes particulier. La volatilité annualisée de 49,8% est élevée, positionnant TTLS comme un actif à fort risque sur le plan technique, malgré une tendance globale positive sur la période.</w:t>
      </w:r>
    </w:p>
    <w:p>
      <w:pPr>
        <w:spacing w:after="120" w:line="276" w:lineRule="auto" w:before="240"/>
      </w:pPr>
      <w:r>
        <w:rPr>
          <w:b/>
          <w:color w:val="003366"/>
          <w:sz w:val="24"/>
        </w:rPr>
        <w:t>**PARTIE 2 : ANALYSE TECHNIQUE DÉTAILLÉE**</w:t>
      </w:r>
    </w:p>
    <w:p>
      <w:pPr>
        <w:spacing w:after="120" w:line="276" w:lineRule="auto"/>
      </w:pPr>
      <w:r>
        <w:t>Les **Moyennes Mobiles** (MM20 à 3 966,75 FCFA et MM50 à 3 683,6 FCFA) sont toutes deux supérieures au cours actuel de 3 655 FCFA, indiquant que le prix évolue sous ses moyennes clés. Cependant, la MM20 étant au-dessus de la MM50, la tendance de fond reste haussière à moyen terme, et le signal global d'achat suggère que le récent repli pourrait être une correction au sein d'une tendance plus large.</w:t>
      </w:r>
    </w:p>
    <w:p>
      <w:pPr>
        <w:spacing w:after="120" w:line="276" w:lineRule="auto"/>
      </w:pPr>
      <w:r>
        <w:t>Les **Bandes de Bollinger** (borne supérieure à 4 560,09 FCFA, borne inférieure à 3 373,41 FCFA) montrent un cours positionné dans la moitié inférieure de l'enveloppe, proche de la borne basse. Cela indique une pression vendeuse à court terme, mais le signal neutre suggère que le prix n'est pas encore en situation de survente extrême, laissant place à une possible stabilisation.</w:t>
      </w:r>
    </w:p>
    <w:p>
      <w:pPr>
        <w:spacing w:after="120" w:line="276" w:lineRule="auto"/>
      </w:pPr>
      <w:r>
        <w:t>Le **MACD** affiche une valeur négative de -32,68, inférieure à sa ligne de signal à 30,55, confirmant un momentum baissier à court terme. La divergence négative entre le MACD et son signal indique une dynamique vendeuse, justifiant la décision de vente, bien que l'ampleur de la baisse puisse ralentir.</w:t>
      </w:r>
    </w:p>
    <w:p>
      <w:pPr>
        <w:spacing w:after="120" w:line="276" w:lineRule="auto"/>
      </w:pPr>
      <w:r>
        <w:t>Le **RSI** à 28,52 est en zone de survente (sous le seuil de 30), signalant que le titre est techniquement survendu. Cette situation suggère un potentiel de rebond technique à court terme, d'où la décision d'achat, car les vendeurs pourraient être épuisés.</w:t>
      </w:r>
    </w:p>
    <w:p>
      <w:pPr>
        <w:spacing w:after="120" w:line="276" w:lineRule="auto"/>
      </w:pPr>
      <w:r>
        <w:t>Le **Stochastique** (%K à 3,68 et %D à 2,25) est également en survente extrême, avec %K sous %D, mais à des niveaux si bas qu'un croisement haussier est imminent. La décision d'achat reflète cette probabilité de retournement, le marché étant très proche d'un plancher technique.</w:t>
      </w:r>
    </w:p>
    <w:p>
      <w:pPr>
        <w:spacing w:after="120" w:line="276" w:lineRule="auto"/>
      </w:pPr>
      <w:r>
        <w:t>En conclusion, les indicateurs techniques sont mitigés : les moyennes mobiles et le MACD pointent vers une correction en cours, tandis que le RSI et le stochastique signalent une survente marquée, laissant présager un rebond technique imminent. La convergence des oscillateurs de survente pourrait initier un mouvement de reprise à court terme, mais la tendance baissière du MACD impose une prudence quant à l'ampleur de ce rebond.</w:t>
      </w:r>
    </w:p>
    <w:p>
      <w:pPr>
        <w:spacing w:after="120" w:line="276" w:lineRule="auto" w:before="240"/>
      </w:pPr>
      <w:r>
        <w:rPr>
          <w:b/>
          <w:color w:val="003366"/>
          <w:sz w:val="24"/>
        </w:rPr>
        <w:t>**PARTIE 3 : ANALYSE FONDAMENTALE (SECTION CRITIQUE)**</w:t>
      </w:r>
    </w:p>
    <w:p>
      <w:pPr>
        <w:spacing w:after="120" w:line="276" w:lineRule="auto"/>
      </w:pPr>
      <w:r>
        <w:t>En 2025, TTLS a réalisé un chiffre d'affaires de 455,209 milliards FCFA, en baisse de 6,1% par rapport à 2024, principalement en raison de l'arrêt stratégique de la commercialisation du fuel lourd. Le résultat net s'établit à 6,779 milliards FCFA, en repli de 5,1%, avec une marge nette de 1,49%, typique du secteur de la distribution pétrolière. La rentabilité des fonds propres (ROE) est excellente à 24%, démontrant une utilisation efficace du capital, tandis que le ROA de 3,95% reste modéré. Le BFR négatif de -36,9 milliards FCFA est un point très positif, indiquant que la société finance son exploitation grâce aux délais fournisseurs (97,76 jours) nettement supérieurs aux délais clients (47,43 jours), ce qui lui confère une trésorerie de 20,57 milliards FCFA. L'endettement est maîtrisé avec une capacité de remboursement de 0,94 an, et la solvabilité générale de 119,67% confirme une structure financière saine. Sur la base du rapport T1 2026 (CA de 99,9 milliards FCFA, -10% sur un an, mais résultat net en hausse de +5% à 1,585 milliard FCFA), on estime que l'exercice 2026 pourrait voir une stabilisation du résultat net autour de 6,5-7 milliards FCFA, porté par l'amélioration des marges sur les lubrifiants et la diversification vers le GPL et l'export, malgré la pression réglementaire sur les prix des carburants.</w:t>
      </w:r>
    </w:p>
    <w:p>
      <w:pPr>
        <w:spacing w:after="120" w:line="276" w:lineRule="auto" w:before="240"/>
      </w:pPr>
      <w:r>
        <w:rPr>
          <w:b/>
          <w:color w:val="003366"/>
          <w:sz w:val="24"/>
        </w:rPr>
        <w:t>**PARTIE 4 : CONCLUSION D'INVESTISSEMENT**</w:t>
      </w:r>
    </w:p>
    <w:p>
      <w:pPr>
        <w:spacing w:after="120" w:line="276" w:lineRule="auto"/>
      </w:pPr>
      <w:r>
        <w:t>La valorisation de TTLS, avec un PER de 17,6x et un P/B de 4,22x, apparaît exigeante par rapport au marché BRVM, mais l'EV/EBITDA de 7,5x tempère cette cherté relative. Le comportement du cours sur 100 jours montre une tendance positive (+6,25%) mais avec une volatilité très élevée (49,8%) et une asymétrie positive, indiquant des pics de hausse suivis de corrections. Les signaux techniques sont actuellement divergents : les moyennes mobiles et le MACD suggèrent une correction, tandis que le RSI et le stochastique en survente extrême annoncent un rebond imminent. Sur le plan fondamental, la société affiche une solidité financière remarquable (ROE de 24%, BFR négatif, trésorerie abondante) et une résilience opérationnelle, malgré un chiffre d'affaires en baisse. Les prédictions IA pour les 10 prochains jours (3 542 à 3 361 FCFA) confirment la pression baissière à court terme, en ligne avec les signaux techniques de correction. En synthèse, la convergence entre la survente technique, la solidité fondamentale et la valorisation raisonnable (EV/EBITDA) suggère une opportunité d'accumulation à moyen terme. Nous recommandons un **ACHAT** pour les investisseurs ayant un horizon de 3 à 12 mois, avec un niveau de confiance **Moyen** et un risque global **Élevé** en raison de la volatilité du titre. L'horizon optimal est le moyen terme, permettant de capter le potentiel de rebond technique et la croissance des segments à plus forte valeur ajoutée.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468.35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30 titres</w:t>
            </w:r>
          </w:p>
        </w:tc>
        <w:tc>
          <w:tcPr>
            <w:tcW w:type="dxa" w:w="2268"/>
            <w:shd w:fill="FFF2CC" w:val="clear"/>
          </w:tcPr>
          <w:p>
            <w:r>
              <w:rPr>
                <w:b/>
                <w:color w:val="503200"/>
                <w:sz w:val="16"/>
              </w:rPr>
              <w:t xml:space="preserve">Cours actuel : </w:t>
            </w:r>
            <w:r>
              <w:rPr>
                <w:color w:val="000000"/>
                <w:sz w:val="17"/>
              </w:rPr>
              <w:t>51,000 FCFA</w:t>
            </w:r>
          </w:p>
          <w:p>
            <w:r>
              <w:rPr>
                <w:b/>
                <w:color w:val="503200"/>
                <w:sz w:val="16"/>
              </w:rPr>
              <w:t xml:space="preserve">Var. 100 jours : </w:t>
            </w:r>
            <w:r>
              <w:rPr>
                <w:b/>
                <w:color w:val="B40000"/>
                <w:sz w:val="17"/>
              </w:rPr>
              <w:t>-27.14%</w:t>
            </w:r>
          </w:p>
          <w:p>
            <w:r>
              <w:rPr>
                <w:b/>
                <w:color w:val="503200"/>
                <w:sz w:val="16"/>
              </w:rPr>
              <w:t xml:space="preserve">Plus haut 100j : </w:t>
            </w:r>
            <w:r>
              <w:rPr>
                <w:color w:val="000000"/>
                <w:sz w:val="17"/>
              </w:rPr>
              <w:t>73,995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9.04% (Moyenne) — μ=58,245 FCFA, σ=5,263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β=2.2186 (Très agressif) — Cov=0.000079, Var(idx)=0.000036, ρ=0.305,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30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σ_j=4.39%/j (Modérée) — Vol. annualisée≈69.6%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59/100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2026-08-03</w:t>
            </w:r>
          </w:p>
        </w:tc>
        <w:tc>
          <w:tcPr>
            <w:tcW w:type="dxa" w:w="1440"/>
            <w:shd w:fill="C6EFCE" w:val="clear"/>
          </w:tcPr>
          <w:p>
            <w:r>
              <w:rPr>
                <w:sz w:val="17"/>
              </w:rPr>
              <w:t>51,070</w:t>
            </w:r>
          </w:p>
        </w:tc>
        <w:tc>
          <w:tcPr>
            <w:tcW w:type="dxa" w:w="1440"/>
            <w:shd w:fill="C6EFCE" w:val="clear"/>
          </w:tcPr>
          <w:p>
            <w:r>
              <w:rPr>
                <w:b/>
                <w:sz w:val="17"/>
              </w:rPr>
              <w:t>54,190</w:t>
            </w:r>
          </w:p>
        </w:tc>
        <w:tc>
          <w:tcPr>
            <w:tcW w:type="dxa" w:w="1440"/>
            <w:shd w:fill="C6EFCE" w:val="clear"/>
          </w:tcPr>
          <w:p>
            <w:r>
              <w:rPr>
                <w:sz w:val="17"/>
              </w:rPr>
              <w:t>57,310</w:t>
            </w:r>
          </w:p>
        </w:tc>
        <w:tc>
          <w:tcPr>
            <w:tcW w:type="dxa" w:w="1440"/>
            <w:shd w:fill="C6EFCE" w:val="clear"/>
          </w:tcPr>
          <w:p>
            <w:r>
              <w:rPr>
                <w:b/>
                <w:color w:val="008000"/>
                <w:sz w:val="17"/>
              </w:rPr>
              <w:t>+6.3%</w:t>
            </w:r>
          </w:p>
        </w:tc>
      </w:tr>
      <w:tr>
        <w:tc>
          <w:tcPr>
            <w:tcW w:type="dxa" w:w="1440"/>
            <w:shd w:fill="C6EFCE" w:val="clear"/>
          </w:tcPr>
          <w:p>
            <w:r>
              <w:rPr>
                <w:sz w:val="17"/>
              </w:rPr>
              <w:t>J+2  ⭐</w:t>
            </w:r>
          </w:p>
        </w:tc>
        <w:tc>
          <w:tcPr>
            <w:tcW w:type="dxa" w:w="1440"/>
            <w:shd w:fill="C6EFCE" w:val="clear"/>
          </w:tcPr>
          <w:p>
            <w:r>
              <w:rPr>
                <w:sz w:val="17"/>
              </w:rPr>
              <w:t>2026-08-04</w:t>
            </w:r>
          </w:p>
        </w:tc>
        <w:tc>
          <w:tcPr>
            <w:tcW w:type="dxa" w:w="1440"/>
            <w:shd w:fill="C6EFCE" w:val="clear"/>
          </w:tcPr>
          <w:p>
            <w:r>
              <w:rPr>
                <w:sz w:val="17"/>
              </w:rPr>
              <w:t>50,029</w:t>
            </w:r>
          </w:p>
        </w:tc>
        <w:tc>
          <w:tcPr>
            <w:tcW w:type="dxa" w:w="1440"/>
            <w:shd w:fill="C6EFCE" w:val="clear"/>
          </w:tcPr>
          <w:p>
            <w:r>
              <w:rPr>
                <w:b/>
                <w:sz w:val="17"/>
              </w:rPr>
              <w:t>54,463</w:t>
            </w:r>
          </w:p>
        </w:tc>
        <w:tc>
          <w:tcPr>
            <w:tcW w:type="dxa" w:w="1440"/>
            <w:shd w:fill="C6EFCE" w:val="clear"/>
          </w:tcPr>
          <w:p>
            <w:r>
              <w:rPr>
                <w:sz w:val="17"/>
              </w:rPr>
              <w:t>58,897</w:t>
            </w:r>
          </w:p>
        </w:tc>
        <w:tc>
          <w:tcPr>
            <w:tcW w:type="dxa" w:w="1440"/>
            <w:shd w:fill="C6EFCE" w:val="clear"/>
          </w:tcPr>
          <w:p>
            <w:r>
              <w:rPr>
                <w:b/>
                <w:color w:val="008000"/>
                <w:sz w:val="17"/>
              </w:rPr>
              <w:t>+6.8%</w:t>
            </w:r>
          </w:p>
        </w:tc>
      </w:tr>
      <w:tr>
        <w:tc>
          <w:tcPr>
            <w:tcW w:type="dxa" w:w="1440"/>
            <w:shd w:fill="C6EFCE" w:val="clear"/>
          </w:tcPr>
          <w:p>
            <w:r>
              <w:rPr>
                <w:sz w:val="17"/>
              </w:rPr>
              <w:t>J+3  ⭐</w:t>
            </w:r>
          </w:p>
        </w:tc>
        <w:tc>
          <w:tcPr>
            <w:tcW w:type="dxa" w:w="1440"/>
            <w:shd w:fill="C6EFCE" w:val="clear"/>
          </w:tcPr>
          <w:p>
            <w:r>
              <w:rPr>
                <w:sz w:val="17"/>
              </w:rPr>
              <w:t>2026-08-05</w:t>
            </w:r>
          </w:p>
        </w:tc>
        <w:tc>
          <w:tcPr>
            <w:tcW w:type="dxa" w:w="1440"/>
            <w:shd w:fill="C6EFCE" w:val="clear"/>
          </w:tcPr>
          <w:p>
            <w:r>
              <w:rPr>
                <w:sz w:val="17"/>
              </w:rPr>
              <w:t>49,508</w:t>
            </w:r>
          </w:p>
        </w:tc>
        <w:tc>
          <w:tcPr>
            <w:tcW w:type="dxa" w:w="1440"/>
            <w:shd w:fill="C6EFCE" w:val="clear"/>
          </w:tcPr>
          <w:p>
            <w:r>
              <w:rPr>
                <w:b/>
                <w:sz w:val="17"/>
              </w:rPr>
              <w:t>54,992</w:t>
            </w:r>
          </w:p>
        </w:tc>
        <w:tc>
          <w:tcPr>
            <w:tcW w:type="dxa" w:w="1440"/>
            <w:shd w:fill="C6EFCE" w:val="clear"/>
          </w:tcPr>
          <w:p>
            <w:r>
              <w:rPr>
                <w:sz w:val="17"/>
              </w:rPr>
              <w:t>60,475</w:t>
            </w:r>
          </w:p>
        </w:tc>
        <w:tc>
          <w:tcPr>
            <w:tcW w:type="dxa" w:w="1440"/>
            <w:shd w:fill="C6EFCE" w:val="clear"/>
          </w:tcPr>
          <w:p>
            <w:r>
              <w:rPr>
                <w:b/>
                <w:color w:val="008000"/>
                <w:sz w:val="17"/>
              </w:rPr>
              <w:t>+7.8%</w:t>
            </w:r>
          </w:p>
        </w:tc>
      </w:tr>
      <w:tr>
        <w:tc>
          <w:tcPr>
            <w:tcW w:type="dxa" w:w="1440"/>
            <w:shd w:fill="C6EFCE" w:val="clear"/>
          </w:tcPr>
          <w:p>
            <w:r>
              <w:rPr>
                <w:sz w:val="17"/>
              </w:rPr>
              <w:t>J+4  ⭐</w:t>
            </w:r>
          </w:p>
        </w:tc>
        <w:tc>
          <w:tcPr>
            <w:tcW w:type="dxa" w:w="1440"/>
            <w:shd w:fill="C6EFCE" w:val="clear"/>
          </w:tcPr>
          <w:p>
            <w:r>
              <w:rPr>
                <w:sz w:val="17"/>
              </w:rPr>
              <w:t>2026-08-06</w:t>
            </w:r>
          </w:p>
        </w:tc>
        <w:tc>
          <w:tcPr>
            <w:tcW w:type="dxa" w:w="1440"/>
            <w:shd w:fill="C6EFCE" w:val="clear"/>
          </w:tcPr>
          <w:p>
            <w:r>
              <w:rPr>
                <w:sz w:val="17"/>
              </w:rPr>
              <w:t>49,186</w:t>
            </w:r>
          </w:p>
        </w:tc>
        <w:tc>
          <w:tcPr>
            <w:tcW w:type="dxa" w:w="1440"/>
            <w:shd w:fill="C6EFCE" w:val="clear"/>
          </w:tcPr>
          <w:p>
            <w:r>
              <w:rPr>
                <w:b/>
                <w:sz w:val="17"/>
              </w:rPr>
              <w:t>55,586</w:t>
            </w:r>
          </w:p>
        </w:tc>
        <w:tc>
          <w:tcPr>
            <w:tcW w:type="dxa" w:w="1440"/>
            <w:shd w:fill="C6EFCE" w:val="clear"/>
          </w:tcPr>
          <w:p>
            <w:r>
              <w:rPr>
                <w:sz w:val="17"/>
              </w:rPr>
              <w:t>61,986</w:t>
            </w:r>
          </w:p>
        </w:tc>
        <w:tc>
          <w:tcPr>
            <w:tcW w:type="dxa" w:w="1440"/>
            <w:shd w:fill="C6EFCE" w:val="clear"/>
          </w:tcPr>
          <w:p>
            <w:r>
              <w:rPr>
                <w:b/>
                <w:color w:val="008000"/>
                <w:sz w:val="17"/>
              </w:rPr>
              <w:t>+9.0%</w:t>
            </w:r>
          </w:p>
        </w:tc>
      </w:tr>
      <w:tr>
        <w:tc>
          <w:tcPr>
            <w:tcW w:type="dxa" w:w="1440"/>
            <w:shd w:fill="C6EFCE" w:val="clear"/>
          </w:tcPr>
          <w:p>
            <w:r>
              <w:rPr>
                <w:sz w:val="17"/>
              </w:rPr>
              <w:t>J+5  ⭐</w:t>
            </w:r>
          </w:p>
        </w:tc>
        <w:tc>
          <w:tcPr>
            <w:tcW w:type="dxa" w:w="1440"/>
            <w:shd w:fill="C6EFCE" w:val="clear"/>
          </w:tcPr>
          <w:p>
            <w:r>
              <w:rPr>
                <w:sz w:val="17"/>
              </w:rPr>
              <w:t>2026-08-10</w:t>
            </w:r>
          </w:p>
        </w:tc>
        <w:tc>
          <w:tcPr>
            <w:tcW w:type="dxa" w:w="1440"/>
            <w:shd w:fill="C6EFCE" w:val="clear"/>
          </w:tcPr>
          <w:p>
            <w:r>
              <w:rPr>
                <w:sz w:val="17"/>
              </w:rPr>
              <w:t>48,969</w:t>
            </w:r>
          </w:p>
        </w:tc>
        <w:tc>
          <w:tcPr>
            <w:tcW w:type="dxa" w:w="1440"/>
            <w:shd w:fill="C6EFCE" w:val="clear"/>
          </w:tcPr>
          <w:p>
            <w:r>
              <w:rPr>
                <w:b/>
                <w:sz w:val="17"/>
              </w:rPr>
              <w:t>56,204</w:t>
            </w:r>
          </w:p>
        </w:tc>
        <w:tc>
          <w:tcPr>
            <w:tcW w:type="dxa" w:w="1440"/>
            <w:shd w:fill="C6EFCE" w:val="clear"/>
          </w:tcPr>
          <w:p>
            <w:r>
              <w:rPr>
                <w:sz w:val="17"/>
              </w:rPr>
              <w:t>63,440</w:t>
            </w:r>
          </w:p>
        </w:tc>
        <w:tc>
          <w:tcPr>
            <w:tcW w:type="dxa" w:w="1440"/>
            <w:shd w:fill="C6EFCE" w:val="clear"/>
          </w:tcPr>
          <w:p>
            <w:r>
              <w:rPr>
                <w:b/>
                <w:color w:val="008000"/>
                <w:sz w:val="17"/>
              </w:rPr>
              <w:t>+10.2%</w:t>
            </w:r>
          </w:p>
        </w:tc>
      </w:tr>
      <w:tr>
        <w:tc>
          <w:tcPr>
            <w:tcW w:type="dxa" w:w="1440"/>
            <w:shd w:fill="C6EFCE" w:val="clear"/>
          </w:tcPr>
          <w:p>
            <w:r>
              <w:rPr>
                <w:sz w:val="17"/>
              </w:rPr>
              <w:t>J+6  ⭐</w:t>
            </w:r>
          </w:p>
        </w:tc>
        <w:tc>
          <w:tcPr>
            <w:tcW w:type="dxa" w:w="1440"/>
            <w:shd w:fill="C6EFCE" w:val="clear"/>
          </w:tcPr>
          <w:p>
            <w:r>
              <w:rPr>
                <w:sz w:val="17"/>
              </w:rPr>
              <w:t>2026-08-11</w:t>
            </w:r>
          </w:p>
        </w:tc>
        <w:tc>
          <w:tcPr>
            <w:tcW w:type="dxa" w:w="1440"/>
            <w:shd w:fill="C6EFCE" w:val="clear"/>
          </w:tcPr>
          <w:p>
            <w:r>
              <w:rPr>
                <w:sz w:val="17"/>
              </w:rPr>
              <w:t>48,820</w:t>
            </w:r>
          </w:p>
        </w:tc>
        <w:tc>
          <w:tcPr>
            <w:tcW w:type="dxa" w:w="1440"/>
            <w:shd w:fill="C6EFCE" w:val="clear"/>
          </w:tcPr>
          <w:p>
            <w:r>
              <w:rPr>
                <w:b/>
                <w:sz w:val="17"/>
              </w:rPr>
              <w:t>56,835</w:t>
            </w:r>
          </w:p>
        </w:tc>
        <w:tc>
          <w:tcPr>
            <w:tcW w:type="dxa" w:w="1440"/>
            <w:shd w:fill="C6EFCE" w:val="clear"/>
          </w:tcPr>
          <w:p>
            <w:r>
              <w:rPr>
                <w:sz w:val="17"/>
              </w:rPr>
              <w:t>64,849</w:t>
            </w:r>
          </w:p>
        </w:tc>
        <w:tc>
          <w:tcPr>
            <w:tcW w:type="dxa" w:w="1440"/>
            <w:shd w:fill="C6EFCE" w:val="clear"/>
          </w:tcPr>
          <w:p>
            <w:r>
              <w:rPr>
                <w:b/>
                <w:color w:val="008000"/>
                <w:sz w:val="17"/>
              </w:rPr>
              <w:t>+11.4%</w:t>
            </w:r>
          </w:p>
        </w:tc>
      </w:tr>
      <w:tr>
        <w:tc>
          <w:tcPr>
            <w:tcW w:type="dxa" w:w="1440"/>
            <w:shd w:fill="C6EFCE" w:val="clear"/>
          </w:tcPr>
          <w:p>
            <w:r>
              <w:rPr>
                <w:sz w:val="17"/>
              </w:rPr>
              <w:t>J+7  ⭐</w:t>
            </w:r>
          </w:p>
        </w:tc>
        <w:tc>
          <w:tcPr>
            <w:tcW w:type="dxa" w:w="1440"/>
            <w:shd w:fill="C6EFCE" w:val="clear"/>
          </w:tcPr>
          <w:p>
            <w:r>
              <w:rPr>
                <w:sz w:val="17"/>
              </w:rPr>
              <w:t>2026-08-12</w:t>
            </w:r>
          </w:p>
        </w:tc>
        <w:tc>
          <w:tcPr>
            <w:tcW w:type="dxa" w:w="1440"/>
            <w:shd w:fill="C6EFCE" w:val="clear"/>
          </w:tcPr>
          <w:p>
            <w:r>
              <w:rPr>
                <w:sz w:val="17"/>
              </w:rPr>
              <w:t>48,719</w:t>
            </w:r>
          </w:p>
        </w:tc>
        <w:tc>
          <w:tcPr>
            <w:tcW w:type="dxa" w:w="1440"/>
            <w:shd w:fill="C6EFCE" w:val="clear"/>
          </w:tcPr>
          <w:p>
            <w:r>
              <w:rPr>
                <w:b/>
                <w:sz w:val="17"/>
              </w:rPr>
              <w:t>57,473</w:t>
            </w:r>
          </w:p>
        </w:tc>
        <w:tc>
          <w:tcPr>
            <w:tcW w:type="dxa" w:w="1440"/>
            <w:shd w:fill="C6EFCE" w:val="clear"/>
          </w:tcPr>
          <w:p>
            <w:r>
              <w:rPr>
                <w:sz w:val="17"/>
              </w:rPr>
              <w:t>66,227</w:t>
            </w:r>
          </w:p>
        </w:tc>
        <w:tc>
          <w:tcPr>
            <w:tcW w:type="dxa" w:w="1440"/>
            <w:shd w:fill="C6EFCE" w:val="clear"/>
          </w:tcPr>
          <w:p>
            <w:r>
              <w:rPr>
                <w:b/>
                <w:color w:val="008000"/>
                <w:sz w:val="17"/>
              </w:rPr>
              <w:t>+12.7%</w:t>
            </w:r>
          </w:p>
        </w:tc>
      </w:tr>
      <w:tr>
        <w:tc>
          <w:tcPr>
            <w:tcW w:type="dxa" w:w="1440"/>
            <w:shd w:fill="C6EFCE" w:val="clear"/>
          </w:tcPr>
          <w:p>
            <w:r>
              <w:rPr>
                <w:sz w:val="17"/>
              </w:rPr>
              <w:t>J+8  ⭐</w:t>
            </w:r>
          </w:p>
        </w:tc>
        <w:tc>
          <w:tcPr>
            <w:tcW w:type="dxa" w:w="1440"/>
            <w:shd w:fill="C6EFCE" w:val="clear"/>
          </w:tcPr>
          <w:p>
            <w:r>
              <w:rPr>
                <w:sz w:val="17"/>
              </w:rPr>
              <w:t>2026-08-13</w:t>
            </w:r>
          </w:p>
        </w:tc>
        <w:tc>
          <w:tcPr>
            <w:tcW w:type="dxa" w:w="1440"/>
            <w:shd w:fill="C6EFCE" w:val="clear"/>
          </w:tcPr>
          <w:p>
            <w:r>
              <w:rPr>
                <w:sz w:val="17"/>
              </w:rPr>
              <w:t>48,653</w:t>
            </w:r>
          </w:p>
        </w:tc>
        <w:tc>
          <w:tcPr>
            <w:tcW w:type="dxa" w:w="1440"/>
            <w:shd w:fill="C6EFCE" w:val="clear"/>
          </w:tcPr>
          <w:p>
            <w:r>
              <w:rPr>
                <w:b/>
                <w:sz w:val="17"/>
              </w:rPr>
              <w:t>58,116</w:t>
            </w:r>
          </w:p>
        </w:tc>
        <w:tc>
          <w:tcPr>
            <w:tcW w:type="dxa" w:w="1440"/>
            <w:shd w:fill="C6EFCE" w:val="clear"/>
          </w:tcPr>
          <w:p>
            <w:r>
              <w:rPr>
                <w:sz w:val="17"/>
              </w:rPr>
              <w:t>67,579</w:t>
            </w:r>
          </w:p>
        </w:tc>
        <w:tc>
          <w:tcPr>
            <w:tcW w:type="dxa" w:w="1440"/>
            <w:shd w:fill="C6EFCE" w:val="clear"/>
          </w:tcPr>
          <w:p>
            <w:r>
              <w:rPr>
                <w:b/>
                <w:color w:val="008000"/>
                <w:sz w:val="17"/>
              </w:rPr>
              <w:t>+14.0%</w:t>
            </w:r>
          </w:p>
        </w:tc>
      </w:tr>
      <w:tr>
        <w:tc>
          <w:tcPr>
            <w:tcW w:type="dxa" w:w="1440"/>
            <w:shd w:fill="C6EFCE" w:val="clear"/>
          </w:tcPr>
          <w:p>
            <w:r>
              <w:rPr>
                <w:sz w:val="17"/>
              </w:rPr>
              <w:t>J+9  ⭐</w:t>
            </w:r>
          </w:p>
        </w:tc>
        <w:tc>
          <w:tcPr>
            <w:tcW w:type="dxa" w:w="1440"/>
            <w:shd w:fill="C6EFCE" w:val="clear"/>
          </w:tcPr>
          <w:p>
            <w:r>
              <w:rPr>
                <w:sz w:val="17"/>
              </w:rPr>
              <w:t>2026-08-14</w:t>
            </w:r>
          </w:p>
        </w:tc>
        <w:tc>
          <w:tcPr>
            <w:tcW w:type="dxa" w:w="1440"/>
            <w:shd w:fill="C6EFCE" w:val="clear"/>
          </w:tcPr>
          <w:p>
            <w:r>
              <w:rPr>
                <w:sz w:val="17"/>
              </w:rPr>
              <w:t>48,615</w:t>
            </w:r>
          </w:p>
        </w:tc>
        <w:tc>
          <w:tcPr>
            <w:tcW w:type="dxa" w:w="1440"/>
            <w:shd w:fill="C6EFCE" w:val="clear"/>
          </w:tcPr>
          <w:p>
            <w:r>
              <w:rPr>
                <w:b/>
                <w:sz w:val="17"/>
              </w:rPr>
              <w:t>58,764</w:t>
            </w:r>
          </w:p>
        </w:tc>
        <w:tc>
          <w:tcPr>
            <w:tcW w:type="dxa" w:w="1440"/>
            <w:shd w:fill="C6EFCE" w:val="clear"/>
          </w:tcPr>
          <w:p>
            <w:r>
              <w:rPr>
                <w:sz w:val="17"/>
              </w:rPr>
              <w:t>68,913</w:t>
            </w:r>
          </w:p>
        </w:tc>
        <w:tc>
          <w:tcPr>
            <w:tcW w:type="dxa" w:w="1440"/>
            <w:shd w:fill="C6EFCE" w:val="clear"/>
          </w:tcPr>
          <w:p>
            <w:r>
              <w:rPr>
                <w:b/>
                <w:color w:val="008000"/>
                <w:sz w:val="17"/>
              </w:rPr>
              <w:t>+15.2%</w:t>
            </w:r>
          </w:p>
        </w:tc>
      </w:tr>
      <w:tr>
        <w:tc>
          <w:tcPr>
            <w:tcW w:type="dxa" w:w="1440"/>
            <w:shd w:fill="C6EFCE" w:val="clear"/>
          </w:tcPr>
          <w:p>
            <w:r>
              <w:rPr>
                <w:sz w:val="17"/>
              </w:rPr>
              <w:t>J+10  ⭐</w:t>
            </w:r>
          </w:p>
        </w:tc>
        <w:tc>
          <w:tcPr>
            <w:tcW w:type="dxa" w:w="1440"/>
            <w:shd w:fill="C6EFCE" w:val="clear"/>
          </w:tcPr>
          <w:p>
            <w:r>
              <w:rPr>
                <w:sz w:val="17"/>
              </w:rPr>
              <w:t>2026-08-17</w:t>
            </w:r>
          </w:p>
        </w:tc>
        <w:tc>
          <w:tcPr>
            <w:tcW w:type="dxa" w:w="1440"/>
            <w:shd w:fill="C6EFCE" w:val="clear"/>
          </w:tcPr>
          <w:p>
            <w:r>
              <w:rPr>
                <w:sz w:val="17"/>
              </w:rPr>
              <w:t>48,598</w:t>
            </w:r>
          </w:p>
        </w:tc>
        <w:tc>
          <w:tcPr>
            <w:tcW w:type="dxa" w:w="1440"/>
            <w:shd w:fill="C6EFCE" w:val="clear"/>
          </w:tcPr>
          <w:p>
            <w:r>
              <w:rPr>
                <w:b/>
                <w:sz w:val="17"/>
              </w:rPr>
              <w:t>59,415</w:t>
            </w:r>
          </w:p>
        </w:tc>
        <w:tc>
          <w:tcPr>
            <w:tcW w:type="dxa" w:w="1440"/>
            <w:shd w:fill="C6EFCE" w:val="clear"/>
          </w:tcPr>
          <w:p>
            <w:r>
              <w:rPr>
                <w:sz w:val="17"/>
              </w:rPr>
              <w:t>70,231</w:t>
            </w:r>
          </w:p>
        </w:tc>
        <w:tc>
          <w:tcPr>
            <w:tcW w:type="dxa" w:w="1440"/>
            <w:shd w:fill="C6EFCE" w:val="clear"/>
          </w:tcPr>
          <w:p>
            <w:r>
              <w:rPr>
                <w:b/>
                <w:color w:val="008000"/>
                <w:sz w:val="17"/>
              </w:rPr>
              <w:t>+16.5%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468,35 milliards FCFA, un niveau substantiel qui la positionne parmi les valeurs moyennes à grandes de la BRVM, reflétant la présence d'un groupe international comme Unilever dans l'économie ivoirienne. Cependant, les ratios de valorisation traditionnels (BPA, PER, P/B, EV/EBITDA) ne sont pas calculables en raison de l'absence de données financières structurées récentes dans la base de données. Cette situation est préoccupante car elle prive l'investisseur d'une mesure directe de la cherté du titre par rapport à ses bénéfices. Néanmoins, en se référant aux rapports annuels disponibles, on peut estimer qu'avec un bénéfice net de 640 millions FCFA en 2023, le PER implicite serait extrêmement élevé, signalant une décote de qualité ou une anticipation de redressement futur. L'absence de ces ratios clés impose une prudence accrue et une dépendance accrue aux analyses technique et fondamentale qualitative.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subi une dépréciation sévère de -27,14%, avec une chute de -5,56% lors de la dernière séance, illustrant une pression vendeuse intense. Le titre a évolué dans une fourchette large de 49 630 FCFA (plus bas) à 73 995 FCFA (plus haut), démontrant une forte amplitude de trading. La moyenne du cours sur la période (58 245 FCFA) est supérieure à la médiane (57 500 FCFA), et le skewness positif de 1,013 indique une distribution asymétrique avec des queues de distribution vers la gauche, signifiant que le cours a passé plus de temps sous sa moyenne, confirmant la tendance baissière. L'écart-type de 5 290 FCFA (CV=9,1%) révèle une dispersion modérée autour de la moyenne. Le kurtosis de 0,787 (mésokurtique) suggère une distribution proche de la normale, sans risque de variations extrêmes imprévisibles. La volatilité annualisée de 69,6% est extrêmement élevée, classant UNLC comme un actif à très haut risque,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Les **Moyennes Mobiles** (MM20 à 52 738 FCFA et MM50 à 55 286,6 FCFA) sont toutes deux situées au-dessus du cours actuel de 51 000 FCFA. Cette configuration en "cascade baissière" (cours &lt; MM20 &lt; MM50) est un signal technique de vente fort, indiquant que la tendance de fond reste résolument négative à court et moyen terme. La décision de "Vente" est justifiée par cette dynamique.</w:t>
      </w:r>
    </w:p>
    <w:p>
      <w:pPr>
        <w:spacing w:after="120" w:line="276" w:lineRule="auto"/>
      </w:pPr>
      <w:r>
        <w:t>Les **Bandes de Bollinger** (borne supérieure à 56 043,8 FCFA et borne inférieure à 49 432,2 FCFA) montrent un cours à 51 000 FCFA, proche de la borne inférieure. Cette position suggère que le titre est survendu à court terme, mais sans signal de retournement. La décision "Neutre" est cohérente, car le cours n'a pas encore franchi la borne inférieure, ce qui pourrait déclencher un rebond technique.</w:t>
      </w:r>
    </w:p>
    <w:p>
      <w:pPr>
        <w:spacing w:after="120" w:line="276" w:lineRule="auto"/>
      </w:pPr>
      <w:r>
        <w:t>Le **MACD** affiche une valeur de -791,3 avec un signal à -977,9. La divergence positive entre la ligne MACD et sa ligne de signal (la première étant au-dessus de la seconde) est un signe précoce de ralentissement de la dynamique baissière. La décision "Achat" suggère que le momentum négatif s'estompe, mais cela reste fragile tant que le MACD n'est pas repassé au-dessus de zéro.</w:t>
      </w:r>
    </w:p>
    <w:p>
      <w:pPr>
        <w:spacing w:after="120" w:line="276" w:lineRule="auto"/>
      </w:pPr>
      <w:r>
        <w:t>Le **RSI** à 42,4 est en zone neutre (entre 30 et 70), indiquant que le titre n'est ni suracheté ni survendu. Cette valeur suggère une absence de pression directionnelle forte, mais elle est en dessous de 50, ce qui penche légèrement en faveur des vendeurs. La décision "Neutre" est appropriée.</w:t>
      </w:r>
    </w:p>
    <w:p>
      <w:pPr>
        <w:spacing w:after="120" w:line="276" w:lineRule="auto"/>
      </w:pPr>
      <w:r>
        <w:t>Le **Stochastique** (%K=9,3, %D=58,1) montre une divergence baissière majeure : %K est très bas (proche du survente) tandis que %D est plus élevé. Ce croisement baissier de %K sous %D est un signal de vente classique. La décision "Achat" semble ici contre-intuitive, mais elle pourrait refléter un rebond technique imminent après une chute brutale.</w:t>
      </w:r>
    </w:p>
    <w:p>
      <w:pPr>
        <w:spacing w:after="120" w:line="276" w:lineRule="auto"/>
      </w:pPr>
      <w:r>
        <w:t>**Conclusion technique** : La majorité des indicateurs (MM, RSI, Stochastique) pointent vers une tendance baissière persistante, bien que le MACD et la position dans les bandes de Bollinger suggèrent un possible ralentissement de la chute. Le signal global est donc mitigé, avec un biais vendeur dominant. Un rebond technique est possible à court terme, mais la tendance de fond reste négative.</w:t>
      </w:r>
    </w:p>
    <w:p>
      <w:pPr>
        <w:spacing w:after="120" w:line="276" w:lineRule="auto" w:before="240"/>
      </w:pPr>
      <w:r>
        <w:rPr>
          <w:b/>
          <w:color w:val="003366"/>
          <w:sz w:val="24"/>
        </w:rPr>
        <w:t>**PARTIE 3 : ANALYSE FONDAMENTALE (SECTION CRITIQUE)**</w:t>
      </w:r>
    </w:p>
    <w:p>
      <w:pPr>
        <w:spacing w:after="120" w:line="276" w:lineRule="auto"/>
      </w:pPr>
      <w:r>
        <w:t>Les données financières structurées pour UNLC ne sont pas disponibles dans la base de données, mais les rapports annuels fournis permettent une analyse approfondie. En 2023 (rapport daté du 31/12/2024), le chiffre d'affaires s'est établi à 24,336 milliards FCFA, stable par rapport à 2022, mais le résultat net a fortement progressé pour atteindre 640 millions FCFA, contre une perte massive de 6,9 milliards FCFA en 2022. Cette amélioration spectaculaire est due à un redressement opérationnel (résultat d'exploitation positif de 3,34 milliards FCFA) et à une réduction des charges financières. Cependant, la marge nette de 2,63% reste très faible comparée aux standards du secteur FMCG (5-10%). Les capitaux propres demeurent négatifs à -10,658 milliards FCFA, ce qui est un signal d'alarme majeur sur la solidité financière. Le rapport de 2022 (daté du 31/12/2023) confirme une année noire avec une perte de 6,38 milliards FCFA et une marge nette de -26,2%. En 2021, la société avait renoué avec un bénéfice de 6,09 milliards FCFA (marge de 25%), mais cette performance était due à des éléments exceptionnels. L'évolution sur trois ans montre une volatilité extrême des résultats, avec une tendance sous-jacente fragile. Aucun dividende n'a été versé sur la période, la priorité étant donnée à la restructuration du bilan. Les perspectives restent incertaines, dépendantes de la capacité d'UNLC à stabiliser sa rentabilité et à reconstituer ses capitaux propres.</w:t>
      </w:r>
    </w:p>
    <w:p>
      <w:pPr>
        <w:spacing w:after="120" w:line="276" w:lineRule="auto" w:before="240"/>
      </w:pPr>
      <w:r>
        <w:rPr>
          <w:b/>
          <w:color w:val="003366"/>
          <w:sz w:val="24"/>
        </w:rPr>
        <w:t>**PARTIE 4 : CONCLUSION D'INVESTISSEMENT**</w:t>
      </w:r>
    </w:p>
    <w:p>
      <w:pPr>
        <w:spacing w:after="120" w:line="276" w:lineRule="auto"/>
      </w:pPr>
      <w:r>
        <w:t>La synthèse des analyses révèle une situation complexe et risquée pour UNLC. La valorisation boursière est difficile à apprécier faute de ratios calculables, mais la capitalisation de 468 milliards FCFA paraît élevée au regard des bénéfices actuels. Le comportement du cours est franchement baissier avec une volatilité extrême (69,6%), des statistiques montrant une distribution sous la moyenne, et une chute de 27% en 100 jours. Les signaux techniques sont majoritairement vendeurs, bien que le MACD et les bandes de Bollinger suggèrent un possible ralentissement de la baisse. Les fondamentaux sont préoccupants : malgré une amélioration en 2023, la marge nette reste faible, les capitaux propres sont négatifs et aucun dividende n'est versé. Les prédictions IA pour les 10 prochains jours (51 000 à 56 204 FCFA) anticipent un rebond technique, mais cette trajectoire contredit la tendance baissière de fond et semble optimiste. En conclusion, la convergence des signaux (technique baissier, fondamentaux fragiles) l'emporte sur le rebond prédit. **Recommandation : VENTE.** Le niveau de confiance est **Moyen** en raison des incertitudes sur les données financières récentes. Le risque global est **Élevé**. L'horizon d'investissement optimal serait le **court terme (&lt;3 mois)** pour les investisseurs spéculatifs, mais une position vendeuse est conseillée pour les autres.</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40.36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12,924 titres</w:t>
            </w:r>
          </w:p>
        </w:tc>
        <w:tc>
          <w:tcPr>
            <w:tcW w:type="dxa" w:w="2268"/>
            <w:shd w:fill="FFF2CC" w:val="clear"/>
          </w:tcPr>
          <w:p>
            <w:r>
              <w:rPr>
                <w:b/>
                <w:color w:val="503200"/>
                <w:sz w:val="16"/>
              </w:rPr>
              <w:t xml:space="preserve">Cours actuel : </w:t>
            </w:r>
            <w:r>
              <w:rPr>
                <w:color w:val="000000"/>
                <w:sz w:val="17"/>
              </w:rPr>
              <w:t>1,945 FCFA</w:t>
            </w:r>
          </w:p>
          <w:p>
            <w:r>
              <w:rPr>
                <w:b/>
                <w:color w:val="503200"/>
                <w:sz w:val="16"/>
              </w:rPr>
              <w:t xml:space="preserve">Var. 100 jours : </w:t>
            </w:r>
            <w:r>
              <w:rPr>
                <w:b/>
                <w:color w:val="B40000"/>
                <w:sz w:val="17"/>
              </w:rPr>
              <w:t>-2.51%</w:t>
            </w:r>
          </w:p>
          <w:p>
            <w:r>
              <w:rPr>
                <w:b/>
                <w:color w:val="503200"/>
                <w:sz w:val="16"/>
              </w:rPr>
              <w:t xml:space="preserve">Plus haut 100j : </w:t>
            </w:r>
            <w:r>
              <w:rPr>
                <w:color w:val="000000"/>
                <w:sz w:val="17"/>
              </w:rPr>
              <w:t>2,250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19.8/100 → Faible</w:t>
      </w:r>
    </w:p>
    <w:p>
      <w:pPr>
        <w:spacing w:before="40" w:after="80"/>
      </w:pPr>
      <w:r>
        <w:rPr>
          <w:rFonts w:ascii="Courier New" w:hAnsi="Courier New"/>
          <w:color w:val="006400"/>
          <w:sz w:val="18"/>
        </w:rPr>
        <w:t>███░░░░░░░░░░░░░░░░░  19.8/100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9.38% (Moyenne) — μ=1,877 FCFA, σ=176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β=-0.7696 (Contre-cyclique) — Cov=-0.000028, Var(idx)=0.000036, ρ=-0.145,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12,924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σ_j=3.27%/j (Modérée) — Vol. annualisée≈52.0%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2026-08-03</w:t>
            </w:r>
          </w:p>
        </w:tc>
        <w:tc>
          <w:tcPr>
            <w:tcW w:type="dxa" w:w="1440"/>
            <w:shd w:fill="FFDCE0" w:val="clear"/>
          </w:tcPr>
          <w:p>
            <w:r>
              <w:rPr>
                <w:sz w:val="17"/>
              </w:rPr>
              <w:t>1,759</w:t>
            </w:r>
          </w:p>
        </w:tc>
        <w:tc>
          <w:tcPr>
            <w:tcW w:type="dxa" w:w="1440"/>
            <w:shd w:fill="FFDCE0" w:val="clear"/>
          </w:tcPr>
          <w:p>
            <w:r>
              <w:rPr>
                <w:b/>
                <w:sz w:val="17"/>
              </w:rPr>
              <w:t>1,901</w:t>
            </w:r>
          </w:p>
        </w:tc>
        <w:tc>
          <w:tcPr>
            <w:tcW w:type="dxa" w:w="1440"/>
            <w:shd w:fill="FFDCE0" w:val="clear"/>
          </w:tcPr>
          <w:p>
            <w:r>
              <w:rPr>
                <w:sz w:val="17"/>
              </w:rPr>
              <w:t>2,044</w:t>
            </w:r>
          </w:p>
        </w:tc>
        <w:tc>
          <w:tcPr>
            <w:tcW w:type="dxa" w:w="1440"/>
            <w:shd w:fill="FFDCE0" w:val="clear"/>
          </w:tcPr>
          <w:p>
            <w:r>
              <w:rPr>
                <w:b/>
                <w:color w:val="C00000"/>
                <w:sz w:val="17"/>
              </w:rPr>
              <w:t>-2.2%</w:t>
            </w:r>
          </w:p>
        </w:tc>
      </w:tr>
      <w:tr>
        <w:tc>
          <w:tcPr>
            <w:tcW w:type="dxa" w:w="1440"/>
            <w:shd w:fill="FFDCE0" w:val="clear"/>
          </w:tcPr>
          <w:p>
            <w:r>
              <w:rPr>
                <w:sz w:val="17"/>
              </w:rPr>
              <w:t>J+2  Moyenne</w:t>
            </w:r>
          </w:p>
        </w:tc>
        <w:tc>
          <w:tcPr>
            <w:tcW w:type="dxa" w:w="1440"/>
            <w:shd w:fill="FFDCE0" w:val="clear"/>
          </w:tcPr>
          <w:p>
            <w:r>
              <w:rPr>
                <w:sz w:val="17"/>
              </w:rPr>
              <w:t>2026-08-04</w:t>
            </w:r>
          </w:p>
        </w:tc>
        <w:tc>
          <w:tcPr>
            <w:tcW w:type="dxa" w:w="1440"/>
            <w:shd w:fill="FFDCE0" w:val="clear"/>
          </w:tcPr>
          <w:p>
            <w:r>
              <w:rPr>
                <w:sz w:val="17"/>
              </w:rPr>
              <w:t>1,692</w:t>
            </w:r>
          </w:p>
        </w:tc>
        <w:tc>
          <w:tcPr>
            <w:tcW w:type="dxa" w:w="1440"/>
            <w:shd w:fill="FFDCE0" w:val="clear"/>
          </w:tcPr>
          <w:p>
            <w:r>
              <w:rPr>
                <w:b/>
                <w:sz w:val="17"/>
              </w:rPr>
              <w:t>1,895</w:t>
            </w:r>
          </w:p>
        </w:tc>
        <w:tc>
          <w:tcPr>
            <w:tcW w:type="dxa" w:w="1440"/>
            <w:shd w:fill="FFDCE0" w:val="clear"/>
          </w:tcPr>
          <w:p>
            <w:r>
              <w:rPr>
                <w:sz w:val="17"/>
              </w:rPr>
              <w:t>2,098</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2026-08-05</w:t>
            </w:r>
          </w:p>
        </w:tc>
        <w:tc>
          <w:tcPr>
            <w:tcW w:type="dxa" w:w="1440"/>
            <w:shd w:fill="FFDCE0" w:val="clear"/>
          </w:tcPr>
          <w:p>
            <w:r>
              <w:rPr>
                <w:sz w:val="17"/>
              </w:rPr>
              <w:t>1,638</w:t>
            </w:r>
          </w:p>
        </w:tc>
        <w:tc>
          <w:tcPr>
            <w:tcW w:type="dxa" w:w="1440"/>
            <w:shd w:fill="FFDCE0" w:val="clear"/>
          </w:tcPr>
          <w:p>
            <w:r>
              <w:rPr>
                <w:b/>
                <w:sz w:val="17"/>
              </w:rPr>
              <w:t>1,885</w:t>
            </w:r>
          </w:p>
        </w:tc>
        <w:tc>
          <w:tcPr>
            <w:tcW w:type="dxa" w:w="1440"/>
            <w:shd w:fill="FFDCE0" w:val="clear"/>
          </w:tcPr>
          <w:p>
            <w:r>
              <w:rPr>
                <w:sz w:val="17"/>
              </w:rPr>
              <w:t>2,133</w:t>
            </w:r>
          </w:p>
        </w:tc>
        <w:tc>
          <w:tcPr>
            <w:tcW w:type="dxa" w:w="1440"/>
            <w:shd w:fill="FFDCE0" w:val="clear"/>
          </w:tcPr>
          <w:p>
            <w:r>
              <w:rPr>
                <w:b/>
                <w:color w:val="C00000"/>
                <w:sz w:val="17"/>
              </w:rPr>
              <w:t>-3.1%</w:t>
            </w:r>
          </w:p>
        </w:tc>
      </w:tr>
      <w:tr>
        <w:tc>
          <w:tcPr>
            <w:tcW w:type="dxa" w:w="1440"/>
            <w:shd w:fill="FFDCE0" w:val="clear"/>
          </w:tcPr>
          <w:p>
            <w:r>
              <w:rPr>
                <w:sz w:val="17"/>
              </w:rPr>
              <w:t>J+4  ⭐</w:t>
            </w:r>
          </w:p>
        </w:tc>
        <w:tc>
          <w:tcPr>
            <w:tcW w:type="dxa" w:w="1440"/>
            <w:shd w:fill="FFDCE0" w:val="clear"/>
          </w:tcPr>
          <w:p>
            <w:r>
              <w:rPr>
                <w:sz w:val="17"/>
              </w:rPr>
              <w:t>2026-08-06</w:t>
            </w:r>
          </w:p>
        </w:tc>
        <w:tc>
          <w:tcPr>
            <w:tcW w:type="dxa" w:w="1440"/>
            <w:shd w:fill="FFDCE0" w:val="clear"/>
          </w:tcPr>
          <w:p>
            <w:r>
              <w:rPr>
                <w:sz w:val="17"/>
              </w:rPr>
              <w:t>1,592</w:t>
            </w:r>
          </w:p>
        </w:tc>
        <w:tc>
          <w:tcPr>
            <w:tcW w:type="dxa" w:w="1440"/>
            <w:shd w:fill="FFDCE0" w:val="clear"/>
          </w:tcPr>
          <w:p>
            <w:r>
              <w:rPr>
                <w:b/>
                <w:sz w:val="17"/>
              </w:rPr>
              <w:t>1,876</w:t>
            </w:r>
          </w:p>
        </w:tc>
        <w:tc>
          <w:tcPr>
            <w:tcW w:type="dxa" w:w="1440"/>
            <w:shd w:fill="FFDCE0" w:val="clear"/>
          </w:tcPr>
          <w:p>
            <w:r>
              <w:rPr>
                <w:sz w:val="17"/>
              </w:rPr>
              <w:t>2,160</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2026-08-10</w:t>
            </w:r>
          </w:p>
        </w:tc>
        <w:tc>
          <w:tcPr>
            <w:tcW w:type="dxa" w:w="1440"/>
            <w:shd w:fill="FFDCE0" w:val="clear"/>
          </w:tcPr>
          <w:p>
            <w:r>
              <w:rPr>
                <w:sz w:val="17"/>
              </w:rPr>
              <w:t>1,550</w:t>
            </w:r>
          </w:p>
        </w:tc>
        <w:tc>
          <w:tcPr>
            <w:tcW w:type="dxa" w:w="1440"/>
            <w:shd w:fill="FFDCE0" w:val="clear"/>
          </w:tcPr>
          <w:p>
            <w:r>
              <w:rPr>
                <w:b/>
                <w:sz w:val="17"/>
              </w:rPr>
              <w:t>1,866</w:t>
            </w:r>
          </w:p>
        </w:tc>
        <w:tc>
          <w:tcPr>
            <w:tcW w:type="dxa" w:w="1440"/>
            <w:shd w:fill="FFDCE0" w:val="clear"/>
          </w:tcPr>
          <w:p>
            <w:r>
              <w:rPr>
                <w:sz w:val="17"/>
              </w:rPr>
              <w:t>2,182</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2026-08-11</w:t>
            </w:r>
          </w:p>
        </w:tc>
        <w:tc>
          <w:tcPr>
            <w:tcW w:type="dxa" w:w="1440"/>
            <w:shd w:fill="FFDCE0" w:val="clear"/>
          </w:tcPr>
          <w:p>
            <w:r>
              <w:rPr>
                <w:sz w:val="17"/>
              </w:rPr>
              <w:t>1,513</w:t>
            </w:r>
          </w:p>
        </w:tc>
        <w:tc>
          <w:tcPr>
            <w:tcW w:type="dxa" w:w="1440"/>
            <w:shd w:fill="FFDCE0" w:val="clear"/>
          </w:tcPr>
          <w:p>
            <w:r>
              <w:rPr>
                <w:b/>
                <w:sz w:val="17"/>
              </w:rPr>
              <w:t>1,857</w:t>
            </w:r>
          </w:p>
        </w:tc>
        <w:tc>
          <w:tcPr>
            <w:tcW w:type="dxa" w:w="1440"/>
            <w:shd w:fill="FFDCE0" w:val="clear"/>
          </w:tcPr>
          <w:p>
            <w:r>
              <w:rPr>
                <w:sz w:val="17"/>
              </w:rPr>
              <w:t>2,201</w:t>
            </w:r>
          </w:p>
        </w:tc>
        <w:tc>
          <w:tcPr>
            <w:tcW w:type="dxa" w:w="1440"/>
            <w:shd w:fill="FFDCE0" w:val="clear"/>
          </w:tcPr>
          <w:p>
            <w:r>
              <w:rPr>
                <w:b/>
                <w:color w:val="C00000"/>
                <w:sz w:val="17"/>
              </w:rPr>
              <w:t>-4.5%</w:t>
            </w:r>
          </w:p>
        </w:tc>
      </w:tr>
      <w:tr>
        <w:tc>
          <w:tcPr>
            <w:tcW w:type="dxa" w:w="1440"/>
            <w:shd w:fill="FFDCE0" w:val="clear"/>
          </w:tcPr>
          <w:p>
            <w:r>
              <w:rPr>
                <w:sz w:val="17"/>
              </w:rPr>
              <w:t>J+7  ⭐</w:t>
            </w:r>
          </w:p>
        </w:tc>
        <w:tc>
          <w:tcPr>
            <w:tcW w:type="dxa" w:w="1440"/>
            <w:shd w:fill="FFDCE0" w:val="clear"/>
          </w:tcPr>
          <w:p>
            <w:r>
              <w:rPr>
                <w:sz w:val="17"/>
              </w:rPr>
              <w:t>2026-08-12</w:t>
            </w:r>
          </w:p>
        </w:tc>
        <w:tc>
          <w:tcPr>
            <w:tcW w:type="dxa" w:w="1440"/>
            <w:shd w:fill="FFDCE0" w:val="clear"/>
          </w:tcPr>
          <w:p>
            <w:r>
              <w:rPr>
                <w:sz w:val="17"/>
              </w:rPr>
              <w:t>1,478</w:t>
            </w:r>
          </w:p>
        </w:tc>
        <w:tc>
          <w:tcPr>
            <w:tcW w:type="dxa" w:w="1440"/>
            <w:shd w:fill="FFDCE0" w:val="clear"/>
          </w:tcPr>
          <w:p>
            <w:r>
              <w:rPr>
                <w:b/>
                <w:sz w:val="17"/>
              </w:rPr>
              <w:t>1,848</w:t>
            </w:r>
          </w:p>
        </w:tc>
        <w:tc>
          <w:tcPr>
            <w:tcW w:type="dxa" w:w="1440"/>
            <w:shd w:fill="FFDCE0" w:val="clear"/>
          </w:tcPr>
          <w:p>
            <w:r>
              <w:rPr>
                <w:sz w:val="17"/>
              </w:rPr>
              <w:t>2,218</w:t>
            </w:r>
          </w:p>
        </w:tc>
        <w:tc>
          <w:tcPr>
            <w:tcW w:type="dxa" w:w="1440"/>
            <w:shd w:fill="FFDCE0" w:val="clear"/>
          </w:tcPr>
          <w:p>
            <w:r>
              <w:rPr>
                <w:b/>
                <w:color w:val="C00000"/>
                <w:sz w:val="17"/>
              </w:rPr>
              <w:t>-5.0%</w:t>
            </w:r>
          </w:p>
        </w:tc>
      </w:tr>
      <w:tr>
        <w:tc>
          <w:tcPr>
            <w:tcW w:type="dxa" w:w="1440"/>
            <w:shd w:fill="FFDCE0" w:val="clear"/>
          </w:tcPr>
          <w:p>
            <w:r>
              <w:rPr>
                <w:sz w:val="17"/>
              </w:rPr>
              <w:t>J+8  ⭐</w:t>
            </w:r>
          </w:p>
        </w:tc>
        <w:tc>
          <w:tcPr>
            <w:tcW w:type="dxa" w:w="1440"/>
            <w:shd w:fill="FFDCE0" w:val="clear"/>
          </w:tcPr>
          <w:p>
            <w:r>
              <w:rPr>
                <w:sz w:val="17"/>
              </w:rPr>
              <w:t>2026-08-13</w:t>
            </w:r>
          </w:p>
        </w:tc>
        <w:tc>
          <w:tcPr>
            <w:tcW w:type="dxa" w:w="1440"/>
            <w:shd w:fill="FFDCE0" w:val="clear"/>
          </w:tcPr>
          <w:p>
            <w:r>
              <w:rPr>
                <w:sz w:val="17"/>
              </w:rPr>
              <w:t>1,445</w:t>
            </w:r>
          </w:p>
        </w:tc>
        <w:tc>
          <w:tcPr>
            <w:tcW w:type="dxa" w:w="1440"/>
            <w:shd w:fill="FFDCE0" w:val="clear"/>
          </w:tcPr>
          <w:p>
            <w:r>
              <w:rPr>
                <w:b/>
                <w:sz w:val="17"/>
              </w:rPr>
              <w:t>1,839</w:t>
            </w:r>
          </w:p>
        </w:tc>
        <w:tc>
          <w:tcPr>
            <w:tcW w:type="dxa" w:w="1440"/>
            <w:shd w:fill="FFDCE0" w:val="clear"/>
          </w:tcPr>
          <w:p>
            <w:r>
              <w:rPr>
                <w:sz w:val="17"/>
              </w:rPr>
              <w:t>2,232</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2026-08-14</w:t>
            </w:r>
          </w:p>
        </w:tc>
        <w:tc>
          <w:tcPr>
            <w:tcW w:type="dxa" w:w="1440"/>
            <w:shd w:fill="FFDCE0" w:val="clear"/>
          </w:tcPr>
          <w:p>
            <w:r>
              <w:rPr>
                <w:sz w:val="17"/>
              </w:rPr>
              <w:t>1,414</w:t>
            </w:r>
          </w:p>
        </w:tc>
        <w:tc>
          <w:tcPr>
            <w:tcW w:type="dxa" w:w="1440"/>
            <w:shd w:fill="FFDCE0" w:val="clear"/>
          </w:tcPr>
          <w:p>
            <w:r>
              <w:rPr>
                <w:b/>
                <w:sz w:val="17"/>
              </w:rPr>
              <w:t>1,830</w:t>
            </w:r>
          </w:p>
        </w:tc>
        <w:tc>
          <w:tcPr>
            <w:tcW w:type="dxa" w:w="1440"/>
            <w:shd w:fill="FFDCE0" w:val="clear"/>
          </w:tcPr>
          <w:p>
            <w:r>
              <w:rPr>
                <w:sz w:val="17"/>
              </w:rPr>
              <w:t>2,245</w:t>
            </w:r>
          </w:p>
        </w:tc>
        <w:tc>
          <w:tcPr>
            <w:tcW w:type="dxa" w:w="1440"/>
            <w:shd w:fill="FFDCE0" w:val="clear"/>
          </w:tcPr>
          <w:p>
            <w:r>
              <w:rPr>
                <w:b/>
                <w:color w:val="C00000"/>
                <w:sz w:val="17"/>
              </w:rPr>
              <w:t>-5.9%</w:t>
            </w:r>
          </w:p>
        </w:tc>
      </w:tr>
      <w:tr>
        <w:tc>
          <w:tcPr>
            <w:tcW w:type="dxa" w:w="1440"/>
            <w:shd w:fill="FFDCE0" w:val="clear"/>
          </w:tcPr>
          <w:p>
            <w:r>
              <w:rPr>
                <w:sz w:val="17"/>
              </w:rPr>
              <w:t>J+10  ⭐</w:t>
            </w:r>
          </w:p>
        </w:tc>
        <w:tc>
          <w:tcPr>
            <w:tcW w:type="dxa" w:w="1440"/>
            <w:shd w:fill="FFDCE0" w:val="clear"/>
          </w:tcPr>
          <w:p>
            <w:r>
              <w:rPr>
                <w:sz w:val="17"/>
              </w:rPr>
              <w:t>2026-08-17</w:t>
            </w:r>
          </w:p>
        </w:tc>
        <w:tc>
          <w:tcPr>
            <w:tcW w:type="dxa" w:w="1440"/>
            <w:shd w:fill="FFDCE0" w:val="clear"/>
          </w:tcPr>
          <w:p>
            <w:r>
              <w:rPr>
                <w:sz w:val="17"/>
              </w:rPr>
              <w:t>1,385</w:t>
            </w:r>
          </w:p>
        </w:tc>
        <w:tc>
          <w:tcPr>
            <w:tcW w:type="dxa" w:w="1440"/>
            <w:shd w:fill="FFDCE0" w:val="clear"/>
          </w:tcPr>
          <w:p>
            <w:r>
              <w:rPr>
                <w:b/>
                <w:sz w:val="17"/>
              </w:rPr>
              <w:t>1,821</w:t>
            </w:r>
          </w:p>
        </w:tc>
        <w:tc>
          <w:tcPr>
            <w:tcW w:type="dxa" w:w="1440"/>
            <w:shd w:fill="FFDCE0" w:val="clear"/>
          </w:tcPr>
          <w:p>
            <w:r>
              <w:rPr>
                <w:sz w:val="17"/>
              </w:rPr>
              <w:t>2,257</w:t>
            </w:r>
          </w:p>
        </w:tc>
        <w:tc>
          <w:tcPr>
            <w:tcW w:type="dxa" w:w="1440"/>
            <w:shd w:fill="FFDCE0" w:val="clear"/>
          </w:tcPr>
          <w:p>
            <w:r>
              <w:rPr>
                <w:b/>
                <w:color w:val="C00000"/>
                <w:sz w:val="17"/>
              </w:rPr>
              <w:t>-6.4%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40,36 milliards FCFA, un niveau modeste dans l'écosystème BRVM, reflétant un profil de moyenne capitalisation. Le BPA est négatif à -105 FCFA, ce qui traduit une perte nette par action pour l'exercice 2024, et le PER est logiquement négatif (-18,4x), indiquant que la société ne génère pas de bénéfices récurrents. Le P/B de 2,59x est plus parlant : le marché valorise l'actif net comptable avec une prime substantielle, signe que les investisseurs anticipent une amélioration future de la rentabilité ou intègrent des actifs sous-évalués. Le ratio EV/EBITDA n'est pas calculable ici faute de données sur la dette nette et l'EBITDA, mais la dette financière est faible (328 millions FCFA), ce qui limite le risque de levier. En résumé, la valorisation actuelle repose davantage sur des anticipations de redressement que sur des bénéfices avérés, ce qui constitue un pari risqué mais potentiellement rémunérateur.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affiche une variation totale de -2,51%, mais la dernière séance a rebondi de +2,37% pour clôturer à 1 945 FCFA, signalant un regain d'intérêt à court terme. Le titre a évolué dans une fourchette très large, entre un plus bas de 1 250 FCFA et un plus haut de 2 250 FCFA, illustrant une volatilité extrême. La moyenne (1 877 FCFA) est inférieure à la médiane (1 905 FCFA), ce qui, combiné à un skewness de -1,506, indique une distribution asymétrique avec des épisodes de fortes baisses plus fréquents que des hausses équivalentes. L'écart-type de 177 FCFA (CV=9,4%) montre une dispersion modérée en valeur relative, mais le kurtosis de 2,903 (leptokurtique) révèle un risque de mouvements extrêmes, avec des queues épaisses. La volatilité annualisée de 52% est très élevée (bien au-dessus du seuil de 30%), ce qui classe UNXC parmi les titres les plus risqués de la place, exigeant une grande prudence pour les investisseurs non aguerris.</w:t>
      </w:r>
    </w:p>
    <w:p>
      <w:pPr>
        <w:spacing w:after="120" w:line="276" w:lineRule="auto" w:before="240"/>
      </w:pPr>
      <w:r>
        <w:rPr>
          <w:b/>
          <w:color w:val="003366"/>
          <w:sz w:val="24"/>
        </w:rPr>
        <w:t>**PARTIE 2 : ANALYSE TECHNIQUE DÉTAILLÉE**</w:t>
      </w:r>
    </w:p>
    <w:p>
      <w:pPr>
        <w:spacing w:after="120" w:line="276" w:lineRule="auto"/>
      </w:pPr>
      <w:r>
        <w:t>**Moyennes Mobiles** : La MM20 à 1 699,5 FCFA et la MM50 à 1 797,2 FCFA sont toutes deux inférieures au cours actuel de 1 945 FCFA, ce qui indique une dynamique haussière à court et moyen terme. Cependant, la décision technique globale est "Vente", probablement en raison de la pente des moyennes ou d'un écart trop important avec le prix, suggérant un risque de correction après une hausse rapide.</w:t>
      </w:r>
    </w:p>
    <w:p>
      <w:pPr>
        <w:spacing w:after="120" w:line="276" w:lineRule="auto"/>
      </w:pPr>
      <w:r>
        <w:t>**Bandes de Bollinger** : Le cours se situe à 1 945 FCFA, proche de la borne supérieure (2 199 FCFA) et loin de la borne inférieure (1 199 FCFA), ce qui reflète une volatilité élevée et un marché suracheté à court terme. La décision "Neutre" indique que le prix n'a pas encore touché les bornes extrêmes, mais la pression haussière est palpable, avec un risque de retour vers la moyenne.</w:t>
      </w:r>
    </w:p>
    <w:p>
      <w:pPr>
        <w:spacing w:after="120" w:line="276" w:lineRule="auto"/>
      </w:pPr>
      <w:r>
        <w:t>**MACD** : Le MACD (53,793) est nettement au-dessus de son signal (21,037), confirmant un momentum haussier solide. Cette divergence positive suggère que la tendance haussière est soutenue par les flux sous-jacents, et la décision "Achat" est cohérente avec cette dynamique, même si l'écart important pourrait signaler une exubérance à court terme.</w:t>
      </w:r>
    </w:p>
    <w:p>
      <w:pPr>
        <w:spacing w:after="120" w:line="276" w:lineRule="auto"/>
      </w:pPr>
      <w:r>
        <w:t>**RSI** : Le RSI à 83,007 est en zone de surachat (au-dessus de 70), ce qui indique que le titre est techniquement surévalué à court terme. La décision "Vente" est justifiée : une correction est probable, mais les marchés peuvent rester surachetés pendant des périodes prolongées en cas de forte tendance.</w:t>
      </w:r>
    </w:p>
    <w:p>
      <w:pPr>
        <w:spacing w:after="120" w:line="276" w:lineRule="auto"/>
      </w:pPr>
      <w:r>
        <w:t>**Stochastique** : Le %K (94,118) et le %D (90,198) sont tous deux en zone de surachat extrême, avec un %K au-dessus de %D, confirmant la vigueur haussière. Cependant, cette configuration signale un épuisement potentiel du mouvement, d'où la décision "Vente" qui anticipe un retournement ou une consolidation.</w:t>
      </w:r>
    </w:p>
    <w:p>
      <w:pPr>
        <w:spacing w:after="120" w:line="276" w:lineRule="auto"/>
      </w:pPr>
      <w:r>
        <w:t>**Conclusion technique** : Les indicateurs sont contradictoires : le MACD est haussier, mais le RSI et le Stochastique sont en surachat, et les moyennes mobiles suggèrent une prudence. Cette divergence indique un marché en forte hausse mais vulnérable à une correction technique. Les investisseurs devraient attendre un repli vers les moyennes mobiles (1 700-1 800 FCFA) avant d'envisager une entrée, ou surveiller une cassure au-dessus de 2 200 FCFA pour confirmer la tendance.</w:t>
      </w:r>
    </w:p>
    <w:p>
      <w:pPr>
        <w:spacing w:after="120" w:line="276" w:lineRule="auto" w:before="240"/>
      </w:pPr>
      <w:r>
        <w:rPr>
          <w:b/>
          <w:color w:val="003366"/>
          <w:sz w:val="24"/>
        </w:rPr>
        <w:t>**PARTIE 3 : ANALYSE FONDAMENTALE (SECTION CRITIQUE)**</w:t>
      </w:r>
    </w:p>
    <w:p>
      <w:pPr>
        <w:spacing w:after="120" w:line="276" w:lineRule="auto"/>
      </w:pPr>
      <w:r>
        <w:t>En 2024, les données structurées d'UNXC montrent une situation financière dégradée : le chiffre d'affaires s'établit à 27,333 milliards FCFA (en baisse de 7,9% par rapport à 2023), mais le résultat net est une perte de -2,189 milliards FCFA, avec une marge nette de -8,0% et un ROE de -14,0%. L'EBE est négatif à -352 millions FCFA, et le résultat d'exploitation atteint -2,136 milliards FCFA, traduisant des difficultés opérationnelles structurelles. Les délais de paiement sont préoccupants : le délai clients est de 51 jours, mais le délai fournisseurs est très élevé à 268 jours, ce qui indique une pression sur la trésorerie, tandis que la durée de stockage de 255 jours immobilise un capital important. Le BFR est positif à 2,149 milliards FCFA, signe d'un besoin de financement, mais le fonds de roulement (4,027 milliards) et la trésorerie (2,495 milliards) offrent une certaine marge de manœuvre. Les rapports trimestriels 2025 (T1, S1, T3) montrent une amélioration spectaculaire du résultat net grâce à la cession-bail du terrain : le CA cumulé sur 9 mois atteint 22,474 milliards FCFA (+13%), et le résultat net est bénéficiaire à 8,143 milliards FCFA, mais uniquement grâce à un produit exceptionnel de 9,993 milliards FCFA. Hors exceptionnel, le résultat des activités ordinaires reste déficitaire à -371 millions FCFA sur 9 mois, bien que la direction annonce une absence de perte au T3 seul, suggérant une possible inflexion vers l'équilibre. On estime que l'exercice 2025 sera bénéficiaire en raison de la transaction immobilière, mais la rentabilité récurrente n'est pas encore acquise. La société a assaini sa structure financière (dettes apurées), mais le défi reste de traduire la croissance du CA en profits durables.</w:t>
      </w:r>
    </w:p>
    <w:p>
      <w:pPr>
        <w:spacing w:after="120" w:line="276" w:lineRule="auto" w:before="240"/>
      </w:pPr>
      <w:r>
        <w:rPr>
          <w:b/>
          <w:color w:val="003366"/>
          <w:sz w:val="24"/>
        </w:rPr>
        <w:t>**PARTIE 4 : CONCLUSION D'INVESTISSEMENT**</w:t>
      </w:r>
    </w:p>
    <w:p>
      <w:pPr>
        <w:spacing w:after="120" w:line="276" w:lineRule="auto"/>
      </w:pPr>
      <w:r>
        <w:t>La valorisation d'UNXC est délicate : avec un PER négatif et un P/B de 2,59x, le marché paie une prime pour un redressement anticipé, mais les fondamentaux 2024 sont déficitaires. Le comportement du cours est marqué par une volatilité extrême (52% annualisée) et une asymétrie négative, avec des risques de pics (kurtosis élevé), ce qui rend le titre spéculatif. Les signaux techniques sont mitigés : le MACD est haussier, mais le RSI et le Stochastique sont en surachat, et les moyennes mobiles suggèrent une prudence, indiquant un risque de correction à court terme. Les fondamentaux montrent une amélioration en 2025 grâce à la cession-bail, mais la rentabilité opérationnelle reste fragile, dépendante d'éléments exceptionnels. Les prédictions IA (1 901 à 1 866 FCFA sur 10 jours) suggèrent une légère baisse, confirmant le scénario de consolidation technique. En synthèse, la convergence entre la surévaluation technique, la dépendance aux éléments exceptionnels et la prédiction baissière justifie une recommandation **CONSERVER** pour les investisseurs existants, avec un niveau de confiance **Moyen** et un risque global **Élevé**. L'horizon optimal est le **moyen terme (3-12 mois)**, en attendant la confirmation d'une rentabilité opérationnelle positive au T4 2025 et la certification des comptes. Un achat ne serait envisageable qu'en cas de repli vers 1 700 FCFA et de confirmation d'un EBIT positif durable.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l'effondrement de la rentabilit\u00e9, l'entreprise maintient son chiffre d'affaires et anticipe une am\u00e9lioration au T4. La situation difficile est conjoncturelle et li\u00e9e aux crises externes."}</w:t>
      </w:r>
    </w:p>
    <w:p>
      <w:pPr>
        <w:spacing w:before="40"/>
        <w:ind w:left="400"/>
      </w:pPr>
      <w:r>
        <w:rPr>
          <w:sz w:val="18"/>
        </w:rPr>
        <w:t>UNIWAX S.A., entreprise ivoirienne du secteur textile, affiche un chiffre d'affaires stable au 3ème trimestre 2022 (29,25 milliards FCFA vs 29,07 milliards en 2021). Cependant, la rentabilité s'effondre avec un résultat d'exploitation en chute de 77,5% et un résultat net en baisse de 80,6%. Cette dégradation s'explique par la flambée des coûts des matières premières suite aux crises post-Covid et ukrainienne. L'entreprise n'a pas pu répercuter intégralement ces hausses de coûts sur ses prix de vente. Les perspectives du 4ème trimestre restent prudentes malgré les célébrations de fin d'année.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'4,15 milliards FCFA', 'resultat_financier': '-73 millions FCFA', 'resultat_exploitation': '452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296 millions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29,25 milliards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au T3 2022 : 29,25 milliards FCFA (+0,6%)</w:t>
      </w:r>
    </w:p>
    <w:p>
      <w:pPr>
        <w:pStyle w:val="ListBullet"/>
        <w:spacing w:before="20" w:after="20"/>
        <w:ind w:left="700"/>
      </w:pPr>
      <w:r>
        <w:rPr>
          <w:sz w:val="18"/>
        </w:rPr>
        <w:t>Effondrement du résultat d'exploitation : -77,5% à 452 millions FCFA</w:t>
      </w:r>
    </w:p>
    <w:p>
      <w:pPr>
        <w:pStyle w:val="ListBullet"/>
        <w:spacing w:before="20" w:after="20"/>
        <w:ind w:left="700"/>
      </w:pPr>
      <w:r>
        <w:rPr>
          <w:sz w:val="18"/>
        </w:rPr>
        <w:t>Résultat net en forte baisse : -80,6% à 296 millions FCFA</w:t>
      </w:r>
    </w:p>
    <w:p>
      <w:pPr>
        <w:pStyle w:val="ListBullet"/>
        <w:spacing w:before="20" w:after="20"/>
        <w:ind w:left="700"/>
      </w:pPr>
      <w:r>
        <w:rPr>
          <w:sz w:val="18"/>
        </w:rPr>
        <w:t>Résultat financier négatif de -73 millions FCFA contre +22 millions en 2021</w:t>
      </w:r>
    </w:p>
    <w:p>
      <w:pPr>
        <w:pStyle w:val="ListBullet"/>
        <w:spacing w:before="20" w:after="20"/>
        <w:ind w:left="700"/>
      </w:pPr>
      <w:r>
        <w:rPr>
          <w:sz w:val="18"/>
        </w:rPr>
        <w:t>Flambée des coûts de matières premières non compensée par les prix de vente</w:t>
      </w:r>
    </w:p>
    <w:p>
      <w:pPr>
        <w:pStyle w:val="ListBullet"/>
        <w:spacing w:before="20" w:after="20"/>
        <w:ind w:left="700"/>
      </w:pPr>
      <w:r>
        <w:rPr>
          <w:sz w:val="18"/>
        </w:rPr>
        <w:t>Impact négatif des crises post-Covid et ukrainienne sur la rentabilité</w:t>
      </w:r>
    </w:p>
    <w:p>
      <w:pPr>
        <w:spacing w:before="40"/>
        <w:ind w:left="400"/>
      </w:pPr>
      <w:r>
        <w:rPr>
          <w:b/>
          <w:color w:val="C05000"/>
          <w:sz w:val="18"/>
        </w:rPr>
        <w:t xml:space="preserve">⚠️ Risques : </w:t>
      </w:r>
      <w:r>
        <w:rPr>
          <w:sz w:val="18"/>
        </w:rPr>
        <w:t>["Volatilit\u00e9 continue des cours des mati\u00e8res premi\u00e8res impactant les marges", "Difficult\u00e9s \u00e0 r\u00e9percuter les hausses de co\u00fbts sur les prix de vente", "Contexte \u00e9conomique global incertain et march\u00e9s volatils"]</w:t>
      </w:r>
    </w:p>
    <w:p>
      <w:pPr>
        <w:spacing w:before="40"/>
        <w:ind w:left="400"/>
      </w:pPr>
      <w:r>
        <w:rPr>
          <w:b/>
          <w:color w:val="0064A0"/>
          <w:sz w:val="18"/>
        </w:rPr>
        <w:t xml:space="preserve">🔮 Perspectives : </w:t>
      </w:r>
      <w:r>
        <w:rPr>
          <w:sz w:val="18"/>
        </w:rPr>
        <w:t>La direction anticipe un 4ème trimestre plus favorable grâce aux célébrations de fin d'année et aux efforts de réduction des coûts. Cependant, l'entreprise reste vigilante face à la volatilité des marchés et au contexte économique global incertain.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d'activit\u00e9, la soci\u00e9t\u00e9 maintient sa rentabilit\u00e9 et engage des actions correctives. Les perspectives d'am\u00e9lioration saisonni\u00e8re et les initiatives commerciales justifient une approche prudente."}</w:t>
      </w:r>
    </w:p>
    <w:p>
      <w:pPr>
        <w:spacing w:before="40"/>
        <w:ind w:left="400"/>
      </w:pPr>
      <w:r>
        <w:rPr>
          <w:sz w:val="18"/>
        </w:rPr>
        <w:t>UNIWAX S.A. affiche une performance contrastée au T1 2023 avec un chiffre d'affaires en baisse de 16% à 9,4 milliards FCFA impacté par la faiblesse de la demande locale et export. Le résultat d'exploitation chute drastiquement de 90% à 71,6 millions FCFA, reflétant les difficultés macro-économiques. Malgré cette contraction opérationnelle, la société parvient à dégager un résultat net positif de 48,2 millions FCFA contre 527 millions en 2022. L'entreprise textile ivoirienne fait face à un environnement économique difficile mais mise sur l'optimisation des coûts et l'ouverture d'une boutique Uniwax. La société reste prudente quant aux perspectives dans un contexte socio-économique volatil.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'4 150 000 000 FCFA', 'resultat_financier': '-7 242 975 FCFA', 'resultat_exploitation': '71 554 797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48 233 867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9 397 016 068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15,97% à 9,4 milliards FCFA au T1 2023</w:t>
      </w:r>
    </w:p>
    <w:p>
      <w:pPr>
        <w:pStyle w:val="ListBullet"/>
        <w:spacing w:before="20" w:after="20"/>
        <w:ind w:left="700"/>
      </w:pPr>
      <w:r>
        <w:rPr>
          <w:sz w:val="18"/>
        </w:rPr>
        <w:t>Résultat d'exploitation en chute libre de 89,90% à 71,6 millions FCFA</w:t>
      </w:r>
    </w:p>
    <w:p>
      <w:pPr>
        <w:pStyle w:val="ListBullet"/>
        <w:spacing w:before="20" w:after="20"/>
        <w:ind w:left="700"/>
      </w:pPr>
      <w:r>
        <w:rPr>
          <w:sz w:val="18"/>
        </w:rPr>
        <w:t>Résultat net positif maintenu à 48,2 millions FCFA malgré la baisse de 90,85%</w:t>
      </w:r>
    </w:p>
    <w:p>
      <w:pPr>
        <w:pStyle w:val="ListBullet"/>
        <w:spacing w:before="20" w:after="20"/>
        <w:ind w:left="700"/>
      </w:pPr>
      <w:r>
        <w:rPr>
          <w:sz w:val="18"/>
        </w:rPr>
        <w:t>Baisse des volumes vendus due aux difficultés macro-économiques</w:t>
      </w:r>
    </w:p>
    <w:p>
      <w:pPr>
        <w:pStyle w:val="ListBullet"/>
        <w:spacing w:before="20" w:after="20"/>
        <w:ind w:left="700"/>
      </w:pPr>
      <w:r>
        <w:rPr>
          <w:sz w:val="18"/>
        </w:rPr>
        <w:t>Impact négatif sur les marchés local et export</w:t>
      </w:r>
    </w:p>
    <w:p>
      <w:pPr>
        <w:pStyle w:val="ListBullet"/>
        <w:spacing w:before="20" w:after="20"/>
        <w:ind w:left="700"/>
      </w:pPr>
      <w:r>
        <w:rPr>
          <w:sz w:val="18"/>
        </w:rPr>
        <w:t>Ouverture de la première boutique Uniwax pour renforcer la visibilité de la marque</w:t>
      </w:r>
    </w:p>
    <w:p>
      <w:pPr>
        <w:spacing w:before="40"/>
        <w:ind w:left="400"/>
      </w:pPr>
      <w:r>
        <w:rPr>
          <w:b/>
          <w:color w:val="C05000"/>
          <w:sz w:val="18"/>
        </w:rPr>
        <w:t xml:space="preserve">⚠️ Risques : </w:t>
      </w:r>
      <w:r>
        <w:rPr>
          <w:sz w:val="18"/>
        </w:rPr>
        <w:t>["Volatilit\u00e9 persistante du contexte socio-\u00e9conomique impactant la demande", "Forte d\u00e9pendance aux march\u00e9s local et export en difficult\u00e9", "Pression continue sur les marges op\u00e9rationnelles"]</w:t>
      </w:r>
    </w:p>
    <w:p>
      <w:pPr>
        <w:spacing w:before="40"/>
        <w:ind w:left="400"/>
      </w:pPr>
      <w:r>
        <w:rPr>
          <w:b/>
          <w:color w:val="0064A0"/>
          <w:sz w:val="18"/>
        </w:rPr>
        <w:t xml:space="preserve">🔮 Perspectives : </w:t>
      </w:r>
      <w:r>
        <w:rPr>
          <w:sz w:val="18"/>
        </w:rPr>
        <w:t>La direction mise sur la saisonnalité favorable du deuxième trimestre et les efforts d'optimisation des coûts pour améliorer la performance. L'ouverture de la première boutique Uniwax devrait contribuer au renforcement de la visibilité de la marque. Cependant, la société reste vigilante face aux flu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