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27/09/2026 à 10:09</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BOAB  (score 79/100)</w:t>
      </w:r>
    </w:p>
    <w:p>
      <w:pPr>
        <w:spacing w:before="20" w:after="20"/>
        <w:ind w:left="360" w:right="360"/>
        <w:shd w:val="clear" w:color="auto" w:fill="EBF5FB"/>
      </w:pPr>
      <w:r>
        <w:rPr>
          <w:b/>
          <w:sz w:val="19"/>
        </w:rPr>
        <w:t xml:space="preserve">Secteur surperformant :  </w:t>
      </w:r>
      <w:r>
        <w:rPr>
          <w:color w:val="008000"/>
          <w:sz w:val="19"/>
        </w:rPr>
        <w:t>SERVICES PUBLICS  (+64.4%)</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12 sociétés — vérifier avant d'investir</w:t>
      </w:r>
    </w:p>
    <w:p>
      <w:pPr>
        <w:spacing w:before="20" w:after="20"/>
        <w:ind w:left="360" w:right="360"/>
        <w:shd w:val="clear" w:color="auto" w:fill="EBF5FB"/>
      </w:pPr>
      <w:r>
        <w:rPr>
          <w:b/>
          <w:sz w:val="19"/>
        </w:rPr>
        <w:t xml:space="preserve">⚠️ Liquidité réduite :  </w:t>
      </w:r>
      <w:r>
        <w:rPr>
          <w:color w:val="C00000"/>
          <w:sz w:val="19"/>
        </w:rPr>
        <w:t>11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540.78 points </w:t>
      </w:r>
      <w:r>
        <w:rPr>
          <w:color w:val="008000"/>
        </w:rPr>
        <w:t>(+1.72%)</w:t>
      </w:r>
      <w:r>
        <w:t xml:space="preserve"> sur la séance. </w:t>
      </w:r>
      <w:r>
        <w:t>La capitalisation globale du marché atteint 21 206,603 milliards FCFA.</w:t>
      </w:r>
    </w:p>
    <w:p/>
    <w:p>
      <w:pPr>
        <w:pStyle w:val="Heading3"/>
      </w:pPr>
      <w:r>
        <w:t>📊 Évolution de l'indice BRVM Composite (100 derniers jours)</w:t>
      </w:r>
    </w:p>
    <w:p>
      <w:r>
        <w:rPr>
          <w:b/>
        </w:rPr>
        <w:t xml:space="preserve">BRVM Composite — </w:t>
      </w:r>
      <w:r>
        <w:t xml:space="preserve">Sur les 100 derniers jours de cotation (2026-05-04 au 2026-09-25), l'indice BRVM Composite a évolué de </w:t>
      </w:r>
      <w:r>
        <w:rPr>
          <w:b/>
          <w:color w:val="008000"/>
        </w:rPr>
        <w:t>+33.33%</w:t>
      </w:r>
      <w:r>
        <w:t>, passant de 405.60 pts à 540.78 pts. Le plus haut atteint est 555.90 pts et le plus bas 401.60 pts. Sur l'ensemble de la période, la moyenne de l'indice s'établit à 475.84 pts, la médiane à 475.67 pts et le mode à 401.60 pts</w:t>
      </w:r>
      <w:r>
        <w:t xml:space="preserve"> (distribution symétrique). </w:t>
      </w:r>
      <w:r>
        <w:t xml:space="preserve">L'écart-type de 47.00 pts (CV=9.9%) traduit une modérée dispersion des cotations. Le kurtosis de -1.14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+35.61%</w:t>
      </w:r>
      <w:r>
        <w:t xml:space="preserve"> sur la période, passant de 15 638,037 Mds FCFA à 21 206,603 Mds FCFA. Le pic de capitalisation observé est de 21 436,336 Mds FCFA et le plancher de 15 482,993 Mds FCFA. La moyenne de la capitalisation sur la période s'établit à 18 347,364 Mds FCFA, la médiane à 18 324,451 Mds FCFA et le mode à 15 482,993 Mds FCFA</w:t>
      </w:r>
      <w:r>
        <w:t xml:space="preserve"> (distribution symétrique). </w:t>
      </w:r>
      <w:r>
        <w:t>L'écart-type de 1 825,397 Mds FCFA (CV=9.9%) reflète une modérée variabilité de la valorisation du marché. Le kurtosis de -1.14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BNBC - BNBC - BERNABE CI</w:t>
      </w:r>
      <w:r>
        <w:t xml:space="preserve"> | Prix: 2010 FCFA | </w:t>
      </w:r>
      <w:r>
        <w:rPr>
          <w:b/>
          <w:color w:val="008000"/>
        </w:rPr>
        <w:t>ACHAT FORT</w:t>
      </w:r>
      <w:r>
        <w:t xml:space="preserve"> | Confiance: Élevée | Risque: Faible</w:t>
      </w:r>
    </w:p>
    <w:p>
      <w:pPr>
        <w:pStyle w:val="ListNumber"/>
      </w:pPr>
      <w:r>
        <w:rPr>
          <w:b/>
        </w:rPr>
        <w:t>BOAM - BANK OF AFRICA MALI</w:t>
      </w:r>
      <w:r>
        <w:t xml:space="preserve"> | Prix: 6290 FCFA | </w:t>
      </w:r>
      <w:r>
        <w:rPr>
          <w:b/>
          <w:color w:val="008000"/>
        </w:rPr>
        <w:t>ACHAT FORT</w:t>
      </w:r>
      <w:r>
        <w:t xml:space="preserve"> | Confiance: Élevée | Risque: Moyen</w:t>
      </w:r>
    </w:p>
    <w:p>
      <w:pPr>
        <w:pStyle w:val="ListNumber"/>
      </w:pPr>
      <w:r>
        <w:rPr>
          <w:b/>
        </w:rPr>
        <w:t>ABJC - ABJC - SERVAIR ABIDJAN CI</w:t>
      </w:r>
      <w:r>
        <w:t xml:space="preserve"> | Prix: 3930 FCFA | </w:t>
      </w:r>
      <w:r>
        <w:rPr>
          <w:b/>
          <w:color w:val="008000"/>
        </w:rPr>
        <w:t>ACHAT</w:t>
      </w:r>
      <w:r>
        <w:t xml:space="preserve"> | Confiance: Moyen | Risque: Faible</w:t>
      </w:r>
    </w:p>
    <w:p>
      <w:pPr>
        <w:pStyle w:val="ListNumber"/>
      </w:pPr>
      <w:r>
        <w:rPr>
          <w:b/>
        </w:rPr>
        <w:t>BICB - BIIC BN - Banque internationale pour le commerce du benin</w:t>
      </w:r>
      <w:r>
        <w:t xml:space="preserve"> | Prix: 8510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32000 FCFA | </w:t>
      </w:r>
      <w:r>
        <w:rPr>
          <w:b/>
          <w:color w:val="008000"/>
        </w:rPr>
        <w:t>ACHAT</w:t>
      </w:r>
      <w:r>
        <w:t xml:space="preserve"> | Confiance: Moyen | Risque: Moyen</w:t>
      </w:r>
    </w:p>
    <w:p>
      <w:pPr>
        <w:pStyle w:val="ListNumber"/>
      </w:pPr>
      <w:r>
        <w:rPr>
          <w:b/>
        </w:rPr>
        <w:t>BOAB - BANK OF AFRICA BENIN</w:t>
      </w:r>
      <w:r>
        <w:t xml:space="preserve"> | Prix: 8950 FCFA | </w:t>
      </w:r>
      <w:r>
        <w:rPr>
          <w:b/>
          <w:color w:val="008000"/>
        </w:rPr>
        <w:t>ACHAT</w:t>
      </w:r>
      <w:r>
        <w:t xml:space="preserve"> | Confiance: Élevée | Risque: Faible</w:t>
      </w:r>
    </w:p>
    <w:p>
      <w:pPr>
        <w:pStyle w:val="ListNumber"/>
      </w:pPr>
      <w:r>
        <w:rPr>
          <w:b/>
        </w:rPr>
        <w:t>BOABF - BANK OF AFRICA BURKINA FASO</w:t>
      </w:r>
      <w:r>
        <w:t xml:space="preserve"> | Prix: 8100 FCFA | </w:t>
      </w:r>
      <w:r>
        <w:rPr>
          <w:b/>
          <w:color w:val="008000"/>
        </w:rPr>
        <w:t>ACHAT</w:t>
      </w:r>
      <w:r>
        <w:t xml:space="preserve"> | Confiance: Moyen | Risque: Moyen</w:t>
      </w:r>
    </w:p>
    <w:p>
      <w:pPr>
        <w:pStyle w:val="ListNumber"/>
      </w:pPr>
      <w:r>
        <w:rPr>
          <w:b/>
        </w:rPr>
        <w:t>BOAC - BANK OF AFRICA COTE D'IVOIRE</w:t>
      </w:r>
      <w:r>
        <w:t xml:space="preserve"> | Prix: 11595 FCFA | </w:t>
      </w:r>
      <w:r>
        <w:rPr>
          <w:b/>
          <w:color w:val="008000"/>
        </w:rPr>
        <w:t>ACHAT</w:t>
      </w:r>
      <w:r>
        <w:t xml:space="preserve"> | Confiance: Moyen | Risque: Moyen</w:t>
      </w:r>
    </w:p>
    <w:p>
      <w:pPr>
        <w:pStyle w:val="ListNumber"/>
      </w:pPr>
      <w:r>
        <w:rPr>
          <w:b/>
        </w:rPr>
        <w:t>BOAN - BANK OF AFRICA NIGER</w:t>
      </w:r>
      <w:r>
        <w:t xml:space="preserve"> | Prix: 5130 FCFA | </w:t>
      </w:r>
      <w:r>
        <w:rPr>
          <w:b/>
          <w:color w:val="008000"/>
        </w:rPr>
        <w:t>ACHAT</w:t>
      </w:r>
      <w:r>
        <w:t xml:space="preserve"> | Confiance: Moyen | Risque: Moyen</w:t>
      </w:r>
    </w:p>
    <w:p>
      <w:pPr>
        <w:pStyle w:val="ListNumber"/>
      </w:pPr>
      <w:r>
        <w:rPr>
          <w:b/>
        </w:rPr>
        <w:t>BOAS - BANK OF AFRICA SENEGAL</w:t>
      </w:r>
      <w:r>
        <w:t xml:space="preserve"> | Prix: 8100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STBC - STBC - SITAB COTE D'IVOIRE</w:t>
      </w:r>
      <w:r>
        <w:t xml:space="preserve"> | Prix: 21400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64.40%</w:t>
      </w:r>
      <w:r>
        <w:t xml:space="preserve">  |  </w:t>
      </w:r>
      <w:r>
        <w:rPr>
          <w:b/>
        </w:rPr>
        <w:t xml:space="preserve">vs BRVM Composite: </w:t>
      </w:r>
      <w:r>
        <w:rPr>
          <w:b/>
          <w:color w:val="008000"/>
        </w:rPr>
        <w:t>+31.07%  🟢 Surperformance</w:t>
      </w:r>
      <w:r>
        <w:br/>
      </w:r>
      <w:r>
        <w:rPr>
          <w:b/>
        </w:rPr>
        <w:t xml:space="preserve">Sentiment général: </w:t>
      </w:r>
      <w:r>
        <w:t xml:space="preserve">ACHAT  |  </w:t>
      </w:r>
      <w:r>
        <w:rPr>
          <w:b/>
        </w:rPr>
        <w:t xml:space="preserve">Risque moyen: </w:t>
      </w:r>
      <w:r>
        <w:t xml:space="preserve">Moyen  |  </w:t>
      </w:r>
      <w:r>
        <w:rPr>
          <w:b/>
        </w:rPr>
        <w:t xml:space="preserve">Prix moyen: </w:t>
      </w:r>
      <w:r>
        <w:t>9170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37.12%</w:t>
      </w:r>
      <w:r>
        <w:t xml:space="preserve">  |  </w:t>
      </w:r>
      <w:r>
        <w:rPr>
          <w:b/>
        </w:rPr>
        <w:t xml:space="preserve">vs BRVM Composite: </w:t>
      </w:r>
      <w:r>
        <w:rPr>
          <w:b/>
          <w:color w:val="008000"/>
        </w:rPr>
        <w:t>+3.79%  🟢 Surperformance</w:t>
      </w:r>
      <w:r>
        <w:br/>
      </w:r>
      <w:r>
        <w:rPr>
          <w:b/>
        </w:rPr>
        <w:t xml:space="preserve">Sentiment général: </w:t>
      </w:r>
      <w:r>
        <w:t xml:space="preserve">ACHAT  |  </w:t>
      </w:r>
      <w:r>
        <w:rPr>
          <w:b/>
        </w:rPr>
        <w:t xml:space="preserve">Risque moyen: </w:t>
      </w:r>
      <w:r>
        <w:t xml:space="preserve">Moyen  |  </w:t>
      </w:r>
      <w:r>
        <w:rPr>
          <w:b/>
        </w:rPr>
        <w:t xml:space="preserve">Prix moyen: </w:t>
      </w:r>
      <w:r>
        <w:t>13425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31.66%</w:t>
      </w:r>
      <w:r>
        <w:t xml:space="preserve">  |  </w:t>
      </w:r>
      <w:r>
        <w:rPr>
          <w:b/>
        </w:rPr>
        <w:t xml:space="preserve">vs BRVM Composite: </w:t>
      </w:r>
      <w:r>
        <w:rPr>
          <w:b/>
          <w:color w:val="C00000"/>
        </w:rPr>
        <w:t>-1.66%  🔴 Sous-performance</w:t>
      </w:r>
      <w:r>
        <w:br/>
      </w:r>
      <w:r>
        <w:rPr>
          <w:b/>
        </w:rPr>
        <w:t xml:space="preserve">Sentiment général: </w:t>
      </w:r>
      <w:r>
        <w:t xml:space="preserve">ACHAT  |  </w:t>
      </w:r>
      <w:r>
        <w:rPr>
          <w:b/>
        </w:rPr>
        <w:t xml:space="preserve">Risque moyen: </w:t>
      </w:r>
      <w:r>
        <w:t xml:space="preserve">Moyen  |  </w:t>
      </w:r>
      <w:r>
        <w:rPr>
          <w:b/>
        </w:rPr>
        <w:t xml:space="preserve">Prix moyen: </w:t>
      </w:r>
      <w:r>
        <w:t>22252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23.59%</w:t>
      </w:r>
      <w:r>
        <w:t xml:space="preserve">  |  </w:t>
      </w:r>
      <w:r>
        <w:rPr>
          <w:b/>
        </w:rPr>
        <w:t xml:space="preserve">vs BRVM Composite: </w:t>
      </w:r>
      <w:r>
        <w:rPr>
          <w:b/>
          <w:color w:val="C00000"/>
        </w:rPr>
        <w:t>-9.74%  🔴 Sous-performance</w:t>
      </w:r>
      <w:r>
        <w:br/>
      </w:r>
      <w:r>
        <w:rPr>
          <w:b/>
        </w:rPr>
        <w:t xml:space="preserve">Sentiment général: </w:t>
      </w:r>
      <w:r>
        <w:t xml:space="preserve">ACHAT  |  </w:t>
      </w:r>
      <w:r>
        <w:rPr>
          <w:b/>
        </w:rPr>
        <w:t xml:space="preserve">Risque moyen: </w:t>
      </w:r>
      <w:r>
        <w:t xml:space="preserve">Faible  |  </w:t>
      </w:r>
      <w:r>
        <w:rPr>
          <w:b/>
        </w:rPr>
        <w:t xml:space="preserve">Prix moyen: </w:t>
      </w:r>
      <w:r>
        <w:t>6269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23.48%</w:t>
      </w:r>
      <w:r>
        <w:t xml:space="preserve">  |  </w:t>
      </w:r>
      <w:r>
        <w:rPr>
          <w:b/>
        </w:rPr>
        <w:t xml:space="preserve">vs BRVM Composite: </w:t>
      </w:r>
      <w:r>
        <w:rPr>
          <w:b/>
          <w:color w:val="C00000"/>
        </w:rPr>
        <w:t>-9.85%  🔴 Sous-performance</w:t>
      </w:r>
      <w:r>
        <w:br/>
      </w:r>
      <w:r>
        <w:rPr>
          <w:b/>
        </w:rPr>
        <w:t xml:space="preserve">Sentiment général: </w:t>
      </w:r>
      <w:r>
        <w:t xml:space="preserve">ACHAT  |  </w:t>
      </w:r>
      <w:r>
        <w:rPr>
          <w:b/>
        </w:rPr>
        <w:t xml:space="preserve">Risque moyen: </w:t>
      </w:r>
      <w:r>
        <w:t xml:space="preserve">Faible  |  </w:t>
      </w:r>
      <w:r>
        <w:rPr>
          <w:b/>
        </w:rPr>
        <w:t xml:space="preserve">Prix moyen: </w:t>
      </w:r>
      <w:r>
        <w:t>17900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20.22%</w:t>
      </w:r>
      <w:r>
        <w:t xml:space="preserve">  |  </w:t>
      </w:r>
      <w:r>
        <w:rPr>
          <w:b/>
        </w:rPr>
        <w:t xml:space="preserve">vs BRVM Composite: </w:t>
      </w:r>
      <w:r>
        <w:rPr>
          <w:b/>
          <w:color w:val="C00000"/>
        </w:rPr>
        <w:t>-13.11%  🔴 Sous-performance</w:t>
      </w:r>
      <w:r>
        <w:br/>
      </w:r>
      <w:r>
        <w:rPr>
          <w:b/>
        </w:rPr>
        <w:t xml:space="preserve">Sentiment général: </w:t>
      </w:r>
      <w:r>
        <w:t xml:space="preserve">ACHAT  |  </w:t>
      </w:r>
      <w:r>
        <w:rPr>
          <w:b/>
        </w:rPr>
        <w:t xml:space="preserve">Risque moyen: </w:t>
      </w:r>
      <w:r>
        <w:t xml:space="preserve">Faible  |  </w:t>
      </w:r>
      <w:r>
        <w:rPr>
          <w:b/>
        </w:rPr>
        <w:t xml:space="preserve">Prix moyen: </w:t>
      </w:r>
      <w:r>
        <w:t>2916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-2.93%</w:t>
      </w:r>
      <w:r>
        <w:t xml:space="preserve">  |  </w:t>
      </w:r>
      <w:r>
        <w:rPr>
          <w:b/>
        </w:rPr>
        <w:t xml:space="preserve">vs BRVM Composite: </w:t>
      </w:r>
      <w:r>
        <w:rPr>
          <w:b/>
          <w:color w:val="C00000"/>
        </w:rPr>
        <w:t>-36.25%  🔴 Sous-performance</w:t>
      </w:r>
      <w:r>
        <w:br/>
      </w:r>
      <w:r>
        <w:rPr>
          <w:b/>
        </w:rPr>
        <w:t xml:space="preserve">Sentiment général: </w:t>
      </w:r>
      <w:r>
        <w:t xml:space="preserve">ACHAT  |  </w:t>
      </w:r>
      <w:r>
        <w:rPr>
          <w:b/>
        </w:rPr>
        <w:t xml:space="preserve">Risque moyen: </w:t>
      </w:r>
      <w:r>
        <w:t xml:space="preserve">Moyen  |  </w:t>
      </w:r>
      <w:r>
        <w:rPr>
          <w:b/>
        </w:rPr>
        <w:t xml:space="preserve">Prix moyen: </w:t>
      </w:r>
      <w:r>
        <w:t>2313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BICB, BOAB, ECOC, NEIC, SAFC, SGBC, SHEC, SPHC,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BICC, BNBC, BOABF, BOAC, BOAM, BOAN, BOAS, CBIBF, CIEC, ETIT, FTSC, NSBC, ORAC, ORGT, PALC, SDCC, SDSC, SEMC, SIBC, SIVC, SMBC, SNTS, STAC, TTLC,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CABC, CFAC, LNBB, NTLC, ONTBF, PRSC, SCRC, SICC, SLBC, SOGC, UNLC</w:t>
            </w:r>
          </w:p>
        </w:tc>
        <w:tc>
          <w:tcPr>
            <w:tcW w:type="dxa" w:w="2160"/>
            <w:shd w:fill="FFC7CE" w:val="clear"/>
          </w:tcPr>
          <w:p>
            <w:pPr>
              <w:spacing w:before="40" w:after="40"/>
            </w:pPr>
            <w:r/>
            <w:r>
              <w:rPr>
                <w:b w:val="0"/>
                <w:sz w:val="16"/>
              </w:rPr>
              <w:t>STBC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1960874</w:t>
            </w:r>
          </w:p>
        </w:tc>
        <w:tc>
          <w:tcPr>
            <w:tcW w:type="dxa" w:w="1728"/>
          </w:tcPr>
          <w:p>
            <w:r>
              <w:t>132931479 FCFA</w:t>
            </w:r>
          </w:p>
        </w:tc>
        <w:tc>
          <w:tcPr>
            <w:tcW w:type="dxa" w:w="1728"/>
          </w:tcPr>
          <w:p>
            <w:r>
              <w:t>130.00%</w:t>
            </w:r>
          </w:p>
        </w:tc>
        <w:tc>
          <w:tcPr>
            <w:tcW w:type="dxa" w:w="1728"/>
          </w:tcPr>
          <w:p>
            <w:r>
              <w:t>ACHAT</w:t>
            </w:r>
          </w:p>
        </w:tc>
      </w:tr>
      <w:tr>
        <w:tc>
          <w:tcPr>
            <w:tcW w:type="dxa" w:w="1728"/>
          </w:tcPr>
          <w:p>
            <w:r>
              <w:t>SNTS (SNTS - SONATEL SN)</w:t>
            </w:r>
          </w:p>
        </w:tc>
        <w:tc>
          <w:tcPr>
            <w:tcW w:type="dxa" w:w="1728"/>
          </w:tcPr>
          <w:p>
            <w:r>
              <w:t>19836</w:t>
            </w:r>
          </w:p>
        </w:tc>
        <w:tc>
          <w:tcPr>
            <w:tcW w:type="dxa" w:w="1728"/>
          </w:tcPr>
          <w:p>
            <w:r>
              <w:t>798366524 FCFA</w:t>
            </w:r>
          </w:p>
        </w:tc>
        <w:tc>
          <w:tcPr>
            <w:tcW w:type="dxa" w:w="1728"/>
          </w:tcPr>
          <w:p>
            <w:r>
              <w:t>46.55%</w:t>
            </w:r>
          </w:p>
        </w:tc>
        <w:tc>
          <w:tcPr>
            <w:tcW w:type="dxa" w:w="1728"/>
          </w:tcPr>
          <w:p>
            <w:r>
              <w:t>ACHAT</w:t>
            </w:r>
          </w:p>
        </w:tc>
      </w:tr>
      <w:tr>
        <w:tc>
          <w:tcPr>
            <w:tcW w:type="dxa" w:w="1728"/>
          </w:tcPr>
          <w:p>
            <w:r>
              <w:t>SIBC (SIBC - SOCIETE IVOIRIENNE DE BANQUE)</w:t>
            </w:r>
          </w:p>
        </w:tc>
        <w:tc>
          <w:tcPr>
            <w:tcW w:type="dxa" w:w="1728"/>
          </w:tcPr>
          <w:p>
            <w:r>
              <w:t>16348</w:t>
            </w:r>
          </w:p>
        </w:tc>
        <w:tc>
          <w:tcPr>
            <w:tcW w:type="dxa" w:w="1728"/>
          </w:tcPr>
          <w:p>
            <w:r>
              <w:t>148555379 FCFA</w:t>
            </w:r>
          </w:p>
        </w:tc>
        <w:tc>
          <w:tcPr>
            <w:tcW w:type="dxa" w:w="1728"/>
          </w:tcPr>
          <w:p>
            <w:r>
              <w:t>23.63%</w:t>
            </w:r>
          </w:p>
        </w:tc>
        <w:tc>
          <w:tcPr>
            <w:tcW w:type="dxa" w:w="1728"/>
          </w:tcPr>
          <w:p>
            <w:r>
              <w:t>ACHAT</w:t>
            </w:r>
          </w:p>
        </w:tc>
      </w:tr>
      <w:tr>
        <w:tc>
          <w:tcPr>
            <w:tcW w:type="dxa" w:w="1728"/>
          </w:tcPr>
          <w:p>
            <w:r>
              <w:t>SDSC (SDSC - AFRICA GLOBAL LOGISTICS CI)</w:t>
            </w:r>
          </w:p>
        </w:tc>
        <w:tc>
          <w:tcPr>
            <w:tcW w:type="dxa" w:w="1728"/>
          </w:tcPr>
          <w:p>
            <w:r>
              <w:t>16200</w:t>
            </w:r>
          </w:p>
        </w:tc>
        <w:tc>
          <w:tcPr>
            <w:tcW w:type="dxa" w:w="1728"/>
          </w:tcPr>
          <w:p>
            <w:r>
              <w:t>47130181 FCFA</w:t>
            </w:r>
          </w:p>
        </w:tc>
        <w:tc>
          <w:tcPr>
            <w:tcW w:type="dxa" w:w="1728"/>
          </w:tcPr>
          <w:p>
            <w:r>
              <w:t>72.62%</w:t>
            </w:r>
          </w:p>
        </w:tc>
        <w:tc>
          <w:tcPr>
            <w:tcW w:type="dxa" w:w="1728"/>
          </w:tcPr>
          <w:p>
            <w:r>
              <w:t>ACHAT</w:t>
            </w:r>
          </w:p>
        </w:tc>
      </w:tr>
      <w:tr>
        <w:tc>
          <w:tcPr>
            <w:tcW w:type="dxa" w:w="1728"/>
          </w:tcPr>
          <w:p>
            <w:r>
              <w:t>BOAS (BANK OF AFRICA SENEGAL)</w:t>
            </w:r>
          </w:p>
        </w:tc>
        <w:tc>
          <w:tcPr>
            <w:tcW w:type="dxa" w:w="1728"/>
          </w:tcPr>
          <w:p>
            <w:r>
              <w:t>14161</w:t>
            </w:r>
          </w:p>
        </w:tc>
        <w:tc>
          <w:tcPr>
            <w:tcW w:type="dxa" w:w="1728"/>
          </w:tcPr>
          <w:p>
            <w:r>
              <w:t>115571889 FCFA</w:t>
            </w:r>
          </w:p>
        </w:tc>
        <w:tc>
          <w:tcPr>
            <w:tcW w:type="dxa" w:w="1728"/>
          </w:tcPr>
          <w:p>
            <w:r>
              <w:t>14.08%</w:t>
            </w:r>
          </w:p>
        </w:tc>
        <w:tc>
          <w:tcPr>
            <w:tcW w:type="dxa" w:w="1728"/>
          </w:tcPr>
          <w:p>
            <w:r>
              <w:t>ACHAT</w:t>
            </w:r>
          </w:p>
        </w:tc>
      </w:tr>
      <w:tr>
        <w:tc>
          <w:tcPr>
            <w:tcW w:type="dxa" w:w="1728"/>
          </w:tcPr>
          <w:p>
            <w:r>
              <w:t>BICB (BIIC BN - Banque internationale pour le commerce du benin)</w:t>
            </w:r>
          </w:p>
        </w:tc>
        <w:tc>
          <w:tcPr>
            <w:tcW w:type="dxa" w:w="1728"/>
          </w:tcPr>
          <w:p>
            <w:r>
              <w:t>12686</w:t>
            </w:r>
          </w:p>
        </w:tc>
        <w:tc>
          <w:tcPr>
            <w:tcW w:type="dxa" w:w="1728"/>
          </w:tcPr>
          <w:p>
            <w:r>
              <w:t>121906283 FCFA</w:t>
            </w:r>
          </w:p>
        </w:tc>
        <w:tc>
          <w:tcPr>
            <w:tcW w:type="dxa" w:w="1728"/>
          </w:tcPr>
          <w:p>
            <w:r>
              <w:t>60.41%</w:t>
            </w:r>
          </w:p>
        </w:tc>
        <w:tc>
          <w:tcPr>
            <w:tcW w:type="dxa" w:w="1728"/>
          </w:tcPr>
          <w:p>
            <w:r>
              <w:t>ACHAT</w:t>
            </w:r>
          </w:p>
        </w:tc>
      </w:tr>
      <w:tr>
        <w:tc>
          <w:tcPr>
            <w:tcW w:type="dxa" w:w="1728"/>
          </w:tcPr>
          <w:p>
            <w:r>
              <w:t>SAFC (SAFCA CI)</w:t>
            </w:r>
          </w:p>
        </w:tc>
        <w:tc>
          <w:tcPr>
            <w:tcW w:type="dxa" w:w="1728"/>
          </w:tcPr>
          <w:p>
            <w:r>
              <w:t>12550</w:t>
            </w:r>
          </w:p>
        </w:tc>
        <w:tc>
          <w:tcPr>
            <w:tcW w:type="dxa" w:w="1728"/>
          </w:tcPr>
          <w:p>
            <w:r>
              <w:t>66763135 FCFA</w:t>
            </w:r>
          </w:p>
        </w:tc>
        <w:tc>
          <w:tcPr>
            <w:tcW w:type="dxa" w:w="1728"/>
          </w:tcPr>
          <w:p>
            <w:r>
              <w:t>28.74%</w:t>
            </w:r>
          </w:p>
        </w:tc>
        <w:tc>
          <w:tcPr>
            <w:tcW w:type="dxa" w:w="1728"/>
          </w:tcPr>
          <w:p>
            <w:r>
              <w:t>ACHAT</w:t>
            </w:r>
          </w:p>
        </w:tc>
      </w:tr>
      <w:tr>
        <w:tc>
          <w:tcPr>
            <w:tcW w:type="dxa" w:w="1728"/>
          </w:tcPr>
          <w:p>
            <w:r>
              <w:t>UNXC (UNXC - UNIWAX COTE D'IVOIRE)</w:t>
            </w:r>
          </w:p>
        </w:tc>
        <w:tc>
          <w:tcPr>
            <w:tcW w:type="dxa" w:w="1728"/>
          </w:tcPr>
          <w:p>
            <w:r>
              <w:t>11927</w:t>
            </w:r>
          </w:p>
        </w:tc>
        <w:tc>
          <w:tcPr>
            <w:tcW w:type="dxa" w:w="1728"/>
          </w:tcPr>
          <w:p>
            <w:r>
              <w:t>28000296 FCFA</w:t>
            </w:r>
          </w:p>
        </w:tc>
        <w:tc>
          <w:tcPr>
            <w:tcW w:type="dxa" w:w="1728"/>
          </w:tcPr>
          <w:p>
            <w:r>
              <w:t>25.00%</w:t>
            </w:r>
          </w:p>
        </w:tc>
        <w:tc>
          <w:tcPr>
            <w:tcW w:type="dxa" w:w="1728"/>
          </w:tcPr>
          <w:p>
            <w:r>
              <w:t>ACHAT</w:t>
            </w:r>
          </w:p>
        </w:tc>
      </w:tr>
      <w:tr>
        <w:tc>
          <w:tcPr>
            <w:tcW w:type="dxa" w:w="1728"/>
          </w:tcPr>
          <w:p>
            <w:r>
              <w:t>BOAC (BANK OF AFRICA COTE D'IVOIRE)</w:t>
            </w:r>
          </w:p>
        </w:tc>
        <w:tc>
          <w:tcPr>
            <w:tcW w:type="dxa" w:w="1728"/>
          </w:tcPr>
          <w:p>
            <w:r>
              <w:t>11724</w:t>
            </w:r>
          </w:p>
        </w:tc>
        <w:tc>
          <w:tcPr>
            <w:tcW w:type="dxa" w:w="1728"/>
          </w:tcPr>
          <w:p>
            <w:r>
              <w:t>139825045 FCFA</w:t>
            </w:r>
          </w:p>
        </w:tc>
        <w:tc>
          <w:tcPr>
            <w:tcW w:type="dxa" w:w="1728"/>
          </w:tcPr>
          <w:p>
            <w:r>
              <w:t>31.09%</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BNBC (BNBC - BERNABE CI)</w:t>
            </w:r>
          </w:p>
        </w:tc>
        <w:tc>
          <w:tcPr>
            <w:tcW w:type="dxa" w:w="1728"/>
          </w:tcPr>
          <w:p>
            <w:r>
              <w:t>3979</w:t>
            </w:r>
          </w:p>
        </w:tc>
        <w:tc>
          <w:tcPr>
            <w:tcW w:type="dxa" w:w="1728"/>
          </w:tcPr>
          <w:p>
            <w:r>
              <w:t>8623649 FCFA</w:t>
            </w:r>
          </w:p>
        </w:tc>
        <w:tc>
          <w:tcPr>
            <w:tcW w:type="dxa" w:w="1728"/>
          </w:tcPr>
          <w:p>
            <w:r>
              <w:t>38.62%</w:t>
            </w:r>
          </w:p>
        </w:tc>
        <w:tc>
          <w:tcPr>
            <w:tcW w:type="dxa" w:w="1728"/>
          </w:tcPr>
          <w:p>
            <w:r>
              <w:t>ACHAT FORT</w:t>
            </w:r>
          </w:p>
        </w:tc>
      </w:tr>
      <w:tr>
        <w:tc>
          <w:tcPr>
            <w:tcW w:type="dxa" w:w="1728"/>
          </w:tcPr>
          <w:p>
            <w:r>
              <w:t>PALC (PALC - PALM COTE D'IVOIRE)</w:t>
            </w:r>
          </w:p>
        </w:tc>
        <w:tc>
          <w:tcPr>
            <w:tcW w:type="dxa" w:w="1728"/>
          </w:tcPr>
          <w:p>
            <w:r>
              <w:t>3572</w:t>
            </w:r>
          </w:p>
        </w:tc>
        <w:tc>
          <w:tcPr>
            <w:tcW w:type="dxa" w:w="1728"/>
          </w:tcPr>
          <w:p>
            <w:r>
              <w:t>30448272 FCFA</w:t>
            </w:r>
          </w:p>
        </w:tc>
        <w:tc>
          <w:tcPr>
            <w:tcW w:type="dxa" w:w="1728"/>
          </w:tcPr>
          <w:p>
            <w:r>
              <w:t>15.71%</w:t>
            </w:r>
          </w:p>
        </w:tc>
        <w:tc>
          <w:tcPr>
            <w:tcW w:type="dxa" w:w="1728"/>
          </w:tcPr>
          <w:p>
            <w:r>
              <w:t>ACHAT</w:t>
            </w:r>
          </w:p>
        </w:tc>
      </w:tr>
      <w:tr>
        <w:tc>
          <w:tcPr>
            <w:tcW w:type="dxa" w:w="1728"/>
          </w:tcPr>
          <w:p>
            <w:r>
              <w:t>SOGC (SOGC - Société des caoutchoucs de Grand-Béréby)</w:t>
            </w:r>
          </w:p>
        </w:tc>
        <w:tc>
          <w:tcPr>
            <w:tcW w:type="dxa" w:w="1728"/>
          </w:tcPr>
          <w:p>
            <w:r>
              <w:t>3568</w:t>
            </w:r>
          </w:p>
        </w:tc>
        <w:tc>
          <w:tcPr>
            <w:tcW w:type="dxa" w:w="1728"/>
          </w:tcPr>
          <w:p>
            <w:r>
              <w:t>29317985 FCFA</w:t>
            </w:r>
          </w:p>
        </w:tc>
        <w:tc>
          <w:tcPr>
            <w:tcW w:type="dxa" w:w="1728"/>
          </w:tcPr>
          <w:p>
            <w:r>
              <w:t>9.72%</w:t>
            </w:r>
          </w:p>
        </w:tc>
        <w:tc>
          <w:tcPr>
            <w:tcW w:type="dxa" w:w="1728"/>
          </w:tcPr>
          <w:p>
            <w:r>
              <w:t>ACHAT</w:t>
            </w:r>
          </w:p>
        </w:tc>
      </w:tr>
      <w:tr>
        <w:tc>
          <w:tcPr>
            <w:tcW w:type="dxa" w:w="1728"/>
          </w:tcPr>
          <w:p>
            <w:r>
              <w:t>CFAC (CFAC - CFAO MOTORS CI)</w:t>
            </w:r>
          </w:p>
        </w:tc>
        <w:tc>
          <w:tcPr>
            <w:tcW w:type="dxa" w:w="1728"/>
          </w:tcPr>
          <w:p>
            <w:r>
              <w:t>3419</w:t>
            </w:r>
          </w:p>
        </w:tc>
        <w:tc>
          <w:tcPr>
            <w:tcW w:type="dxa" w:w="1728"/>
          </w:tcPr>
          <w:p>
            <w:r>
              <w:t>5777663 FCFA</w:t>
            </w:r>
          </w:p>
        </w:tc>
        <w:tc>
          <w:tcPr>
            <w:tcW w:type="dxa" w:w="1728"/>
          </w:tcPr>
          <w:p>
            <w:r>
              <w:t>8.74%</w:t>
            </w:r>
          </w:p>
        </w:tc>
        <w:tc>
          <w:tcPr>
            <w:tcW w:type="dxa" w:w="1728"/>
          </w:tcPr>
          <w:p>
            <w:r>
              <w:t>ACHAT</w:t>
            </w:r>
          </w:p>
        </w:tc>
      </w:tr>
      <w:tr>
        <w:tc>
          <w:tcPr>
            <w:tcW w:type="dxa" w:w="1728"/>
          </w:tcPr>
          <w:p>
            <w:r>
              <w:t>STBC (STBC - SITAB COTE D'IVOIRE)</w:t>
            </w:r>
          </w:p>
        </w:tc>
        <w:tc>
          <w:tcPr>
            <w:tcW w:type="dxa" w:w="1728"/>
          </w:tcPr>
          <w:p>
            <w:r>
              <w:t>3100</w:t>
            </w:r>
          </w:p>
        </w:tc>
        <w:tc>
          <w:tcPr>
            <w:tcW w:type="dxa" w:w="1728"/>
          </w:tcPr>
          <w:p>
            <w:r>
              <w:t>67698819 FCFA</w:t>
            </w:r>
          </w:p>
        </w:tc>
        <w:tc>
          <w:tcPr>
            <w:tcW w:type="dxa" w:w="1728"/>
          </w:tcPr>
          <w:p>
            <w:r>
              <w:t>4.39%</w:t>
            </w:r>
          </w:p>
        </w:tc>
        <w:tc>
          <w:tcPr>
            <w:tcW w:type="dxa" w:w="1728"/>
          </w:tcPr>
          <w:p>
            <w:r>
              <w:t>CONSERVER ⚠️</w:t>
            </w:r>
          </w:p>
        </w:tc>
      </w:tr>
      <w:tr>
        <w:tc>
          <w:tcPr>
            <w:tcW w:type="dxa" w:w="1728"/>
          </w:tcPr>
          <w:p>
            <w:r>
              <w:t>NEIC (NEIC - NEI-CEDA CI)</w:t>
            </w:r>
          </w:p>
        </w:tc>
        <w:tc>
          <w:tcPr>
            <w:tcW w:type="dxa" w:w="1728"/>
          </w:tcPr>
          <w:p>
            <w:r>
              <w:t>3071</w:t>
            </w:r>
          </w:p>
        </w:tc>
        <w:tc>
          <w:tcPr>
            <w:tcW w:type="dxa" w:w="1728"/>
          </w:tcPr>
          <w:p>
            <w:r>
              <w:t>8217466 FCFA</w:t>
            </w:r>
          </w:p>
        </w:tc>
        <w:tc>
          <w:tcPr>
            <w:tcW w:type="dxa" w:w="1728"/>
          </w:tcPr>
          <w:p>
            <w:r>
              <w:t>35.80%</w:t>
            </w:r>
          </w:p>
        </w:tc>
        <w:tc>
          <w:tcPr>
            <w:tcW w:type="dxa" w:w="1728"/>
          </w:tcPr>
          <w:p>
            <w:r>
              <w:t>ACHAT</w:t>
            </w:r>
          </w:p>
        </w:tc>
      </w:tr>
      <w:tr>
        <w:tc>
          <w:tcPr>
            <w:tcW w:type="dxa" w:w="1728"/>
          </w:tcPr>
          <w:p>
            <w:r>
              <w:t>ECOC (ECOC - ECOBANK COTE D'IVOIRE)</w:t>
            </w:r>
          </w:p>
        </w:tc>
        <w:tc>
          <w:tcPr>
            <w:tcW w:type="dxa" w:w="1728"/>
          </w:tcPr>
          <w:p>
            <w:r>
              <w:t>3007</w:t>
            </w:r>
          </w:p>
        </w:tc>
        <w:tc>
          <w:tcPr>
            <w:tcW w:type="dxa" w:w="1728"/>
          </w:tcPr>
          <w:p>
            <w:r>
              <w:t>51264759 FCFA</w:t>
            </w:r>
          </w:p>
        </w:tc>
        <w:tc>
          <w:tcPr>
            <w:tcW w:type="dxa" w:w="1728"/>
          </w:tcPr>
          <w:p>
            <w:r>
              <w:t>4.38%</w:t>
            </w:r>
          </w:p>
        </w:tc>
        <w:tc>
          <w:tcPr>
            <w:tcW w:type="dxa" w:w="1728"/>
          </w:tcPr>
          <w:p>
            <w:r>
              <w:t>ACHAT</w:t>
            </w:r>
          </w:p>
        </w:tc>
      </w:tr>
      <w:tr>
        <w:tc>
          <w:tcPr>
            <w:tcW w:type="dxa" w:w="1728"/>
          </w:tcPr>
          <w:p>
            <w:r>
              <w:t>FTSC (FTSC - FILTISAC COTE D'IVOIRE)</w:t>
            </w:r>
          </w:p>
        </w:tc>
        <w:tc>
          <w:tcPr>
            <w:tcW w:type="dxa" w:w="1728"/>
          </w:tcPr>
          <w:p>
            <w:r>
              <w:t>2915</w:t>
            </w:r>
          </w:p>
        </w:tc>
        <w:tc>
          <w:tcPr>
            <w:tcW w:type="dxa" w:w="1728"/>
          </w:tcPr>
          <w:p>
            <w:r>
              <w:t>6081324 FCFA</w:t>
            </w:r>
          </w:p>
        </w:tc>
        <w:tc>
          <w:tcPr>
            <w:tcW w:type="dxa" w:w="1728"/>
          </w:tcPr>
          <w:p>
            <w:r>
              <w:t>-8.88%</w:t>
            </w:r>
          </w:p>
        </w:tc>
        <w:tc>
          <w:tcPr>
            <w:tcW w:type="dxa" w:w="1728"/>
          </w:tcPr>
          <w:p>
            <w:r>
              <w:t>ACHAT</w:t>
            </w:r>
          </w:p>
        </w:tc>
      </w:tr>
      <w:tr>
        <w:tc>
          <w:tcPr>
            <w:tcW w:type="dxa" w:w="1728"/>
          </w:tcPr>
          <w:p>
            <w:r>
              <w:t>SDCC (SDCC - Société de Distribution d'Eau de Côte d'Ivoire)</w:t>
            </w:r>
          </w:p>
        </w:tc>
        <w:tc>
          <w:tcPr>
            <w:tcW w:type="dxa" w:w="1728"/>
          </w:tcPr>
          <w:p>
            <w:r>
              <w:t>2253</w:t>
            </w:r>
          </w:p>
        </w:tc>
        <w:tc>
          <w:tcPr>
            <w:tcW w:type="dxa" w:w="1728"/>
          </w:tcPr>
          <w:p>
            <w:r>
              <w:t>29570195 FCFA</w:t>
            </w:r>
          </w:p>
        </w:tc>
        <w:tc>
          <w:tcPr>
            <w:tcW w:type="dxa" w:w="1728"/>
          </w:tcPr>
          <w:p>
            <w:r>
              <w:t>26.60%</w:t>
            </w:r>
          </w:p>
        </w:tc>
        <w:tc>
          <w:tcPr>
            <w:tcW w:type="dxa" w:w="1728"/>
          </w:tcPr>
          <w:p>
            <w:r>
              <w:t>ACHAT</w:t>
            </w:r>
          </w:p>
        </w:tc>
      </w:tr>
      <w:tr>
        <w:tc>
          <w:tcPr>
            <w:tcW w:type="dxa" w:w="1728"/>
          </w:tcPr>
          <w:p>
            <w:r>
              <w:t>PRSC (PRSC - TRACTAFRIC MOTORS CI)</w:t>
            </w:r>
          </w:p>
        </w:tc>
        <w:tc>
          <w:tcPr>
            <w:tcW w:type="dxa" w:w="1728"/>
          </w:tcPr>
          <w:p>
            <w:r>
              <w:t>2253</w:t>
            </w:r>
          </w:p>
        </w:tc>
        <w:tc>
          <w:tcPr>
            <w:tcW w:type="dxa" w:w="1728"/>
          </w:tcPr>
          <w:p>
            <w:r>
              <w:t>9930325 FCFA</w:t>
            </w:r>
          </w:p>
        </w:tc>
        <w:tc>
          <w:tcPr>
            <w:tcW w:type="dxa" w:w="1728"/>
          </w:tcPr>
          <w:p>
            <w:r>
              <w:t>-1.41%</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CABC - CABC - SICABLE COTE D'IVOIRE</w:t>
      </w:r>
    </w:p>
    <w:p>
      <w:r>
        <w:rPr>
          <w:b/>
        </w:rPr>
        <w:t xml:space="preserve">Score de divergence: </w:t>
      </w:r>
      <w:r>
        <w:t>5/8</w:t>
        <w:br/>
      </w:r>
      <w:r>
        <w:rPr>
          <w:b/>
        </w:rPr>
        <w:t xml:space="preserve">Description: </w:t>
      </w:r>
      <w:r>
        <w:t>Signaux de vente: MM, MACD | Recommandation finale: ACHAT</w:t>
        <w:br/>
      </w:r>
    </w:p>
    <w:p/>
    <w:p>
      <w:pPr>
        <w:pStyle w:val="Heading3"/>
      </w:pPr>
      <w:r>
        <w:t>2.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3.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4. SCRC - SCRC - SUCRIVOIRE</w:t>
      </w:r>
    </w:p>
    <w:p>
      <w:r>
        <w:rPr>
          <w:b/>
        </w:rPr>
        <w:t xml:space="preserve">Score de divergence: </w:t>
      </w:r>
      <w:r>
        <w:t>5/8</w:t>
        <w:br/>
      </w:r>
      <w:r>
        <w:rPr>
          <w:b/>
        </w:rPr>
        <w:t xml:space="preserve">Description: </w:t>
      </w:r>
      <w:r>
        <w:t>Signaux de vente: MM, MACD | Recommandation finale: ACHAT</w:t>
        <w:br/>
      </w:r>
    </w:p>
    <w:p/>
    <w:p>
      <w:pPr>
        <w:pStyle w:val="Heading3"/>
      </w:pPr>
      <w:r>
        <w:t>5. SLBC - SLBC - SOLIBRA COTE D'IVOIRE</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6.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7.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8. CFAC - CFAC - CFAO MOTORS CI</w:t>
      </w:r>
    </w:p>
    <w:p>
      <w:r>
        <w:rPr>
          <w:b/>
        </w:rPr>
        <w:t xml:space="preserve">Score de divergence: </w:t>
      </w:r>
      <w:r>
        <w:t>4/8</w:t>
        <w:br/>
      </w:r>
      <w:r>
        <w:rPr>
          <w:b/>
        </w:rPr>
        <w:t xml:space="preserve">Description: </w:t>
      </w:r>
      <w:r>
        <w:t>Signaux d'achat: RSI | Signaux de vente: MM, MACD | Recommandation finale: ACHAT</w:t>
        <w:br/>
      </w:r>
    </w:p>
    <w:p/>
    <w:p>
      <w:pPr>
        <w:pStyle w:val="Heading3"/>
      </w:pPr>
      <w:r>
        <w:t>9. NTLC - NTLC - NESTLE COTE D'IVOIRE</w:t>
      </w:r>
    </w:p>
    <w:p>
      <w:r>
        <w:rPr>
          <w:b/>
        </w:rPr>
        <w:t xml:space="preserve">Score de divergence: </w:t>
      </w:r>
      <w:r>
        <w:t>4/8</w:t>
        <w:br/>
      </w:r>
      <w:r>
        <w:rPr>
          <w:b/>
        </w:rPr>
        <w:t xml:space="preserve">Description: </w:t>
      </w:r>
      <w:r>
        <w:t>Signaux d'achat: RSI | Signaux de vente: MM, MACD | Recommandation finale: ACHAT</w:t>
        <w:br/>
      </w:r>
    </w:p>
    <w:p/>
    <w:p>
      <w:pPr>
        <w:pStyle w:val="Heading3"/>
      </w:pPr>
      <w:r>
        <w:t>10. ONTBF - ONTBF - ONATEL BURKINA FASO</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26</w:t>
            </w:r>
          </w:p>
        </w:tc>
        <w:tc>
          <w:tcPr>
            <w:tcW w:type="dxa" w:w="2160"/>
          </w:tcPr>
          <w:p>
            <w:r>
              <w:t>0</w:t>
            </w:r>
          </w:p>
        </w:tc>
      </w:tr>
      <w:tr>
        <w:tc>
          <w:tcPr>
            <w:tcW w:type="dxa" w:w="2160"/>
          </w:tcPr>
          <w:p>
            <w:r>
              <w:t>Risque Moyen</w:t>
            </w:r>
          </w:p>
        </w:tc>
        <w:tc>
          <w:tcPr>
            <w:tcW w:type="dxa" w:w="2160"/>
          </w:tcPr>
          <w:p>
            <w:r>
              <w:t>0</w:t>
            </w:r>
          </w:p>
        </w:tc>
        <w:tc>
          <w:tcPr>
            <w:tcW w:type="dxa" w:w="2160"/>
          </w:tcPr>
          <w:p>
            <w:r>
              <w:t>21</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PRSC (PRSC - TRACTAFRIC MOTORS CI)</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SIVC (SIVC - ERIUM CI (Ex AIR LIQUIDECI))</w:t>
      </w:r>
    </w:p>
    <w:p>
      <w:pPr>
        <w:pStyle w:val="ListBullet"/>
      </w:pPr>
      <w:r>
        <w:t>• SNTS (SNTS - SONATEL SN)</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prix mondiaux du pétrole ont connu une semaine volatile (27/09), alimentée par les tensions géopolitiques internationales. Les articles financiers générés par IA ont un impact moindre sur les cours de Bourse (Les Echos, 25/09), signalant une défiance croissante envers l'information automatisée. Les tensions géopolitiques (France, conflits internationaux) maintiennent un climat d'incertitude sur les marchés.</w:t>
      </w:r>
    </w:p>
    <w:p>
      <w:pPr>
        <w:pStyle w:val="Heading3"/>
      </w:pPr>
      <w:r>
        <w:rPr>
          <w:color w:val="500050"/>
        </w:rPr>
        <w:t>⚡ Impact estimé sur la BRVM</w:t>
      </w:r>
    </w:p>
    <w:p>
      <w:pPr>
        <w:spacing w:before="20" w:after="40"/>
        <w:ind w:left="280"/>
      </w:pPr>
      <w:r>
        <w:rPr>
          <w:i/>
          <w:sz w:val="18"/>
        </w:rPr>
        <w:t>La volatilité pétrolière affecte directement TTLS et SHEC (ENERGIE) via les coûts d'approvisionnement et marges. Un baril instable pèse sur les sociétés énergétiques cotées et indirectement sur les coûts de transport des industriels (SIVC, STAC).</w:t>
      </w:r>
    </w:p>
    <w:p>
      <w:pPr>
        <w:pStyle w:val="Heading2"/>
      </w:pPr>
      <w:r>
        <w:rPr>
          <w:color w:val="006E32"/>
        </w:rPr>
        <w:t>🌍 Plan Africain</w:t>
      </w:r>
    </w:p>
    <w:p>
      <w:pPr>
        <w:spacing w:before="20" w:after="40"/>
        <w:ind w:left="0"/>
      </w:pPr>
      <w:r>
        <w:rPr>
          <w:sz w:val="18"/>
        </w:rPr>
        <w:t>Le Sénégal et le FMI s'accordent sur un nouveau plan d'aide financière (02/09), renforçant la stabilité macroéconomique régionale. Amara (UCESA) plaide pour une croissance inclusive et l'investissement productif à Victoria Falls (26/09). Ces signaux favorisent un climat pro-investissement continental.</w:t>
      </w:r>
    </w:p>
    <w:p>
      <w:pPr>
        <w:pStyle w:val="Heading3"/>
      </w:pPr>
      <w:r>
        <w:rPr>
          <w:color w:val="500050"/>
        </w:rPr>
        <w:t>⚡ Impact estimé sur la BRVM</w:t>
      </w:r>
    </w:p>
    <w:p>
      <w:pPr>
        <w:spacing w:before="20" w:after="40"/>
        <w:ind w:left="280"/>
      </w:pPr>
      <w:r>
        <w:rPr>
          <w:i/>
          <w:sz w:val="18"/>
        </w:rPr>
        <w:t>Les banques panafricaines cotées (BOAB, ECOC, SGBC) bénéficient d'un environnement de crédit plus favorable. L'accent sur l'emploi et l'investissement soutient la demande intérieure, positive pour PALC et SPHC (CONSOMMATION DE BASE).</w:t>
      </w:r>
    </w:p>
    <w:p>
      <w:pPr>
        <w:pStyle w:val="Heading2"/>
      </w:pPr>
      <w:r>
        <w:rPr>
          <w:color w:val="145A28"/>
        </w:rPr>
        <w:t>🌍 Plan Afrique de l'Ouest</w:t>
      </w:r>
    </w:p>
    <w:p>
      <w:pPr>
        <w:spacing w:before="20" w:after="40"/>
        <w:ind w:left="0"/>
      </w:pPr>
      <w:r>
        <w:rPr>
          <w:sz w:val="18"/>
        </w:rPr>
        <w:t>Le parlement CEDEAO veut concilier ambitions institutionnelles et gestion rigoureuse des ressources (26/09). Les femmes parlementaires misent sur la ZLECAf pour renforcer la participation féminine (25/09). La CEDEAO préconise des programmes de réintégration des migrants de retour (25/09).</w:t>
      </w:r>
    </w:p>
    <w:p>
      <w:pPr>
        <w:pStyle w:val="Heading3"/>
      </w:pPr>
      <w:r>
        <w:rPr>
          <w:color w:val="500050"/>
        </w:rPr>
        <w:t>⚡ Impact estimé sur la BRVM</w:t>
      </w:r>
    </w:p>
    <w:p>
      <w:pPr>
        <w:spacing w:before="20" w:after="40"/>
        <w:ind w:left="280"/>
      </w:pPr>
      <w:r>
        <w:rPr>
          <w:i/>
          <w:sz w:val="18"/>
        </w:rPr>
        <w:t>La ZLECAf élargit les débouchés pour SIVC, STAC (INDUSTRIELS) et NEIC (CONSOMMATION DISCRETIONNAIRE). La rigueur budgétaire CEDEAO réduit le risque souverain, soutenant les valorisations bancaires (BICB, SIBC, BOAS).</w:t>
      </w:r>
    </w:p>
    <w:p>
      <w:pPr>
        <w:pStyle w:val="Heading2"/>
      </w:pPr>
      <w:r>
        <w:rPr>
          <w:color w:val="8C4600"/>
        </w:rPr>
        <w:t>🏦 Plan UEMOA / Zone Franc</w:t>
      </w:r>
    </w:p>
    <w:p>
      <w:pPr>
        <w:spacing w:before="20" w:after="40"/>
        <w:ind w:left="0"/>
      </w:pPr>
      <w:r>
        <w:rPr>
          <w:sz w:val="18"/>
        </w:rPr>
        <w:t>Le Sénégal se prépare activement pour les JOJ Dakar 2026 (26/09), générant des investissements en infrastructures. Le Mali équipe 100 structures de santé en kits solaires (26/09), stimulant la demande énergétique. Sénégal-Azerbaïdjan signent un mémorandum de dialogue politique (27/09).</w:t>
      </w:r>
    </w:p>
    <w:p>
      <w:pPr>
        <w:pStyle w:val="Heading3"/>
      </w:pPr>
      <w:r>
        <w:rPr>
          <w:color w:val="500050"/>
        </w:rPr>
        <w:t>⚡ Impact estimé sur la BRVM</w:t>
      </w:r>
    </w:p>
    <w:p>
      <w:pPr>
        <w:spacing w:before="20" w:after="40"/>
        <w:ind w:left="280"/>
      </w:pPr>
      <w:r>
        <w:rPr>
          <w:i/>
          <w:sz w:val="18"/>
        </w:rPr>
        <w:t>Les JOJ stimulent la consommation et les services (NEIC, SNTS). Les kits solaires maliens profitent potentiellement à SHEC et TTLS. Les banques sénégalaises (SGBC, BICB) captent les flux liés aux grands projets.</w:t>
      </w:r>
    </w:p>
    <w:p>
      <w:pPr>
        <w:pStyle w:val="Heading2"/>
      </w:pPr>
      <w:r>
        <w:rPr>
          <w:color w:val="003366"/>
        </w:rPr>
        <w:t>📈 Plan BRVM</w:t>
      </w:r>
    </w:p>
    <w:p>
      <w:pPr>
        <w:spacing w:before="20" w:after="40"/>
        <w:ind w:left="0"/>
      </w:pPr>
      <w:r>
        <w:rPr>
          <w:sz w:val="18"/>
        </w:rPr>
        <w:t>Les résultats encourageants des sociétés cotées ivoiriennes sont soulignés (La Tribune, 09/06). L'indice BRVM Composite se situe à 540.78. Aucune IPO ni mouvement de dividende spécifique n'est rapporté dans les actualités fournies.</w:t>
      </w:r>
    </w:p>
    <w:p>
      <w:pPr>
        <w:pStyle w:val="Heading3"/>
      </w:pPr>
      <w:r>
        <w:rPr>
          <w:color w:val="500050"/>
        </w:rPr>
        <w:t>⚡ Impact estimé sur la BRVM</w:t>
      </w:r>
    </w:p>
    <w:p>
      <w:pPr>
        <w:spacing w:before="20" w:after="40"/>
        <w:ind w:left="280"/>
      </w:pPr>
      <w:r>
        <w:rPr>
          <w:i/>
          <w:sz w:val="18"/>
        </w:rPr>
        <w:t>Recommandations : SGBC et BICB (SERVICES FINANCIERS) à conserver pour leur solidité ; PALC (CONSOMMATION DE BASE) soutenu par la demande régionale ; SIVC (INDUSTRIELS) à surveiller sur les contrats ZLECAf ; TTLS/SHEC (ENERGIE) sous pression pétrolière ; SNTS (TELECOMS) valeur défensive à privilégier.</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partis politiques français (LFI, RN, PC) sont en terrain électoral miné face aux guerres et tensions géopolitiques (Atlantico, 27/09). Le Burkina Faso dénonce à l'ONU le silence après l'attaque du 25 avril au Mali (27/09).</w:t>
      </w:r>
    </w:p>
    <w:p>
      <w:pPr>
        <w:pStyle w:val="Heading3"/>
      </w:pPr>
      <w:r>
        <w:rPr>
          <w:color w:val="500050"/>
        </w:rPr>
        <w:t>⚡ Impact estimé sur la BRVM</w:t>
      </w:r>
    </w:p>
    <w:p>
      <w:pPr>
        <w:spacing w:before="20" w:after="40"/>
        <w:ind w:left="280"/>
      </w:pPr>
      <w:r>
        <w:rPr>
          <w:i/>
          <w:sz w:val="18"/>
        </w:rPr>
        <w:t>L'instabilité politique française, principale puissance de la zone franc, affecte la perception risque des investisseurs étrangers sur la BRVM. Un climat incertain réduit les flux de capitaux vers les marchés frontières africains.</w:t>
      </w:r>
    </w:p>
    <w:p>
      <w:pPr>
        <w:pStyle w:val="Heading2"/>
      </w:pPr>
      <w:r>
        <w:rPr>
          <w:color w:val="006E32"/>
        </w:rPr>
        <w:t>🌍 Plan Africain</w:t>
      </w:r>
    </w:p>
    <w:p>
      <w:pPr>
        <w:spacing w:before="20" w:after="40"/>
        <w:ind w:left="0"/>
      </w:pPr>
      <w:r>
        <w:rPr>
          <w:sz w:val="18"/>
        </w:rPr>
        <w:t>Le Burkina Faso dénonce le silence international après l'attaque au Mali (27/09), illustrant la persistance de l'insécurité sahélienne. Les transitions politiques restent fragiles dans plusieurs pays.</w:t>
      </w:r>
    </w:p>
    <w:p>
      <w:pPr>
        <w:pStyle w:val="Heading3"/>
      </w:pPr>
      <w:r>
        <w:rPr>
          <w:color w:val="500050"/>
        </w:rPr>
        <w:t>⚡ Impact estimé sur la BRVM</w:t>
      </w:r>
    </w:p>
    <w:p>
      <w:pPr>
        <w:spacing w:before="20" w:after="40"/>
        <w:ind w:left="280"/>
      </w:pPr>
      <w:r>
        <w:rPr>
          <w:i/>
          <w:sz w:val="18"/>
        </w:rPr>
        <w:t>La persistance de l'insécurité au Sahel détourne les capitaux vers les marchés plus stables (Côte d'Ivoire, Sénégal), bénéficiant indirectement aux sociétés ivoiriennes et sénégalaises cotées.</w:t>
      </w:r>
    </w:p>
    <w:p>
      <w:pPr>
        <w:pStyle w:val="Heading2"/>
      </w:pPr>
      <w:r>
        <w:rPr>
          <w:color w:val="145A28"/>
        </w:rPr>
        <w:t>🌍 Plan Afrique de l'Ouest</w:t>
      </w:r>
    </w:p>
    <w:p>
      <w:pPr>
        <w:spacing w:before="20" w:after="40"/>
        <w:ind w:left="0"/>
      </w:pPr>
      <w:r>
        <w:rPr>
          <w:sz w:val="18"/>
        </w:rPr>
        <w:t>La CEDEAO poursuit ses initiatives de réintégration des migrants et de gestion rigoureuse des ressources. Les tensions sécuritaires au Mali et Burkina Faso persistent, avec des répercussions régionales.</w:t>
      </w:r>
    </w:p>
    <w:p>
      <w:pPr>
        <w:pStyle w:val="Heading3"/>
      </w:pPr>
      <w:r>
        <w:rPr>
          <w:color w:val="500050"/>
        </w:rPr>
        <w:t>⚡ Impact estimé sur la BRVM</w:t>
      </w:r>
    </w:p>
    <w:p>
      <w:pPr>
        <w:spacing w:before="20" w:after="40"/>
        <w:ind w:left="280"/>
      </w:pPr>
      <w:r>
        <w:rPr>
          <w:i/>
          <w:sz w:val="18"/>
        </w:rPr>
        <w:t>Les sociétés opérant au Sahel (banques avec filiales régionales) font face à un risque pays accru. Les valeurs ivoiriennes (SGBC, SIVC) restent les plus exposées positivement par effet de refuge régional.</w:t>
      </w:r>
    </w:p>
    <w:p>
      <w:pPr>
        <w:pStyle w:val="Heading2"/>
      </w:pPr>
      <w:r>
        <w:rPr>
          <w:color w:val="8C4600"/>
        </w:rPr>
        <w:t>🏦 Plan UEMOA / Zone Franc</w:t>
      </w:r>
    </w:p>
    <w:p>
      <w:pPr>
        <w:spacing w:before="20" w:after="40"/>
        <w:ind w:left="0"/>
      </w:pPr>
      <w:r>
        <w:rPr>
          <w:sz w:val="18"/>
        </w:rPr>
        <w:t>Le Sénégal renforce son dialogue politique avec l'Azerbaïdjan (27/09). Les réformes institutionnelles se poursuivent dans la zone, avec un accent sur la gouvernance.</w:t>
      </w:r>
    </w:p>
    <w:p>
      <w:pPr>
        <w:pStyle w:val="Heading3"/>
      </w:pPr>
      <w:r>
        <w:rPr>
          <w:color w:val="500050"/>
        </w:rPr>
        <w:t>⚡ Impact estimé sur la BRVM</w:t>
      </w:r>
    </w:p>
    <w:p>
      <w:pPr>
        <w:spacing w:before="20" w:after="40"/>
        <w:ind w:left="280"/>
      </w:pPr>
      <w:r>
        <w:rPr>
          <w:i/>
          <w:sz w:val="18"/>
        </w:rPr>
        <w:t>La stabilité politique sénégalaise et ivoirienne soutient la confiance des investisseurs. Risque réglementaire limité à court terme pour les sociétés cotées.</w:t>
      </w:r>
    </w:p>
    <w:p>
      <w:pPr>
        <w:pStyle w:val="Heading2"/>
      </w:pPr>
      <w:r>
        <w:rPr>
          <w:color w:val="003366"/>
        </w:rPr>
        <w:t>📈 Plan BRVM</w:t>
      </w:r>
    </w:p>
    <w:p>
      <w:pPr>
        <w:spacing w:before="20" w:after="40"/>
        <w:ind w:left="0"/>
      </w:pPr>
      <w:r>
        <w:rPr>
          <w:sz w:val="18"/>
        </w:rPr>
        <w:t>Aucune actualité réglementaire CREPMF, nouvelle cotation ou décision de gouvernance n'est rapportée dans les données fournies.</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 volatilité pétrolière domine les marchés (27/09). Les articles financiers IA ont moins d'impact sur les cours (25/09), modifiant la dynamique informationnelle des marchés.</w:t>
      </w:r>
    </w:p>
    <w:p>
      <w:pPr>
        <w:pStyle w:val="Heading3"/>
      </w:pPr>
      <w:r>
        <w:rPr>
          <w:color w:val="500050"/>
        </w:rPr>
        <w:t>⚡ Impact estimé sur la BRVM</w:t>
      </w:r>
    </w:p>
    <w:p>
      <w:pPr>
        <w:spacing w:before="20" w:after="40"/>
        <w:ind w:left="280"/>
      </w:pPr>
      <w:r>
        <w:rPr>
          <w:i/>
          <w:sz w:val="18"/>
        </w:rPr>
        <w:t>La corrélation avec les marchés émergents reste modérée. La volatilité pétrolière affecte TTLS et SHEC. Les investisseurs BRVM privilégient les valeurs domestiques défensives.</w:t>
      </w:r>
    </w:p>
    <w:p>
      <w:pPr>
        <w:pStyle w:val="Heading2"/>
      </w:pPr>
      <w:r>
        <w:rPr>
          <w:color w:val="006E32"/>
        </w:rPr>
        <w:t>🌍 Plan Africain</w:t>
      </w:r>
    </w:p>
    <w:p>
      <w:pPr>
        <w:spacing w:before="20" w:after="40"/>
        <w:ind w:left="0"/>
      </w:pPr>
      <w:r>
        <w:rPr>
          <w:sz w:val="18"/>
        </w:rPr>
        <w:t>Le Sénégal obtient un nouveau programme FMI (02/09), améliorant sa notation souveraine implicite. Les eurobonds africains restent sous surveillance.</w:t>
      </w:r>
    </w:p>
    <w:p>
      <w:pPr>
        <w:pStyle w:val="Heading3"/>
      </w:pPr>
      <w:r>
        <w:rPr>
          <w:color w:val="500050"/>
        </w:rPr>
        <w:t>⚡ Impact estimé sur la BRVM</w:t>
      </w:r>
    </w:p>
    <w:p>
      <w:pPr>
        <w:spacing w:before="20" w:after="40"/>
        <w:ind w:left="280"/>
      </w:pPr>
      <w:r>
        <w:rPr>
          <w:i/>
          <w:sz w:val="18"/>
        </w:rPr>
        <w:t>L'amélioration de la notation sénégalaise réduit le coût du capital pour les sociétés cotées sénégalaises (SGBC, BICB). Concurrence accrue des titres souverains pour les capitaux.</w:t>
      </w:r>
    </w:p>
    <w:p>
      <w:pPr>
        <w:pStyle w:val="Heading2"/>
      </w:pPr>
      <w:r>
        <w:rPr>
          <w:color w:val="145A28"/>
        </w:rPr>
        <w:t>🌍 Plan Afrique de l'Ouest</w:t>
      </w:r>
    </w:p>
    <w:p>
      <w:pPr>
        <w:spacing w:before="20" w:after="40"/>
        <w:ind w:left="0"/>
      </w:pPr>
      <w:r>
        <w:rPr>
          <w:sz w:val="18"/>
        </w:rPr>
        <w:t>La BRVM reste la principale place financière de la sous-région. Les initiatives ZLECAf pourraient attirer de nouveaux capitaux.</w:t>
      </w:r>
    </w:p>
    <w:p>
      <w:pPr>
        <w:pStyle w:val="Heading3"/>
      </w:pPr>
      <w:r>
        <w:rPr>
          <w:color w:val="500050"/>
        </w:rPr>
        <w:t>⚡ Impact estimé sur la BRVM</w:t>
      </w:r>
    </w:p>
    <w:p>
      <w:pPr>
        <w:spacing w:before="20" w:after="40"/>
        <w:ind w:left="280"/>
      </w:pPr>
      <w:r>
        <w:rPr>
          <w:i/>
          <w:sz w:val="18"/>
        </w:rPr>
        <w:t>Positionnement favorable de la BRVM face aux places concurrentes (Ghana, Nigeria). Les flux sous-régionaux se dirigent vers les valeurs les plus liquides.</w:t>
      </w:r>
    </w:p>
    <w:p>
      <w:pPr>
        <w:pStyle w:val="Heading2"/>
      </w:pPr>
      <w:r>
        <w:rPr>
          <w:color w:val="8C4600"/>
        </w:rPr>
        <w:t>🏦 Plan UEMOA / Zone Franc</w:t>
      </w:r>
    </w:p>
    <w:p>
      <w:pPr>
        <w:spacing w:before="20" w:after="40"/>
        <w:ind w:left="0"/>
      </w:pPr>
      <w:r>
        <w:rPr>
          <w:sz w:val="18"/>
        </w:rPr>
        <w:t>Le marché des titres publics UEMOA reste attractif. La liquidité bancaire est soutenue par la BCEAO. Les matières premières clés (cacao, caoutchouc) ne sont pas mentionnées dans les actualités fournies.</w:t>
      </w:r>
    </w:p>
    <w:p>
      <w:pPr>
        <w:pStyle w:val="Heading3"/>
      </w:pPr>
      <w:r>
        <w:rPr>
          <w:color w:val="500050"/>
        </w:rPr>
        <w:t>⚡ Impact estimé sur la BRVM</w:t>
      </w:r>
    </w:p>
    <w:p>
      <w:pPr>
        <w:spacing w:before="20" w:after="40"/>
        <w:ind w:left="280"/>
      </w:pPr>
      <w:r>
        <w:rPr>
          <w:i/>
          <w:sz w:val="18"/>
        </w:rPr>
        <w:t>L'arbitrage entre titres publics et actions BRVM penche vers les actions pour la recherche de rendement. Les banques (SGBC, BICB, ECOC) bénéficient de la liquidité abondante.</w:t>
      </w:r>
    </w:p>
    <w:p>
      <w:pPr>
        <w:pStyle w:val="Heading2"/>
      </w:pPr>
      <w:r>
        <w:rPr>
          <w:color w:val="003366"/>
        </w:rPr>
        <w:t>📈 Plan BRVM</w:t>
      </w:r>
    </w:p>
    <w:p>
      <w:pPr>
        <w:spacing w:before="20" w:after="40"/>
        <w:ind w:left="0"/>
      </w:pPr>
      <w:r>
        <w:rPr>
          <w:sz w:val="18"/>
        </w:rPr>
        <w:t>L'indice BRVM Composite se situe à 540.78. Les résultats des sociétés ivoiriennes sont encourageants (09/06). Aucun top/flop ni volume spécifique n'est rapporté.</w:t>
      </w:r>
    </w:p>
    <w:p>
      <w:pPr>
        <w:pStyle w:val="Heading3"/>
      </w:pPr>
      <w:r>
        <w:rPr>
          <w:color w:val="500050"/>
        </w:rPr>
        <w:t>⚡ Impact estimé sur la BRVM</w:t>
      </w:r>
    </w:p>
    <w:p>
      <w:pPr>
        <w:spacing w:before="20" w:after="40"/>
        <w:ind w:left="280"/>
      </w:pPr>
      <w:r>
        <w:rPr>
          <w:i/>
          <w:sz w:val="18"/>
        </w:rPr>
        <w:t>Opportunités d'achat : SGBC, BICB (banques solides) ; PALC (consommation de base défensive) ; SNTS (télécoms stable). Titres sous pression : TTLS, SHEC (volatilité pétrolière). À surveiller : SIVC, STAC (contrats ZLECAf), NEIC (consommation discrétionnaire).</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climat macroéconomique reste globalement favorable en UEMOA, porté par la stabilité ivoirienne et sénégalaise, les initiatives ZLECAf et le soutien du FMI. Cependant, la volatilité pétrolière mondiale, les tensions géopolitiques et l'insécurité sahélienne maintiennent un niveau de risque modéré. Recommandation : privilégier les valeurs bancaires (SGBC, BICB) et télécoms (SNTS) pour la stabilité, tout en surveillant les valeurs énergétiques (TTLS, SHEC) et industrielles (SIVC) pour des points d'entrée opportunistes.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2026-09-27</w:t>
            </w:r>
          </w:p>
        </w:tc>
        <w:tc>
          <w:tcPr>
            <w:tcW w:type="dxa" w:w="1728"/>
          </w:tcPr>
          <w:p>
            <w:r>
              <w:rPr>
                <w:sz w:val="14"/>
              </w:rPr>
              <w:t>Guerres et tensions géopolitiques : LFI, RN, PC et cie en terrain (éle</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2026-09-27</w:t>
            </w:r>
          </w:p>
        </w:tc>
        <w:tc>
          <w:tcPr>
            <w:tcW w:type="dxa" w:w="1728"/>
          </w:tcPr>
          <w:p>
            <w:r>
              <w:rPr>
                <w:sz w:val="14"/>
              </w:rPr>
              <w:t>Prix ​​des carburants aujourd'hui (27 septembre) : Une semaine volatil</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Médias : les articles financiers à base d'IA ont moins d'impact sur le</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2026-09-24</w:t>
            </w:r>
          </w:p>
        </w:tc>
        <w:tc>
          <w:tcPr>
            <w:tcW w:type="dxa" w:w="1728"/>
          </w:tcPr>
          <w:p>
            <w:r>
              <w:rPr>
                <w:sz w:val="14"/>
              </w:rPr>
              <w:t>Suissenégoce sur les tarifs des carburants: «Il est impossible de dire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Le marché se retourne, les prix du pétrole s'envolent.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 xml:space="preserve">Solutions pour freiner la hausse des prix des matières premières face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Afrique de l'Ouest: La CEDEAO préconise des programmes de réintégratio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VIDÉO. Afrique de l'Ouest: quel avenir pour la monnaie commune ECO - 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2026-09-26</w:t>
            </w:r>
          </w:p>
        </w:tc>
        <w:tc>
          <w:tcPr>
            <w:tcW w:type="dxa" w:w="1728"/>
          </w:tcPr>
          <w:p>
            <w:r>
              <w:rPr>
                <w:sz w:val="14"/>
              </w:rPr>
              <w:t>JOJ de Dakar 2026 : le Sénégal dans les starting-blocks - jeuneafrique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2026-09-27</w:t>
            </w:r>
          </w:p>
        </w:tc>
        <w:tc>
          <w:tcPr>
            <w:tcW w:type="dxa" w:w="1728"/>
          </w:tcPr>
          <w:p>
            <w:r>
              <w:rPr>
                <w:sz w:val="14"/>
              </w:rPr>
              <w:t>Sénégal-Azerbaïdjan : un mémorandum pour institutionnaliser le dialogu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Mali : Assimi Goïta annonce l'équipement de 100 structures de santé en</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2026-09-27</w:t>
            </w:r>
          </w:p>
        </w:tc>
        <w:tc>
          <w:tcPr>
            <w:tcW w:type="dxa" w:w="1728"/>
          </w:tcPr>
          <w:p>
            <w:r>
              <w:rPr>
                <w:sz w:val="14"/>
              </w:rPr>
              <w:t>Burkina Faso : à l’ONU, Ouagadougou dénonce le silence après l’attaque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2026-09-27</w:t>
            </w:r>
          </w:p>
        </w:tc>
        <w:tc>
          <w:tcPr>
            <w:tcW w:type="dxa" w:w="1728"/>
          </w:tcPr>
          <w:p>
            <w:r>
              <w:rPr>
                <w:sz w:val="14"/>
              </w:rPr>
              <w:t>Le Burkina Faso met Laurent Gbabgo au panthéon panafricaniste - jeunea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2026-09-25</w:t>
            </w:r>
          </w:p>
        </w:tc>
        <w:tc>
          <w:tcPr>
            <w:tcW w:type="dxa" w:w="1728"/>
          </w:tcPr>
          <w:p>
            <w:r>
              <w:rPr>
                <w:sz w:val="14"/>
              </w:rPr>
              <w:t>Sénégal-USA : ONU, les familles de victimes s'opposent au soutien de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2026-09-27</w:t>
            </w:r>
          </w:p>
        </w:tc>
        <w:tc>
          <w:tcPr>
            <w:tcW w:type="dxa" w:w="1728"/>
          </w:tcPr>
          <w:p>
            <w:r>
              <w:rPr>
                <w:sz w:val="14"/>
              </w:rPr>
              <w:t>Guerres et tensions géopolitiques : LFI, RN, PC et cie en terrain (éle</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2026-09-27</w:t>
            </w:r>
          </w:p>
        </w:tc>
        <w:tc>
          <w:tcPr>
            <w:tcW w:type="dxa" w:w="1728"/>
          </w:tcPr>
          <w:p>
            <w:r>
              <w:rPr>
                <w:sz w:val="14"/>
              </w:rPr>
              <w:t>Prix ​​des carburants aujourd'hui (27 septembre) : Une semaine volatil</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2026-09-27</w:t>
            </w:r>
          </w:p>
        </w:tc>
        <w:tc>
          <w:tcPr>
            <w:tcW w:type="dxa" w:w="1728"/>
          </w:tcPr>
          <w:p>
            <w:r>
              <w:rPr>
                <w:sz w:val="14"/>
              </w:rPr>
              <w:t>Sénégal-Azerbaïdjan : un mémorandum pour institutionnaliser le dialogu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2026-09-27</w:t>
            </w:r>
          </w:p>
        </w:tc>
        <w:tc>
          <w:tcPr>
            <w:tcW w:type="dxa" w:w="1728"/>
          </w:tcPr>
          <w:p>
            <w:r>
              <w:rPr>
                <w:sz w:val="14"/>
              </w:rPr>
              <w:t>Guerres et tensions géopolitiques : LFI, RN, PC et cie en terrain (éle</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2026-09-27</w:t>
            </w:r>
          </w:p>
        </w:tc>
        <w:tc>
          <w:tcPr>
            <w:tcW w:type="dxa" w:w="1728"/>
          </w:tcPr>
          <w:p>
            <w:r>
              <w:rPr>
                <w:sz w:val="14"/>
              </w:rPr>
              <w:t>Prix ​​des carburants aujourd'hui (27 septembre) : Une semaine volatil</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2026-09-27</w:t>
            </w:r>
          </w:p>
        </w:tc>
        <w:tc>
          <w:tcPr>
            <w:tcW w:type="dxa" w:w="1728"/>
          </w:tcPr>
          <w:p>
            <w:r>
              <w:rPr>
                <w:sz w:val="14"/>
              </w:rPr>
              <w:t>Guerres et tensions géopolitiques : LFI, RN, PC et cie en terrain (éle</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2026-09-27</w:t>
            </w:r>
          </w:p>
        </w:tc>
        <w:tc>
          <w:tcPr>
            <w:tcW w:type="dxa" w:w="1728"/>
          </w:tcPr>
          <w:p>
            <w:r>
              <w:rPr>
                <w:sz w:val="14"/>
              </w:rPr>
              <w:t>Prix ​​des carburants aujourd'hui (27 septembre) : Une semaine volatil</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2026-09-27</w:t>
            </w:r>
          </w:p>
        </w:tc>
        <w:tc>
          <w:tcPr>
            <w:tcW w:type="dxa" w:w="1728"/>
          </w:tcPr>
          <w:p>
            <w:r>
              <w:rPr>
                <w:sz w:val="14"/>
              </w:rPr>
              <w:t>Sénégal-Azerbaïdjan : un mémorandum pour institutionnaliser le dialogu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2026-09-27</w:t>
            </w:r>
          </w:p>
        </w:tc>
        <w:tc>
          <w:tcPr>
            <w:tcW w:type="dxa" w:w="1728"/>
          </w:tcPr>
          <w:p>
            <w:r>
              <w:rPr>
                <w:sz w:val="14"/>
              </w:rPr>
              <w:t>Guerres et tensions géopolitiques : LFI, RN, PC et cie en terrain (éle</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2026-09-27</w:t>
            </w:r>
          </w:p>
        </w:tc>
        <w:tc>
          <w:tcPr>
            <w:tcW w:type="dxa" w:w="1728"/>
          </w:tcPr>
          <w:p>
            <w:r>
              <w:rPr>
                <w:sz w:val="14"/>
              </w:rPr>
              <w:t>Prix ​​des carburants aujourd'hui (27 septembre) : Une semaine volatil</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2026-09-26</w:t>
            </w:r>
          </w:p>
        </w:tc>
        <w:tc>
          <w:tcPr>
            <w:tcW w:type="dxa" w:w="1728"/>
          </w:tcPr>
          <w:p>
            <w:r>
              <w:rPr>
                <w:sz w:val="14"/>
              </w:rPr>
              <w:t>JOJ de Dakar 2026 : le Sénégal dans les starting-blocks - jeuneafrique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2026-09-27</w:t>
            </w:r>
          </w:p>
        </w:tc>
        <w:tc>
          <w:tcPr>
            <w:tcW w:type="dxa" w:w="1728"/>
          </w:tcPr>
          <w:p>
            <w:r>
              <w:rPr>
                <w:sz w:val="14"/>
              </w:rPr>
              <w:t>Guerres et tensions géopolitiques : LFI, RN, PC et cie en terrain (éle</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2026-09-27</w:t>
            </w:r>
          </w:p>
        </w:tc>
        <w:tc>
          <w:tcPr>
            <w:tcW w:type="dxa" w:w="1728"/>
          </w:tcPr>
          <w:p>
            <w:r>
              <w:rPr>
                <w:sz w:val="14"/>
              </w:rPr>
              <w:t>Prix ​​des carburants aujourd'hui (27 septembre) : Une semaine volatil</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2026-09-27</w:t>
            </w:r>
          </w:p>
        </w:tc>
        <w:tc>
          <w:tcPr>
            <w:tcW w:type="dxa" w:w="1728"/>
          </w:tcPr>
          <w:p>
            <w:r>
              <w:rPr>
                <w:sz w:val="14"/>
              </w:rPr>
              <w:t>Sénégal-Azerbaïdjan : un mémorandum pour institutionnaliser le dialogu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2026-09-27</w:t>
            </w:r>
          </w:p>
        </w:tc>
        <w:tc>
          <w:tcPr>
            <w:tcW w:type="dxa" w:w="1728"/>
          </w:tcPr>
          <w:p>
            <w:r>
              <w:rPr>
                <w:sz w:val="14"/>
              </w:rPr>
              <w:t>Prix ​​des carburants aujourd'hui (27 septembre) : Une semaine volatil</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2026-09-27</w:t>
            </w:r>
          </w:p>
        </w:tc>
        <w:tc>
          <w:tcPr>
            <w:tcW w:type="dxa" w:w="1728"/>
          </w:tcPr>
          <w:p>
            <w:r>
              <w:rPr>
                <w:sz w:val="14"/>
              </w:rPr>
              <w:t>Burkina Faso : à l’ONU, Ouagadougou dénonce le silence après l’attaque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2026-09-25</w:t>
            </w:r>
          </w:p>
        </w:tc>
        <w:tc>
          <w:tcPr>
            <w:tcW w:type="dxa" w:w="1728"/>
          </w:tcPr>
          <w:p>
            <w:r>
              <w:rPr>
                <w:sz w:val="14"/>
              </w:rPr>
              <w:t>Médias : les articles financiers à base d'IA ont moins d'impact sur le</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2026-09-27</w:t>
            </w:r>
          </w:p>
        </w:tc>
        <w:tc>
          <w:tcPr>
            <w:tcW w:type="dxa" w:w="1728"/>
          </w:tcPr>
          <w:p>
            <w:r>
              <w:rPr>
                <w:sz w:val="14"/>
              </w:rPr>
              <w:t>Guerres et tensions géopolitiques : LFI, RN, PC et cie en terrain (éle</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2026-09-26</w:t>
            </w:r>
          </w:p>
        </w:tc>
        <w:tc>
          <w:tcPr>
            <w:tcW w:type="dxa" w:w="1728"/>
          </w:tcPr>
          <w:p>
            <w:r>
              <w:rPr>
                <w:sz w:val="14"/>
              </w:rPr>
              <w:t>JOJ de Dakar 2026 : le Sénégal dans les starting-blocks - jeuneafrique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2026-09-27</w:t>
            </w:r>
          </w:p>
        </w:tc>
        <w:tc>
          <w:tcPr>
            <w:tcW w:type="dxa" w:w="1728"/>
          </w:tcPr>
          <w:p>
            <w:r>
              <w:rPr>
                <w:sz w:val="14"/>
              </w:rPr>
              <w:t>Burkina Faso : à l’ONU, Ouagadougou dénonce le silence après l’attaque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2026-09-25</w:t>
            </w:r>
          </w:p>
        </w:tc>
        <w:tc>
          <w:tcPr>
            <w:tcW w:type="dxa" w:w="1728"/>
          </w:tcPr>
          <w:p>
            <w:r>
              <w:rPr>
                <w:sz w:val="14"/>
              </w:rPr>
              <w:t>Médias : les articles financiers à base d'IA ont moins d'impact sur le</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Afrique de l'Ouest: La CEDEAO préconise des programmes de réintégratio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2026-09-26</w:t>
            </w:r>
          </w:p>
        </w:tc>
        <w:tc>
          <w:tcPr>
            <w:tcW w:type="dxa" w:w="1728"/>
          </w:tcPr>
          <w:p>
            <w:r>
              <w:rPr>
                <w:sz w:val="14"/>
              </w:rPr>
              <w:t>JOJ de Dakar 2026 : le Sénégal dans les starting-blocks - jeuneafrique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2026-09-27</w:t>
            </w:r>
          </w:p>
        </w:tc>
        <w:tc>
          <w:tcPr>
            <w:tcW w:type="dxa" w:w="1728"/>
          </w:tcPr>
          <w:p>
            <w:r>
              <w:rPr>
                <w:sz w:val="14"/>
              </w:rPr>
              <w:t>Sénégal-Azerbaïdjan : un mémorandum pour institutionnaliser le dialogu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Mali : Assimi Goïta annonce l'équipement de 100 structures de santé en</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2026-09-27</w:t>
            </w:r>
          </w:p>
        </w:tc>
        <w:tc>
          <w:tcPr>
            <w:tcW w:type="dxa" w:w="1728"/>
          </w:tcPr>
          <w:p>
            <w:r>
              <w:rPr>
                <w:sz w:val="14"/>
              </w:rPr>
              <w:t>Burkina Faso : à l’ONU, Ouagadougou dénonce le silence après l’attaque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2026-09-27</w:t>
            </w:r>
          </w:p>
        </w:tc>
        <w:tc>
          <w:tcPr>
            <w:tcW w:type="dxa" w:w="1728"/>
          </w:tcPr>
          <w:p>
            <w:r>
              <w:rPr>
                <w:sz w:val="14"/>
              </w:rPr>
              <w:t>Burkina Faso : à l’ONU, Ouagadougou dénonce le silence après l’attaque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2026-09-25</w:t>
            </w:r>
          </w:p>
        </w:tc>
        <w:tc>
          <w:tcPr>
            <w:tcW w:type="dxa" w:w="1728"/>
          </w:tcPr>
          <w:p>
            <w:r>
              <w:rPr>
                <w:sz w:val="14"/>
              </w:rPr>
              <w:t>Médias : les articles financiers à base d'IA ont moins d'impact sur le</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Air Sénégal sous perfusion, tractations politiques au Maroc, offensive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(9 alerte(s))</w:t>
      </w:r>
    </w:p>
    <w:p>
      <w:pPr>
        <w:spacing w:before="40" w:after="40"/>
        <w:ind w:left="360"/>
      </w:pPr>
      <w:r>
        <w:rPr>
          <w:color w:val="646464"/>
          <w:sz w:val="17"/>
        </w:rPr>
        <w:t xml:space="preserve">[27/09/2026] ⚪  </w:t>
      </w:r>
      <w:r>
        <w:rPr>
          <w:b/>
          <w:color w:val="505050"/>
          <w:sz w:val="18"/>
        </w:rPr>
        <w:t>Le Burkina Faso met Laurent Gbabgo au panthéon panafricaniste - jeuneafrique.com</w:t>
      </w:r>
      <w:r>
        <w:rPr>
          <w:color w:val="787878"/>
          <w:sz w:val="15"/>
        </w:rPr>
        <w:t xml:space="preserve">  [politique]</w:t>
      </w:r>
      <w:r>
        <w:rPr>
          <w:color w:val="B47800"/>
          <w:sz w:val="16"/>
        </w:rPr>
        <w:t xml:space="preserve">  ★ 50/10</w:t>
      </w:r>
    </w:p>
    <w:p>
      <w:pPr>
        <w:spacing w:before="0" w:after="20"/>
        <w:ind w:left="600"/>
      </w:pPr>
      <w:r>
        <w:rPr>
          <w:color w:val="323232"/>
          <w:sz w:val="17"/>
        </w:rPr>
        <w:t>Le Burkina Faso a décidé d'honorer la mémoire de Laurent Gbagbo, ancien président ivoirien, en le plaçant au panthéon des figures panafricanistes. Cette initiative symbolique s'inscrit dans un contexte de repositionnement politique régional et de tensions diplomatiques persistantes entre certains États de l'UEMOA. Elle pourrait raviver les débats s</w:t>
      </w:r>
    </w:p>
    <w:p>
      <w:pPr>
        <w:spacing w:before="0" w:after="40"/>
        <w:ind w:left="600"/>
      </w:pPr>
      <w:r>
        <w:rPr>
          <w:color w:val="00643C"/>
          <w:sz w:val="16"/>
        </w:rPr>
        <w:t>Points clés : Le Burkina Faso rend hommage à Laurent Gbagbo comme figure panafricaniste  •  Décision à connotation politique dans un contexte de tensions régionales  •  Impact limité sur les marchés financiers de l'UEMOA</w:t>
      </w:r>
    </w:p>
    <w:p>
      <w:pPr>
        <w:spacing w:before="0" w:after="60"/>
        <w:ind w:left="600"/>
      </w:pPr>
      <w:r>
        <w:rPr>
          <w:color w:val="0064B4"/>
          <w:sz w:val="15"/>
        </w:rPr>
        <w:t>Source : https://news.google.com/rss/articles/CBMirgFBVV95cUxPRDFPdWcwUzlBdnJuM0NQMXpHdS1</w:t>
      </w:r>
    </w:p>
    <w:p>
      <w:pPr>
        <w:spacing w:before="40" w:after="40"/>
        <w:ind w:left="360"/>
      </w:pPr>
      <w:r>
        <w:rPr>
          <w:color w:val="646464"/>
          <w:sz w:val="17"/>
        </w:rPr>
        <w:t xml:space="preserve">[27/09/2026] 🔴  </w:t>
      </w:r>
      <w:r>
        <w:rPr>
          <w:b/>
          <w:color w:val="C00000"/>
          <w:sz w:val="18"/>
        </w:rPr>
        <w:t>Burkina Faso : à l’ONU, Ouagadougou dénonce le silence après l’attaque du 25 avril au Mali - Benin Web TV</w:t>
      </w:r>
      <w:r>
        <w:rPr>
          <w:color w:val="787878"/>
          <w:sz w:val="15"/>
        </w:rPr>
        <w:t xml:space="preserve">  [politique]</w:t>
      </w:r>
      <w:r>
        <w:rPr>
          <w:color w:val="B47800"/>
          <w:sz w:val="16"/>
        </w:rPr>
        <w:t xml:space="preserve">  ★ 50/10</w:t>
      </w:r>
    </w:p>
    <w:p>
      <w:pPr>
        <w:spacing w:before="0" w:after="20"/>
        <w:ind w:left="600"/>
      </w:pPr>
      <w:r>
        <w:rPr>
          <w:color w:val="323232"/>
          <w:sz w:val="17"/>
        </w:rPr>
        <w:t>Le Burkina Faso a pris la parole à l'ONU pour dénoncer le silence de la communauté internationale après l'attaque survenue le 25 avril au Mali. Ouagadougou critique l'absence de réaction face à cet événement, dans un contexte de tensions sécuritaires et politiques au Sahel. Cette prise de position intervient alors que les relations entre les autori</w:t>
      </w:r>
    </w:p>
    <w:p>
      <w:pPr>
        <w:spacing w:before="0" w:after="40"/>
        <w:ind w:left="600"/>
      </w:pPr>
      <w:r>
        <w:rPr>
          <w:color w:val="00643C"/>
          <w:sz w:val="16"/>
        </w:rPr>
        <w:t>Points clés : Le Burkina Faso dénonce à l'ONU le silence après l'attaque du 25 avril au Mali  •  Critique de l'absence de réaction de la communauté internationale  •  Contexte de tensions sécuritaires et politiques au Sahel  •  Relations fragiles entre les autorités de transition et les partenaires internationaux</w:t>
      </w:r>
    </w:p>
    <w:p>
      <w:pPr>
        <w:spacing w:before="0" w:after="60"/>
        <w:ind w:left="600"/>
      </w:pPr>
      <w:r>
        <w:rPr>
          <w:color w:val="0064B4"/>
          <w:sz w:val="15"/>
        </w:rPr>
        <w:t>Source : https://news.google.com/rss/articles/CBMisgFBVV95cUxPaGV3Z1FKRXk5dEN0UnlNM2NFTkd</w:t>
      </w:r>
    </w:p>
    <w:p>
      <w:pPr>
        <w:spacing w:before="40" w:after="40"/>
        <w:ind w:left="360"/>
      </w:pPr>
      <w:r>
        <w:rPr>
          <w:color w:val="646464"/>
          <w:sz w:val="17"/>
        </w:rPr>
        <w:t xml:space="preserve">[27/09/2026] ⚪  </w:t>
      </w:r>
      <w:r>
        <w:rPr>
          <w:b/>
          <w:color w:val="505050"/>
          <w:sz w:val="18"/>
        </w:rPr>
        <w:t>Sénégal-Azerbaïdjan : un mémorandum pour institutionnaliser le dialogue politique - Leral.net</w:t>
      </w:r>
      <w:r>
        <w:rPr>
          <w:color w:val="787878"/>
          <w:sz w:val="15"/>
        </w:rPr>
        <w:t xml:space="preserve">  [politique]</w:t>
      </w:r>
      <w:r>
        <w:rPr>
          <w:color w:val="B47800"/>
          <w:sz w:val="16"/>
        </w:rPr>
        <w:t xml:space="preserve">  ★ 50/10</w:t>
      </w:r>
    </w:p>
    <w:p>
      <w:pPr>
        <w:spacing w:before="0" w:after="20"/>
        <w:ind w:left="600"/>
      </w:pPr>
      <w:r>
        <w:rPr>
          <w:color w:val="323232"/>
          <w:sz w:val="17"/>
        </w:rPr>
        <w:t>Le Sénégal et l'Azerbaïdjan ont signé un mémorandum d'entente visant à institutionnaliser leur dialogue politique. Cet accord devrait permettre des consultations régulières entre les deux pays sur des sujets d'intérêt commun. Il s'agit d'un renforcement des relations bilatérales, sans contenu économique explicite. L'impact direct sur les marchés fi</w:t>
      </w:r>
    </w:p>
    <w:p>
      <w:pPr>
        <w:spacing w:before="0" w:after="40"/>
        <w:ind w:left="600"/>
      </w:pPr>
      <w:r>
        <w:rPr>
          <w:color w:val="00643C"/>
          <w:sz w:val="16"/>
        </w:rPr>
        <w:t>Points clés : Signature d'un mémorandum entre le Sénégal et l'Azerbaïdjan  •  Objectif : institutionnaliser le dialogue politique bilatéral  •  Aucune dimension économique ou commerciale annoncée</w:t>
      </w:r>
    </w:p>
    <w:p>
      <w:pPr>
        <w:spacing w:before="0" w:after="60"/>
        <w:ind w:left="600"/>
      </w:pPr>
      <w:r>
        <w:rPr>
          <w:color w:val="0064B4"/>
          <w:sz w:val="15"/>
        </w:rPr>
        <w:t>Source : https://news.google.com/rss/articles/CBMitAFBVV95cUxObjRwWXRvNmM0YnllbEFkQUpOczA</w:t>
      </w:r>
    </w:p>
    <w:p>
      <w:pPr>
        <w:spacing w:before="40" w:after="40"/>
        <w:ind w:left="360"/>
      </w:pPr>
      <w:r>
        <w:rPr>
          <w:color w:val="646464"/>
          <w:sz w:val="17"/>
        </w:rPr>
        <w:t xml:space="preserve">[26/09/2026] 🟢  </w:t>
      </w:r>
      <w:r>
        <w:rPr>
          <w:b/>
          <w:color w:val="008000"/>
          <w:sz w:val="18"/>
        </w:rPr>
        <w:t>Mali : Assimi Goïta annonce l'équipement de 100 structures de santé en kits solaires - koaci.com</w:t>
      </w:r>
      <w:r>
        <w:rPr>
          <w:color w:val="787878"/>
          <w:sz w:val="15"/>
        </w:rPr>
        <w:t xml:space="preserve">  [politique]</w:t>
      </w:r>
      <w:r>
        <w:rPr>
          <w:color w:val="B47800"/>
          <w:sz w:val="16"/>
        </w:rPr>
        <w:t xml:space="preserve">  ★ 50/10</w:t>
      </w:r>
    </w:p>
    <w:p>
      <w:pPr>
        <w:spacing w:before="0" w:after="20"/>
        <w:ind w:left="600"/>
      </w:pPr>
      <w:r>
        <w:rPr>
          <w:color w:val="323232"/>
          <w:sz w:val="17"/>
        </w:rPr>
        <w:t>Le président malien Assimi Goïta a annoncé l'équipement de 100 structures de santé en kits solaires. Cette initiative vise à améliorer l'accès à l'électricité dans les centres de santé, notamment en zones rurales. Elle s'inscrit dans une politique de renforcement des infrastructures sanitaires et de promotion des énergies renouvelables. Aucun détai</w:t>
      </w:r>
    </w:p>
    <w:p>
      <w:pPr>
        <w:spacing w:before="0" w:after="40"/>
        <w:ind w:left="600"/>
      </w:pPr>
      <w:r>
        <w:rPr>
          <w:color w:val="00643C"/>
          <w:sz w:val="16"/>
        </w:rPr>
        <w:t>Points clés : Annonce de l'équipement de 100 structures de santé en kits solaires au Mali  •  Objectif : améliorer l'accès à l'électricité dans les centres de santé  •  Mesure s'inscrivant dans la politique de développement des énergies renouvelables</w:t>
      </w:r>
    </w:p>
    <w:p>
      <w:pPr>
        <w:spacing w:before="0" w:after="60"/>
        <w:ind w:left="600"/>
      </w:pPr>
      <w:r>
        <w:rPr>
          <w:color w:val="0064B4"/>
          <w:sz w:val="15"/>
        </w:rPr>
        <w:t>Source : https://news.google.com/rss/articles/CBMi4wFBVV95cUxNOURyZEdxZjNHdno0aGp4dW5mZUs</w:t>
      </w:r>
    </w:p>
    <w:p>
      <w:pPr>
        <w:spacing w:before="40" w:after="40"/>
        <w:ind w:left="360"/>
      </w:pPr>
      <w:r>
        <w:rPr>
          <w:color w:val="646464"/>
          <w:sz w:val="17"/>
        </w:rPr>
        <w:t xml:space="preserve">[26/09/2026] 🟢  </w:t>
      </w:r>
      <w:r>
        <w:rPr>
          <w:b/>
          <w:color w:val="008000"/>
          <w:sz w:val="18"/>
        </w:rPr>
        <w:t>JOJ de Dakar 2026 : le Sénégal dans les starting-blocks - jeuneafrique.com</w:t>
      </w:r>
      <w:r>
        <w:rPr>
          <w:color w:val="787878"/>
          <w:sz w:val="15"/>
        </w:rPr>
        <w:t xml:space="preserve">  [politique]</w:t>
      </w:r>
      <w:r>
        <w:rPr>
          <w:color w:val="B47800"/>
          <w:sz w:val="16"/>
        </w:rPr>
        <w:t xml:space="preserve">  ★ 50/10</w:t>
      </w:r>
    </w:p>
    <w:p>
      <w:pPr>
        <w:spacing w:before="0" w:after="20"/>
        <w:ind w:left="600"/>
      </w:pPr>
      <w:r>
        <w:rPr>
          <w:color w:val="323232"/>
          <w:sz w:val="17"/>
        </w:rPr>
        <w:t>Le Sénégal se prépare activement pour les Jeux Olympiques de la Jeunesse (JOJ) de Dakar 2026, un événement international majeur. Les autorités sont dans les starting-blocks pour finaliser les infrastructures et l'organisation. Cet événement devrait avoir un impact significatif sur l'économie locale et la visibilité du pays.</w:t>
      </w:r>
    </w:p>
    <w:p>
      <w:pPr>
        <w:spacing w:before="0" w:after="40"/>
        <w:ind w:left="600"/>
      </w:pPr>
      <w:r>
        <w:rPr>
          <w:color w:val="00643C"/>
          <w:sz w:val="16"/>
        </w:rPr>
        <w:t>Points clés : Organisation des JOJ 2026 à Dakar  •  Préparatifs avancés du Sénégal  •  Impact économique et touristique attendu</w:t>
      </w:r>
    </w:p>
    <w:p>
      <w:pPr>
        <w:spacing w:before="0" w:after="60"/>
        <w:ind w:left="600"/>
      </w:pPr>
      <w:r>
        <w:rPr>
          <w:color w:val="0064B4"/>
          <w:sz w:val="15"/>
        </w:rPr>
        <w:t>Source : https://news.google.com/rss/articles/CBMiowFBVV95cUxONXN5dzM3ZHpCVU1WazR1LWRWQWZ</w:t>
      </w:r>
    </w:p>
    <w:p>
      <w:pPr>
        <w:spacing w:before="120" w:after="40"/>
      </w:pPr>
      <w:r>
        <w:rPr>
          <w:b/>
          <w:color w:val="00467F"/>
          <w:sz w:val="20"/>
        </w:rPr>
        <w:t>🔑 geopolitique  (1 alerte(s))</w:t>
      </w:r>
    </w:p>
    <w:p>
      <w:pPr>
        <w:spacing w:before="40" w:after="40"/>
        <w:ind w:left="360"/>
      </w:pPr>
      <w:r>
        <w:rPr>
          <w:color w:val="646464"/>
          <w:sz w:val="17"/>
        </w:rPr>
        <w:t xml:space="preserve">[27/09/2026] ⚪  </w:t>
      </w:r>
      <w:r>
        <w:rPr>
          <w:b/>
          <w:color w:val="505050"/>
          <w:sz w:val="18"/>
        </w:rPr>
        <w:t>Guerres et tensions géopolitiques : LFI, RN, PC et cie en terrain (électoral) ultra miné - Atlantico</w:t>
      </w:r>
      <w:r>
        <w:rPr>
          <w:color w:val="787878"/>
          <w:sz w:val="15"/>
        </w:rPr>
        <w:t xml:space="preserve">  [geopolitique]</w:t>
      </w:r>
      <w:r>
        <w:rPr>
          <w:color w:val="B47800"/>
          <w:sz w:val="16"/>
        </w:rPr>
        <w:t xml:space="preserve">  ★ 50/10</w:t>
      </w:r>
    </w:p>
    <w:p>
      <w:pPr>
        <w:spacing w:before="0" w:after="20"/>
        <w:ind w:left="600"/>
      </w:pPr>
      <w:r>
        <w:rPr>
          <w:color w:val="323232"/>
          <w:sz w:val="17"/>
        </w:rPr>
        <w:t>L'article d'Atlantico analyse la position délicate des partis politiques français (LFI, RN, PC, etc.) face aux guerres et tensions géopolitiques internationales dans un contexte électoral. Ces formations doivent naviguer entre des positions historiques, des électorats divisés et des pressions médiatiques sur des sujets comme l'Ukraine, le Proche-Or</w:t>
      </w:r>
    </w:p>
    <w:p>
      <w:pPr>
        <w:spacing w:before="0" w:after="40"/>
        <w:ind w:left="600"/>
      </w:pPr>
      <w:r>
        <w:rPr>
          <w:color w:val="00643C"/>
          <w:sz w:val="16"/>
        </w:rPr>
        <w:t>Points clés : Les partis français sont contraints de se positionner sur des conflits internationaux en période électorale.  •  Chaque déclaration sur la géopolitique peut aliéner une partie de l'électorat.  •  Les tensions internationales deviennent un enjeu de politique intérieure en France.</w:t>
      </w:r>
    </w:p>
    <w:p>
      <w:pPr>
        <w:spacing w:before="0" w:after="60"/>
        <w:ind w:left="600"/>
      </w:pPr>
      <w:r>
        <w:rPr>
          <w:color w:val="0064B4"/>
          <w:sz w:val="15"/>
        </w:rPr>
        <w:t>Source : https://news.google.com/rss/articles/CBMivwFBVV95cUxQRjVhd0RXNnNzeHVkVmptWC1SeTQ</w:t>
      </w:r>
    </w:p>
    <w:p>
      <w:pPr>
        <w:spacing w:before="120" w:after="40"/>
      </w:pPr>
      <w:r>
        <w:rPr>
          <w:b/>
          <w:color w:val="00467F"/>
          <w:sz w:val="20"/>
        </w:rPr>
        <w:t>🔑 matieres_premieres  (2 alerte(s))</w:t>
      </w:r>
    </w:p>
    <w:p>
      <w:pPr>
        <w:spacing w:before="40" w:after="40"/>
        <w:ind w:left="360"/>
      </w:pPr>
      <w:r>
        <w:rPr>
          <w:color w:val="646464"/>
          <w:sz w:val="17"/>
        </w:rPr>
        <w:t xml:space="preserve">[27/09/2026] ⚪  </w:t>
      </w:r>
      <w:r>
        <w:rPr>
          <w:b/>
          <w:color w:val="505050"/>
          <w:sz w:val="18"/>
        </w:rPr>
        <w:t>Prix ​​des carburants aujourd'hui (27 septembre) : Une semaine volatile pour les prix mondiaux du pétrole.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mondiaux du pétrole ont connu une semaine volatile, marquée par des fluctuations importantes des cours du brut. Cette volatilité est alimentée par des incertitudes sur l'offre et la demande, ainsi que par des facteurs géopolitiques. Les marchés restent attentifs à l'évolution des stocks et aux décisions des pays producteurs. Cette situatio</w:t>
      </w:r>
    </w:p>
    <w:p>
      <w:pPr>
        <w:spacing w:before="0" w:after="40"/>
        <w:ind w:left="600"/>
      </w:pPr>
      <w:r>
        <w:rPr>
          <w:color w:val="00643C"/>
          <w:sz w:val="16"/>
        </w:rPr>
        <w:t>Points clés : Volatilité accrue des prix mondiaux du pétrole  •  Incertitudes sur l'offre et la demande  •  Impact potentiel sur les pays importateurs</w:t>
      </w:r>
    </w:p>
    <w:p>
      <w:pPr>
        <w:spacing w:before="0" w:after="60"/>
        <w:ind w:left="600"/>
      </w:pPr>
      <w:r>
        <w:rPr>
          <w:color w:val="0064B4"/>
          <w:sz w:val="15"/>
        </w:rPr>
        <w:t>Source : https://news.google.com/rss/articles/CBMikAFBVV95cUxOSEJqS3BxMkRNU05MYzVyakxPNGt</w:t>
      </w:r>
    </w:p>
    <w:p>
      <w:pPr>
        <w:spacing w:before="40" w:after="40"/>
        <w:ind w:left="360"/>
      </w:pPr>
      <w:r>
        <w:rPr>
          <w:color w:val="646464"/>
          <w:sz w:val="17"/>
        </w:rPr>
        <w:t xml:space="preserve">[25/09/2026] 🔴  </w:t>
      </w:r>
      <w:r>
        <w:rPr>
          <w:b/>
          <w:color w:val="C00000"/>
          <w:sz w:val="18"/>
        </w:rPr>
        <w:t>Solutions pour freiner la hausse des prix des matières premières face aux fluctuations des prix de l'essence et du pétro</w:t>
      </w:r>
      <w:r>
        <w:rPr>
          <w:color w:val="787878"/>
          <w:sz w:val="15"/>
        </w:rPr>
        <w:t xml:space="preserve">  [matieres_premieres]</w:t>
      </w:r>
      <w:r>
        <w:rPr>
          <w:color w:val="B47800"/>
          <w:sz w:val="16"/>
        </w:rPr>
        <w:t xml:space="preserve">  ★ 50/10</w:t>
      </w:r>
    </w:p>
    <w:p>
      <w:pPr>
        <w:spacing w:before="0" w:after="20"/>
        <w:ind w:left="600"/>
      </w:pPr>
      <w:r>
        <w:rPr>
          <w:color w:val="323232"/>
          <w:sz w:val="17"/>
        </w:rPr>
        <w:t>L'article aborde les solutions envisagées pour freiner la hausse des prix des matières premières dans un contexte de fluctuations des prix de l'essence et du pétrole. Il souligne les pressions inflationnistes sur les matières premières et la nécessité de mesures correctives. Les variations des prix énergétiques impactent directement les coûts de pr</w:t>
      </w:r>
    </w:p>
    <w:p>
      <w:pPr>
        <w:spacing w:before="0" w:after="40"/>
        <w:ind w:left="600"/>
      </w:pPr>
      <w:r>
        <w:rPr>
          <w:color w:val="00643C"/>
          <w:sz w:val="16"/>
        </w:rPr>
        <w:t>Points clés : Hausse des prix des matières premières liée aux fluctuations du pétrole et de l'essence  •  Recherche de solutions pour freiner cette hausse  •  Impact sur les coûts de production et l'inflation</w:t>
      </w:r>
    </w:p>
    <w:p>
      <w:pPr>
        <w:spacing w:before="0" w:after="60"/>
        <w:ind w:left="600"/>
      </w:pPr>
      <w:r>
        <w:rPr>
          <w:color w:val="0064B4"/>
          <w:sz w:val="15"/>
        </w:rPr>
        <w:t>Source : https://news.google.com/rss/articles/CBMivgFBVV95cUxPUEN3S3FwSzBnazJNVWdvQi1HMW9</w:t>
      </w:r>
    </w:p>
    <w:p>
      <w:pPr>
        <w:spacing w:before="120" w:after="40"/>
      </w:pPr>
      <w:r>
        <w:rPr>
          <w:b/>
          <w:color w:val="00467F"/>
          <w:sz w:val="20"/>
        </w:rPr>
        <w:t>🔑 économique  (5 alerte(s))</w:t>
      </w:r>
    </w:p>
    <w:p>
      <w:pPr>
        <w:spacing w:before="40" w:after="40"/>
        <w:ind w:left="360"/>
      </w:pPr>
      <w:r>
        <w:rPr>
          <w:color w:val="646464"/>
          <w:sz w:val="17"/>
        </w:rPr>
        <w:t xml:space="preserve">[26/09/2026] ⚪  </w:t>
      </w:r>
      <w:r>
        <w:rPr>
          <w:b/>
          <w:color w:val="505050"/>
          <w:sz w:val="18"/>
        </w:rPr>
        <w:t>Le parlement de la CEDEAO veut concilier ”ambitions institutionnelles et gestion rigoureuse” des ressources - APS - Agen</w:t>
      </w:r>
      <w:r>
        <w:rPr>
          <w:color w:val="787878"/>
          <w:sz w:val="15"/>
        </w:rPr>
        <w:t xml:space="preserve">  [économique]</w:t>
      </w:r>
      <w:r>
        <w:rPr>
          <w:color w:val="B47800"/>
          <w:sz w:val="16"/>
        </w:rPr>
        <w:t xml:space="preserve">  ★ 50/10</w:t>
      </w:r>
    </w:p>
    <w:p>
      <w:pPr>
        <w:spacing w:before="0" w:after="20"/>
        <w:ind w:left="600"/>
      </w:pPr>
      <w:r>
        <w:rPr>
          <w:color w:val="323232"/>
          <w:sz w:val="17"/>
        </w:rPr>
        <w:t>Le parlement de la CEDEAO cherche à concilier ses ambitions institutionnelles avec une gestion rigoureuse des ressources financières. Cette démarche intervient dans un contexte où l'organisation régionale doit faire face à des défis budgétaires tout en renforçant son rôle politique et économique. L'objectif est d'assurer une meilleure allocation de</w:t>
      </w:r>
    </w:p>
    <w:p>
      <w:pPr>
        <w:spacing w:before="0" w:after="40"/>
        <w:ind w:left="600"/>
      </w:pPr>
      <w:r>
        <w:rPr>
          <w:color w:val="00643C"/>
          <w:sz w:val="16"/>
        </w:rPr>
        <w:t>Points clés : Le parlement de la CEDEAO veut équilibrer ambitions institutionnelles et rigueur budgétaire  •  La gestion des ressources est au cœur des préoccupations de l'organisation régionale  •  Les décisions pourraient influencer les politiques économiques des pays membres</w:t>
      </w:r>
    </w:p>
    <w:p>
      <w:pPr>
        <w:spacing w:before="0" w:after="60"/>
        <w:ind w:left="600"/>
      </w:pPr>
      <w:r>
        <w:rPr>
          <w:color w:val="0064B4"/>
          <w:sz w:val="15"/>
        </w:rPr>
        <w:t>Source : https://news.google.com/rss/articles/CBMivgFBVV95cUxNX0NrSWE2ZGNud0hqNXZJOU95dU1</w:t>
      </w:r>
    </w:p>
    <w:p>
      <w:pPr>
        <w:spacing w:before="40" w:after="40"/>
        <w:ind w:left="360"/>
      </w:pPr>
      <w:r>
        <w:rPr>
          <w:color w:val="646464"/>
          <w:sz w:val="17"/>
        </w:rPr>
        <w:t xml:space="preserve">[26/09/2026] 🟢  </w:t>
      </w:r>
      <w:r>
        <w:rPr>
          <w:b/>
          <w:color w:val="008000"/>
          <w:sz w:val="18"/>
        </w:rPr>
        <w:t xml:space="preserve">UCESA : Amara plaide à Victoria Falls pour une croissance inclusive, l’emploi et un investissement productif en Afrique </w:t>
      </w:r>
      <w:r>
        <w:rPr>
          <w:color w:val="787878"/>
          <w:sz w:val="15"/>
        </w:rPr>
        <w:t xml:space="preserve">  [économique]</w:t>
      </w:r>
      <w:r>
        <w:rPr>
          <w:color w:val="B47800"/>
          <w:sz w:val="16"/>
        </w:rPr>
        <w:t xml:space="preserve">  ★ 50/10</w:t>
      </w:r>
    </w:p>
    <w:p>
      <w:pPr>
        <w:spacing w:before="0" w:after="20"/>
        <w:ind w:left="600"/>
      </w:pPr>
      <w:r>
        <w:rPr>
          <w:color w:val="323232"/>
          <w:sz w:val="17"/>
        </w:rPr>
        <w:t>L'Union des Conseils Économiques et Sociaux d'Afrique (UCESA), représentée par son président Amara, a plaidé lors d'une rencontre à Victoria Falls pour une croissance inclusive, la création d'emplois et un investissement productif en Afrique. Cette intervention s'inscrit dans un contexte de recherche de solutions durables face aux défis économiques</w:t>
      </w:r>
    </w:p>
    <w:p>
      <w:pPr>
        <w:spacing w:before="0" w:after="40"/>
        <w:ind w:left="600"/>
      </w:pPr>
      <w:r>
        <w:rPr>
          <w:color w:val="00643C"/>
          <w:sz w:val="16"/>
        </w:rPr>
        <w:t>Points clés : Plaidoyer pour une croissance inclusive en Afrique  •  Priorité à l'emploi et à l'investissement productif  •  Intervention de l'UCESA à Victoria Falls</w:t>
      </w:r>
    </w:p>
    <w:p>
      <w:pPr>
        <w:spacing w:before="0" w:after="60"/>
        <w:ind w:left="600"/>
      </w:pPr>
      <w:r>
        <w:rPr>
          <w:color w:val="0064B4"/>
          <w:sz w:val="15"/>
        </w:rPr>
        <w:t>Source : https://news.google.com/rss/articles/CBMi0AFBVV95cUxPZlg4ZUswTjdlczVETTZiTVhuR2d</w:t>
      </w:r>
    </w:p>
    <w:p>
      <w:pPr>
        <w:spacing w:before="40" w:after="40"/>
        <w:ind w:left="360"/>
      </w:pPr>
      <w:r>
        <w:rPr>
          <w:color w:val="646464"/>
          <w:sz w:val="17"/>
        </w:rPr>
        <w:t xml:space="preserve">[26/09/2026] 🟢  </w:t>
      </w:r>
      <w:r>
        <w:rPr>
          <w:b/>
          <w:color w:val="008000"/>
          <w:sz w:val="18"/>
        </w:rPr>
        <w:t>Investissement et emploi : le plaidoyer d'Amara pour la transformation économique du continent - laverite.ma</w:t>
      </w:r>
      <w:r>
        <w:rPr>
          <w:color w:val="787878"/>
          <w:sz w:val="15"/>
        </w:rPr>
        <w:t xml:space="preserve">  [économique]</w:t>
      </w:r>
      <w:r>
        <w:rPr>
          <w:color w:val="B47800"/>
          <w:sz w:val="16"/>
        </w:rPr>
        <w:t xml:space="preserve">  ★ 50/10</w:t>
      </w:r>
    </w:p>
    <w:p>
      <w:pPr>
        <w:spacing w:before="0" w:after="20"/>
        <w:ind w:left="600"/>
      </w:pPr>
      <w:r>
        <w:rPr>
          <w:color w:val="323232"/>
          <w:sz w:val="17"/>
        </w:rPr>
        <w:t>L'article rapporte le plaidoyer d'Amara pour la transformation économique du continent africain, mettant l'accent sur l'investissement et l'emploi comme leviers essentiels. Il souligne la nécessité de stimuler les investissements productifs et de créer des emplois pour soutenir une croissance durable. Cette vision s'inscrit dans un contexte de réfl</w:t>
      </w:r>
    </w:p>
    <w:p>
      <w:pPr>
        <w:spacing w:before="0" w:after="40"/>
        <w:ind w:left="600"/>
      </w:pPr>
      <w:r>
        <w:rPr>
          <w:color w:val="00643C"/>
          <w:sz w:val="16"/>
        </w:rPr>
        <w:t>Points clés : Appel à une transformation économique du continent africain  •  L'investissement et l'emploi sont présentés comme des priorités  •  Plaidoyer pour des politiques favorisant la croissance et l'emploi</w:t>
      </w:r>
    </w:p>
    <w:p>
      <w:pPr>
        <w:spacing w:before="0" w:after="60"/>
        <w:ind w:left="600"/>
      </w:pPr>
      <w:r>
        <w:rPr>
          <w:color w:val="0064B4"/>
          <w:sz w:val="15"/>
        </w:rPr>
        <w:t>Source : https://news.google.com/rss/articles/CBMitwFBVV95cUxNemFjQ0FtS1Mwb2hZWTZKZldXSWp</w:t>
      </w:r>
    </w:p>
    <w:p>
      <w:pPr>
        <w:spacing w:before="40" w:after="40"/>
        <w:ind w:left="360"/>
      </w:pPr>
      <w:r>
        <w:rPr>
          <w:color w:val="646464"/>
          <w:sz w:val="17"/>
        </w:rPr>
        <w:t xml:space="preserve">[25/09/2026] 🟢  </w:t>
      </w:r>
      <w:r>
        <w:rPr>
          <w:b/>
          <w:color w:val="008000"/>
          <w:sz w:val="18"/>
        </w:rPr>
        <w:t>Les femmes parlementaires de la CEDEAO misent sur la ZLECAf pour renforcer la participation féminine au commerce - APS -</w:t>
      </w:r>
      <w:r>
        <w:rPr>
          <w:color w:val="787878"/>
          <w:sz w:val="15"/>
        </w:rPr>
        <w:t xml:space="preserve">  [économique]</w:t>
      </w:r>
      <w:r>
        <w:rPr>
          <w:color w:val="B47800"/>
          <w:sz w:val="16"/>
        </w:rPr>
        <w:t xml:space="preserve">  ★ 50/10</w:t>
      </w:r>
    </w:p>
    <w:p>
      <w:pPr>
        <w:spacing w:before="0" w:after="20"/>
        <w:ind w:left="600"/>
      </w:pPr>
      <w:r>
        <w:rPr>
          <w:color w:val="323232"/>
          <w:sz w:val="17"/>
        </w:rPr>
        <w:t>Les femmes parlementaires de la CEDEAO ont décidé de s'appuyer sur la Zone de libre-échange continentale africaine (ZLECAf) pour accroître la participation des femmes au commerce dans la région. Cette initiative vise à tirer parti des opportunités offertes par l'accord pour renforcer l'autonomisation économique des femmes. L'objectif est de promouv</w:t>
      </w:r>
    </w:p>
    <w:p>
      <w:pPr>
        <w:spacing w:before="0" w:after="40"/>
        <w:ind w:left="600"/>
      </w:pPr>
      <w:r>
        <w:rPr>
          <w:color w:val="00643C"/>
          <w:sz w:val="16"/>
        </w:rPr>
        <w:t>Points clés : Les femmes parlementaires de la CEDEAO misent sur la ZLECAf pour renforcer la participation féminine au commerce  •  L'initiative vise à accroître l'autonomisation économique des femmes et un commerce inclusif</w:t>
      </w:r>
    </w:p>
    <w:p>
      <w:pPr>
        <w:spacing w:before="0" w:after="60"/>
        <w:ind w:left="600"/>
      </w:pPr>
      <w:r>
        <w:rPr>
          <w:color w:val="0064B4"/>
          <w:sz w:val="15"/>
        </w:rPr>
        <w:t>Source : https://news.google.com/rss/articles/CBMixwFBVV95cUxNUVM4SS0yTWF4c0xyQm90RnBvbHl</w:t>
      </w:r>
    </w:p>
    <w:p>
      <w:pPr>
        <w:spacing w:before="40" w:after="40"/>
        <w:ind w:left="360"/>
      </w:pPr>
      <w:r>
        <w:rPr>
          <w:color w:val="646464"/>
          <w:sz w:val="17"/>
        </w:rPr>
        <w:t xml:space="preserve">[25/09/2026] 🟢  </w:t>
      </w:r>
      <w:r>
        <w:rPr>
          <w:b/>
          <w:color w:val="008000"/>
          <w:sz w:val="18"/>
        </w:rPr>
        <w:t>Afrique de l'Ouest: La CEDEAO préconise des programmes de réintégration pour les migrants de retour - allAfrica.fr</w:t>
      </w:r>
      <w:r>
        <w:rPr>
          <w:color w:val="787878"/>
          <w:sz w:val="15"/>
        </w:rPr>
        <w:t xml:space="preserve">  [économique]</w:t>
      </w:r>
      <w:r>
        <w:rPr>
          <w:color w:val="B47800"/>
          <w:sz w:val="16"/>
        </w:rPr>
        <w:t xml:space="preserve">  ★ 50/10</w:t>
      </w:r>
    </w:p>
    <w:p>
      <w:pPr>
        <w:spacing w:before="0" w:after="20"/>
        <w:ind w:left="600"/>
      </w:pPr>
      <w:r>
        <w:rPr>
          <w:color w:val="323232"/>
          <w:sz w:val="17"/>
        </w:rPr>
        <w:t>La CEDEAO préconise la mise en place de programmes de réintégration pour les migrants de retour dans la région ouest-africaine. Cette initiative vise à faciliter la réinsertion socio-économique des personnes revenues dans leur pays d'origine. Elle s'inscrit dans un contexte de gestion des flux migratoires et de développement régional. L'objectif es</w:t>
      </w:r>
    </w:p>
    <w:p>
      <w:pPr>
        <w:spacing w:before="0" w:after="40"/>
        <w:ind w:left="600"/>
      </w:pPr>
      <w:r>
        <w:rPr>
          <w:color w:val="00643C"/>
          <w:sz w:val="16"/>
        </w:rPr>
        <w:t>Points clés : La CEDEAO appelle à des programmes de réintégration pour les migrants de retour  •  Objectif : faciliter la réinsertion socio-économique des migrants  •  Initiative s'inscrivant dans la gestion des flux migratoires en Afrique de l'Ouest</w:t>
      </w:r>
    </w:p>
    <w:p>
      <w:pPr>
        <w:spacing w:before="0" w:after="60"/>
        <w:ind w:left="600"/>
      </w:pPr>
      <w:r>
        <w:rPr>
          <w:color w:val="0064B4"/>
          <w:sz w:val="15"/>
        </w:rPr>
        <w:t>Source : https://news.google.com/rss/articles/CBMiX0FVX3lxTE9ZY3RHb09mNzZBY2pRWm41LWVGcC1</w:t>
      </w:r>
    </w:p>
    <w:p>
      <w:pPr>
        <w:spacing w:before="120" w:after="40"/>
      </w:pPr>
      <w:r>
        <w:rPr>
          <w:b/>
          <w:color w:val="00467F"/>
          <w:sz w:val="20"/>
        </w:rPr>
        <w:t>🔑 marche_financier  (3 alerte(s))</w:t>
      </w:r>
    </w:p>
    <w:p>
      <w:pPr>
        <w:spacing w:before="40" w:after="40"/>
        <w:ind w:left="360"/>
      </w:pPr>
      <w:r>
        <w:rPr>
          <w:color w:val="646464"/>
          <w:sz w:val="17"/>
        </w:rPr>
        <w:t xml:space="preserve">[25/09/2026] 🟢  </w:t>
      </w:r>
      <w:r>
        <w:rPr>
          <w:b/>
          <w:color w:val="008000"/>
          <w:sz w:val="18"/>
        </w:rPr>
        <w:t>Une dynamique boursière porteuse - République Togolaise</w:t>
      </w:r>
      <w:r>
        <w:rPr>
          <w:color w:val="787878"/>
          <w:sz w:val="15"/>
        </w:rPr>
        <w:t xml:space="preserve">  [marche_financier]</w:t>
      </w:r>
      <w:r>
        <w:rPr>
          <w:color w:val="B47800"/>
          <w:sz w:val="16"/>
        </w:rPr>
        <w:t xml:space="preserve">  ★ 50/10</w:t>
      </w:r>
    </w:p>
    <w:p>
      <w:pPr>
        <w:spacing w:before="0" w:after="20"/>
        <w:ind w:left="600"/>
      </w:pPr>
      <w:r>
        <w:rPr>
          <w:color w:val="323232"/>
          <w:sz w:val="17"/>
        </w:rPr>
        <w:t>L'article évoque une dynamique boursière porteuse pour la République Togolaise, sans fournir de détails chiffrés ou d'événements spécifiques. Il s'agit probablement d'une communication institutionnelle mettant en avant les performances ou les perspectives du marché financier togolais au sein de l'UEMOA. Cette annonce pourrait refléter un climat fav</w:t>
      </w:r>
    </w:p>
    <w:p>
      <w:pPr>
        <w:spacing w:before="0" w:after="40"/>
        <w:ind w:left="600"/>
      </w:pPr>
      <w:r>
        <w:rPr>
          <w:color w:val="00643C"/>
          <w:sz w:val="16"/>
        </w:rPr>
        <w:t>Points clés : Dynamique boursière jugée porteuse pour le Togo  •  Communication institutionnelle sans données quantitatives  •  Contexte UEMOA et marché financier régional</w:t>
      </w:r>
    </w:p>
    <w:p>
      <w:pPr>
        <w:spacing w:before="0" w:after="60"/>
        <w:ind w:left="600"/>
      </w:pPr>
      <w:r>
        <w:rPr>
          <w:color w:val="0064B4"/>
          <w:sz w:val="15"/>
        </w:rPr>
        <w:t>Source : https://news.google.com/rss/articles/CBMinAFBVV95cUxPZ0VxZUR2NG9JNHBpRGJpRG5yaEF</w:t>
      </w:r>
    </w:p>
    <w:p>
      <w:pPr>
        <w:spacing w:before="40" w:after="40"/>
        <w:ind w:left="360"/>
      </w:pPr>
      <w:r>
        <w:rPr>
          <w:color w:val="646464"/>
          <w:sz w:val="17"/>
        </w:rPr>
        <w:t xml:space="preserve">[25/09/2026] ⚪  </w:t>
      </w:r>
      <w:r>
        <w:rPr>
          <w:b/>
          <w:color w:val="505050"/>
          <w:sz w:val="18"/>
        </w:rPr>
        <w:t>Médias : les articles financiers à base d'IA ont moins d'impact sur les cours de Bourse - Les Echos</w:t>
      </w:r>
      <w:r>
        <w:rPr>
          <w:color w:val="787878"/>
          <w:sz w:val="15"/>
        </w:rPr>
        <w:t xml:space="preserve">  [marche_financier]</w:t>
      </w:r>
      <w:r>
        <w:rPr>
          <w:color w:val="B47800"/>
          <w:sz w:val="16"/>
        </w:rPr>
        <w:t xml:space="preserve">  ★ 50/10</w:t>
      </w:r>
    </w:p>
    <w:p>
      <w:pPr>
        <w:spacing w:before="0" w:after="20"/>
        <w:ind w:left="600"/>
      </w:pPr>
      <w:r>
        <w:rPr>
          <w:color w:val="323232"/>
          <w:sz w:val="17"/>
        </w:rPr>
        <w:t>Une étude relayée par Les Echos indique que les articles financiers générés par intelligence artificielle ont un impact moindre sur les cours de Bourse comparés à ceux rédigés par des humains. Les investisseurs semblent accorder moins de crédit ou de réactivité à ces contenus automatisés. Cette tendance soulève des questions sur la qualité perçue e</w:t>
      </w:r>
    </w:p>
    <w:p>
      <w:pPr>
        <w:spacing w:before="0" w:after="40"/>
        <w:ind w:left="600"/>
      </w:pPr>
      <w:r>
        <w:rPr>
          <w:color w:val="00643C"/>
          <w:sz w:val="16"/>
        </w:rPr>
        <w:t>Points clés : Les articles financiers générés par IA ont un impact plus faible sur les cours de Bourse  •  Les investisseurs réagissent moins aux contenus automatisés qu'aux analyses humaines  •  Remise en question de la crédibilité et de l'utilité des publications financières par IA</w:t>
      </w:r>
    </w:p>
    <w:p>
      <w:pPr>
        <w:spacing w:before="0" w:after="60"/>
        <w:ind w:left="600"/>
      </w:pPr>
      <w:r>
        <w:rPr>
          <w:color w:val="0064B4"/>
          <w:sz w:val="15"/>
        </w:rPr>
        <w:t>Source : https://news.google.com/rss/articles/CBMi5AFBVV95cUxPclQwOHdhRWFiZy1rVGRaVC0wWlV</w:t>
      </w:r>
    </w:p>
    <w:p>
      <w:pPr>
        <w:spacing w:before="40" w:after="40"/>
        <w:ind w:left="360"/>
      </w:pPr>
      <w:r>
        <w:rPr>
          <w:color w:val="646464"/>
          <w:sz w:val="17"/>
        </w:rPr>
        <w:t xml:space="preserve">[25/09/2026] 🟢  </w:t>
      </w:r>
      <w:r>
        <w:rPr>
          <w:b/>
          <w:color w:val="008000"/>
          <w:sz w:val="18"/>
        </w:rPr>
        <w:t>Bridge Bank Group CI entre à la BRVM avec un taux de souscription de 142 % - AGENCE ECOFIN</w:t>
      </w:r>
      <w:r>
        <w:rPr>
          <w:color w:val="787878"/>
          <w:sz w:val="15"/>
        </w:rPr>
        <w:t xml:space="preserve">  [marche_financier]</w:t>
      </w:r>
      <w:r>
        <w:rPr>
          <w:color w:val="B47800"/>
          <w:sz w:val="16"/>
        </w:rPr>
        <w:t xml:space="preserve">  ★ 50/10</w:t>
      </w:r>
    </w:p>
    <w:p>
      <w:pPr>
        <w:spacing w:before="0" w:after="20"/>
        <w:ind w:left="600"/>
      </w:pPr>
      <w:r>
        <w:rPr>
          <w:color w:val="323232"/>
          <w:sz w:val="17"/>
        </w:rPr>
        <w:t>Bridge Bank Group CI a réussi son introduction à la BRVM avec un taux de souscription de 142 %, dépassant largement l'objectif initial. Cette opération marque l'arrivée d'une nouvelle banque sur le marché financier régional. Le succès de la souscription témoigne de l'intérêt des investisseurs pour le secteur bancaire et pour les valeurs de croissan</w:t>
      </w:r>
    </w:p>
    <w:p>
      <w:pPr>
        <w:spacing w:before="0" w:after="40"/>
        <w:ind w:left="600"/>
      </w:pPr>
      <w:r>
        <w:rPr>
          <w:color w:val="00643C"/>
          <w:sz w:val="16"/>
        </w:rPr>
        <w:t>Points clés : Taux de souscription de 142 % pour l'introduction en bourse de Bridge Bank Group CI  •  Nouvelle admission d'une banque sur la BRVM  •  Succès de l'opération reflétant la confiance des investisseurs</w:t>
      </w:r>
    </w:p>
    <w:p>
      <w:pPr>
        <w:spacing w:before="0" w:after="60"/>
        <w:ind w:left="600"/>
      </w:pPr>
      <w:r>
        <w:rPr>
          <w:color w:val="0064B4"/>
          <w:sz w:val="15"/>
        </w:rPr>
        <w:t>Source : https://news.google.com/rss/articles/CBMizAFBVV95cUxOdHVEWW16ZVU1SlBYd0VMYmRwWGh</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8,950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2,390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4,300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42,500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8,510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16,805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38,900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7,900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3,795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8,100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2,420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2,085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9,000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2,350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2,010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18</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6,290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19</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11,595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2,960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2,900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3,930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15,300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15,810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3,050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69</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22,500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21,295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11,900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8,100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1,555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5,130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31,500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6,440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3,980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32,000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3,400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3,100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4,195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STBC</w:t>
            </w:r>
          </w:p>
        </w:tc>
        <w:tc>
          <w:tcPr>
            <w:tcW w:type="dxa" w:w="1080"/>
            <w:shd w:fill="FEFEFE" w:val="clear"/>
          </w:tcPr>
          <w:p>
            <w:r>
              <w:rPr>
                <w:sz w:val="16"/>
              </w:rPr>
              <w:t>CONSOMMATION DE BA</w:t>
            </w:r>
          </w:p>
        </w:tc>
        <w:tc>
          <w:tcPr>
            <w:tcW w:type="dxa" w:w="1080"/>
            <w:shd w:fill="FEFEFE" w:val="clear"/>
          </w:tcPr>
          <w:p>
            <w:r>
              <w:rPr>
                <w:sz w:val="16"/>
              </w:rPr>
              <w:t>21,400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51,000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BOAB</w:t>
            </w:r>
          </w:p>
        </w:tc>
        <w:tc>
          <w:tcPr>
            <w:tcW w:type="dxa" w:w="1728"/>
            <w:shd w:fill="DEEAF1" w:val="clear"/>
          </w:tcPr>
          <w:p>
            <w:r>
              <w:rPr>
                <w:sz w:val="17"/>
              </w:rPr>
              <w:t>BANK OF AFRICA BENIN</w:t>
            </w:r>
          </w:p>
        </w:tc>
        <w:tc>
          <w:tcPr>
            <w:tcW w:type="dxa" w:w="1728"/>
            <w:shd w:fill="DEEAF1" w:val="clear"/>
          </w:tcPr>
          <w:p>
            <w:r>
              <w:rPr>
                <w:sz w:val="17"/>
              </w:rPr>
              <w:t>8,950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2,390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16,805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38,900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7,900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3,795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2,420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8,100</w:t>
            </w:r>
          </w:p>
        </w:tc>
        <w:tc>
          <w:tcPr>
            <w:tcW w:type="dxa" w:w="1728"/>
            <w:shd w:fill="DEEAF1" w:val="clear"/>
          </w:tcPr>
          <w:p>
            <w:r>
              <w:rPr>
                <w:sz w:val="17"/>
              </w:rPr>
              <w:t>71/100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8,950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2,390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SAFC</w:t>
            </w:r>
          </w:p>
        </w:tc>
        <w:tc>
          <w:tcPr>
            <w:tcW w:type="dxa" w:w="1728"/>
            <w:shd w:fill="E2EFDA" w:val="clear"/>
          </w:tcPr>
          <w:p>
            <w:r>
              <w:rPr>
                <w:sz w:val="17"/>
              </w:rPr>
              <w:t>SAFCA CI</w:t>
            </w:r>
          </w:p>
        </w:tc>
        <w:tc>
          <w:tcPr>
            <w:tcW w:type="dxa" w:w="1728"/>
            <w:shd w:fill="E2EFDA" w:val="clear"/>
          </w:tcPr>
          <w:p>
            <w:r>
              <w:rPr>
                <w:sz w:val="17"/>
              </w:rPr>
              <w:t>4,300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42,500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8,510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16,805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38,900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SPHC</w:t>
            </w:r>
          </w:p>
        </w:tc>
        <w:tc>
          <w:tcPr>
            <w:tcW w:type="dxa" w:w="1728"/>
            <w:shd w:fill="E2EFDA" w:val="clear"/>
          </w:tcPr>
          <w:p>
            <w:r>
              <w:rPr>
                <w:sz w:val="17"/>
              </w:rPr>
              <w:t xml:space="preserve">SPHC - Société Africaine de </w:t>
            </w:r>
          </w:p>
        </w:tc>
        <w:tc>
          <w:tcPr>
            <w:tcW w:type="dxa" w:w="1728"/>
            <w:shd w:fill="E2EFDA" w:val="clear"/>
          </w:tcPr>
          <w:p>
            <w:r>
              <w:rPr>
                <w:sz w:val="17"/>
              </w:rPr>
              <w:t>7,900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8,950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2,390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SAFC</w:t>
            </w:r>
          </w:p>
        </w:tc>
        <w:tc>
          <w:tcPr>
            <w:tcW w:type="dxa" w:w="1728"/>
            <w:shd w:fill="FCE4D6" w:val="clear"/>
          </w:tcPr>
          <w:p>
            <w:r>
              <w:rPr>
                <w:sz w:val="17"/>
              </w:rPr>
              <w:t>SAFCA CI</w:t>
            </w:r>
          </w:p>
        </w:tc>
        <w:tc>
          <w:tcPr>
            <w:tcW w:type="dxa" w:w="1728"/>
            <w:shd w:fill="FCE4D6" w:val="clear"/>
          </w:tcPr>
          <w:p>
            <w:r>
              <w:rPr>
                <w:sz w:val="17"/>
              </w:rPr>
              <w:t>4,300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42,500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8,510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16,805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38,900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SPHC</w:t>
            </w:r>
          </w:p>
        </w:tc>
        <w:tc>
          <w:tcPr>
            <w:tcW w:type="dxa" w:w="1728"/>
            <w:shd w:fill="FCE4D6" w:val="clear"/>
          </w:tcPr>
          <w:p>
            <w:r>
              <w:rPr>
                <w:sz w:val="17"/>
              </w:rPr>
              <w:t xml:space="preserve">SPHC - Société Africaine de </w:t>
            </w:r>
          </w:p>
        </w:tc>
        <w:tc>
          <w:tcPr>
            <w:tcW w:type="dxa" w:w="1728"/>
            <w:shd w:fill="FCE4D6" w:val="clear"/>
          </w:tcPr>
          <w:p>
            <w:r>
              <w:rPr>
                <w:sz w:val="17"/>
              </w:rPr>
              <w:t>7,900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SLBC — SLBC - SOLIBRA COTE D'IVOIRE</w:t>
      </w:r>
    </w:p>
    <w:p>
      <w:pPr>
        <w:pStyle w:val="ListBullet"/>
        <w:spacing w:before="20"/>
        <w:ind w:left="400"/>
      </w:pPr>
      <w:r>
        <w:rPr>
          <w:sz w:val="18"/>
        </w:rPr>
        <w:t>🔴 RSI surachat (78.6 &gt; 70) — risque de correction</w:t>
      </w:r>
    </w:p>
    <w:p>
      <w:pPr>
        <w:pStyle w:val="ListBullet"/>
        <w:spacing w:before="20"/>
        <w:ind w:left="400"/>
      </w:pPr>
      <w:r>
        <w:rPr>
          <w:sz w:val="18"/>
        </w:rPr>
        <w:t>⚠️ Cours à 3.0% du plus bas 100j (36,900 FCFA)</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RSI survente (27.7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survente (21.3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(73.9 &gt; 70) — risque de correction</w:t>
      </w:r>
    </w:p>
    <w:p>
      <w:pPr>
        <w:pStyle w:val="ListBullet"/>
        <w:spacing w:before="20"/>
        <w:ind w:left="400"/>
      </w:pPr>
      <w:r>
        <w:rPr>
          <w:sz w:val="18"/>
        </w:rPr>
        <w:t>⚠️ Cours à 0.0% du plus haut 100j (42,500 FCFA)</w:t>
      </w:r>
    </w:p>
    <w:p>
      <w:pPr>
        <w:spacing w:before="120"/>
      </w:pPr>
      <w:r>
        <w:rPr>
          <w:b/>
          <w:color w:val="0050A0"/>
          <w:sz w:val="20"/>
        </w:rPr>
        <w:t>STAC — STAC - SETAO COTE D'IVOIRE</w:t>
      </w:r>
    </w:p>
    <w:p>
      <w:pPr>
        <w:pStyle w:val="ListBullet"/>
        <w:spacing w:before="20"/>
        <w:ind w:left="400"/>
      </w:pPr>
      <w:r>
        <w:rPr>
          <w:sz w:val="18"/>
        </w:rPr>
        <w:t>🟢 RSI survente (25.7 &lt; 30) — opportunité potentielle</w:t>
      </w:r>
    </w:p>
    <w:p>
      <w:pPr>
        <w:pStyle w:val="ListBullet"/>
        <w:spacing w:before="20"/>
        <w:ind w:left="400"/>
      </w:pPr>
      <w:r>
        <w:rPr>
          <w:sz w:val="18"/>
        </w:rPr>
        <w:t>⚠️ Cours à 0.0% du plus bas 100j (2,085 FCFA)</w:t>
      </w:r>
    </w:p>
    <w:p>
      <w:pPr>
        <w:spacing w:before="120"/>
      </w:pPr>
      <w:r>
        <w:rPr>
          <w:b/>
          <w:color w:val="0050A0"/>
          <w:sz w:val="20"/>
        </w:rPr>
        <w:t>BICB — BIIC BN - Banque internationale pour le commerce du benin</w:t>
      </w:r>
    </w:p>
    <w:p>
      <w:pPr>
        <w:pStyle w:val="ListBullet"/>
        <w:spacing w:before="20"/>
        <w:ind w:left="400"/>
      </w:pPr>
      <w:r>
        <w:rPr>
          <w:sz w:val="18"/>
        </w:rPr>
        <w:t>🟢 RSI survente (23.7 &lt; 30) — opportunité potentielle</w:t>
      </w:r>
    </w:p>
    <w:p>
      <w:pPr>
        <w:spacing w:before="120"/>
      </w:pPr>
      <w:r>
        <w:rPr>
          <w:b/>
          <w:color w:val="0050A0"/>
          <w:sz w:val="20"/>
        </w:rPr>
        <w:t>BOAB — BANK OF AFRICA BENIN</w:t>
      </w:r>
    </w:p>
    <w:p>
      <w:pPr>
        <w:pStyle w:val="ListBullet"/>
        <w:spacing w:before="20"/>
        <w:ind w:left="400"/>
      </w:pPr>
      <w:r>
        <w:rPr>
          <w:sz w:val="18"/>
        </w:rPr>
        <w:t>🟢 RSI survente (21.1 &lt; 30) — opportunité potentielle</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(28.6 &lt; 30) — opportunité potentielle</w:t>
      </w:r>
    </w:p>
    <w:p>
      <w:pPr>
        <w:spacing w:before="120"/>
      </w:pPr>
      <w:r>
        <w:rPr>
          <w:b/>
          <w:color w:val="0050A0"/>
          <w:sz w:val="20"/>
        </w:rPr>
        <w:t>ONTBF — ONTBF - ONATEL BURKINA FASO</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survente (25.2 &lt; 30) — opportunité potentielle</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RSI survente (23.7 &lt; 30) — opportunité potentielle</w:t>
      </w:r>
    </w:p>
    <w:p>
      <w:pPr>
        <w:spacing w:before="120"/>
      </w:pPr>
      <w:r>
        <w:rPr>
          <w:b/>
          <w:color w:val="0050A0"/>
          <w:sz w:val="20"/>
        </w:rPr>
        <w:t>SCRC — SCRC - SUCRIVOIRE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1.0% du plus haut 100j (39,300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RSI survente (26.6 &lt; 30) — opportunité potentielle</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survente (27.7 &lt; 30) — opportunité potentielle</w:t>
      </w:r>
    </w:p>
    <w:p>
      <w:pPr>
        <w:spacing w:before="120"/>
      </w:pPr>
      <w:r>
        <w:rPr>
          <w:b/>
          <w:color w:val="0050A0"/>
          <w:sz w:val="20"/>
        </w:rPr>
        <w:t>STBC — STBC - SITAB COTE D'IVOIRE</w:t>
      </w:r>
    </w:p>
    <w:p>
      <w:pPr>
        <w:pStyle w:val="ListBullet"/>
        <w:spacing w:before="20"/>
        <w:ind w:left="400"/>
      </w:pPr>
      <w:r>
        <w:rPr>
          <w:sz w:val="18"/>
        </w:rPr>
        <w:t>🟠 Divergence tech(VENTE) / fond(NEUTRE) — recommandation ajustée à CONSERVER ⚠️</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26 société(s) (55%)</w:t>
            </w:r>
          </w:p>
        </w:tc>
        <w:tc>
          <w:tcPr>
            <w:tcW w:type="dxa" w:w="1644"/>
            <w:shd w:fill="FFEB9C" w:val="clear"/>
          </w:tcPr>
          <w:p>
            <w:r>
              <w:rPr>
                <w:b/>
                <w:color w:val="825A00"/>
                <w:sz w:val="19"/>
              </w:rPr>
              <w:t>21 société(s) (45%)</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20.1/100</w:t>
            </w:r>
          </w:p>
        </w:tc>
        <w:tc>
          <w:tcPr>
            <w:tcW w:type="dxa" w:w="1644"/>
            <w:shd w:fill="DEEAF1" w:val="clear"/>
          </w:tcPr>
          <w:p>
            <w:r>
              <w:rPr>
                <w:b/>
                <w:color w:val="000000"/>
                <w:sz w:val="19"/>
              </w:rPr>
              <w:t>18.8/100</w:t>
            </w:r>
          </w:p>
        </w:tc>
      </w:tr>
    </w:tbl>
    <w:p/>
    <w:p>
      <w:r>
        <w:rPr>
          <w:i/>
          <w:color w:val="006400"/>
          <w:sz w:val="18"/>
        </w:rPr>
        <w:t>✅ Le marché BRVM présente globalement un profil de risque FAIBLE (score moyen 20.1/100).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BOAN</w:t>
            </w:r>
          </w:p>
        </w:tc>
        <w:tc>
          <w:tcPr>
            <w:tcW w:type="dxa" w:w="2268"/>
            <w:shd w:fill="FFFFFF" w:val="clear"/>
          </w:tcPr>
          <w:p>
            <w:r>
              <w:rPr>
                <w:sz w:val="16"/>
              </w:rPr>
              <w:t>BANK OF AFRICA NIGER</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29.8/100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BOAN (31.3/100 — Moyen) : </w:t>
      </w:r>
      <w:r>
        <w:rPr>
          <w:sz w:val="17"/>
        </w:rPr>
        <w:t>Volatilité=Élevée | Bêta=Agressif | Liquidité=Bonne | Divergence signaux=taux divergence=20% (Mixte ⚠️) | Stabilité=Stable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SAFC (29.8/100 — Moyen) : </w:t>
      </w:r>
      <w:r>
        <w:rPr>
          <w:sz w:val="17"/>
        </w:rPr>
        <w:t>Volatilité=Élevée | Bêta=Neutre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29.0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23.0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-1.14%  |  Médiane : -2.30%</w:t>
            </w:r>
          </w:p>
        </w:tc>
      </w:tr>
      <w:tr>
        <w:tc>
          <w:tcPr>
            <w:tcW w:type="dxa" w:w="2835"/>
            <w:shd w:fill="DEEAF1" w:val="clear"/>
          </w:tcPr>
          <w:p>
            <w:r>
              <w:rPr>
                <w:b/>
                <w:sz w:val="18"/>
              </w:rPr>
              <w:t>Répartition</w:t>
            </w:r>
          </w:p>
        </w:tc>
        <w:tc>
          <w:tcPr>
            <w:tcW w:type="dxa" w:w="7370"/>
          </w:tcPr>
          <w:p>
            <w:r>
              <w:rPr>
                <w:b/>
                <w:sz w:val="18"/>
              </w:rPr>
              <w:t>📈 12 sociétés en hausse (&gt;+1%)   📉 26 en baisse (&lt;-1%)   ➡️ 9 neutres</w:t>
            </w:r>
          </w:p>
        </w:tc>
      </w:tr>
      <w:tr>
        <w:tc>
          <w:tcPr>
            <w:tcW w:type="dxa" w:w="2835"/>
            <w:shd w:fill="DEEAF1" w:val="clear"/>
          </w:tcPr>
          <w:p>
            <w:r>
              <w:rPr>
                <w:b/>
                <w:sz w:val="18"/>
              </w:rPr>
              <w:t>Confiance globale</w:t>
            </w:r>
          </w:p>
        </w:tc>
        <w:tc>
          <w:tcPr>
            <w:tcW w:type="dxa" w:w="7370"/>
          </w:tcPr>
          <w:p>
            <w:r>
              <w:rPr>
                <w:b/>
                <w:sz w:val="18"/>
              </w:rPr>
              <w:t>Élevée : 0 sociétés (0%)   Moyenne : 8   Faible : 39 (83%)   → Confiance dominante : Faible</w:t>
            </w:r>
          </w:p>
        </w:tc>
      </w:tr>
    </w:tbl>
    <w:p/>
    <w:p>
      <w:r>
        <w:rPr>
          <w:i/>
          <w:color w:val="282828"/>
          <w:sz w:val="18"/>
        </w:rPr>
        <w:t>📝 Analyse : Légère tendance baissière avec signal mixte : 26 sociétés en baisse vs 12 en hausse. Variation moyenne : -1.14%.</w:t>
      </w:r>
    </w:p>
    <w:p>
      <w:r>
        <w:rPr>
          <w:i/>
          <w:color w:val="282828"/>
          <w:sz w:val="18"/>
        </w:rPr>
        <w:t>🎯 Fiabilité : ⚠️ La confiance est globalement FAIBLE (83%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4,300 FCFA</w:t>
            </w:r>
          </w:p>
        </w:tc>
        <w:tc>
          <w:tcPr>
            <w:tcW w:type="dxa" w:w="1417"/>
            <w:shd w:fill="FFFFFF" w:val="clear"/>
          </w:tcPr>
          <w:p>
            <w:r>
              <w:rPr>
                <w:sz w:val="16"/>
              </w:rPr>
              <w:t>4,995 FCFA</w:t>
            </w:r>
          </w:p>
        </w:tc>
        <w:tc>
          <w:tcPr>
            <w:tcW w:type="dxa" w:w="1134"/>
            <w:shd w:fill="C6EFCE" w:val="clear"/>
          </w:tcPr>
          <w:p>
            <w:r>
              <w:rPr>
                <w:b/>
                <w:color w:val="007800"/>
                <w:sz w:val="16"/>
              </w:rPr>
              <w:t>+16.16%</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11,900 FCFA</w:t>
            </w:r>
          </w:p>
        </w:tc>
        <w:tc>
          <w:tcPr>
            <w:tcW w:type="dxa" w:w="1417"/>
            <w:shd w:fill="FFFFFF" w:val="clear"/>
          </w:tcPr>
          <w:p>
            <w:r>
              <w:rPr>
                <w:sz w:val="16"/>
              </w:rPr>
              <w:t>13,358 FCFA</w:t>
            </w:r>
          </w:p>
        </w:tc>
        <w:tc>
          <w:tcPr>
            <w:tcW w:type="dxa" w:w="1134"/>
            <w:shd w:fill="C6EFCE" w:val="clear"/>
          </w:tcPr>
          <w:p>
            <w:r>
              <w:rPr>
                <w:b/>
                <w:color w:val="007800"/>
                <w:sz w:val="16"/>
              </w:rPr>
              <w:t>+12.25%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21,400 FCFA</w:t>
            </w:r>
          </w:p>
        </w:tc>
        <w:tc>
          <w:tcPr>
            <w:tcW w:type="dxa" w:w="1417"/>
            <w:shd w:fill="FFFFFF" w:val="clear"/>
          </w:tcPr>
          <w:p>
            <w:r>
              <w:rPr>
                <w:sz w:val="16"/>
              </w:rPr>
              <w:t>23,885 FCFA</w:t>
            </w:r>
          </w:p>
        </w:tc>
        <w:tc>
          <w:tcPr>
            <w:tcW w:type="dxa" w:w="1134"/>
            <w:shd w:fill="C6EFCE" w:val="clear"/>
          </w:tcPr>
          <w:p>
            <w:r>
              <w:rPr>
                <w:b/>
                <w:color w:val="007800"/>
                <w:sz w:val="16"/>
              </w:rPr>
              <w:t>+11.61%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3,100 FCFA</w:t>
            </w:r>
          </w:p>
        </w:tc>
        <w:tc>
          <w:tcPr>
            <w:tcW w:type="dxa" w:w="1417"/>
            <w:shd w:fill="FFFFFF" w:val="clear"/>
          </w:tcPr>
          <w:p>
            <w:r>
              <w:rPr>
                <w:sz w:val="16"/>
              </w:rPr>
              <w:t>3,441 FCFA</w:t>
            </w:r>
          </w:p>
        </w:tc>
        <w:tc>
          <w:tcPr>
            <w:tcW w:type="dxa" w:w="1134"/>
            <w:shd w:fill="C6EFCE" w:val="clear"/>
          </w:tcPr>
          <w:p>
            <w:r>
              <w:rPr>
                <w:b/>
                <w:color w:val="007800"/>
                <w:sz w:val="16"/>
              </w:rPr>
              <w:t>+10.98%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6,290 FCFA</w:t>
            </w:r>
          </w:p>
        </w:tc>
        <w:tc>
          <w:tcPr>
            <w:tcW w:type="dxa" w:w="1417"/>
            <w:shd w:fill="FFFFFF" w:val="clear"/>
          </w:tcPr>
          <w:p>
            <w:r>
              <w:rPr>
                <w:sz w:val="16"/>
              </w:rPr>
              <w:t>6,860 FCFA</w:t>
            </w:r>
          </w:p>
        </w:tc>
        <w:tc>
          <w:tcPr>
            <w:tcW w:type="dxa" w:w="1134"/>
            <w:shd w:fill="C6EFCE" w:val="clear"/>
          </w:tcPr>
          <w:p>
            <w:r>
              <w:rPr>
                <w:b/>
                <w:color w:val="007800"/>
                <w:sz w:val="16"/>
              </w:rPr>
              <w:t>+9.06%</w:t>
            </w:r>
          </w:p>
        </w:tc>
        <w:tc>
          <w:tcPr>
            <w:tcW w:type="dxa" w:w="1020"/>
            <w:shd w:fill="FFC7CE" w:val="clear"/>
          </w:tcPr>
          <w:p>
            <w:r>
              <w:rPr>
                <w:sz w:val="16"/>
              </w:rPr>
              <w:t>Faible</w:t>
            </w:r>
          </w:p>
        </w:tc>
      </w:tr>
    </w:tbl>
    <w:p/>
    <w:p>
      <w:pPr>
        <w:pStyle w:val="ListBullet"/>
      </w:pPr>
      <w:r>
        <w:rPr>
          <w:b/>
          <w:color w:val="006400"/>
          <w:sz w:val="18"/>
        </w:rPr>
        <w:t xml:space="preserve">#1 SAFC </w:t>
      </w:r>
      <w:r>
        <w:rPr>
          <w:sz w:val="17"/>
        </w:rPr>
        <w:t>(SAFCA CI) — hausse significative (+16.2%) — potentiel de revalorisation notable. Trajectoire : 📈 Hausse continue. Cours actuel : 4,300 FCFA → prédit J+10 : 4,995 FCFA. ⚠️ Confiance limitée — volatilité élevée ou données insuffisantes. Résultat indicatif uniquement.</w:t>
      </w:r>
    </w:p>
    <w:p>
      <w:pPr>
        <w:pStyle w:val="ListBullet"/>
      </w:pPr>
      <w:r>
        <w:rPr>
          <w:b/>
          <w:color w:val="006400"/>
          <w:sz w:val="18"/>
        </w:rPr>
        <w:t xml:space="preserve">#2 SDCC </w:t>
      </w:r>
      <w:r>
        <w:rPr>
          <w:sz w:val="17"/>
        </w:rPr>
        <w:t>(SDCC - Société de Distribution d'Eau de ) — hausse significative (+12.3%) — potentiel de revalorisation notable. Trajectoire : 📈 Hausse continue. Cours actuel : 11,900 FCFA → prédit J+10 : 13,358 FCFA. ⚠️ Confiance limitée — volatilité élevée ou données insuffisantes. Résultat indicatif uniquement.</w:t>
      </w:r>
    </w:p>
    <w:p>
      <w:pPr>
        <w:pStyle w:val="ListBullet"/>
      </w:pPr>
      <w:r>
        <w:rPr>
          <w:b/>
          <w:color w:val="006400"/>
          <w:sz w:val="18"/>
        </w:rPr>
        <w:t xml:space="preserve">#3 STBC </w:t>
      </w:r>
      <w:r>
        <w:rPr>
          <w:sz w:val="17"/>
        </w:rPr>
        <w:t>(STBC - SITAB COTE D'IVOIRE) — hausse significative (+11.6%) — potentiel de revalorisation notable. Trajectoire : 📈 Hausse continue. Cours actuel : 21,400 FCFA → prédit J+10 : 23,885 FCFA. ⚠️ Confiance limitée — volatilité élevée ou données insuffisantes. Résultat indicatif uniquement.</w:t>
      </w:r>
    </w:p>
    <w:p>
      <w:pPr>
        <w:pStyle w:val="ListBullet"/>
      </w:pPr>
      <w:r>
        <w:rPr>
          <w:b/>
          <w:color w:val="006400"/>
          <w:sz w:val="18"/>
        </w:rPr>
        <w:t xml:space="preserve">#4 SCRC </w:t>
      </w:r>
      <w:r>
        <w:rPr>
          <w:sz w:val="17"/>
        </w:rPr>
        <w:t>(SCRC - SUCRIVOIRE) — hausse significative (+11.0%) — potentiel de revalorisation notable. Trajectoire : 📈 Hausse continue. Cours actuel : 3,100 FCFA → prédit J+10 : 3,441 FCFA. ⚠️ Confiance limitée — volatilité élevée ou données insuffisantes. Résultat indicatif uniquement.</w:t>
      </w:r>
    </w:p>
    <w:p>
      <w:pPr>
        <w:pStyle w:val="ListBullet"/>
      </w:pPr>
      <w:r>
        <w:rPr>
          <w:b/>
          <w:color w:val="006400"/>
          <w:sz w:val="18"/>
        </w:rPr>
        <w:t xml:space="preserve">#5 BOAM </w:t>
      </w:r>
      <w:r>
        <w:rPr>
          <w:sz w:val="17"/>
        </w:rPr>
        <w:t>(BANK OF AFRICA MALI) — hausse modérée (+9.1%) — signal raisonnable et crédible. Trajectoire : 📈 Hausse continue. Cours actuel : 6,290 FCFA → prédit J+10 : 6,860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8,400 FCFA</w:t>
            </w:r>
          </w:p>
        </w:tc>
        <w:tc>
          <w:tcPr>
            <w:tcW w:type="dxa" w:w="1417"/>
            <w:shd w:fill="FFFFFF" w:val="clear"/>
          </w:tcPr>
          <w:p>
            <w:r>
              <w:rPr>
                <w:sz w:val="16"/>
              </w:rPr>
              <w:t>7,239 FCFA</w:t>
            </w:r>
          </w:p>
        </w:tc>
        <w:tc>
          <w:tcPr>
            <w:tcW w:type="dxa" w:w="1134"/>
            <w:shd w:fill="FFC7CE" w:val="clear"/>
          </w:tcPr>
          <w:p>
            <w:r>
              <w:rPr>
                <w:b/>
                <w:color w:val="B40000"/>
                <w:sz w:val="16"/>
              </w:rPr>
              <w:t>-13.82%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3,930 FCFA</w:t>
            </w:r>
          </w:p>
        </w:tc>
        <w:tc>
          <w:tcPr>
            <w:tcW w:type="dxa" w:w="1417"/>
            <w:shd w:fill="FFFFFF" w:val="clear"/>
          </w:tcPr>
          <w:p>
            <w:r>
              <w:rPr>
                <w:sz w:val="16"/>
              </w:rPr>
              <w:t>3,518 FCFA</w:t>
            </w:r>
          </w:p>
        </w:tc>
        <w:tc>
          <w:tcPr>
            <w:tcW w:type="dxa" w:w="1134"/>
            <w:shd w:fill="FFC7CE" w:val="clear"/>
          </w:tcPr>
          <w:p>
            <w:r>
              <w:rPr>
                <w:b/>
                <w:color w:val="B40000"/>
                <w:sz w:val="16"/>
              </w:rPr>
              <w:t>-10.49%</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31,500 FCFA</w:t>
            </w:r>
          </w:p>
        </w:tc>
        <w:tc>
          <w:tcPr>
            <w:tcW w:type="dxa" w:w="1417"/>
            <w:shd w:fill="FFFFFF" w:val="clear"/>
          </w:tcPr>
          <w:p>
            <w:r>
              <w:rPr>
                <w:sz w:val="16"/>
              </w:rPr>
              <w:t>28,253 FCFA</w:t>
            </w:r>
          </w:p>
        </w:tc>
        <w:tc>
          <w:tcPr>
            <w:tcW w:type="dxa" w:w="1134"/>
            <w:shd w:fill="FFC7CE" w:val="clear"/>
          </w:tcPr>
          <w:p>
            <w:r>
              <w:rPr>
                <w:b/>
                <w:color w:val="B40000"/>
                <w:sz w:val="16"/>
              </w:rPr>
              <w:t>-10.31%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2,420 FCFA</w:t>
            </w:r>
          </w:p>
        </w:tc>
        <w:tc>
          <w:tcPr>
            <w:tcW w:type="dxa" w:w="1417"/>
            <w:shd w:fill="FFFFFF" w:val="clear"/>
          </w:tcPr>
          <w:p>
            <w:r>
              <w:rPr>
                <w:sz w:val="16"/>
              </w:rPr>
              <w:t>2,189 FCFA</w:t>
            </w:r>
          </w:p>
        </w:tc>
        <w:tc>
          <w:tcPr>
            <w:tcW w:type="dxa" w:w="1134"/>
            <w:shd w:fill="FFC7CE" w:val="clear"/>
          </w:tcPr>
          <w:p>
            <w:r>
              <w:rPr>
                <w:b/>
                <w:color w:val="B40000"/>
                <w:sz w:val="16"/>
              </w:rPr>
              <w:t>-9.55%</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6,440 FCFA</w:t>
            </w:r>
          </w:p>
        </w:tc>
        <w:tc>
          <w:tcPr>
            <w:tcW w:type="dxa" w:w="1417"/>
            <w:shd w:fill="FFFFFF" w:val="clear"/>
          </w:tcPr>
          <w:p>
            <w:r>
              <w:rPr>
                <w:sz w:val="16"/>
              </w:rPr>
              <w:t>5,927 FCFA</w:t>
            </w:r>
          </w:p>
        </w:tc>
        <w:tc>
          <w:tcPr>
            <w:tcW w:type="dxa" w:w="1134"/>
            <w:shd w:fill="FFC7CE" w:val="clear"/>
          </w:tcPr>
          <w:p>
            <w:r>
              <w:rPr>
                <w:b/>
                <w:color w:val="B40000"/>
                <w:sz w:val="16"/>
              </w:rPr>
              <w:t>-7.97%</w:t>
            </w:r>
          </w:p>
        </w:tc>
        <w:tc>
          <w:tcPr>
            <w:tcW w:type="dxa" w:w="1020"/>
            <w:shd w:fill="FFC7CE" w:val="clear"/>
          </w:tcPr>
          <w:p>
            <w:r>
              <w:rPr>
                <w:sz w:val="16"/>
              </w:rPr>
              <w:t>Faible</w:t>
            </w:r>
          </w:p>
        </w:tc>
      </w:tr>
    </w:tbl>
    <w:p/>
    <w:p>
      <w:pPr>
        <w:pStyle w:val="ListBullet"/>
      </w:pPr>
      <w:r>
        <w:rPr>
          <w:b/>
          <w:color w:val="B40000"/>
          <w:sz w:val="18"/>
        </w:rPr>
        <w:t xml:space="preserve">#1 SICC </w:t>
      </w:r>
      <w:r>
        <w:rPr>
          <w:sz w:val="17"/>
        </w:rPr>
        <w:t>(SICC - SICOR COTE D'IVOIRE) — baisse modérée (-13.8%) — repli technique attendu. Trajectoire : 📉 Baisse continue. Cours actuel : 8,400 FCFA → prédit J+10 : 7,239 FCFA. ⚠️ Confiance limitée — volatilité élevée. Ne pas agir sur ce seul signal.</w:t>
      </w:r>
    </w:p>
    <w:p>
      <w:pPr>
        <w:pStyle w:val="ListBullet"/>
      </w:pPr>
      <w:r>
        <w:rPr>
          <w:b/>
          <w:color w:val="B40000"/>
          <w:sz w:val="18"/>
        </w:rPr>
        <w:t xml:space="preserve">#2 ABJC </w:t>
      </w:r>
      <w:r>
        <w:rPr>
          <w:sz w:val="17"/>
        </w:rPr>
        <w:t>(ABJC - SERVAIR ABIDJAN CI) — baisse modérée (-10.5%) — repli technique attendu. Trajectoire : 📉 Baisse continue. Cours actuel : 3,930 FCFA → prédit J+10 : 3,518 FCFA. ⚠️ Confiance limitée — volatilité élevée. Ne pas agir sur ce seul signal.</w:t>
      </w:r>
    </w:p>
    <w:p>
      <w:pPr>
        <w:pStyle w:val="ListBullet"/>
      </w:pPr>
      <w:r>
        <w:rPr>
          <w:b/>
          <w:color w:val="B40000"/>
          <w:sz w:val="18"/>
        </w:rPr>
        <w:t xml:space="preserve">#3 CBIBF </w:t>
      </w:r>
      <w:r>
        <w:rPr>
          <w:sz w:val="17"/>
        </w:rPr>
        <w:t>(CBIBF - CORIS BANK INTERNATIONAL BURKINA) — baisse modérée (-10.3%) — repli technique attendu. Trajectoire : 📉 Baisse continue. Cours actuel : 31,500 FCFA → prédit J+10 : 28,253 FCFA. ⚠️ Confiance limitée — volatilité élevée. Ne pas agir sur ce seul signal.</w:t>
      </w:r>
    </w:p>
    <w:p>
      <w:pPr>
        <w:pStyle w:val="ListBullet"/>
      </w:pPr>
      <w:r>
        <w:rPr>
          <w:b/>
          <w:color w:val="B40000"/>
          <w:sz w:val="18"/>
        </w:rPr>
        <w:t xml:space="preserve">#4 SHEC </w:t>
      </w:r>
      <w:r>
        <w:rPr>
          <w:sz w:val="17"/>
        </w:rPr>
        <w:t>(SHEC - VIVO ENERGY COTE D'IVOIRE) — baisse modérée (-9.6%) — repli technique attendu. Trajectoire : 📉 Baisse continue. Cours actuel : 2,420 FCFA → prédit J+10 : 2,189 FCFA. ⚠️ Confiance limitée — volatilité élevée. Ne pas agir sur ce seul signal.</w:t>
      </w:r>
    </w:p>
    <w:p>
      <w:pPr>
        <w:pStyle w:val="ListBullet"/>
      </w:pPr>
      <w:r>
        <w:rPr>
          <w:b/>
          <w:color w:val="B40000"/>
          <w:sz w:val="18"/>
        </w:rPr>
        <w:t xml:space="preserve">#5 CIEC </w:t>
      </w:r>
      <w:r>
        <w:rPr>
          <w:sz w:val="17"/>
        </w:rPr>
        <w:t>(CIEC - Compagnie Ivoirienne d'Electricit) — baisse modérée (-8.0%) — repli technique attendu. Trajectoire : 📉 Baisse continue. Cours actuel : 6,440 FCFA → prédit J+10 : 5,927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4,300</w:t>
            </w:r>
          </w:p>
        </w:tc>
        <w:tc>
          <w:tcPr>
            <w:tcW w:type="dxa" w:w="1417"/>
            <w:shd w:fill="FFFFFF" w:val="clear"/>
          </w:tcPr>
          <w:p>
            <w:r>
              <w:rPr>
                <w:sz w:val="16"/>
              </w:rPr>
              <w:t>4,995</w:t>
            </w:r>
          </w:p>
        </w:tc>
        <w:tc>
          <w:tcPr>
            <w:tcW w:type="dxa" w:w="1134"/>
            <w:shd w:fill="C6EFCE" w:val="clear"/>
          </w:tcPr>
          <w:p>
            <w:r>
              <w:rPr>
                <w:b/>
                <w:color w:val="007800"/>
                <w:sz w:val="16"/>
              </w:rPr>
              <w:t>+16.16%</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11,900</w:t>
            </w:r>
          </w:p>
        </w:tc>
        <w:tc>
          <w:tcPr>
            <w:tcW w:type="dxa" w:w="1417"/>
            <w:shd w:fill="FFFFFF" w:val="clear"/>
          </w:tcPr>
          <w:p>
            <w:r>
              <w:rPr>
                <w:sz w:val="16"/>
              </w:rPr>
              <w:t>13,358</w:t>
            </w:r>
          </w:p>
        </w:tc>
        <w:tc>
          <w:tcPr>
            <w:tcW w:type="dxa" w:w="1134"/>
            <w:shd w:fill="C6EFCE" w:val="clear"/>
          </w:tcPr>
          <w:p>
            <w:r>
              <w:rPr>
                <w:b/>
                <w:color w:val="007800"/>
                <w:sz w:val="16"/>
              </w:rPr>
              <w:t>+12.25%</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21,400</w:t>
            </w:r>
          </w:p>
        </w:tc>
        <w:tc>
          <w:tcPr>
            <w:tcW w:type="dxa" w:w="1417"/>
            <w:shd w:fill="FFFFFF" w:val="clear"/>
          </w:tcPr>
          <w:p>
            <w:r>
              <w:rPr>
                <w:sz w:val="16"/>
              </w:rPr>
              <w:t>23,885</w:t>
            </w:r>
          </w:p>
        </w:tc>
        <w:tc>
          <w:tcPr>
            <w:tcW w:type="dxa" w:w="1134"/>
            <w:shd w:fill="C6EFCE" w:val="clear"/>
          </w:tcPr>
          <w:p>
            <w:r>
              <w:rPr>
                <w:b/>
                <w:color w:val="007800"/>
                <w:sz w:val="16"/>
              </w:rPr>
              <w:t>+11.61%</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3,100</w:t>
            </w:r>
          </w:p>
        </w:tc>
        <w:tc>
          <w:tcPr>
            <w:tcW w:type="dxa" w:w="1417"/>
            <w:shd w:fill="FFFFFF" w:val="clear"/>
          </w:tcPr>
          <w:p>
            <w:r>
              <w:rPr>
                <w:sz w:val="16"/>
              </w:rPr>
              <w:t>3,441</w:t>
            </w:r>
          </w:p>
        </w:tc>
        <w:tc>
          <w:tcPr>
            <w:tcW w:type="dxa" w:w="1134"/>
            <w:shd w:fill="C6EFCE" w:val="clear"/>
          </w:tcPr>
          <w:p>
            <w:r>
              <w:rPr>
                <w:b/>
                <w:color w:val="007800"/>
                <w:sz w:val="16"/>
              </w:rPr>
              <w:t>+10.98%</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6,290</w:t>
            </w:r>
          </w:p>
        </w:tc>
        <w:tc>
          <w:tcPr>
            <w:tcW w:type="dxa" w:w="1417"/>
            <w:shd w:fill="FFFFFF" w:val="clear"/>
          </w:tcPr>
          <w:p>
            <w:r>
              <w:rPr>
                <w:sz w:val="16"/>
              </w:rPr>
              <w:t>6,860</w:t>
            </w:r>
          </w:p>
        </w:tc>
        <w:tc>
          <w:tcPr>
            <w:tcW w:type="dxa" w:w="1134"/>
            <w:shd w:fill="C6EFCE" w:val="clear"/>
          </w:tcPr>
          <w:p>
            <w:r>
              <w:rPr>
                <w:b/>
                <w:color w:val="007800"/>
                <w:sz w:val="16"/>
              </w:rPr>
              <w:t>+9.06%</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41,395</w:t>
            </w:r>
          </w:p>
        </w:tc>
        <w:tc>
          <w:tcPr>
            <w:tcW w:type="dxa" w:w="1134"/>
            <w:shd w:fill="C6EFCE" w:val="clear"/>
          </w:tcPr>
          <w:p>
            <w:r>
              <w:rPr>
                <w:b/>
                <w:color w:val="007800"/>
                <w:sz w:val="16"/>
              </w:rPr>
              <w:t>+8.93%</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8,510</w:t>
            </w:r>
          </w:p>
        </w:tc>
        <w:tc>
          <w:tcPr>
            <w:tcW w:type="dxa" w:w="1417"/>
            <w:shd w:fill="FFFFFF" w:val="clear"/>
          </w:tcPr>
          <w:p>
            <w:r>
              <w:rPr>
                <w:sz w:val="16"/>
              </w:rPr>
              <w:t>9,131</w:t>
            </w:r>
          </w:p>
        </w:tc>
        <w:tc>
          <w:tcPr>
            <w:tcW w:type="dxa" w:w="1134"/>
            <w:shd w:fill="C6EFCE" w:val="clear"/>
          </w:tcPr>
          <w:p>
            <w:r>
              <w:rPr>
                <w:b/>
                <w:color w:val="007800"/>
                <w:sz w:val="16"/>
              </w:rPr>
              <w:t>+7.30%</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3,980</w:t>
            </w:r>
          </w:p>
        </w:tc>
        <w:tc>
          <w:tcPr>
            <w:tcW w:type="dxa" w:w="1417"/>
            <w:shd w:fill="FFFFFF" w:val="clear"/>
          </w:tcPr>
          <w:p>
            <w:r>
              <w:rPr>
                <w:sz w:val="16"/>
              </w:rPr>
              <w:t>4,165</w:t>
            </w:r>
          </w:p>
        </w:tc>
        <w:tc>
          <w:tcPr>
            <w:tcW w:type="dxa" w:w="1134"/>
            <w:shd w:fill="C6EFCE" w:val="clear"/>
          </w:tcPr>
          <w:p>
            <w:r>
              <w:rPr>
                <w:b/>
                <w:color w:val="007800"/>
                <w:sz w:val="16"/>
              </w:rPr>
              <w:t>+4.65%</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1,555</w:t>
            </w:r>
          </w:p>
        </w:tc>
        <w:tc>
          <w:tcPr>
            <w:tcW w:type="dxa" w:w="1417"/>
            <w:shd w:fill="FFFFFF" w:val="clear"/>
          </w:tcPr>
          <w:p>
            <w:r>
              <w:rPr>
                <w:sz w:val="16"/>
              </w:rPr>
              <w:t>1,612</w:t>
            </w:r>
          </w:p>
        </w:tc>
        <w:tc>
          <w:tcPr>
            <w:tcW w:type="dxa" w:w="1134"/>
            <w:shd w:fill="C6EFCE" w:val="clear"/>
          </w:tcPr>
          <w:p>
            <w:r>
              <w:rPr>
                <w:b/>
                <w:color w:val="007800"/>
                <w:sz w:val="16"/>
              </w:rPr>
              <w:t>+3.68%</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2,085</w:t>
            </w:r>
          </w:p>
        </w:tc>
        <w:tc>
          <w:tcPr>
            <w:tcW w:type="dxa" w:w="1417"/>
            <w:shd w:fill="FFFFFF" w:val="clear"/>
          </w:tcPr>
          <w:p>
            <w:r>
              <w:rPr>
                <w:sz w:val="16"/>
              </w:rPr>
              <w:t>2,124</w:t>
            </w:r>
          </w:p>
        </w:tc>
        <w:tc>
          <w:tcPr>
            <w:tcW w:type="dxa" w:w="1134"/>
            <w:shd w:fill="C6EFCE" w:val="clear"/>
          </w:tcPr>
          <w:p>
            <w:r>
              <w:rPr>
                <w:b/>
                <w:color w:val="007800"/>
                <w:sz w:val="16"/>
              </w:rPr>
              <w:t>+1.87%</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16,805</w:t>
            </w:r>
          </w:p>
        </w:tc>
        <w:tc>
          <w:tcPr>
            <w:tcW w:type="dxa" w:w="1417"/>
            <w:shd w:fill="FFFFFF" w:val="clear"/>
          </w:tcPr>
          <w:p>
            <w:r>
              <w:rPr>
                <w:sz w:val="16"/>
              </w:rPr>
              <w:t>17,079</w:t>
            </w:r>
          </w:p>
        </w:tc>
        <w:tc>
          <w:tcPr>
            <w:tcW w:type="dxa" w:w="1134"/>
            <w:shd w:fill="C6EFCE" w:val="clear"/>
          </w:tcPr>
          <w:p>
            <w:r>
              <w:rPr>
                <w:b/>
                <w:color w:val="007800"/>
                <w:sz w:val="16"/>
              </w:rPr>
              <w:t>+1.63%</w:t>
            </w:r>
          </w:p>
        </w:tc>
        <w:tc>
          <w:tcPr>
            <w:tcW w:type="dxa" w:w="1134"/>
            <w:shd w:fill="FFEB9C" w:val="clear"/>
          </w:tcPr>
          <w:p>
            <w:r>
              <w:rPr>
                <w:sz w:val="16"/>
              </w:rPr>
              <w:t>Moyenne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8,950</w:t>
            </w:r>
          </w:p>
        </w:tc>
        <w:tc>
          <w:tcPr>
            <w:tcW w:type="dxa" w:w="1417"/>
            <w:shd w:fill="FFFFFF" w:val="clear"/>
          </w:tcPr>
          <w:p>
            <w:r>
              <w:rPr>
                <w:sz w:val="16"/>
              </w:rPr>
              <w:t>9,042</w:t>
            </w:r>
          </w:p>
        </w:tc>
        <w:tc>
          <w:tcPr>
            <w:tcW w:type="dxa" w:w="1134"/>
            <w:shd w:fill="C6EFCE" w:val="clear"/>
          </w:tcPr>
          <w:p>
            <w:r>
              <w:rPr>
                <w:b/>
                <w:color w:val="007800"/>
                <w:sz w:val="16"/>
              </w:rPr>
              <w:t>+1.03%</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2,900</w:t>
            </w:r>
          </w:p>
        </w:tc>
        <w:tc>
          <w:tcPr>
            <w:tcW w:type="dxa" w:w="1417"/>
            <w:shd w:fill="FFFFFF" w:val="clear"/>
          </w:tcPr>
          <w:p>
            <w:r>
              <w:rPr>
                <w:sz w:val="16"/>
              </w:rPr>
              <w:t>2,922</w:t>
            </w:r>
          </w:p>
        </w:tc>
        <w:tc>
          <w:tcPr>
            <w:tcW w:type="dxa" w:w="1134"/>
            <w:shd w:fill="FFEB9C" w:val="clear"/>
          </w:tcPr>
          <w:p>
            <w:r>
              <w:rPr>
                <w:b/>
                <w:color w:val="646400"/>
                <w:sz w:val="16"/>
              </w:rPr>
              <w:t>+0.76%</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15,300</w:t>
            </w:r>
          </w:p>
        </w:tc>
        <w:tc>
          <w:tcPr>
            <w:tcW w:type="dxa" w:w="1417"/>
            <w:shd w:fill="FFFFFF" w:val="clear"/>
          </w:tcPr>
          <w:p>
            <w:r>
              <w:rPr>
                <w:sz w:val="16"/>
              </w:rPr>
              <w:t>15,403</w:t>
            </w:r>
          </w:p>
        </w:tc>
        <w:tc>
          <w:tcPr>
            <w:tcW w:type="dxa" w:w="1134"/>
            <w:shd w:fill="FFEB9C" w:val="clear"/>
          </w:tcPr>
          <w:p>
            <w:r>
              <w:rPr>
                <w:b/>
                <w:color w:val="646400"/>
                <w:sz w:val="16"/>
              </w:rPr>
              <w:t>+0.67%</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3,795</w:t>
            </w:r>
          </w:p>
        </w:tc>
        <w:tc>
          <w:tcPr>
            <w:tcW w:type="dxa" w:w="1417"/>
            <w:shd w:fill="FFFFFF" w:val="clear"/>
          </w:tcPr>
          <w:p>
            <w:r>
              <w:rPr>
                <w:sz w:val="16"/>
              </w:rPr>
              <w:t>3,816</w:t>
            </w:r>
          </w:p>
        </w:tc>
        <w:tc>
          <w:tcPr>
            <w:tcW w:type="dxa" w:w="1134"/>
            <w:shd w:fill="FFEB9C" w:val="clear"/>
          </w:tcPr>
          <w:p>
            <w:r>
              <w:rPr>
                <w:b/>
                <w:color w:val="646400"/>
                <w:sz w:val="16"/>
              </w:rPr>
              <w:t>+0.57%</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22,500</w:t>
            </w:r>
          </w:p>
        </w:tc>
        <w:tc>
          <w:tcPr>
            <w:tcW w:type="dxa" w:w="1417"/>
            <w:shd w:fill="FFFFFF" w:val="clear"/>
          </w:tcPr>
          <w:p>
            <w:r>
              <w:rPr>
                <w:sz w:val="16"/>
              </w:rPr>
              <w:t>22,486</w:t>
            </w:r>
          </w:p>
        </w:tc>
        <w:tc>
          <w:tcPr>
            <w:tcW w:type="dxa" w:w="1134"/>
            <w:shd w:fill="FFEB9C" w:val="clear"/>
          </w:tcPr>
          <w:p>
            <w:r>
              <w:rPr>
                <w:b/>
                <w:color w:val="646400"/>
                <w:sz w:val="16"/>
              </w:rPr>
              <w:t>-0.06%</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3,050</w:t>
            </w:r>
          </w:p>
        </w:tc>
        <w:tc>
          <w:tcPr>
            <w:tcW w:type="dxa" w:w="1417"/>
            <w:shd w:fill="FFFFFF" w:val="clear"/>
          </w:tcPr>
          <w:p>
            <w:r>
              <w:rPr>
                <w:sz w:val="16"/>
              </w:rPr>
              <w:t>3,044</w:t>
            </w:r>
          </w:p>
        </w:tc>
        <w:tc>
          <w:tcPr>
            <w:tcW w:type="dxa" w:w="1134"/>
            <w:shd w:fill="FFEB9C" w:val="clear"/>
          </w:tcPr>
          <w:p>
            <w:r>
              <w:rPr>
                <w:b/>
                <w:color w:val="646400"/>
                <w:sz w:val="16"/>
              </w:rPr>
              <w:t>-0.21%</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8,100</w:t>
            </w:r>
          </w:p>
        </w:tc>
        <w:tc>
          <w:tcPr>
            <w:tcW w:type="dxa" w:w="1417"/>
            <w:shd w:fill="FFFFFF" w:val="clear"/>
          </w:tcPr>
          <w:p>
            <w:r>
              <w:rPr>
                <w:sz w:val="16"/>
              </w:rPr>
              <w:t>8,077</w:t>
            </w:r>
          </w:p>
        </w:tc>
        <w:tc>
          <w:tcPr>
            <w:tcW w:type="dxa" w:w="1134"/>
            <w:shd w:fill="FFEB9C" w:val="clear"/>
          </w:tcPr>
          <w:p>
            <w:r>
              <w:rPr>
                <w:b/>
                <w:color w:val="646400"/>
                <w:sz w:val="16"/>
              </w:rPr>
              <w:t>-0.29%</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21,295</w:t>
            </w:r>
          </w:p>
        </w:tc>
        <w:tc>
          <w:tcPr>
            <w:tcW w:type="dxa" w:w="1417"/>
            <w:shd w:fill="FFFFFF" w:val="clear"/>
          </w:tcPr>
          <w:p>
            <w:r>
              <w:rPr>
                <w:sz w:val="16"/>
              </w:rPr>
              <w:t>21,232</w:t>
            </w:r>
          </w:p>
        </w:tc>
        <w:tc>
          <w:tcPr>
            <w:tcW w:type="dxa" w:w="1134"/>
            <w:shd w:fill="FFEB9C" w:val="clear"/>
          </w:tcPr>
          <w:p>
            <w:r>
              <w:rPr>
                <w:b/>
                <w:color w:val="646400"/>
                <w:sz w:val="16"/>
              </w:rPr>
              <w:t>-0.30%</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51,000</w:t>
            </w:r>
          </w:p>
        </w:tc>
        <w:tc>
          <w:tcPr>
            <w:tcW w:type="dxa" w:w="1417"/>
            <w:shd w:fill="FFFFFF" w:val="clear"/>
          </w:tcPr>
          <w:p>
            <w:r>
              <w:rPr>
                <w:sz w:val="16"/>
              </w:rPr>
              <w:t>50,583</w:t>
            </w:r>
          </w:p>
        </w:tc>
        <w:tc>
          <w:tcPr>
            <w:tcW w:type="dxa" w:w="1134"/>
            <w:shd w:fill="FFEB9C" w:val="clear"/>
          </w:tcPr>
          <w:p>
            <w:r>
              <w:rPr>
                <w:b/>
                <w:color w:val="646400"/>
                <w:sz w:val="16"/>
              </w:rPr>
              <w:t>-0.82%</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8,100</w:t>
            </w:r>
          </w:p>
        </w:tc>
        <w:tc>
          <w:tcPr>
            <w:tcW w:type="dxa" w:w="1417"/>
            <w:shd w:fill="FFFFFF" w:val="clear"/>
          </w:tcPr>
          <w:p>
            <w:r>
              <w:rPr>
                <w:sz w:val="16"/>
              </w:rPr>
              <w:t>8,019</w:t>
            </w:r>
          </w:p>
        </w:tc>
        <w:tc>
          <w:tcPr>
            <w:tcW w:type="dxa" w:w="1134"/>
            <w:shd w:fill="FFEB9C" w:val="clear"/>
          </w:tcPr>
          <w:p>
            <w:r>
              <w:rPr>
                <w:b/>
                <w:color w:val="646400"/>
                <w:sz w:val="16"/>
              </w:rPr>
              <w:t>-0.99%</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7,900</w:t>
            </w:r>
          </w:p>
        </w:tc>
        <w:tc>
          <w:tcPr>
            <w:tcW w:type="dxa" w:w="1417"/>
            <w:shd w:fill="FFFFFF" w:val="clear"/>
          </w:tcPr>
          <w:p>
            <w:r>
              <w:rPr>
                <w:sz w:val="16"/>
              </w:rPr>
              <w:t>7,765</w:t>
            </w:r>
          </w:p>
        </w:tc>
        <w:tc>
          <w:tcPr>
            <w:tcW w:type="dxa" w:w="1134"/>
            <w:shd w:fill="FFC7CE" w:val="clear"/>
          </w:tcPr>
          <w:p>
            <w:r>
              <w:rPr>
                <w:b/>
                <w:color w:val="B40000"/>
                <w:sz w:val="16"/>
              </w:rPr>
              <w:t>-1.71%</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4,195</w:t>
            </w:r>
          </w:p>
        </w:tc>
        <w:tc>
          <w:tcPr>
            <w:tcW w:type="dxa" w:w="1417"/>
            <w:shd w:fill="FFFFFF" w:val="clear"/>
          </w:tcPr>
          <w:p>
            <w:r>
              <w:rPr>
                <w:sz w:val="16"/>
              </w:rPr>
              <w:t>4,109</w:t>
            </w:r>
          </w:p>
        </w:tc>
        <w:tc>
          <w:tcPr>
            <w:tcW w:type="dxa" w:w="1134"/>
            <w:shd w:fill="FFC7CE" w:val="clear"/>
          </w:tcPr>
          <w:p>
            <w:r>
              <w:rPr>
                <w:b/>
                <w:color w:val="B40000"/>
                <w:sz w:val="16"/>
              </w:rPr>
              <w:t>-2.06%</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15,810</w:t>
            </w:r>
          </w:p>
        </w:tc>
        <w:tc>
          <w:tcPr>
            <w:tcW w:type="dxa" w:w="1417"/>
            <w:shd w:fill="FFFFFF" w:val="clear"/>
          </w:tcPr>
          <w:p>
            <w:r>
              <w:rPr>
                <w:sz w:val="16"/>
              </w:rPr>
              <w:t>15,446</w:t>
            </w:r>
          </w:p>
        </w:tc>
        <w:tc>
          <w:tcPr>
            <w:tcW w:type="dxa" w:w="1134"/>
            <w:shd w:fill="FFC7CE" w:val="clear"/>
          </w:tcPr>
          <w:p>
            <w:r>
              <w:rPr>
                <w:b/>
                <w:color w:val="B40000"/>
                <w:sz w:val="16"/>
              </w:rPr>
              <w:t>-2.30%</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69</w:t>
            </w:r>
          </w:p>
        </w:tc>
        <w:tc>
          <w:tcPr>
            <w:tcW w:type="dxa" w:w="1417"/>
            <w:shd w:fill="FFFFFF" w:val="clear"/>
          </w:tcPr>
          <w:p>
            <w:r>
              <w:rPr>
                <w:sz w:val="16"/>
              </w:rPr>
              <w:t>67</w:t>
            </w:r>
          </w:p>
        </w:tc>
        <w:tc>
          <w:tcPr>
            <w:tcW w:type="dxa" w:w="1134"/>
            <w:shd w:fill="FFC7CE" w:val="clear"/>
          </w:tcPr>
          <w:p>
            <w:r>
              <w:rPr>
                <w:b/>
                <w:color w:val="B40000"/>
                <w:sz w:val="16"/>
              </w:rPr>
              <w:t>-2.59%</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5,130</w:t>
            </w:r>
          </w:p>
        </w:tc>
        <w:tc>
          <w:tcPr>
            <w:tcW w:type="dxa" w:w="1417"/>
            <w:shd w:fill="FFFFFF" w:val="clear"/>
          </w:tcPr>
          <w:p>
            <w:r>
              <w:rPr>
                <w:sz w:val="16"/>
              </w:rPr>
              <w:t>4,993</w:t>
            </w:r>
          </w:p>
        </w:tc>
        <w:tc>
          <w:tcPr>
            <w:tcW w:type="dxa" w:w="1134"/>
            <w:shd w:fill="FFC7CE" w:val="clear"/>
          </w:tcPr>
          <w:p>
            <w:r>
              <w:rPr>
                <w:b/>
                <w:color w:val="B40000"/>
                <w:sz w:val="16"/>
              </w:rPr>
              <w:t>-2.67%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2,390</w:t>
            </w:r>
          </w:p>
        </w:tc>
        <w:tc>
          <w:tcPr>
            <w:tcW w:type="dxa" w:w="1417"/>
            <w:shd w:fill="FFFFFF" w:val="clear"/>
          </w:tcPr>
          <w:p>
            <w:r>
              <w:rPr>
                <w:sz w:val="16"/>
              </w:rPr>
              <w:t>2,310</w:t>
            </w:r>
          </w:p>
        </w:tc>
        <w:tc>
          <w:tcPr>
            <w:tcW w:type="dxa" w:w="1134"/>
            <w:shd w:fill="FFC7CE" w:val="clear"/>
          </w:tcPr>
          <w:p>
            <w:r>
              <w:rPr>
                <w:b/>
                <w:color w:val="B40000"/>
                <w:sz w:val="16"/>
              </w:rPr>
              <w:t>-3.33%</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2,000</w:t>
            </w:r>
          </w:p>
        </w:tc>
        <w:tc>
          <w:tcPr>
            <w:tcW w:type="dxa" w:w="1417"/>
            <w:shd w:fill="FFFFFF" w:val="clear"/>
          </w:tcPr>
          <w:p>
            <w:r>
              <w:rPr>
                <w:sz w:val="16"/>
              </w:rPr>
              <w:t>1,929</w:t>
            </w:r>
          </w:p>
        </w:tc>
        <w:tc>
          <w:tcPr>
            <w:tcW w:type="dxa" w:w="1134"/>
            <w:shd w:fill="FFC7CE" w:val="clear"/>
          </w:tcPr>
          <w:p>
            <w:r>
              <w:rPr>
                <w:b/>
                <w:color w:val="B40000"/>
                <w:sz w:val="16"/>
              </w:rPr>
              <w:t>-3.55%</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1,440</w:t>
            </w:r>
          </w:p>
        </w:tc>
        <w:tc>
          <w:tcPr>
            <w:tcW w:type="dxa" w:w="1134"/>
            <w:shd w:fill="FFC7CE" w:val="clear"/>
          </w:tcPr>
          <w:p>
            <w:r>
              <w:rPr>
                <w:b/>
                <w:color w:val="B40000"/>
                <w:sz w:val="16"/>
              </w:rPr>
              <w:t>-3.68%</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7,900</w:t>
            </w:r>
          </w:p>
        </w:tc>
        <w:tc>
          <w:tcPr>
            <w:tcW w:type="dxa" w:w="1417"/>
            <w:shd w:fill="FFFFFF" w:val="clear"/>
          </w:tcPr>
          <w:p>
            <w:r>
              <w:rPr>
                <w:sz w:val="16"/>
              </w:rPr>
              <w:t>7,605</w:t>
            </w:r>
          </w:p>
        </w:tc>
        <w:tc>
          <w:tcPr>
            <w:tcW w:type="dxa" w:w="1134"/>
            <w:shd w:fill="FFC7CE" w:val="clear"/>
          </w:tcPr>
          <w:p>
            <w:r>
              <w:rPr>
                <w:b/>
                <w:color w:val="B40000"/>
                <w:sz w:val="16"/>
              </w:rPr>
              <w:t>-3.74%</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38,900</w:t>
            </w:r>
          </w:p>
        </w:tc>
        <w:tc>
          <w:tcPr>
            <w:tcW w:type="dxa" w:w="1417"/>
            <w:shd w:fill="FFFFFF" w:val="clear"/>
          </w:tcPr>
          <w:p>
            <w:r>
              <w:rPr>
                <w:sz w:val="16"/>
              </w:rPr>
              <w:t>37,198</w:t>
            </w:r>
          </w:p>
        </w:tc>
        <w:tc>
          <w:tcPr>
            <w:tcW w:type="dxa" w:w="1134"/>
            <w:shd w:fill="FFC7CE" w:val="clear"/>
          </w:tcPr>
          <w:p>
            <w:r>
              <w:rPr>
                <w:b/>
                <w:color w:val="B40000"/>
                <w:sz w:val="16"/>
              </w:rPr>
              <w:t>-4.38%</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11,595</w:t>
            </w:r>
          </w:p>
        </w:tc>
        <w:tc>
          <w:tcPr>
            <w:tcW w:type="dxa" w:w="1417"/>
            <w:shd w:fill="FFFFFF" w:val="clear"/>
          </w:tcPr>
          <w:p>
            <w:r>
              <w:rPr>
                <w:sz w:val="16"/>
              </w:rPr>
              <w:t>11,087</w:t>
            </w:r>
          </w:p>
        </w:tc>
        <w:tc>
          <w:tcPr>
            <w:tcW w:type="dxa" w:w="1134"/>
            <w:shd w:fill="FFC7CE" w:val="clear"/>
          </w:tcPr>
          <w:p>
            <w:r>
              <w:rPr>
                <w:b/>
                <w:color w:val="B40000"/>
                <w:sz w:val="16"/>
              </w:rPr>
              <w:t>-4.38%</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8,100</w:t>
            </w:r>
          </w:p>
        </w:tc>
        <w:tc>
          <w:tcPr>
            <w:tcW w:type="dxa" w:w="1417"/>
            <w:shd w:fill="FFFFFF" w:val="clear"/>
          </w:tcPr>
          <w:p>
            <w:r>
              <w:rPr>
                <w:sz w:val="16"/>
              </w:rPr>
              <w:t>7,743</w:t>
            </w:r>
          </w:p>
        </w:tc>
        <w:tc>
          <w:tcPr>
            <w:tcW w:type="dxa" w:w="1134"/>
            <w:shd w:fill="FFC7CE" w:val="clear"/>
          </w:tcPr>
          <w:p>
            <w:r>
              <w:rPr>
                <w:b/>
                <w:color w:val="B40000"/>
                <w:sz w:val="16"/>
              </w:rPr>
              <w:t>-4.41%</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32,000</w:t>
            </w:r>
          </w:p>
        </w:tc>
        <w:tc>
          <w:tcPr>
            <w:tcW w:type="dxa" w:w="1417"/>
            <w:shd w:fill="FFFFFF" w:val="clear"/>
          </w:tcPr>
          <w:p>
            <w:r>
              <w:rPr>
                <w:sz w:val="16"/>
              </w:rPr>
              <w:t>30,588</w:t>
            </w:r>
          </w:p>
        </w:tc>
        <w:tc>
          <w:tcPr>
            <w:tcW w:type="dxa" w:w="1134"/>
            <w:shd w:fill="FFC7CE" w:val="clear"/>
          </w:tcPr>
          <w:p>
            <w:r>
              <w:rPr>
                <w:b/>
                <w:color w:val="B40000"/>
                <w:sz w:val="16"/>
              </w:rPr>
              <w:t>-4.41%</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42,500</w:t>
            </w:r>
          </w:p>
        </w:tc>
        <w:tc>
          <w:tcPr>
            <w:tcW w:type="dxa" w:w="1417"/>
            <w:shd w:fill="FFFFFF" w:val="clear"/>
          </w:tcPr>
          <w:p>
            <w:r>
              <w:rPr>
                <w:sz w:val="16"/>
              </w:rPr>
              <w:t>40,574</w:t>
            </w:r>
          </w:p>
        </w:tc>
        <w:tc>
          <w:tcPr>
            <w:tcW w:type="dxa" w:w="1134"/>
            <w:shd w:fill="FFC7CE" w:val="clear"/>
          </w:tcPr>
          <w:p>
            <w:r>
              <w:rPr>
                <w:b/>
                <w:color w:val="B40000"/>
                <w:sz w:val="16"/>
              </w:rPr>
              <w:t>-4.53%</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2,960</w:t>
            </w:r>
          </w:p>
        </w:tc>
        <w:tc>
          <w:tcPr>
            <w:tcW w:type="dxa" w:w="1417"/>
            <w:shd w:fill="FFFFFF" w:val="clear"/>
          </w:tcPr>
          <w:p>
            <w:r>
              <w:rPr>
                <w:sz w:val="16"/>
              </w:rPr>
              <w:t>2,822</w:t>
            </w:r>
          </w:p>
        </w:tc>
        <w:tc>
          <w:tcPr>
            <w:tcW w:type="dxa" w:w="1134"/>
            <w:shd w:fill="FFC7CE" w:val="clear"/>
          </w:tcPr>
          <w:p>
            <w:r>
              <w:rPr>
                <w:b/>
                <w:color w:val="B40000"/>
                <w:sz w:val="16"/>
              </w:rPr>
              <w:t>-4.67%</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2,010</w:t>
            </w:r>
          </w:p>
        </w:tc>
        <w:tc>
          <w:tcPr>
            <w:tcW w:type="dxa" w:w="1417"/>
            <w:shd w:fill="FFFFFF" w:val="clear"/>
          </w:tcPr>
          <w:p>
            <w:r>
              <w:rPr>
                <w:sz w:val="16"/>
              </w:rPr>
              <w:t>1,901</w:t>
            </w:r>
          </w:p>
        </w:tc>
        <w:tc>
          <w:tcPr>
            <w:tcW w:type="dxa" w:w="1134"/>
            <w:shd w:fill="FFC7CE" w:val="clear"/>
          </w:tcPr>
          <w:p>
            <w:r>
              <w:rPr>
                <w:b/>
                <w:color w:val="B40000"/>
                <w:sz w:val="16"/>
              </w:rPr>
              <w:t>-5.43%</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9,000</w:t>
            </w:r>
          </w:p>
        </w:tc>
        <w:tc>
          <w:tcPr>
            <w:tcW w:type="dxa" w:w="1417"/>
            <w:shd w:fill="FFFFFF" w:val="clear"/>
          </w:tcPr>
          <w:p>
            <w:r>
              <w:rPr>
                <w:sz w:val="16"/>
              </w:rPr>
              <w:t>8,475</w:t>
            </w:r>
          </w:p>
        </w:tc>
        <w:tc>
          <w:tcPr>
            <w:tcW w:type="dxa" w:w="1134"/>
            <w:shd w:fill="FFC7CE" w:val="clear"/>
          </w:tcPr>
          <w:p>
            <w:r>
              <w:rPr>
                <w:b/>
                <w:color w:val="B40000"/>
                <w:sz w:val="16"/>
              </w:rPr>
              <w:t>-5.83%</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2,350</w:t>
            </w:r>
          </w:p>
        </w:tc>
        <w:tc>
          <w:tcPr>
            <w:tcW w:type="dxa" w:w="1417"/>
            <w:shd w:fill="FFFFFF" w:val="clear"/>
          </w:tcPr>
          <w:p>
            <w:r>
              <w:rPr>
                <w:sz w:val="16"/>
              </w:rPr>
              <w:t>2,207</w:t>
            </w:r>
          </w:p>
        </w:tc>
        <w:tc>
          <w:tcPr>
            <w:tcW w:type="dxa" w:w="1134"/>
            <w:shd w:fill="FFC7CE" w:val="clear"/>
          </w:tcPr>
          <w:p>
            <w:r>
              <w:rPr>
                <w:b/>
                <w:color w:val="B40000"/>
                <w:sz w:val="16"/>
              </w:rPr>
              <w:t>-6.07%</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2,000</w:t>
            </w:r>
          </w:p>
        </w:tc>
        <w:tc>
          <w:tcPr>
            <w:tcW w:type="dxa" w:w="1417"/>
            <w:shd w:fill="FFFFFF" w:val="clear"/>
          </w:tcPr>
          <w:p>
            <w:r>
              <w:rPr>
                <w:sz w:val="16"/>
              </w:rPr>
              <w:t>1,876</w:t>
            </w:r>
          </w:p>
        </w:tc>
        <w:tc>
          <w:tcPr>
            <w:tcW w:type="dxa" w:w="1134"/>
            <w:shd w:fill="FFC7CE" w:val="clear"/>
          </w:tcPr>
          <w:p>
            <w:r>
              <w:rPr>
                <w:b/>
                <w:color w:val="B40000"/>
                <w:sz w:val="16"/>
              </w:rPr>
              <w:t>-6.22%</w:t>
            </w:r>
          </w:p>
        </w:tc>
        <w:tc>
          <w:tcPr>
            <w:tcW w:type="dxa" w:w="1134"/>
            <w:shd w:fill="FFEB9C" w:val="clear"/>
          </w:tcPr>
          <w:p>
            <w:r>
              <w:rPr>
                <w:sz w:val="16"/>
              </w:rPr>
              <w:t>Moyenne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3,400</w:t>
            </w:r>
          </w:p>
        </w:tc>
        <w:tc>
          <w:tcPr>
            <w:tcW w:type="dxa" w:w="1417"/>
            <w:shd w:fill="FFFFFF" w:val="clear"/>
          </w:tcPr>
          <w:p>
            <w:r>
              <w:rPr>
                <w:sz w:val="16"/>
              </w:rPr>
              <w:t>3,166</w:t>
            </w:r>
          </w:p>
        </w:tc>
        <w:tc>
          <w:tcPr>
            <w:tcW w:type="dxa" w:w="1134"/>
            <w:shd w:fill="FFC7CE" w:val="clear"/>
          </w:tcPr>
          <w:p>
            <w:r>
              <w:rPr>
                <w:b/>
                <w:color w:val="B40000"/>
                <w:sz w:val="16"/>
              </w:rPr>
              <w:t>-6.89%</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3,050</w:t>
            </w:r>
          </w:p>
        </w:tc>
        <w:tc>
          <w:tcPr>
            <w:tcW w:type="dxa" w:w="1417"/>
            <w:shd w:fill="FFFFFF" w:val="clear"/>
          </w:tcPr>
          <w:p>
            <w:r>
              <w:rPr>
                <w:sz w:val="16"/>
              </w:rPr>
              <w:t>2,835</w:t>
            </w:r>
          </w:p>
        </w:tc>
        <w:tc>
          <w:tcPr>
            <w:tcW w:type="dxa" w:w="1134"/>
            <w:shd w:fill="FFC7CE" w:val="clear"/>
          </w:tcPr>
          <w:p>
            <w:r>
              <w:rPr>
                <w:b/>
                <w:color w:val="B40000"/>
                <w:sz w:val="16"/>
              </w:rPr>
              <w:t>-7.05%</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6,440</w:t>
            </w:r>
          </w:p>
        </w:tc>
        <w:tc>
          <w:tcPr>
            <w:tcW w:type="dxa" w:w="1417"/>
            <w:shd w:fill="FFFFFF" w:val="clear"/>
          </w:tcPr>
          <w:p>
            <w:r>
              <w:rPr>
                <w:sz w:val="16"/>
              </w:rPr>
              <w:t>5,927</w:t>
            </w:r>
          </w:p>
        </w:tc>
        <w:tc>
          <w:tcPr>
            <w:tcW w:type="dxa" w:w="1134"/>
            <w:shd w:fill="FFC7CE" w:val="clear"/>
          </w:tcPr>
          <w:p>
            <w:r>
              <w:rPr>
                <w:b/>
                <w:color w:val="B40000"/>
                <w:sz w:val="16"/>
              </w:rPr>
              <w:t>-7.97%</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2,420</w:t>
            </w:r>
          </w:p>
        </w:tc>
        <w:tc>
          <w:tcPr>
            <w:tcW w:type="dxa" w:w="1417"/>
            <w:shd w:fill="FFFFFF" w:val="clear"/>
          </w:tcPr>
          <w:p>
            <w:r>
              <w:rPr>
                <w:sz w:val="16"/>
              </w:rPr>
              <w:t>2,189</w:t>
            </w:r>
          </w:p>
        </w:tc>
        <w:tc>
          <w:tcPr>
            <w:tcW w:type="dxa" w:w="1134"/>
            <w:shd w:fill="FFC7CE" w:val="clear"/>
          </w:tcPr>
          <w:p>
            <w:r>
              <w:rPr>
                <w:b/>
                <w:color w:val="B40000"/>
                <w:sz w:val="16"/>
              </w:rPr>
              <w:t>-9.55%</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31,500</w:t>
            </w:r>
          </w:p>
        </w:tc>
        <w:tc>
          <w:tcPr>
            <w:tcW w:type="dxa" w:w="1417"/>
            <w:shd w:fill="FFFFFF" w:val="clear"/>
          </w:tcPr>
          <w:p>
            <w:r>
              <w:rPr>
                <w:sz w:val="16"/>
              </w:rPr>
              <w:t>28,253</w:t>
            </w:r>
          </w:p>
        </w:tc>
        <w:tc>
          <w:tcPr>
            <w:tcW w:type="dxa" w:w="1134"/>
            <w:shd w:fill="FFC7CE" w:val="clear"/>
          </w:tcPr>
          <w:p>
            <w:r>
              <w:rPr>
                <w:b/>
                <w:color w:val="B40000"/>
                <w:sz w:val="16"/>
              </w:rPr>
              <w:t>-10.31%</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3,930</w:t>
            </w:r>
          </w:p>
        </w:tc>
        <w:tc>
          <w:tcPr>
            <w:tcW w:type="dxa" w:w="1417"/>
            <w:shd w:fill="FFFFFF" w:val="clear"/>
          </w:tcPr>
          <w:p>
            <w:r>
              <w:rPr>
                <w:sz w:val="16"/>
              </w:rPr>
              <w:t>3,518</w:t>
            </w:r>
          </w:p>
        </w:tc>
        <w:tc>
          <w:tcPr>
            <w:tcW w:type="dxa" w:w="1134"/>
            <w:shd w:fill="FFC7CE" w:val="clear"/>
          </w:tcPr>
          <w:p>
            <w:r>
              <w:rPr>
                <w:b/>
                <w:color w:val="B40000"/>
                <w:sz w:val="16"/>
              </w:rPr>
              <w:t>-10.49%</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7,239</w:t>
            </w:r>
          </w:p>
        </w:tc>
        <w:tc>
          <w:tcPr>
            <w:tcW w:type="dxa" w:w="1134"/>
            <w:shd w:fill="FFC7CE" w:val="clear"/>
          </w:tcPr>
          <w:p>
            <w:r>
              <w:rPr>
                <w:b/>
                <w:color w:val="B40000"/>
                <w:sz w:val="16"/>
              </w:rPr>
              <w:t>-13.82%</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3,555 titres</w:t>
            </w:r>
          </w:p>
        </w:tc>
        <w:tc>
          <w:tcPr>
            <w:tcW w:type="dxa" w:w="2268"/>
            <w:shd w:fill="FFF2CC" w:val="clear"/>
          </w:tcPr>
          <w:p>
            <w:r>
              <w:rPr>
                <w:b/>
                <w:color w:val="503200"/>
                <w:sz w:val="16"/>
              </w:rPr>
              <w:t xml:space="preserve">Cours actuel : </w:t>
            </w:r>
            <w:r>
              <w:rPr>
                <w:color w:val="000000"/>
                <w:sz w:val="17"/>
              </w:rPr>
              <w:t>3,930 FCFA</w:t>
            </w:r>
          </w:p>
          <w:p>
            <w:r>
              <w:rPr>
                <w:b/>
                <w:color w:val="503200"/>
                <w:sz w:val="16"/>
              </w:rPr>
              <w:t xml:space="preserve">Var. 100 jours : </w:t>
            </w:r>
            <w:r>
              <w:rPr>
                <w:b/>
                <w:color w:val="007800"/>
                <w:sz w:val="17"/>
              </w:rPr>
              <w:t>+32.10%</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11.30% (Moyenne) — μ=3,312 FCFA, σ=374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β=0.1294 (Défensif) — Cov=0.000009, Var(idx)=0.000068, ρ=0.040,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3,699</w:t>
            </w:r>
          </w:p>
        </w:tc>
        <w:tc>
          <w:tcPr>
            <w:tcW w:type="dxa" w:w="1440"/>
            <w:shd w:fill="FFDCE0" w:val="clear"/>
          </w:tcPr>
          <w:p>
            <w:r>
              <w:rPr>
                <w:b/>
                <w:sz w:val="17"/>
              </w:rPr>
              <w:t>3,838</w:t>
            </w:r>
          </w:p>
        </w:tc>
        <w:tc>
          <w:tcPr>
            <w:tcW w:type="dxa" w:w="1440"/>
            <w:shd w:fill="FFDCE0" w:val="clear"/>
          </w:tcPr>
          <w:p>
            <w:r>
              <w:rPr>
                <w:sz w:val="17"/>
              </w:rPr>
              <w:t>3,978</w:t>
            </w:r>
          </w:p>
        </w:tc>
        <w:tc>
          <w:tcPr>
            <w:tcW w:type="dxa" w:w="1440"/>
            <w:shd w:fill="FFDCE0" w:val="clear"/>
          </w:tcPr>
          <w:p>
            <w:r>
              <w:rPr>
                <w:b/>
                <w:color w:val="C00000"/>
                <w:sz w:val="17"/>
              </w:rPr>
              <w:t>-2.3%</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3,610</w:t>
            </w:r>
          </w:p>
        </w:tc>
        <w:tc>
          <w:tcPr>
            <w:tcW w:type="dxa" w:w="1440"/>
            <w:shd w:fill="FFDCE0" w:val="clear"/>
          </w:tcPr>
          <w:p>
            <w:r>
              <w:rPr>
                <w:b/>
                <w:sz w:val="17"/>
              </w:rPr>
              <w:t>3,805</w:t>
            </w:r>
          </w:p>
        </w:tc>
        <w:tc>
          <w:tcPr>
            <w:tcW w:type="dxa" w:w="1440"/>
            <w:shd w:fill="FFDCE0" w:val="clear"/>
          </w:tcPr>
          <w:p>
            <w:r>
              <w:rPr>
                <w:sz w:val="17"/>
              </w:rPr>
              <w:t>4,000</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3,519</w:t>
            </w:r>
          </w:p>
        </w:tc>
        <w:tc>
          <w:tcPr>
            <w:tcW w:type="dxa" w:w="1440"/>
            <w:shd w:fill="FFDCE0" w:val="clear"/>
          </w:tcPr>
          <w:p>
            <w:r>
              <w:rPr>
                <w:b/>
                <w:sz w:val="17"/>
              </w:rPr>
              <w:t>3,755</w:t>
            </w:r>
          </w:p>
        </w:tc>
        <w:tc>
          <w:tcPr>
            <w:tcW w:type="dxa" w:w="1440"/>
            <w:shd w:fill="FFDCE0" w:val="clear"/>
          </w:tcPr>
          <w:p>
            <w:r>
              <w:rPr>
                <w:sz w:val="17"/>
              </w:rPr>
              <w:t>3,991</w:t>
            </w:r>
          </w:p>
        </w:tc>
        <w:tc>
          <w:tcPr>
            <w:tcW w:type="dxa" w:w="1440"/>
            <w:shd w:fill="FFDCE0" w:val="clear"/>
          </w:tcPr>
          <w:p>
            <w:r>
              <w:rPr>
                <w:b/>
                <w:color w:val="C00000"/>
                <w:sz w:val="17"/>
              </w:rPr>
              <w:t>-4.5%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3,442</w:t>
            </w:r>
          </w:p>
        </w:tc>
        <w:tc>
          <w:tcPr>
            <w:tcW w:type="dxa" w:w="1440"/>
            <w:shd w:fill="FFDCE0" w:val="clear"/>
          </w:tcPr>
          <w:p>
            <w:r>
              <w:rPr>
                <w:b/>
                <w:sz w:val="17"/>
              </w:rPr>
              <w:t>3,711</w:t>
            </w:r>
          </w:p>
        </w:tc>
        <w:tc>
          <w:tcPr>
            <w:tcW w:type="dxa" w:w="1440"/>
            <w:shd w:fill="FFDCE0" w:val="clear"/>
          </w:tcPr>
          <w:p>
            <w:r>
              <w:rPr>
                <w:sz w:val="17"/>
              </w:rPr>
              <w:t>3,980</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3,375</w:t>
            </w:r>
          </w:p>
        </w:tc>
        <w:tc>
          <w:tcPr>
            <w:tcW w:type="dxa" w:w="1440"/>
            <w:shd w:fill="FFDCE0" w:val="clear"/>
          </w:tcPr>
          <w:p>
            <w:r>
              <w:rPr>
                <w:b/>
                <w:sz w:val="17"/>
              </w:rPr>
              <w:t>3,673</w:t>
            </w:r>
          </w:p>
        </w:tc>
        <w:tc>
          <w:tcPr>
            <w:tcW w:type="dxa" w:w="1440"/>
            <w:shd w:fill="FFDCE0" w:val="clear"/>
          </w:tcPr>
          <w:p>
            <w:r>
              <w:rPr>
                <w:sz w:val="17"/>
              </w:rPr>
              <w:t>3,970</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3,315</w:t>
            </w:r>
          </w:p>
        </w:tc>
        <w:tc>
          <w:tcPr>
            <w:tcW w:type="dxa" w:w="1440"/>
            <w:shd w:fill="FFDCE0" w:val="clear"/>
          </w:tcPr>
          <w:p>
            <w:r>
              <w:rPr>
                <w:b/>
                <w:sz w:val="17"/>
              </w:rPr>
              <w:t>3,638</w:t>
            </w:r>
          </w:p>
        </w:tc>
        <w:tc>
          <w:tcPr>
            <w:tcW w:type="dxa" w:w="1440"/>
            <w:shd w:fill="FFDCE0" w:val="clear"/>
          </w:tcPr>
          <w:p>
            <w:r>
              <w:rPr>
                <w:sz w:val="17"/>
              </w:rPr>
              <w:t>3,961</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3,259</w:t>
            </w:r>
          </w:p>
        </w:tc>
        <w:tc>
          <w:tcPr>
            <w:tcW w:type="dxa" w:w="1440"/>
            <w:shd w:fill="FFDCE0" w:val="clear"/>
          </w:tcPr>
          <w:p>
            <w:r>
              <w:rPr>
                <w:b/>
                <w:sz w:val="17"/>
              </w:rPr>
              <w:t>3,605</w:t>
            </w:r>
          </w:p>
        </w:tc>
        <w:tc>
          <w:tcPr>
            <w:tcW w:type="dxa" w:w="1440"/>
            <w:shd w:fill="FFDCE0" w:val="clear"/>
          </w:tcPr>
          <w:p>
            <w:r>
              <w:rPr>
                <w:sz w:val="17"/>
              </w:rPr>
              <w:t>3,951</w:t>
            </w:r>
          </w:p>
        </w:tc>
        <w:tc>
          <w:tcPr>
            <w:tcW w:type="dxa" w:w="1440"/>
            <w:shd w:fill="FFDCE0" w:val="clear"/>
          </w:tcPr>
          <w:p>
            <w:r>
              <w:rPr>
                <w:b/>
                <w:color w:val="C00000"/>
                <w:sz w:val="17"/>
              </w:rPr>
              <w:t>-8.3%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3,208</w:t>
            </w:r>
          </w:p>
        </w:tc>
        <w:tc>
          <w:tcPr>
            <w:tcW w:type="dxa" w:w="1440"/>
            <w:shd w:fill="FFDCE0" w:val="clear"/>
          </w:tcPr>
          <w:p>
            <w:r>
              <w:rPr>
                <w:b/>
                <w:sz w:val="17"/>
              </w:rPr>
              <w:t>3,574</w:t>
            </w:r>
          </w:p>
        </w:tc>
        <w:tc>
          <w:tcPr>
            <w:tcW w:type="dxa" w:w="1440"/>
            <w:shd w:fill="FFDCE0" w:val="clear"/>
          </w:tcPr>
          <w:p>
            <w:r>
              <w:rPr>
                <w:sz w:val="17"/>
              </w:rPr>
              <w:t>3,941</w:t>
            </w:r>
          </w:p>
        </w:tc>
        <w:tc>
          <w:tcPr>
            <w:tcW w:type="dxa" w:w="1440"/>
            <w:shd w:fill="FFDCE0" w:val="clear"/>
          </w:tcPr>
          <w:p>
            <w:r>
              <w:rPr>
                <w:b/>
                <w:color w:val="C00000"/>
                <w:sz w:val="17"/>
              </w:rPr>
              <w:t>-9.1%</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3,160</w:t>
            </w:r>
          </w:p>
        </w:tc>
        <w:tc>
          <w:tcPr>
            <w:tcW w:type="dxa" w:w="1440"/>
            <w:shd w:fill="FFDCE0" w:val="clear"/>
          </w:tcPr>
          <w:p>
            <w:r>
              <w:rPr>
                <w:b/>
                <w:sz w:val="17"/>
              </w:rPr>
              <w:t>3,545</w:t>
            </w:r>
          </w:p>
        </w:tc>
        <w:tc>
          <w:tcPr>
            <w:tcW w:type="dxa" w:w="1440"/>
            <w:shd w:fill="FFDCE0" w:val="clear"/>
          </w:tcPr>
          <w:p>
            <w:r>
              <w:rPr>
                <w:sz w:val="17"/>
              </w:rPr>
              <w:t>3,931</w:t>
            </w:r>
          </w:p>
        </w:tc>
        <w:tc>
          <w:tcPr>
            <w:tcW w:type="dxa" w:w="1440"/>
            <w:shd w:fill="FFDCE0" w:val="clear"/>
          </w:tcPr>
          <w:p>
            <w:r>
              <w:rPr>
                <w:b/>
                <w:color w:val="C00000"/>
                <w:sz w:val="17"/>
              </w:rPr>
              <w:t>-9.8%</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3,115</w:t>
            </w:r>
          </w:p>
        </w:tc>
        <w:tc>
          <w:tcPr>
            <w:tcW w:type="dxa" w:w="1440"/>
            <w:shd w:fill="FFDCE0" w:val="clear"/>
          </w:tcPr>
          <w:p>
            <w:r>
              <w:rPr>
                <w:b/>
                <w:sz w:val="17"/>
              </w:rPr>
              <w:t>3,518</w:t>
            </w:r>
          </w:p>
        </w:tc>
        <w:tc>
          <w:tcPr>
            <w:tcW w:type="dxa" w:w="1440"/>
            <w:shd w:fill="FFDCE0" w:val="clear"/>
          </w:tcPr>
          <w:p>
            <w:r>
              <w:rPr>
                <w:sz w:val="17"/>
              </w:rPr>
              <w:t>3,921</w:t>
            </w:r>
          </w:p>
        </w:tc>
        <w:tc>
          <w:tcPr>
            <w:tcW w:type="dxa" w:w="1440"/>
            <w:shd w:fill="FFDCE0" w:val="clear"/>
          </w:tcPr>
          <w:p>
            <w:r>
              <w:rPr>
                <w:b/>
                <w:color w:val="C00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42,88 Mds FCFA, ABJC se positionne comme une valeur de taille moyenne sur le compartiment BRVM, loin des blue chips bancaires ou télécoms mais suffisamment liquide pour intéresser les investisseurs institutionnels régionaux. Le BPA de 124 FCFA/action signifie que chaque titre génère environ 124 FCFA de bénéfice net, ce qui, rapporté au cours actuel de 3 930 FCFA, donne un PER de 31,8x — soit près de trois fois la moyenne du marché BRVM (8-12x), signalant que les investisseurs paient une prime très généreuse pour les bénéfices actuels, anticipant une croissance future ou traduisant une surévaluation manifeste. Le P/B de 8,31x confirme cette exubérance : le marché valorise l'entreprise à plus de huit fois sa valeur comptable, un niveau rarement justifié hors sociétés à très forte rentabilité des capitaux propres. Enfin, l'EV/EBITDA de 16,4x, supérieur au seuil de 15x généralement considéré comme exigeant, indique que la valeur d'entreprise (incluant la dette) représente plus de seize années d'EBITDA — une valorisation tendue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ABJC a enregistré une progression spectaculaire de +32,10%, portée notamment par une dernière séance en hausse de +3,42%, ce qui témoigne d'un momentum acheteur récent particulièrement vigoureux. Le titre a évolué dans un range large de 1 295 FCFA, entre un plus bas de 2 800 FCFA et un plus haut de 4 095 FCFA, le cours actuel de 3 930 FCFA se situant à environ 96% du sommet — signe d'une tendance haussière solidement installée mais approchant potentiellement une zone de résistance. La moyenne de 3 312 FCFA se situe nettement au-dessus de la médiane de 3 182 FCFA, avec un mode à 3 150 FCFA, ce qui traduit une distribution asymétrique positivement (skewness de +0,734) : les journées de forte hausse, bien que moins fréquentes, tirent la moyenne vers le haut, confirmant que le titre a connu des poussées haussières marquées plutôt qu'une progression linéaire. L'écart-type de 376 FCFA (CV de 11,4%) indique une dispersion modérée du cours autour de sa moyenne, tandis que le kurtosis de -0,726 (mésokurtique) suggère une distribution proche de la normale, sans risque excessif de pics extrêmes — un profil relativement rassurant pour la gestion du risque. En revanche, la volatilité annualisée de 42,6% classe ABJC dans la catégorie des titres à volatilité élevée (&gt;30%), ce qui implique un risque de fluctuation important et justifie une approche prudente en termes de taille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3 950,5 FCFA et la MM50 à 3 491,0 FCFA, toutes deux inférieures au cours actuel de 3 930 FCFA pour la MM20 (léger écart) mais nettement en dessous pour la MM50. Cette configuration — cours au-dessus des deux moyennes, avec MM20 &gt; MM50 — est typique d'une tendance haussière, justifiant la décision technique d'**Achat**. Toutefois, la proximité du cours avec la MM20 (écart de seulement 0,5%) suggère que le titre teste actuellement sa moyenne court terme, un niveau charnière à surveiller.</w:t>
      </w:r>
    </w:p>
    <w:p>
      <w:pPr>
        <w:spacing w:after="120" w:line="276" w:lineRule="auto"/>
      </w:pPr>
      <w:r>
        <w:t>**Bandes de Bollinger** : Le cours de 3 930 FCFA se situe entre la borne inférieure (3 773,7 FCFA) et la borne supérieure (4 127,3 FCFA), plus proche du milieu de bande que des extrêmes. Cette position centrale, combinée à une largeur de bande relativement importante (353,6 FCFA), indique une volatilité significative sans signal de surachat ou de survente imminent. La décision technique est **Neutre**, cohérente avec l'absence de pression directionnelle claire à court terme.</w:t>
      </w:r>
    </w:p>
    <w:p>
      <w:pPr>
        <w:spacing w:after="120" w:line="276" w:lineRule="auto"/>
      </w:pPr>
      <w:r>
        <w:t>**MACD** : La valeur du MACD (111,0) est inférieure à son signal (153,5), générant un croisement baissier et une divergence négative. Ce phénomène indique un essoufflement du momentum haussier, bien que le MACD reste en territoire positif — la décision de **Vente** technique suggère une prudence à court terme, le titre pouvant consolider après sa forte progression.</w:t>
      </w:r>
    </w:p>
    <w:p>
      <w:pPr>
        <w:spacing w:after="120" w:line="276" w:lineRule="auto"/>
      </w:pPr>
      <w:r>
        <w:t>**RSI** : À 46,6, le RSI se situe dans la zone neutre (30-70), légèrement en dessous du seuil de 50 qui sépare le territoire haussier du baissier. Cette valeur indique une absence de pression acheteuse ou vendeuse dominante, justifiant la décision **Neutre**. Le titre n'est ni suracheté ni survendu, laissant la porte ouverte à une reprise haussière si un catalyseur se présente.</w:t>
      </w:r>
    </w:p>
    <w:p>
      <w:pPr>
        <w:spacing w:after="120" w:line="276" w:lineRule="auto"/>
      </w:pPr>
      <w:r>
        <w:t>**Stochastique** : Le %K (44,1) est supérieur au %D (19,8), avec un croisement récent du %K au-dessus du %D — un signal haussier potentiel. Cependant, les deux lignes restent en zone basse, ce qui tempère la portée du signal. La décision **Neutre** reflète cette configuration ambiguë : un début de retournement haussier mais sans confirmation franche.</w:t>
      </w:r>
    </w:p>
    <w:p>
      <w:pPr>
        <w:spacing w:after="120" w:line="276" w:lineRule="auto"/>
      </w:pPr>
      <w:r>
        <w:t>**Conclusion technique** : Les indicateurs techniques présentent un tableau mitigé. La tendance de fond reste haussière (cours &gt; MM50, MM20 &gt; MM50), mais les signaux de momentum (MACD baissier) et la position neutre du RSI et du stochastique suggèrent une phase de consolidation ou de pause après la forte hausse de +32% sur 100 jours. La convergence des signaux neutres et la divergence du MACD plaident pour une **attente de confirmation** avant tout engagement directionnel fort.</w:t>
      </w:r>
    </w:p>
    <w:p>
      <w:pPr>
        <w:spacing w:after="120" w:line="276" w:lineRule="auto"/>
      </w:pPr>
      <w:r>
        <w:t>---</w:t>
      </w:r>
    </w:p>
    <w:p>
      <w:pPr>
        <w:spacing w:after="120" w:line="276" w:lineRule="auto"/>
      </w:pPr>
      <w:r>
        <w:t>## PARTIE 3 : ANALYSE FONDAMENTALE</w:t>
      </w:r>
    </w:p>
    <w:p>
      <w:pPr>
        <w:spacing w:after="120" w:line="276" w:lineRule="auto"/>
      </w:pPr>
      <w:r>
        <w:t>**Données structurées (exercice 2025)** : Selon les états financiers officiels de l'exercice 2025, Servair Abidjan affiche un chiffre d'affaires de 13,298 Mds FCFA, en croissance de +6,67% par rapport à 2024, témoignant d'une dynamique commerciale positive. Le résultat net s'établit à 1,351 Mds FCFA, en recul de -12,1% (contre 1,515 Mds FCFA en 2024), principalement en raison d'une charge d'impôt en forte hausse (+46,7% à 839,75 M FCFA). La rentabilité des fonds propres (ROE) reste excellente à 26,18%, bien supérieure au seuil de 15%, et le ROA de 14,64% confirme l'efficacité de l'utilisation des actifs. La marge nette de 10,16% et la marge opérationnelle de 16,38% demeurent solides pour le secteur. La structure financière est saine : autonomie financière de 55,9%, ratio d'endettement de 44,1%, et une trésorerie nette de 4,035 Mds FCFA. Le BFR de 257,45 M FCFA est positif mais maîtrisé, avec un délai clients de 70,1 jours (risque de trésorerie modéré) et un délai fournisseurs de 92,1 jours (favorable à la trésorerie). La capacité de remboursement est quasi nulle (0,04 an), reflétant un endettement financier très faible (65,89 M FCFA).</w:t>
      </w:r>
    </w:p>
    <w:p>
      <w:pPr>
        <w:spacing w:after="120" w:line="276" w:lineRule="auto"/>
      </w:pPr>
      <w:r>
        <w:t>**Estimations basées sur les rapports trimestriels** : Le rapport T1 2026 (publié en 2026) révèle une croissance modérée du CA de +1,9% à 3,237 Mds FCFA, mais une dégradation préoccupante de la rentabilité avec un résultat net en chute de -35,6% à 222,6 M FCFA. Cette contre-performance est attribuée à des ajustements de redevances aéroportuaires et à un environnement géopolitique défavorable (tensions au Moyen-Orient affectant le trafic aérien). Le rapport T3 2025 (publié en 2025) montrait pourtant une dynamique positive avec un CA trimestriel de 10,218 Mds FCFA (+10,3%) et un résultat net de 1,325 Mds FCFA (+17,1%), soutenu par la diversification vers les activités non aériennes. Sur la base du T1 2026, on estime que l'exercice 2026 devrait enregistrer une croissance du CA limitée (autour de +2-3%) et une pression persistante sur les marges, le résultat net annuel pourrait reculer vers 1,0-1,1 Mds FCFA si la tendance se confirme. Les perspectives de modernisation dans le cadre de la délégation de service public et la diversification vers les cantines et collectivités constituent des relais de croissance à moyen terme.</w:t>
      </w:r>
    </w:p>
    <w:p>
      <w:pPr>
        <w:spacing w:after="120" w:line="276" w:lineRule="auto"/>
      </w:pPr>
      <w:r>
        <w:t>**Recommandation fondamentale** : La solidité financière (ROE élevé, trésorerie abondante, endettement quasi nul) et la position dominante sur le marché ivoirien des services aéroportuaires sont des atouts indéniables. Cependant, la dégradation récente de la rentabilité (T1 2026) et la valorisation très exigeante (PER 31,8x) incitent à la prudence. Le titre est fondamentalement **solide mais surévalué** au cours actuel, avec un risque de correction si les performances ne se redressent pas rapidement.</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**En termes de valorisation (Partie 0)**, les ratios PER (31,8x), P/B (8,31x) et EV/EBITDA (16,4x) indiquent une surévaluation manifeste par rapport aux moyennes du marché BRVM et aux fondamentaux actuels, laissant peu de marge de sécurité. **Le comportement du cours (Partie 1)** est haussier (+32,1% sur 100 jours) mais la volatilité élevée (42,6%) et l'asymétrie positive (skewness +0,734) suggèrent que la progression a été portée par des poussées spéculatives plutôt qu'une tendance régulière, avec un risque de correction. **Les signaux techniques (Partie 2)** sont mitigés : tendance de fond haussière (MM) mais momentum affaibli (MACD baissier) et indicateurs neutres (RSI, Stochastique), plaidant pour une consolidation. **Les fondamentaux (Partie 3)** demeurent solides (ROE 26,2%, trésorerie 4,0 Mds FCFA) mais la dégradation du T1 2026 (résultat net -35,6%) et la pression sur les marges constituent des signaux d'alerte. **Les prédictions IA (J+1 à J+10)** anticipent une trajectoire baissière vers 3 673 FCFA d'ici le 2 octobre 2026, confirmant les signaux techniques de consolidation et les préoccupations fondamentales.</w:t>
      </w:r>
    </w:p>
    <w:p>
      <w:pPr>
        <w:spacing w:after="120" w:line="276" w:lineRule="auto"/>
      </w:pPr>
      <w:r>
        <w:t>**Recommandation finale : CONSERVER** — Avec un niveau de confiance **Moyen** et un risque global **Élevé**. La convergence entre la surévaluation, l'affaiblissement du momentum et la dégradation récente des résultats plaide contre un achat au cours actuel. Toutefois, la solidité financière et la position de marché de Servair Abidjan justifient de ne pas vendre massivement, sauf pour les investisseurs les plus averses au risque. **Horizon d'investissement suggéré : moyen terme (3-12 mois)**, en attendant la confirmation d'un redressement de la rentabilité au T2 2026 et une normalisation de l'environnement géopolitique. Un retour vers la zone de support de 3 500-3 600 FCFA constituerait une meilleure opportunité d'entrée pour les investisseurs souhaitant se positionner sur le titre.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491.54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13,562 titres</w:t>
            </w:r>
          </w:p>
        </w:tc>
        <w:tc>
          <w:tcPr>
            <w:tcW w:type="dxa" w:w="2268"/>
            <w:shd w:fill="FFF2CC" w:val="clear"/>
          </w:tcPr>
          <w:p>
            <w:r>
              <w:rPr>
                <w:b/>
                <w:color w:val="503200"/>
                <w:sz w:val="16"/>
              </w:rPr>
              <w:t xml:space="preserve">Cours actuel : </w:t>
            </w:r>
            <w:r>
              <w:rPr>
                <w:color w:val="000000"/>
                <w:sz w:val="17"/>
              </w:rPr>
              <w:t>8,510 FCFA</w:t>
            </w:r>
          </w:p>
          <w:p>
            <w:r>
              <w:rPr>
                <w:b/>
                <w:color w:val="503200"/>
                <w:sz w:val="16"/>
              </w:rPr>
              <w:t xml:space="preserve">Var. 100 jours : </w:t>
            </w:r>
            <w:r>
              <w:rPr>
                <w:b/>
                <w:color w:val="007800"/>
                <w:sz w:val="17"/>
              </w:rPr>
              <w:t>+60.41%</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24.57% (Élevée) — μ=7,107 FCFA, σ=1,746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β=0.7119 (Défensif) — Cov=0.000048, Var(idx)=0.000068, ρ=0.227,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13,562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2026-09-28</w:t>
            </w:r>
          </w:p>
        </w:tc>
        <w:tc>
          <w:tcPr>
            <w:tcW w:type="dxa" w:w="1440"/>
            <w:shd w:fill="C6EFCE" w:val="clear"/>
          </w:tcPr>
          <w:p>
            <w:r>
              <w:rPr>
                <w:sz w:val="17"/>
              </w:rPr>
              <w:t>8,441</w:t>
            </w:r>
          </w:p>
        </w:tc>
        <w:tc>
          <w:tcPr>
            <w:tcW w:type="dxa" w:w="1440"/>
            <w:shd w:fill="C6EFCE" w:val="clear"/>
          </w:tcPr>
          <w:p>
            <w:r>
              <w:rPr>
                <w:b/>
                <w:sz w:val="17"/>
              </w:rPr>
              <w:t>8,978</w:t>
            </w:r>
          </w:p>
        </w:tc>
        <w:tc>
          <w:tcPr>
            <w:tcW w:type="dxa" w:w="1440"/>
            <w:shd w:fill="C6EFCE" w:val="clear"/>
          </w:tcPr>
          <w:p>
            <w:r>
              <w:rPr>
                <w:sz w:val="17"/>
              </w:rPr>
              <w:t>9,514</w:t>
            </w:r>
          </w:p>
        </w:tc>
        <w:tc>
          <w:tcPr>
            <w:tcW w:type="dxa" w:w="1440"/>
            <w:shd w:fill="C6EFCE" w:val="clear"/>
          </w:tcPr>
          <w:p>
            <w:r>
              <w:rPr>
                <w:b/>
                <w:color w:val="008000"/>
                <w:sz w:val="17"/>
              </w:rPr>
              <w:t>+5.5%</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8,199</w:t>
            </w:r>
          </w:p>
        </w:tc>
        <w:tc>
          <w:tcPr>
            <w:tcW w:type="dxa" w:w="1440"/>
            <w:shd w:fill="C6EFCE" w:val="clear"/>
          </w:tcPr>
          <w:p>
            <w:r>
              <w:rPr>
                <w:b/>
                <w:sz w:val="17"/>
              </w:rPr>
              <w:t>8,957</w:t>
            </w:r>
          </w:p>
        </w:tc>
        <w:tc>
          <w:tcPr>
            <w:tcW w:type="dxa" w:w="1440"/>
            <w:shd w:fill="C6EFCE" w:val="clear"/>
          </w:tcPr>
          <w:p>
            <w:r>
              <w:rPr>
                <w:sz w:val="17"/>
              </w:rPr>
              <w:t>9,714</w:t>
            </w:r>
          </w:p>
        </w:tc>
        <w:tc>
          <w:tcPr>
            <w:tcW w:type="dxa" w:w="1440"/>
            <w:shd w:fill="C6EFCE" w:val="clear"/>
          </w:tcPr>
          <w:p>
            <w:r>
              <w:rPr>
                <w:b/>
                <w:color w:val="008000"/>
                <w:sz w:val="17"/>
              </w:rPr>
              <w:t>+5.2%</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8,045</w:t>
            </w:r>
          </w:p>
        </w:tc>
        <w:tc>
          <w:tcPr>
            <w:tcW w:type="dxa" w:w="1440"/>
            <w:shd w:fill="C6EFCE" w:val="clear"/>
          </w:tcPr>
          <w:p>
            <w:r>
              <w:rPr>
                <w:b/>
                <w:sz w:val="17"/>
              </w:rPr>
              <w:t>8,974</w:t>
            </w:r>
          </w:p>
        </w:tc>
        <w:tc>
          <w:tcPr>
            <w:tcW w:type="dxa" w:w="1440"/>
            <w:shd w:fill="C6EFCE" w:val="clear"/>
          </w:tcPr>
          <w:p>
            <w:r>
              <w:rPr>
                <w:sz w:val="17"/>
              </w:rPr>
              <w:t>9,903</w:t>
            </w:r>
          </w:p>
        </w:tc>
        <w:tc>
          <w:tcPr>
            <w:tcW w:type="dxa" w:w="1440"/>
            <w:shd w:fill="C6EFCE" w:val="clear"/>
          </w:tcPr>
          <w:p>
            <w:r>
              <w:rPr>
                <w:b/>
                <w:color w:val="008000"/>
                <w:sz w:val="17"/>
              </w:rPr>
              <w:t>+5.5%</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7,925</w:t>
            </w:r>
          </w:p>
        </w:tc>
        <w:tc>
          <w:tcPr>
            <w:tcW w:type="dxa" w:w="1440"/>
            <w:shd w:fill="C6EFCE" w:val="clear"/>
          </w:tcPr>
          <w:p>
            <w:r>
              <w:rPr>
                <w:b/>
                <w:sz w:val="17"/>
              </w:rPr>
              <w:t>9,001</w:t>
            </w:r>
          </w:p>
        </w:tc>
        <w:tc>
          <w:tcPr>
            <w:tcW w:type="dxa" w:w="1440"/>
            <w:shd w:fill="C6EFCE" w:val="clear"/>
          </w:tcPr>
          <w:p>
            <w:r>
              <w:rPr>
                <w:sz w:val="17"/>
              </w:rPr>
              <w:t>10,077</w:t>
            </w:r>
          </w:p>
        </w:tc>
        <w:tc>
          <w:tcPr>
            <w:tcW w:type="dxa" w:w="1440"/>
            <w:shd w:fill="C6EFCE" w:val="clear"/>
          </w:tcPr>
          <w:p>
            <w:r>
              <w:rPr>
                <w:b/>
                <w:color w:val="008000"/>
                <w:sz w:val="17"/>
              </w:rPr>
              <w:t>+5.8%</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7,822</w:t>
            </w:r>
          </w:p>
        </w:tc>
        <w:tc>
          <w:tcPr>
            <w:tcW w:type="dxa" w:w="1440"/>
            <w:shd w:fill="C6EFCE" w:val="clear"/>
          </w:tcPr>
          <w:p>
            <w:r>
              <w:rPr>
                <w:b/>
                <w:sz w:val="17"/>
              </w:rPr>
              <w:t>9,029</w:t>
            </w:r>
          </w:p>
        </w:tc>
        <w:tc>
          <w:tcPr>
            <w:tcW w:type="dxa" w:w="1440"/>
            <w:shd w:fill="C6EFCE" w:val="clear"/>
          </w:tcPr>
          <w:p>
            <w:r>
              <w:rPr>
                <w:sz w:val="17"/>
              </w:rPr>
              <w:t>10,236</w:t>
            </w:r>
          </w:p>
        </w:tc>
        <w:tc>
          <w:tcPr>
            <w:tcW w:type="dxa" w:w="1440"/>
            <w:shd w:fill="C6EFCE" w:val="clear"/>
          </w:tcPr>
          <w:p>
            <w:r>
              <w:rPr>
                <w:b/>
                <w:color w:val="008000"/>
                <w:sz w:val="17"/>
              </w:rPr>
              <w:t>+6.1%</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7,729</w:t>
            </w:r>
          </w:p>
        </w:tc>
        <w:tc>
          <w:tcPr>
            <w:tcW w:type="dxa" w:w="1440"/>
            <w:shd w:fill="C6EFCE" w:val="clear"/>
          </w:tcPr>
          <w:p>
            <w:r>
              <w:rPr>
                <w:b/>
                <w:sz w:val="17"/>
              </w:rPr>
              <w:t>9,055</w:t>
            </w:r>
          </w:p>
        </w:tc>
        <w:tc>
          <w:tcPr>
            <w:tcW w:type="dxa" w:w="1440"/>
            <w:shd w:fill="C6EFCE" w:val="clear"/>
          </w:tcPr>
          <w:p>
            <w:r>
              <w:rPr>
                <w:sz w:val="17"/>
              </w:rPr>
              <w:t>10,381</w:t>
            </w:r>
          </w:p>
        </w:tc>
        <w:tc>
          <w:tcPr>
            <w:tcW w:type="dxa" w:w="1440"/>
            <w:shd w:fill="C6EFCE" w:val="clear"/>
          </w:tcPr>
          <w:p>
            <w:r>
              <w:rPr>
                <w:b/>
                <w:color w:val="008000"/>
                <w:sz w:val="17"/>
              </w:rPr>
              <w:t>+6.4%</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7,642</w:t>
            </w:r>
          </w:p>
        </w:tc>
        <w:tc>
          <w:tcPr>
            <w:tcW w:type="dxa" w:w="1440"/>
            <w:shd w:fill="C6EFCE" w:val="clear"/>
          </w:tcPr>
          <w:p>
            <w:r>
              <w:rPr>
                <w:b/>
                <w:sz w:val="17"/>
              </w:rPr>
              <w:t>9,078</w:t>
            </w:r>
          </w:p>
        </w:tc>
        <w:tc>
          <w:tcPr>
            <w:tcW w:type="dxa" w:w="1440"/>
            <w:shd w:fill="C6EFCE" w:val="clear"/>
          </w:tcPr>
          <w:p>
            <w:r>
              <w:rPr>
                <w:sz w:val="17"/>
              </w:rPr>
              <w:t>10,514</w:t>
            </w:r>
          </w:p>
        </w:tc>
        <w:tc>
          <w:tcPr>
            <w:tcW w:type="dxa" w:w="1440"/>
            <w:shd w:fill="C6EFCE" w:val="clear"/>
          </w:tcPr>
          <w:p>
            <w:r>
              <w:rPr>
                <w:b/>
                <w:color w:val="008000"/>
                <w:sz w:val="17"/>
              </w:rPr>
              <w:t>+6.7%</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7,560</w:t>
            </w:r>
          </w:p>
        </w:tc>
        <w:tc>
          <w:tcPr>
            <w:tcW w:type="dxa" w:w="1440"/>
            <w:shd w:fill="C6EFCE" w:val="clear"/>
          </w:tcPr>
          <w:p>
            <w:r>
              <w:rPr>
                <w:b/>
                <w:sz w:val="17"/>
              </w:rPr>
              <w:t>9,098</w:t>
            </w:r>
          </w:p>
        </w:tc>
        <w:tc>
          <w:tcPr>
            <w:tcW w:type="dxa" w:w="1440"/>
            <w:shd w:fill="C6EFCE" w:val="clear"/>
          </w:tcPr>
          <w:p>
            <w:r>
              <w:rPr>
                <w:sz w:val="17"/>
              </w:rPr>
              <w:t>10,637</w:t>
            </w:r>
          </w:p>
        </w:tc>
        <w:tc>
          <w:tcPr>
            <w:tcW w:type="dxa" w:w="1440"/>
            <w:shd w:fill="C6EFCE" w:val="clear"/>
          </w:tcPr>
          <w:p>
            <w:r>
              <w:rPr>
                <w:b/>
                <w:color w:val="008000"/>
                <w:sz w:val="17"/>
              </w:rPr>
              <w:t>+6.9%</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7,481</w:t>
            </w:r>
          </w:p>
        </w:tc>
        <w:tc>
          <w:tcPr>
            <w:tcW w:type="dxa" w:w="1440"/>
            <w:shd w:fill="C6EFCE" w:val="clear"/>
          </w:tcPr>
          <w:p>
            <w:r>
              <w:rPr>
                <w:b/>
                <w:sz w:val="17"/>
              </w:rPr>
              <w:t>9,116</w:t>
            </w:r>
          </w:p>
        </w:tc>
        <w:tc>
          <w:tcPr>
            <w:tcW w:type="dxa" w:w="1440"/>
            <w:shd w:fill="C6EFCE" w:val="clear"/>
          </w:tcPr>
          <w:p>
            <w:r>
              <w:rPr>
                <w:sz w:val="17"/>
              </w:rPr>
              <w:t>10,751</w:t>
            </w:r>
          </w:p>
        </w:tc>
        <w:tc>
          <w:tcPr>
            <w:tcW w:type="dxa" w:w="1440"/>
            <w:shd w:fill="C6EFCE" w:val="clear"/>
          </w:tcPr>
          <w:p>
            <w:r>
              <w:rPr>
                <w:b/>
                <w:color w:val="008000"/>
                <w:sz w:val="17"/>
              </w:rPr>
              <w:t>+7.1%</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7,405</w:t>
            </w:r>
          </w:p>
        </w:tc>
        <w:tc>
          <w:tcPr>
            <w:tcW w:type="dxa" w:w="1440"/>
            <w:shd w:fill="C6EFCE" w:val="clear"/>
          </w:tcPr>
          <w:p>
            <w:r>
              <w:rPr>
                <w:b/>
                <w:sz w:val="17"/>
              </w:rPr>
              <w:t>9,131</w:t>
            </w:r>
          </w:p>
        </w:tc>
        <w:tc>
          <w:tcPr>
            <w:tcW w:type="dxa" w:w="1440"/>
            <w:shd w:fill="C6EFCE" w:val="clear"/>
          </w:tcPr>
          <w:p>
            <w:r>
              <w:rPr>
                <w:sz w:val="17"/>
              </w:rPr>
              <w:t>10,857</w:t>
            </w:r>
          </w:p>
        </w:tc>
        <w:tc>
          <w:tcPr>
            <w:tcW w:type="dxa" w:w="1440"/>
            <w:shd w:fill="C6EFCE" w:val="clear"/>
          </w:tcPr>
          <w:p>
            <w:r>
              <w:rPr>
                <w:b/>
                <w:color w:val="008000"/>
                <w:sz w:val="17"/>
              </w:rPr>
              <w:t>+7.3%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ACTION BICB (BRVM)**</w:t>
        <w:br/>
        <w:t>*Banque Internationale pour l'Industrie et le Commerce (Bénin)*</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491,54 milliards FCFA, la BICB s'impose comme l'une des valeurs bancaires les plus significatives de la cote BRVM, reflétant sa position de leader au Bénin. Le BPA de 627 FCFA/action signifie que chaque titre génère près de 627 FCFA de bénéfice net, un niveau de rentabilité unitaire élevé pour le secteur. Le PER de 13,6x situe le titre légèrement au-dessus de la moyenne BRVM (~8-12x), traduisant une prime de qualité justifiée par la solidité des fondamentaux, mais qui n'apparaît pas excessive. Le P/B de 3,64x indique que le marché valorise la banque à plus de trois fois sa valeur comptable, une prime de croissance significative qui suppose que les investisseurs anticipent une poursuite de la rentabilité élevée (ROE de 26,8%). En revanche, l'EV/EBITDA de 24,1x apparaît très exigeant (&gt;15x), signalant que la valeur d'entreprise intègre déjà une large part des bénéfices futurs attendus, ce qui limite la marge de sécurité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la BICB a enregistré une progression spectaculaire de +60,41%, avec une dernière séance en hausse de +7,45%, portant le cours actuel à 8 510 FCFA. Le range de trading est particulièrement large, oscillant entre un plus bas de 5 105 FCFA et un plus haut de 10 790 FCFA, soit un écart de plus de 111%, ce qui témoigne d'une forte volatilité directionnelle. La tendance générale est clairement haussière, mais la correction récente depuis le sommet (le cours actuel est à -21% du plus haut) suggère une phase de consolidation ou de prise de bénéfices. Les statistiques descriptives révèlent une moyenne de 7 107 FCFA supérieure à la médiane de 6 465 FCFA, confirmant une asymétrie positive (skewness de 0,621) avec davantage de journées sous la moyenne, typique d'un titre ayant connu des pics haussiers ponctuels. L'écart-type de 1 755 FCFA (CV de 24,7%) indique une dispersion modérée du cours autour de sa moyenne, tandis que le kurtosis de -0,882 (mésokurtique) suggère une distribution proche de la normale, sans risque extrême de pics violents. La volatilité annualisée de 42,3% classe le titre dans la catégorie des valeurs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9 834,75 FCFA et la MM50 à 8 575,5 FCFA, toutes deux supérieures au cours actuel de 8 510 FCFA. Cette configuration indique que le titre évolue sous ses moyennes court et moyen terme, signalant une pression baissière récente. Toutefois, la décision technique affichée est "Achat", probablement en anticipation d'un rebond technique après la correction, mais la position du cours sous les MM invite à la prudence.</w:t>
      </w:r>
    </w:p>
    <w:p>
      <w:pPr>
        <w:spacing w:after="120" w:line="276" w:lineRule="auto"/>
      </w:pPr>
      <w:r>
        <w:t>**Bandes de Bollinger** : La borne supérieure est à 11 468,99 FCFA et la borne inférieure à 8 200,51 FCFA, avec un cours actuel de 8 510 FCFA. Le titre évolue dans la partie basse des bandes, proche de la borne inférieure, ce qui suggère une situation de survente relative. La décision "Neutre" reflète l'absence de signal directionnel clair, le cours n'ayant pas encore touché la borne inférieure qui pourrait constituer un support.</w:t>
      </w:r>
    </w:p>
    <w:p>
      <w:pPr>
        <w:spacing w:after="120" w:line="276" w:lineRule="auto"/>
      </w:pPr>
      <w:r>
        <w:t>**MACD** : La valeur du MACD est de 57,424 contre un signal à 396,908, créant une divergence baissière marquée (MACD largement sous son signal). Cette configuration indique un momentum négatif persistant et justifie la décision "Vente". La correction en cours pourrait se poursuivre tant que le MACD ne repasse pas au-dessus de son signal.</w:t>
      </w:r>
    </w:p>
    <w:p>
      <w:pPr>
        <w:spacing w:after="120" w:line="276" w:lineRule="auto"/>
      </w:pPr>
      <w:r>
        <w:t>**RSI** : Le RSI s'établit à 23,733, un niveau inférieur au seuil de survente de 30, ce qui déclenche une décision "Achat". Cette lecture suggère que le titre est techniquement survendu et qu'un rebond pourrait se produire à court terme, mais la faiblesse du momentum (MACD) tempère cette opportunité.</w:t>
      </w:r>
    </w:p>
    <w:p>
      <w:pPr>
        <w:spacing w:after="120" w:line="276" w:lineRule="auto"/>
      </w:pPr>
      <w:r>
        <w:t>**Stochastique** : Le %K est à 22,433 et le %D à 7,478, avec une décision "Neutre". Le croisement des deux lignes en zone basse pourrait annoncer un retournement haussier, mais la faiblesse du %D (sous 10) indique une pression vendeuse encore présente. La configuration reste ambiguë.</w:t>
      </w:r>
    </w:p>
    <w:p>
      <w:pPr>
        <w:spacing w:after="120" w:line="276" w:lineRule="auto"/>
      </w:pPr>
      <w:r>
        <w:t>**Conclusion technique** : Les indicateurs techniques présentent un tableau mitigé. D'un côté, le RSI en zone de survente et la proximité de la borne inférieure de Bollinger suggèrent un potentiel rebond à court terme. De l'autre, la position du cours sous les moyennes mobiles et la divergence baissière du MACD indiquent que la tendance baissière n'est pas encore inversée. La convergence des signaux reste faible, ce qui plaide pour une attitude attentiste avant toute décision d'investissement.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la BICB a réalisé un Produit Net Bancaire (PNB) de 52,805 milliards FCFA, en croissance de 16,49% par rapport à 2024, porté par la hausse des crédits à la clientèle (+37,3%) et des dépôts (+29,4%). Le résultat net s'établit à 36,237 milliards FCFA, en progression de 24,7%, avec un ROE exceptionnel de 26,82% (largement supérieur au seuil de 15% considéré comme excellent) et un ROA de 1,96%. Le coefficient d'exploitation de 31,12% témoigne d'une efficacité opérationnelle remarquable (&lt;60% = banque efficace), tandis que le coût du risque de 9,61% reste modéré mais à surveiller. La marge nette de 68,62% est exceptionnellement élevée, bien qu'elle intègre des reprises de provisions exceptionnelles. Les capitaux propres s'élèvent à 135,118 milliards FCFA, avec un ratio de solvabilité de 19,64%, offrant une marge confortable au-dessus des exigences réglementaires (11,5%). Le ratio crédits nets/dépôts de 97,5% signale une transformation tendue, avec un risque de liquidité à surveiller.</w:t>
      </w:r>
    </w:p>
    <w:p>
      <w:pPr>
        <w:spacing w:after="120" w:line="276" w:lineRule="auto"/>
      </w:pPr>
      <w:r>
        <w:t>**Estimations basées sur les rapports trimestriels** : Le rapport du T1 2026 (publié en 2026) indique un PNB de 14,6 milliards FCFA (+35%) et un résultat net de 8,0 milliards FCFA (+48%), confirmant une accélération de la dynamique commerciale. Le rapport du S1 2026 (publié en 2026) fait état d'un PNB de 31,882 milliards FCFA (+19%) et d'un résultat net de 18,368 milliards FCFA (+11%), avec un coût du risque redevenu une charge de 3,579 milliards FCFA (contre un produit net de 2,376 milliards au S1 2025). Sur la base de ces tendances, on estime que l'exercice 2026 devrait afficher un PNB supérieur à 60 milliards FCFA et un résultat net compris entre 35 et 40 milliards FCFA, sous réserve de la normalisation du coût du risque. Le rapport du T3 2025 (publié en 2025) soulignait déjà une croissance du PNB de 26% mais une baisse du résultat net de 9% due à l'explosion du coût du risque, confirmant la nécessité d'une gestion prudente des provisions.</w:t>
      </w:r>
    </w:p>
    <w:p>
      <w:pPr>
        <w:spacing w:after="120" w:line="276" w:lineRule="auto"/>
      </w:pPr>
      <w:r>
        <w:t>**Recommandation fondamentale** : La BICB présente des fondamentaux solides (ROE élevé, coefficient d'exploitation faible, solvabilité robuste) et une position de leader sur son marché. Cependant, la qualité de la croissance est le point de vigilance central : l'expansion rapide des crédits (+37,3% en 2025) couplée à un coût du risque anormalement bas en 2025 (reprises de provisions) crée un déséquilibre. La normalisation du coût du risque au S1 2026 (charge de 3,6 milliards FCFA) et la tension sur la liquidité (ratio crédits/dépôts de 97,5%) invitent à la prudence. Les perspectives 2026 restent favorables (croissance du PNB et du résultat net attendue), mais la banque doit prouver sa capacité à gérer ce cycle de croissance sans dégrader son profil de risque.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**Valorisation (Partie 0)** : Le PER de 13,6x et le P/B de 3,64x indiquent une valorisation modérée à légèrement élevée, avec une prime de croissance justifiée par le ROE de 26,8%, mais l'EV/EBITDA de 24,1x limite la marge de sécurité. **Comportement du cours (Partie 1)** : La tendance haussière de +60,41% sur 100 jours est impressionnante, mais la correction récente (-21% depuis le sommet) et la volatilité élevée (42,3%) suggèrent une phase de consolidation. Les statistiques (skewness positif, kurtosis mésokurtique) indiquent un comportement globalement normal avec des pics haussiers ponctuels. **Signaux techniques (Partie 2)** : Les indicateurs sont mitigés — RSI en survente (23,7) et proximité de la borne inférieure de Bollinger plaident pour un rebond, mais la position sous les moyennes mobiles et la divergence baissière du MACD tempèrent cet optimisme. **Fondamentaux (Partie 3)** : La solidité financière est incontestable (ROE de 26,8%, coefficient d'exploitation de 31,1%), mais la normalisation du coût du risque et la tension sur la liquidité constituent des risques à surveiller. Les estimations basées sur les rapports T1 2026 (+48% de résultat net) et S1 2026 (+11%) suggèrent une poursuite de la croissance, mais à un rythme plus modéré. **Prédictions IA (J+1 à J+10)** : La trajectoire prédite (8 978 FCFA à 9 029 FCFA) anticipe un rebond de +5,5% à +6,1% par rapport au cours actuel, confirmant les signaux de survente technique.</w:t>
      </w:r>
    </w:p>
    <w:p>
      <w:pPr>
        <w:spacing w:after="120" w:line="276" w:lineRule="auto"/>
      </w:pPr>
      <w:r>
        <w:t>**Recommandation finale** : **CONSERVER** (avec un biais haussier à moyen terme). La convergence entre la survente technique (RSI, Bollinger) et les prédictions IA haussières soutient un potentiel rebond à court terme. Cependant, la divergence entre la faiblesse du momentum (MACD) et la solidité des fondamentaux invite à la prudence. Les investisseurs déjà positionnés peuvent conserver le titre en attendant la confirmation d'un retournement technique et la publication des résultats annuels 2026. Un nouvel entrant attendra un signal technique plus clair (cassure de la MM20 à 9 834 FCFA) avant d'investir. Le niveau de confiance est **Moyen**, le risque global est **Élevé** (volatilité de 42,3%, tension sur la liquidité), et l'horizon d'investissement optimal est le **moyen terme (3-12 mois)** , le temps que la banque normalise son coût du risque et confirme la soutenabilité de sa croissance.</w:t>
      </w:r>
    </w:p>
    <w:p>
      <w:pPr>
        <w:spacing w:after="120" w:line="276" w:lineRule="auto"/>
      </w:pPr>
      <w:r>
        <w: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533.33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694 titres</w:t>
            </w:r>
          </w:p>
        </w:tc>
        <w:tc>
          <w:tcPr>
            <w:tcW w:type="dxa" w:w="2268"/>
            <w:shd w:fill="FFF2CC" w:val="clear"/>
          </w:tcPr>
          <w:p>
            <w:r>
              <w:rPr>
                <w:b/>
                <w:color w:val="503200"/>
                <w:sz w:val="16"/>
              </w:rPr>
              <w:t xml:space="preserve">Cours actuel : </w:t>
            </w:r>
            <w:r>
              <w:rPr>
                <w:color w:val="000000"/>
                <w:sz w:val="17"/>
              </w:rPr>
              <w:t>32,000 FCFA</w:t>
            </w:r>
          </w:p>
          <w:p>
            <w:r>
              <w:rPr>
                <w:b/>
                <w:color w:val="503200"/>
                <w:sz w:val="16"/>
              </w:rPr>
              <w:t xml:space="preserve">Var. 100 jours : </w:t>
            </w:r>
            <w:r>
              <w:rPr>
                <w:b/>
                <w:color w:val="007800"/>
                <w:sz w:val="17"/>
              </w:rPr>
              <w:t>+28.00%</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24,445 FCFA</w:t>
            </w:r>
          </w:p>
          <w:p>
            <w:r>
              <w:rPr>
                <w:b/>
                <w:color w:val="503200"/>
                <w:sz w:val="16"/>
              </w:rPr>
              <w:t xml:space="preserve">Volatilité ann. : </w:t>
            </w:r>
            <w:r>
              <w:rPr>
                <w:color w:val="000000"/>
                <w:sz w:val="17"/>
              </w:rPr>
              <w:t>30.7%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6.49% (Moyenne) — μ=28,919 FCFA, σ=1,877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β=0.8025 (Neutre (suit le marché)) — Cov=0.000054, Var(idx)=0.000068, ρ=0.350,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694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29,682</w:t>
            </w:r>
          </w:p>
        </w:tc>
        <w:tc>
          <w:tcPr>
            <w:tcW w:type="dxa" w:w="1440"/>
            <w:shd w:fill="FFDCE0" w:val="clear"/>
          </w:tcPr>
          <w:p>
            <w:r>
              <w:rPr>
                <w:b/>
                <w:sz w:val="17"/>
              </w:rPr>
              <w:t>31,010</w:t>
            </w:r>
          </w:p>
        </w:tc>
        <w:tc>
          <w:tcPr>
            <w:tcW w:type="dxa" w:w="1440"/>
            <w:shd w:fill="FFDCE0" w:val="clear"/>
          </w:tcPr>
          <w:p>
            <w:r>
              <w:rPr>
                <w:sz w:val="17"/>
              </w:rPr>
              <w:t>32,338</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29,189</w:t>
            </w:r>
          </w:p>
        </w:tc>
        <w:tc>
          <w:tcPr>
            <w:tcW w:type="dxa" w:w="1440"/>
            <w:shd w:fill="FFDCE0" w:val="clear"/>
          </w:tcPr>
          <w:p>
            <w:r>
              <w:rPr>
                <w:b/>
                <w:sz w:val="17"/>
              </w:rPr>
              <w:t>31,071</w:t>
            </w:r>
          </w:p>
        </w:tc>
        <w:tc>
          <w:tcPr>
            <w:tcW w:type="dxa" w:w="1440"/>
            <w:shd w:fill="FFDCE0" w:val="clear"/>
          </w:tcPr>
          <w:p>
            <w:r>
              <w:rPr>
                <w:sz w:val="17"/>
              </w:rPr>
              <w:t>32,953</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28,690</w:t>
            </w:r>
          </w:p>
        </w:tc>
        <w:tc>
          <w:tcPr>
            <w:tcW w:type="dxa" w:w="1440"/>
            <w:shd w:fill="FFDCE0" w:val="clear"/>
          </w:tcPr>
          <w:p>
            <w:r>
              <w:rPr>
                <w:b/>
                <w:sz w:val="17"/>
              </w:rPr>
              <w:t>30,988</w:t>
            </w:r>
          </w:p>
        </w:tc>
        <w:tc>
          <w:tcPr>
            <w:tcW w:type="dxa" w:w="1440"/>
            <w:shd w:fill="FFDCE0" w:val="clear"/>
          </w:tcPr>
          <w:p>
            <w:r>
              <w:rPr>
                <w:sz w:val="17"/>
              </w:rPr>
              <w:t>33,286</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28,259</w:t>
            </w:r>
          </w:p>
        </w:tc>
        <w:tc>
          <w:tcPr>
            <w:tcW w:type="dxa" w:w="1440"/>
            <w:shd w:fill="FFDCE0" w:val="clear"/>
          </w:tcPr>
          <w:p>
            <w:r>
              <w:rPr>
                <w:b/>
                <w:sz w:val="17"/>
              </w:rPr>
              <w:t>30,906</w:t>
            </w:r>
          </w:p>
        </w:tc>
        <w:tc>
          <w:tcPr>
            <w:tcW w:type="dxa" w:w="1440"/>
            <w:shd w:fill="FFDCE0" w:val="clear"/>
          </w:tcPr>
          <w:p>
            <w:r>
              <w:rPr>
                <w:sz w:val="17"/>
              </w:rPr>
              <w:t>33,553</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27,890</w:t>
            </w:r>
          </w:p>
        </w:tc>
        <w:tc>
          <w:tcPr>
            <w:tcW w:type="dxa" w:w="1440"/>
            <w:shd w:fill="FFDCE0" w:val="clear"/>
          </w:tcPr>
          <w:p>
            <w:r>
              <w:rPr>
                <w:b/>
                <w:sz w:val="17"/>
              </w:rPr>
              <w:t>30,843</w:t>
            </w:r>
          </w:p>
        </w:tc>
        <w:tc>
          <w:tcPr>
            <w:tcW w:type="dxa" w:w="1440"/>
            <w:shd w:fill="FFDCE0" w:val="clear"/>
          </w:tcPr>
          <w:p>
            <w:r>
              <w:rPr>
                <w:sz w:val="17"/>
              </w:rPr>
              <w:t>33,797</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27,560</w:t>
            </w:r>
          </w:p>
        </w:tc>
        <w:tc>
          <w:tcPr>
            <w:tcW w:type="dxa" w:w="1440"/>
            <w:shd w:fill="FFDCE0" w:val="clear"/>
          </w:tcPr>
          <w:p>
            <w:r>
              <w:rPr>
                <w:b/>
                <w:sz w:val="17"/>
              </w:rPr>
              <w:t>30,789</w:t>
            </w:r>
          </w:p>
        </w:tc>
        <w:tc>
          <w:tcPr>
            <w:tcW w:type="dxa" w:w="1440"/>
            <w:shd w:fill="FFDCE0" w:val="clear"/>
          </w:tcPr>
          <w:p>
            <w:r>
              <w:rPr>
                <w:sz w:val="17"/>
              </w:rPr>
              <w:t>34,019</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27,255</w:t>
            </w:r>
          </w:p>
        </w:tc>
        <w:tc>
          <w:tcPr>
            <w:tcW w:type="dxa" w:w="1440"/>
            <w:shd w:fill="FFDCE0" w:val="clear"/>
          </w:tcPr>
          <w:p>
            <w:r>
              <w:rPr>
                <w:b/>
                <w:sz w:val="17"/>
              </w:rPr>
              <w:t>30,737</w:t>
            </w:r>
          </w:p>
        </w:tc>
        <w:tc>
          <w:tcPr>
            <w:tcW w:type="dxa" w:w="1440"/>
            <w:shd w:fill="FFDCE0" w:val="clear"/>
          </w:tcPr>
          <w:p>
            <w:r>
              <w:rPr>
                <w:sz w:val="17"/>
              </w:rPr>
              <w:t>34,219</w:t>
            </w:r>
          </w:p>
        </w:tc>
        <w:tc>
          <w:tcPr>
            <w:tcW w:type="dxa" w:w="1440"/>
            <w:shd w:fill="FFDCE0" w:val="clear"/>
          </w:tcPr>
          <w:p>
            <w:r>
              <w:rPr>
                <w:b/>
                <w:color w:val="C00000"/>
                <w:sz w:val="17"/>
              </w:rPr>
              <w:t>-3.9%</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26,969</w:t>
            </w:r>
          </w:p>
        </w:tc>
        <w:tc>
          <w:tcPr>
            <w:tcW w:type="dxa" w:w="1440"/>
            <w:shd w:fill="FFDCE0" w:val="clear"/>
          </w:tcPr>
          <w:p>
            <w:r>
              <w:rPr>
                <w:b/>
                <w:sz w:val="17"/>
              </w:rPr>
              <w:t>30,686</w:t>
            </w:r>
          </w:p>
        </w:tc>
        <w:tc>
          <w:tcPr>
            <w:tcW w:type="dxa" w:w="1440"/>
            <w:shd w:fill="FFDCE0" w:val="clear"/>
          </w:tcPr>
          <w:p>
            <w:r>
              <w:rPr>
                <w:sz w:val="17"/>
              </w:rPr>
              <w:t>34,402</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26,700</w:t>
            </w:r>
          </w:p>
        </w:tc>
        <w:tc>
          <w:tcPr>
            <w:tcW w:type="dxa" w:w="1440"/>
            <w:shd w:fill="FFDCE0" w:val="clear"/>
          </w:tcPr>
          <w:p>
            <w:r>
              <w:rPr>
                <w:b/>
                <w:sz w:val="17"/>
              </w:rPr>
              <w:t>30,636</w:t>
            </w:r>
          </w:p>
        </w:tc>
        <w:tc>
          <w:tcPr>
            <w:tcW w:type="dxa" w:w="1440"/>
            <w:shd w:fill="FFDCE0" w:val="clear"/>
          </w:tcPr>
          <w:p>
            <w:r>
              <w:rPr>
                <w:sz w:val="17"/>
              </w:rPr>
              <w:t>34,572</w:t>
            </w:r>
          </w:p>
        </w:tc>
        <w:tc>
          <w:tcPr>
            <w:tcW w:type="dxa" w:w="1440"/>
            <w:shd w:fill="FFDCE0" w:val="clear"/>
          </w:tcPr>
          <w:p>
            <w:r>
              <w:rPr>
                <w:b/>
                <w:color w:val="C00000"/>
                <w:sz w:val="17"/>
              </w:rPr>
              <w:t>-4.3%</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26,446</w:t>
            </w:r>
          </w:p>
        </w:tc>
        <w:tc>
          <w:tcPr>
            <w:tcW w:type="dxa" w:w="1440"/>
            <w:shd w:fill="FFDCE0" w:val="clear"/>
          </w:tcPr>
          <w:p>
            <w:r>
              <w:rPr>
                <w:b/>
                <w:sz w:val="17"/>
              </w:rPr>
              <w:t>30,588</w:t>
            </w:r>
          </w:p>
        </w:tc>
        <w:tc>
          <w:tcPr>
            <w:tcW w:type="dxa" w:w="1440"/>
            <w:shd w:fill="FFDCE0" w:val="clear"/>
          </w:tcPr>
          <w:p>
            <w:r>
              <w:rPr>
                <w:sz w:val="17"/>
              </w:rPr>
              <w:t>34,729</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533,33 milliards FCFA, BICC figure parmi les valeurs les plus capitalisées de la BRVM, ce qui témoigne de son statut de pilier du compartiment bancaire régional. Le BPA s'établit à 2 191 FCFA par action, matérialisant le bénéfice net généré pour chaque titre détenu. Le PER de 14,6x traduit une valorisation modérée mais légèrement supérieure à la moyenne du marché BRVM (8-12x), les investisseurs acceptant une prime pour la qualité de la signature et la régularité des performances. Le P/B de 4,42x — nettement supérieur au seuil de 4x — signale une valorisation exigeante par rapport à la valeur comptable, justifiée par un ROE exceptionnel de 30,29%. Enfin, l'EV/EBITDA de 10,6x, dans la fourchette 10-15x, confirme une valorisation élevée mais cohérente avec la capacité opérationnelle de la banque.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affiche une progression remarquable de +28,00%, avec une dernière séance en hausse de +4,92%, portant le cours à 32 000 FCFA. Le range de trading s'étend de 24 445 FCFA (plus bas) à 34 000 FCFA (plus haut), soit une amplitude de près de 39%, reflétant une dynamique nettement haussière. La moyenne (28 919 FCFA) est légèrement supérieure à la médiane (28 840 FCFA), et le mode à 29 000 FCFA confirme cette concentration, tandis que le skewness positif de 0,582 indique davantage de journées sous la moyenne — signe d'une tendance haussière ponctuée de corrections. L'écart-type de 1 886 FCFA (CV = 6,5%) traduit une dispersion modérée du cours, et le kurtosis de 0,901 (mésokurtique) suggère un comportement proche d'une distribution normale, sans risque extrême de pics. La volatilité annualisée de 30,7% positionne le titre dans la catégorie des valeurs à volatilité élevée (&gt;30%), ce qui implique un potentiel de gain attractif mais aussi un risque de correction accru.</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(31 847,75 FCFA) et la MM50 (30 006,80 FCFA) se situent toutes deux sous le cours actuel (32 000 FCFA), avec la MM20 au-dessus de la MM50 — configuration haussière classique. Le cours évoluant au-dessus de ses deux moyennes, la décision technique est à l'**Achat**, confirmant la tendance positive de fond.</w:t>
      </w:r>
    </w:p>
    <w:p>
      <w:pPr>
        <w:spacing w:after="120" w:line="276" w:lineRule="auto"/>
      </w:pPr>
      <w:r>
        <w:t>**Bandes de Bollinger** : Le cours (32 000 FCFA) se situe entre la borne inférieure (29 135,46 FCFA) et la borne supérieure (34 560,04 FCFA), plus proche de la borne haute. Cette position médiane-haute indique une volatilité normale sans excès, justifiant une décision **Neutre** — le titre n'est ni suracheté ni survendu selon ce critère.</w:t>
      </w:r>
    </w:p>
    <w:p>
      <w:pPr>
        <w:spacing w:after="120" w:line="276" w:lineRule="auto"/>
      </w:pPr>
      <w:r>
        <w:t>**MACD** : La valeur du MACD (284,49) est inférieure à son signal (538,34), générant une divergence baissière et une décision de **Vente**. Ce croisement négatif suggère un essoufflement du momentum haussier à court terme, bien que la tendance de fond reste positive.</w:t>
      </w:r>
    </w:p>
    <w:p>
      <w:pPr>
        <w:spacing w:after="120" w:line="276" w:lineRule="auto"/>
      </w:pPr>
      <w:r>
        <w:t>**RSI** : À 40,80, le RSI se situe dans la zone neutre (30-70), sans signal de surachat ni de survente. La décision **Neutre** reflète un équilibre entre acheteurs et vendeurs, avec une légère prédominance baissière puisque le RSI est sous 50.</w:t>
      </w:r>
    </w:p>
    <w:p>
      <w:pPr>
        <w:spacing w:after="120" w:line="276" w:lineRule="auto"/>
      </w:pPr>
      <w:r>
        <w:t>**Stochastique** : Le %K (52,996) est nettement supérieur au %D (23,58), ce qui constitue un croisement haussier potentiel. Toutefois, la décision reste **Neutre** car les deux courbes évoluent en zone médiane, sans signal fort d'achat ou de vente.</w:t>
      </w:r>
    </w:p>
    <w:p>
      <w:pPr>
        <w:spacing w:after="120" w:line="276" w:lineRule="auto"/>
      </w:pPr>
      <w:r>
        <w:t>**Conclusion technique** : Les indicateurs présentent une divergence notable — les moyennes mobiles confirment la tendance haussière de fond, tandis que le MACD signale un ralentissement du momentum. Le RSI et le stochastique restent neutres, et les bandes de Bollinger n'indiquent pas de tension extrême. Cette configuration suggère une consolidation possible à court terme avant une reprise de la tendance haussière, avec un support clé à 31 847 FCFA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BICC (secteur BANQUE) affichent un Produit Net Bancaire (PNB) de 79,563 milliards FCFA, en croissance de 16,90% sur un an, porté par une marge d'intermédiation solide et des commissions nettes dynamiques. Le résultat net s'élève à 36,520 milliards FCFA, générant un ROE exceptionnel de 30,29% (&gt;15% = excellent) et un ROA de 3,24%. Le coefficient d'exploitation de 50,83% (&lt;60%) confirme l'efficacité opérationnelle de la banque, tandis que le coût du risque rapporté aux charges financières (-12,15%) reste contenu, témoignant d'un portefeuille de crédits sain. La structure financière montre une autonomie financière de 10,71% (faible mais typique du secteur bancaire) et une capacité de remboursement de 0,40 an, très confortable. Les dépôts clientèle (952,872 milliards FCFA) couvrent largement les créances clientèle (524,439 milliards FCFA), avec un ratio de transformation de 55%, reflétant une gestion prudente de la liquidité. Les rapports trimestriels récents confirment cette dynamique : au T1 2026 (rapport du 31 mars 2026), le PNB progresse de +17,01% à 21,214 milliards FCFA et le résultat net bondit de +29,66% à 10,387 milliards FCFA, avec une marge nette en amélioration à 49,0% (contre 44,2% au T1 2025). Sur la base de ces tendances, on estime que l'exercice 2026 devrait enregistrer un PNB supérieur à 90 milliards FCFA et un résultat net dépassant 40 milliards FCFA, confirmant la trajectoire de croissance rentable. Le principal point de vigilance reste la baisse des crédits nets (-4,47% au T1 2026), compensée par une meilleure marge et une forte collecte de dépôts (+14,46%). La recommandation fondamentale est **ACHAT**, justifiée par la solidité du bilan, la rentabilité exceptionnelle et les perspectives positives.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BICC (PER 14,6x, P/B 4,42x, EV/EBITDA 10,6x) indique une **surévaluation modérée** par rapport aux moyennes du marché BRVM, mais cette prime est justifiée par un ROE de 30,29% et une croissance à deux chiffres. Le comportement du cours sur 100 jours (+28,00%) est nettement haussier, avec une volatilité élevée (30,7%) et des statistiques (kurtosis 0,901, skewness 0,582) qui ne révèlent pas de risque extrême, bien que la tendance soit ponctuée de corrections. Les signaux techniques sont **mitigés** : les moyennes mobiles confirment la tendance haussière, mais le MACD génère une divergence baissière, et le RSI/stochastique restent neutres — suggérant une consolidation à court terme. Les fondamentaux sont **excellents** : PNB en hausse de 16,90%, résultat net de 36,52 milliards FCFA, ROE de 30,29%, coefficient d'exploitation de 50,83%, et perspectives trimestrielles (T1 2026) confirmant l'accélération de la croissance. Les prédictions IA (J+1 à J+10) anticipent une légère correction vers 30 843-31 071 FCFA, ce qui contredit partiellement les signaux haussiers mais reste cohérent avec une consolidation technique. Sur la base de cette synthèse, la recommandation finale est **ACHAT**, avec un niveau de confiance **Moyen** (en raison de la divergence technique à court terme) et un risque global **Moyen** (volatilité élevée, valorisation exigeante). L'horizon d'investissement optimal est le **moyen terme (3-12 mois)**, afin de laisser la consolidation technique se résorber et de bénéficier de la poursuite de la croissance fondamentale.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13.31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2,972 titres</w:t>
            </w:r>
          </w:p>
        </w:tc>
        <w:tc>
          <w:tcPr>
            <w:tcW w:type="dxa" w:w="2268"/>
            <w:shd w:fill="FFF2CC" w:val="clear"/>
          </w:tcPr>
          <w:p>
            <w:r>
              <w:rPr>
                <w:b/>
                <w:color w:val="503200"/>
                <w:sz w:val="16"/>
              </w:rPr>
              <w:t xml:space="preserve">Cours actuel : </w:t>
            </w:r>
            <w:r>
              <w:rPr>
                <w:color w:val="000000"/>
                <w:sz w:val="17"/>
              </w:rPr>
              <w:t>2,010 FCFA</w:t>
            </w:r>
          </w:p>
          <w:p>
            <w:r>
              <w:rPr>
                <w:b/>
                <w:color w:val="503200"/>
                <w:sz w:val="16"/>
              </w:rPr>
              <w:t xml:space="preserve">Var. 100 jours : </w:t>
            </w:r>
            <w:r>
              <w:rPr>
                <w:b/>
                <w:color w:val="007800"/>
                <w:sz w:val="17"/>
              </w:rPr>
              <w:t>+38.62%</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53.9%</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12.54% (Moyenne) — μ=1,885 FCFA, σ=236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β=0.3416 (Défensif) — Cov=0.000023, Var(idx)=0.000068, ρ=0.084,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annualisée≈53.9%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1,849</w:t>
            </w:r>
          </w:p>
        </w:tc>
        <w:tc>
          <w:tcPr>
            <w:tcW w:type="dxa" w:w="1440"/>
            <w:shd w:fill="FFDCE0" w:val="clear"/>
          </w:tcPr>
          <w:p>
            <w:r>
              <w:rPr>
                <w:b/>
                <w:sz w:val="17"/>
              </w:rPr>
              <w:t>1,969</w:t>
            </w:r>
          </w:p>
        </w:tc>
        <w:tc>
          <w:tcPr>
            <w:tcW w:type="dxa" w:w="1440"/>
            <w:shd w:fill="FFDCE0" w:val="clear"/>
          </w:tcPr>
          <w:p>
            <w:r>
              <w:rPr>
                <w:sz w:val="17"/>
              </w:rPr>
              <w:t>2,090</w:t>
            </w:r>
          </w:p>
        </w:tc>
        <w:tc>
          <w:tcPr>
            <w:tcW w:type="dxa" w:w="1440"/>
            <w:shd w:fill="FFDCE0" w:val="clear"/>
          </w:tcPr>
          <w:p>
            <w:r>
              <w:rPr>
                <w:b/>
                <w:color w:val="C00000"/>
                <w:sz w:val="17"/>
              </w:rPr>
              <w:t>-2.0%</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1,800</w:t>
            </w:r>
          </w:p>
        </w:tc>
        <w:tc>
          <w:tcPr>
            <w:tcW w:type="dxa" w:w="1440"/>
            <w:shd w:fill="FAFAFA" w:val="clear"/>
          </w:tcPr>
          <w:p>
            <w:r>
              <w:rPr>
                <w:b/>
                <w:sz w:val="17"/>
              </w:rPr>
              <w:t>1,970</w:t>
            </w:r>
          </w:p>
        </w:tc>
        <w:tc>
          <w:tcPr>
            <w:tcW w:type="dxa" w:w="1440"/>
            <w:shd w:fill="FAFAFA" w:val="clear"/>
          </w:tcPr>
          <w:p>
            <w:r>
              <w:rPr>
                <w:sz w:val="17"/>
              </w:rPr>
              <w:t>2,141</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1,752</w:t>
            </w:r>
          </w:p>
        </w:tc>
        <w:tc>
          <w:tcPr>
            <w:tcW w:type="dxa" w:w="1440"/>
            <w:shd w:fill="FFDCE0" w:val="clear"/>
          </w:tcPr>
          <w:p>
            <w:r>
              <w:rPr>
                <w:b/>
                <w:sz w:val="17"/>
              </w:rPr>
              <w:t>1,959</w:t>
            </w:r>
          </w:p>
        </w:tc>
        <w:tc>
          <w:tcPr>
            <w:tcW w:type="dxa" w:w="1440"/>
            <w:shd w:fill="FFDCE0" w:val="clear"/>
          </w:tcPr>
          <w:p>
            <w:r>
              <w:rPr>
                <w:sz w:val="17"/>
              </w:rPr>
              <w:t>2,167</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1,710</w:t>
            </w:r>
          </w:p>
        </w:tc>
        <w:tc>
          <w:tcPr>
            <w:tcW w:type="dxa" w:w="1440"/>
            <w:shd w:fill="FFDCE0" w:val="clear"/>
          </w:tcPr>
          <w:p>
            <w:r>
              <w:rPr>
                <w:b/>
                <w:sz w:val="17"/>
              </w:rPr>
              <w:t>1,949</w:t>
            </w:r>
          </w:p>
        </w:tc>
        <w:tc>
          <w:tcPr>
            <w:tcW w:type="dxa" w:w="1440"/>
            <w:shd w:fill="FFDCE0" w:val="clear"/>
          </w:tcPr>
          <w:p>
            <w:r>
              <w:rPr>
                <w:sz w:val="17"/>
              </w:rPr>
              <w:t>2,187</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1,674</w:t>
            </w:r>
          </w:p>
        </w:tc>
        <w:tc>
          <w:tcPr>
            <w:tcW w:type="dxa" w:w="1440"/>
            <w:shd w:fill="FFDCE0" w:val="clear"/>
          </w:tcPr>
          <w:p>
            <w:r>
              <w:rPr>
                <w:b/>
                <w:sz w:val="17"/>
              </w:rPr>
              <w:t>1,939</w:t>
            </w:r>
          </w:p>
        </w:tc>
        <w:tc>
          <w:tcPr>
            <w:tcW w:type="dxa" w:w="1440"/>
            <w:shd w:fill="FFDCE0" w:val="clear"/>
          </w:tcPr>
          <w:p>
            <w:r>
              <w:rPr>
                <w:sz w:val="17"/>
              </w:rPr>
              <w:t>2,205</w:t>
            </w:r>
          </w:p>
        </w:tc>
        <w:tc>
          <w:tcPr>
            <w:tcW w:type="dxa" w:w="1440"/>
            <w:shd w:fill="FFDCE0" w:val="clear"/>
          </w:tcPr>
          <w:p>
            <w:r>
              <w:rPr>
                <w:b/>
                <w:color w:val="C00000"/>
                <w:sz w:val="17"/>
              </w:rPr>
              <w:t>-3.5%</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1,641</w:t>
            </w:r>
          </w:p>
        </w:tc>
        <w:tc>
          <w:tcPr>
            <w:tcW w:type="dxa" w:w="1440"/>
            <w:shd w:fill="FFDCE0" w:val="clear"/>
          </w:tcPr>
          <w:p>
            <w:r>
              <w:rPr>
                <w:b/>
                <w:sz w:val="17"/>
              </w:rPr>
              <w:t>1,931</w:t>
            </w:r>
          </w:p>
        </w:tc>
        <w:tc>
          <w:tcPr>
            <w:tcW w:type="dxa" w:w="1440"/>
            <w:shd w:fill="FFDCE0" w:val="clear"/>
          </w:tcPr>
          <w:p>
            <w:r>
              <w:rPr>
                <w:sz w:val="17"/>
              </w:rPr>
              <w:t>2,220</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1,611</w:t>
            </w:r>
          </w:p>
        </w:tc>
        <w:tc>
          <w:tcPr>
            <w:tcW w:type="dxa" w:w="1440"/>
            <w:shd w:fill="FFDCE0" w:val="clear"/>
          </w:tcPr>
          <w:p>
            <w:r>
              <w:rPr>
                <w:b/>
                <w:sz w:val="17"/>
              </w:rPr>
              <w:t>1,923</w:t>
            </w:r>
          </w:p>
        </w:tc>
        <w:tc>
          <w:tcPr>
            <w:tcW w:type="dxa" w:w="1440"/>
            <w:shd w:fill="FFDCE0" w:val="clear"/>
          </w:tcPr>
          <w:p>
            <w:r>
              <w:rPr>
                <w:sz w:val="17"/>
              </w:rPr>
              <w:t>2,234</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1,584</w:t>
            </w:r>
          </w:p>
        </w:tc>
        <w:tc>
          <w:tcPr>
            <w:tcW w:type="dxa" w:w="1440"/>
            <w:shd w:fill="FFDCE0" w:val="clear"/>
          </w:tcPr>
          <w:p>
            <w:r>
              <w:rPr>
                <w:b/>
                <w:sz w:val="17"/>
              </w:rPr>
              <w:t>1,915</w:t>
            </w:r>
          </w:p>
        </w:tc>
        <w:tc>
          <w:tcPr>
            <w:tcW w:type="dxa" w:w="1440"/>
            <w:shd w:fill="FFDCE0" w:val="clear"/>
          </w:tcPr>
          <w:p>
            <w:r>
              <w:rPr>
                <w:sz w:val="17"/>
              </w:rPr>
              <w:t>2,247</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1,557</w:t>
            </w:r>
          </w:p>
        </w:tc>
        <w:tc>
          <w:tcPr>
            <w:tcW w:type="dxa" w:w="1440"/>
            <w:shd w:fill="FFDCE0" w:val="clear"/>
          </w:tcPr>
          <w:p>
            <w:r>
              <w:rPr>
                <w:b/>
                <w:sz w:val="17"/>
              </w:rPr>
              <w:t>1,908</w:t>
            </w:r>
          </w:p>
        </w:tc>
        <w:tc>
          <w:tcPr>
            <w:tcW w:type="dxa" w:w="1440"/>
            <w:shd w:fill="FFDCE0" w:val="clear"/>
          </w:tcPr>
          <w:p>
            <w:r>
              <w:rPr>
                <w:sz w:val="17"/>
              </w:rPr>
              <w:t>2,258</w:t>
            </w:r>
          </w:p>
        </w:tc>
        <w:tc>
          <w:tcPr>
            <w:tcW w:type="dxa" w:w="1440"/>
            <w:shd w:fill="FFDCE0" w:val="clear"/>
          </w:tcPr>
          <w:p>
            <w:r>
              <w:rPr>
                <w:b/>
                <w:color w:val="C00000"/>
                <w:sz w:val="17"/>
              </w:rPr>
              <w:t>-5.1%</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1,533</w:t>
            </w:r>
          </w:p>
        </w:tc>
        <w:tc>
          <w:tcPr>
            <w:tcW w:type="dxa" w:w="1440"/>
            <w:shd w:fill="FFDCE0" w:val="clear"/>
          </w:tcPr>
          <w:p>
            <w:r>
              <w:rPr>
                <w:b/>
                <w:sz w:val="17"/>
              </w:rPr>
              <w:t>1,901</w:t>
            </w:r>
          </w:p>
        </w:tc>
        <w:tc>
          <w:tcPr>
            <w:tcW w:type="dxa" w:w="1440"/>
            <w:shd w:fill="FFDCE0" w:val="clear"/>
          </w:tcPr>
          <w:p>
            <w:r>
              <w:rPr>
                <w:sz w:val="17"/>
              </w:rPr>
              <w:t>2,269</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(BERNABÉ CÔTE D'IVOIRE)</w:t>
        <w:br/>
        <w:t>**Bourse Régionale des Valeurs Mobilières (BRVM) — Secteur : Entreprise industrielle/distribution**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13,31 milliards FCFA, un niveau modeste à l'échelle de la BRVM qui la classe parmi les petites capitalisations du compartiment industriel. Le BPA de 3 FCFA/action traduit une rentabilité par titre quasi-symbolique, ce qui explique mécaniquement un PER de 596,6x — un niveau aberrant comparé à la moyenne BRVM (8-12x) qui signale que le marché paie très cher un bénéfice quasiment inexistant, avec une prudence de mise. À l'inverse, le P/B de 0,75x indique que le marché valorise l'action à 25% en dessous de sa valeur comptable, ce qui constitue une opportunité potentielle pour un investisseur « value » en cas de redressement des marges. Enfin, l'EV/EBITDA de 24,3x (bien supérieur au seuil de 15x) montre que la valeur d'entreprise intègre une prime très exigeante au regard de la capacité opérationnelle réelle, ce qui contraste avec le P/B et révèle une valorisation globalement tendue malgré l'optique patrimoniale favorable.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BNBC affiche une progression remarquable de +38,62%, avec une dernière séance en forte hausse de +6,35% qui porte le cours actuel à 2 010 FCFA. Le range de trading est large, entre un plus bas de 1 300 FCFA et un plus haut de 2 400 FCFA, soit une amplitude de près de 85% qui témoigne d'une forte volatilité directionnelle. La tendance générale est donc nettement haussière, mais le cours actuel (2 010 FCFA) se situe désormais sous sa moyenne (1 885 FCFA) — non, plus précisément au-dessus — tout en restant à 16% sous son sommet, ce qui suggère une phase de consolidation après le pic. Les statistiques descriptives révèlent une moyenne de 1 885 FCFA légèrement inférieure à la médiane de 1 955 FCFA, avec un mode à 1 990 FCFA : cet écart indique une asymétrie négative (skewness de -0,541), confirmée par le fait qu'il y a davantage de journées de cotation au-dessus de la moyenne, mais que quelques séances de forte baisse tirent la moyenne vers le bas. L'écart-type de 238 FCFA (CV de 12,6%) traduit une dispersion modérée du cours autour de sa tendance, tandis que le kurtosis de -0,049 (mésokurtique) indique une distribution proche de la normale, sans risque de pics extrêmes marqué. La volatilité annualisée de 53,9% classe le titre dans la catégorie des valeurs à volatilité élevée (&gt;30%), ce qui implique un risque de marché significatif et justifie une approche prudente en termes de sizing.</w:t>
      </w:r>
    </w:p>
    <w:p>
      <w:pPr>
        <w:spacing w:after="120" w:line="276" w:lineRule="auto"/>
      </w:pPr>
      <w:r>
        <w:t>---</w:t>
      </w:r>
    </w:p>
    <w:p>
      <w:pPr>
        <w:spacing w:after="120" w:line="276" w:lineRule="auto"/>
      </w:pPr>
      <w:r>
        <w:t>## PARTIE 2 : ANALYSE TECHNIQUE DÉTAILLÉE</w:t>
      </w:r>
    </w:p>
    <w:p>
      <w:pPr>
        <w:spacing w:after="120" w:line="276" w:lineRule="auto"/>
      </w:pPr>
      <w:r>
        <w:t>**Moyennes Mobiles** : La MM20 (2 113,5 FCFA) est supérieure à la MM50 (2 031,9 FCFA), et le cours actuel (2 010 FCFA) se situe légèrement sous ces deux références. Cette configuration en « croisement haussier » des moyennes (MM20 &gt; MM50) justifie la décision d'**Achat** fournie, bien que le positionnement du cours sous les deux moyennes appelle à la prudence et suggère une possible consolidation avant reprise.</w:t>
      </w:r>
    </w:p>
    <w:p>
      <w:pPr>
        <w:spacing w:after="120" w:line="276" w:lineRule="auto"/>
      </w:pPr>
      <w:r>
        <w:t>**Bandes de Bollinger** : Le cours (2 010 FCFA) évolue dans la partie médiane de la bande, entre la borne inférieure (1 825,8 FCFA) et la borne supérieure (2 401,2 FCFA). Cette position centrale, couplée à une largeur de bande importante, traduit une volatilité élevée sans signal directionnel fort, ce qui justifie la décision **Neutre** — le titre n'est ni en surachat ni en survente technique.</w:t>
      </w:r>
    </w:p>
    <w:p>
      <w:pPr>
        <w:spacing w:after="120" w:line="276" w:lineRule="auto"/>
      </w:pPr>
      <w:r>
        <w:t>**MACD** : La valeur du MACD (-34,483) est nettement inférieure à son signal (-2,557), avec un histogramme négatif qui indique un momentum baissier persistant. Cette divergence négative justifie la décision de **Vente** technique, signalant que la dynamique haussière récente s'essouffle et qu'un repli à court terme est probable.</w:t>
      </w:r>
    </w:p>
    <w:p>
      <w:pPr>
        <w:spacing w:after="120" w:line="276" w:lineRule="auto"/>
      </w:pPr>
      <w:r>
        <w:t>**RSI** : À 44,693, le RSI se situe dans la zone neutre (30-70), sans signal de surachat (&gt;70) ni de survente (&lt;30). Cette position médiane, légèrement sous les 50, traduit un équilibre entre acheteurs et vendeurs et justifie la décision **Neutre** — aucun signal directionnel fort n'émerge de cet indicateur.</w:t>
      </w:r>
    </w:p>
    <w:p>
      <w:pPr>
        <w:spacing w:after="120" w:line="276" w:lineRule="auto"/>
      </w:pPr>
      <w:r>
        <w:t>**Stochastique** : Le %K (29,63) est supérieur au %D (9,877), avec un croisement récent des deux lignes en zone basse (sous 20 pour le %D). Ce croisement haussier en zone de survente est un signal d'achat potentiel, mais la faiblesse des valeurs absolues et la décision **Neutre** fournie suggèrent que le signal n'est pas encore confirmé.</w:t>
      </w:r>
    </w:p>
    <w:p>
      <w:pPr>
        <w:spacing w:after="120" w:line="276" w:lineRule="auto"/>
      </w:pPr>
      <w:r>
        <w:t>**Conclusion technique** : Les indicateurs techniques présentent une configuration mitigée. Les moyennes mobiles sont haussières (MM20 &gt; MM50) et le stochastique amorce un croisement haussier en zone basse, mais le MACD est franchement baissier, le RSI est neutre et le cours évolue sous ses moyennes. Cette divergence entre signaux haussiers (MM, Stochastique) et baissiers (MACD) plaide pour une phase de consolidation, avec un biais légèrement positif à moyen terme mais un risque de repli à court terme. La décision globale est **Neutre à légèrement haussière**, en attente d'une confirmation par le franchissement des moyennes mobiles.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BNBC a réalisé un chiffre d'affaires de 42,454 milliards FCFA, en recul de -6,31% par rapport à 2024 (45,312 milliards), confirmant une contraction de l'activité. Le résultat net s'établit à seulement 22,32 millions FCFA, soit une marge nette de 0,053% — une rentabilité quasi-nulle. Le ROE est de 0,126% et le ROA de 0,045%, des niveaux extrêmement faibles qui traduisent une incapacité structurelle à générer du profit. La structure financière reste néanmoins solide avec des capitaux propres de 17,77 milliards FCFA (autonomie financière de 36,2%) et une solvabilité générale de 156,6%, mais la trésorerie nette est fortement négative à -16,689 milliards FCFA, révélant un risque de liquidité majeur. Le BFR de 29,373 milliards FCFA (délai clients de 104 jours, durée de stockage de 339 jours) pèse lourdement sur la trésorerie, tandis que le flux opérationnel est négatif à -786,11 millions FCFA. Le ratio d'endettement de 105,48% et la capacité de remboursement de 19,17 années (dettes financières/CAF) confirment une dépendance excessive aux financements externes.</w:t>
      </w:r>
    </w:p>
    <w:p>
      <w:pPr>
        <w:spacing w:after="120" w:line="276" w:lineRule="auto"/>
      </w:pPr>
      <w:r>
        <w:t>**Adaptation au secteur (entreprise)** : Les délais clients (104 jours) et la durée de stockage (339 jours) sont très élevés, immobilisant massivement du capital et expliquant le BFR de 29,4 milliards FCFA. Le délai fournisseurs (116 jours) est supérieur au délai clients, ce qui est favorable à la trésorerie, mais insuffisant pour compenser le poids des stocks. La rotation des actifs de 86,4% reste correcte, mais la marge brute de 4,73% et la marge opérationnelle de 2,47% sont très faibles, signe d'une pression concurrentielle intense et d'un modèle économique peu rentable.</w:t>
      </w:r>
    </w:p>
    <w:p>
      <w:pPr>
        <w:spacing w:after="120" w:line="276" w:lineRule="auto"/>
      </w:pPr>
      <w:r>
        <w:t>**Estimations basées sur les rapports trimestriels** : Le rapport du T1 2026 (publié le 31/12/2026, analysé le 01/05/2026) indique un chiffre d'affaires stable à 11,194 milliards FCFA (-0,12% vs T1 2025) et un résultat net positif de 65,566 millions FCFA, contre une perte de 16,147 millions au T1 2025 — soit une amélioration spectaculaire de +506%. Cette performance est toutefois à nuancer : elle résulte de l'intégration de la division Équipement (en phase de démarrage) et de la non-reconduction d'affaires exceptionnelles. Sur la base de ce T1, on peut estimer que l'exercice 2026 devrait afficher un résultat net annuel compris entre 150 et 250 millions FCFA, en nette amélioration par rapport à 2025, mais toujours très loin des niveaux de 2021 (1,6 milliard FCFA). Le rapport du T3 2025 (30/09/2025) faisait état d'une perte nette cumulée de -157,03 millions FCFA sur 9 mois, avec un objectif d'équilibre en fin d'année — objectif finalement atteint de justesse avec 22,3 millions FCFA de bénéfice annuel. Les rapports antérieurs (S1 2025, T1 2025, 2024) confirment une dégradation continue depuis 2021, année où la société affichait encore une marge nette de 3,6% et un résultat net de 1,6 milliard FCFA.</w:t>
      </w:r>
    </w:p>
    <w:p>
      <w:pPr>
        <w:spacing w:after="120" w:line="276" w:lineRule="auto"/>
      </w:pPr>
      <w:r>
        <w:t>**Recommandation fondamentale** : La situation financière de BNBC reste fragile malgré l'amélioration du résultat net en 2025 et le retour à la rentabilité au T1 2026. Les risques majeurs — trésorerie négative, BFR élevé, rentabilité anémique, absence de dividende — persistent et ne montrent pas de signe d'amélioration structurelle durable. La recommandation fondamentale est **CONSERVER avec surveillance renforcée**, en attendant la confirmation d'un redressement durable de la rentabilité et d'une amélioration de la génération de cash-flows opérationnels.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**Sur le plan de la valorisation (Partie 0)**, le PER de 596,6x signale une surévaluation manifeste par rapport aux bénéfices, mais le P/B de 0,75x offre une marge de sécurité patrimoniale qui limite le potentiel de baisse — la valorisation est donc contrastée, avec un plancher théorique mais un plafond limité par la faiblesse des profits. **Le comportement du cours (Partie 1)** est haussier sur 100 jours (+38,62%) mais avec une volatilité élevée (53,9%) et une asymétrie négative (skewness -0,541) qui indique que les baisses, bien que moins fréquentes, sont plus amples que les hausses — un profil de risque préoccupant pour un investisseur averse au risque. **Les signaux techniques (Partie 2)** sont divergents : les moyennes mobiles et le stochastique sont haussiers, mais le MACD est baissier et le RSI neutre, ce qui plaide pour une consolidation avant une éventuelle reprise. **Les fondamentaux (Partie 3)** restent fragiles : la rentabilité est quasi-nulle (ROE de 0,126%), la trésorerie est négative (-16,7 milliards FCFA) et le BFR est élevé, même si le T1 2026 montre une amélioration encourageante (+506% de résultat net). **Les prédictions IA (J+1 à J+10)** anticipent une légère baisse du cours, de 1 969 FCFA à 1 939 FCFA, ce qui contredit la dynamique haussière récente et confirme le biais baissier du MACD à court terme.</w:t>
      </w:r>
    </w:p>
    <w:p>
      <w:pPr>
        <w:spacing w:after="120" w:line="276" w:lineRule="auto"/>
      </w:pPr>
      <w:r>
        <w:t>**Recommandation finale : CONSERVER** — Justification : il y a une divergence entre la technique à court terme (MACD baissier, prédictions IA en repli) et les fondamentaux en amélioration (T1 2026 positif, P/B &lt; 1). Le titre n'offre pas de signal d'achat fort en raison de la faiblesse persistante de la rentabilité et du risque de liquidité, mais la décote sur la valeur comptable et l'amélioration du résultat net au T1 2026 justifient de ne pas vendre. **Niveau de confiance : Moyen** — les signaux sont contradictoires et les données fondamentales restent limitées. **Niveau de risque global : Élevé** — volatilité de 53,9%, trésorerie négative, rentabilité anémique et absence de dividende. **Horizon d'investissement optimal : Moyen terme (3-12 mois)** — le temps que la division Équipement monte en puissance et que la rentabilité se confirme, avec un suivi rigoureux des prochains trimestres (T2 et T3 2026) pour valider ou infirmer la tendance. Une confirmation de la reprise de la rentabilité et une réduction du BFR justifieraient un passage à **ACHAT**, tandis qu'une nouvelle dégradation des résultats ou de la trésorerie entraînerait une recommandation de **VENTE**.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363.02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5,685 titres</w:t>
            </w:r>
          </w:p>
        </w:tc>
        <w:tc>
          <w:tcPr>
            <w:tcW w:type="dxa" w:w="2268"/>
            <w:shd w:fill="FFF2CC" w:val="clear"/>
          </w:tcPr>
          <w:p>
            <w:r>
              <w:rPr>
                <w:b/>
                <w:color w:val="503200"/>
                <w:sz w:val="16"/>
              </w:rPr>
              <w:t xml:space="preserve">Cours actuel : </w:t>
            </w:r>
            <w:r>
              <w:rPr>
                <w:color w:val="000000"/>
                <w:sz w:val="17"/>
              </w:rPr>
              <w:t>8,950 FCFA</w:t>
            </w:r>
          </w:p>
          <w:p>
            <w:r>
              <w:rPr>
                <w:b/>
                <w:color w:val="503200"/>
                <w:sz w:val="16"/>
              </w:rPr>
              <w:t xml:space="preserve">Var. 100 jours : </w:t>
            </w:r>
            <w:r>
              <w:rPr>
                <w:b/>
                <w:color w:val="B40000"/>
                <w:sz w:val="17"/>
              </w:rPr>
              <w:t>-0.06%</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μ=9,166 FCFA, σ=551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β=0.4819 (Défensif) — Cov=0.000033, Var(idx)=0.000068, ρ=0.228,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σ_j=1.73%/j (Stable) — Vol. annualisée≈27.4%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8,637</w:t>
            </w:r>
          </w:p>
        </w:tc>
        <w:tc>
          <w:tcPr>
            <w:tcW w:type="dxa" w:w="1440"/>
            <w:shd w:fill="FAFAFA" w:val="clear"/>
          </w:tcPr>
          <w:p>
            <w:r>
              <w:rPr>
                <w:b/>
                <w:sz w:val="17"/>
              </w:rPr>
              <w:t>9,018</w:t>
            </w:r>
          </w:p>
        </w:tc>
        <w:tc>
          <w:tcPr>
            <w:tcW w:type="dxa" w:w="1440"/>
            <w:shd w:fill="FAFAFA" w:val="clear"/>
          </w:tcPr>
          <w:p>
            <w:r>
              <w:rPr>
                <w:sz w:val="17"/>
              </w:rPr>
              <w:t>9,398</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8,497</w:t>
            </w:r>
          </w:p>
        </w:tc>
        <w:tc>
          <w:tcPr>
            <w:tcW w:type="dxa" w:w="1440"/>
            <w:shd w:fill="FAFAFA" w:val="clear"/>
          </w:tcPr>
          <w:p>
            <w:r>
              <w:rPr>
                <w:b/>
                <w:sz w:val="17"/>
              </w:rPr>
              <w:t>9,035</w:t>
            </w:r>
          </w:p>
        </w:tc>
        <w:tc>
          <w:tcPr>
            <w:tcW w:type="dxa" w:w="1440"/>
            <w:shd w:fill="FAFAFA" w:val="clear"/>
          </w:tcPr>
          <w:p>
            <w:r>
              <w:rPr>
                <w:sz w:val="17"/>
              </w:rPr>
              <w:t>9,574</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8,383</w:t>
            </w:r>
          </w:p>
        </w:tc>
        <w:tc>
          <w:tcPr>
            <w:tcW w:type="dxa" w:w="1440"/>
            <w:shd w:fill="FAFAFA" w:val="clear"/>
          </w:tcPr>
          <w:p>
            <w:r>
              <w:rPr>
                <w:b/>
                <w:sz w:val="17"/>
              </w:rPr>
              <w:t>9,044</w:t>
            </w:r>
          </w:p>
        </w:tc>
        <w:tc>
          <w:tcPr>
            <w:tcW w:type="dxa" w:w="1440"/>
            <w:shd w:fill="FAFAFA" w:val="clear"/>
          </w:tcPr>
          <w:p>
            <w:r>
              <w:rPr>
                <w:sz w:val="17"/>
              </w:rPr>
              <w:t>9,704</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8,284</w:t>
            </w:r>
          </w:p>
        </w:tc>
        <w:tc>
          <w:tcPr>
            <w:tcW w:type="dxa" w:w="1440"/>
            <w:shd w:fill="FAFAFA" w:val="clear"/>
          </w:tcPr>
          <w:p>
            <w:r>
              <w:rPr>
                <w:b/>
                <w:sz w:val="17"/>
              </w:rPr>
              <w:t>9,046</w:t>
            </w:r>
          </w:p>
        </w:tc>
        <w:tc>
          <w:tcPr>
            <w:tcW w:type="dxa" w:w="1440"/>
            <w:shd w:fill="FAFAFA" w:val="clear"/>
          </w:tcPr>
          <w:p>
            <w:r>
              <w:rPr>
                <w:sz w:val="17"/>
              </w:rPr>
              <w:t>9,809</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8,194</w:t>
            </w:r>
          </w:p>
        </w:tc>
        <w:tc>
          <w:tcPr>
            <w:tcW w:type="dxa" w:w="1440"/>
            <w:shd w:fill="FAFAFA" w:val="clear"/>
          </w:tcPr>
          <w:p>
            <w:r>
              <w:rPr>
                <w:b/>
                <w:sz w:val="17"/>
              </w:rPr>
              <w:t>9,047</w:t>
            </w:r>
          </w:p>
        </w:tc>
        <w:tc>
          <w:tcPr>
            <w:tcW w:type="dxa" w:w="1440"/>
            <w:shd w:fill="FAFAFA" w:val="clear"/>
          </w:tcPr>
          <w:p>
            <w:r>
              <w:rPr>
                <w:sz w:val="17"/>
              </w:rPr>
              <w:t>9,900</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8,112</w:t>
            </w:r>
          </w:p>
        </w:tc>
        <w:tc>
          <w:tcPr>
            <w:tcW w:type="dxa" w:w="1440"/>
            <w:shd w:fill="FAFAFA" w:val="clear"/>
          </w:tcPr>
          <w:p>
            <w:r>
              <w:rPr>
                <w:b/>
                <w:sz w:val="17"/>
              </w:rPr>
              <w:t>9,047</w:t>
            </w:r>
          </w:p>
        </w:tc>
        <w:tc>
          <w:tcPr>
            <w:tcW w:type="dxa" w:w="1440"/>
            <w:shd w:fill="FAFAFA" w:val="clear"/>
          </w:tcPr>
          <w:p>
            <w:r>
              <w:rPr>
                <w:sz w:val="17"/>
              </w:rPr>
              <w:t>9,981</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8,037</w:t>
            </w:r>
          </w:p>
        </w:tc>
        <w:tc>
          <w:tcPr>
            <w:tcW w:type="dxa" w:w="1440"/>
            <w:shd w:fill="FAFAFA" w:val="clear"/>
          </w:tcPr>
          <w:p>
            <w:r>
              <w:rPr>
                <w:b/>
                <w:sz w:val="17"/>
              </w:rPr>
              <w:t>9,046</w:t>
            </w:r>
          </w:p>
        </w:tc>
        <w:tc>
          <w:tcPr>
            <w:tcW w:type="dxa" w:w="1440"/>
            <w:shd w:fill="FAFAFA" w:val="clear"/>
          </w:tcPr>
          <w:p>
            <w:r>
              <w:rPr>
                <w:sz w:val="17"/>
              </w:rPr>
              <w:t>10,055</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7,966</w:t>
            </w:r>
          </w:p>
        </w:tc>
        <w:tc>
          <w:tcPr>
            <w:tcW w:type="dxa" w:w="1440"/>
            <w:shd w:fill="FAFAFA" w:val="clear"/>
          </w:tcPr>
          <w:p>
            <w:r>
              <w:rPr>
                <w:b/>
                <w:sz w:val="17"/>
              </w:rPr>
              <w:t>9,045</w:t>
            </w:r>
          </w:p>
        </w:tc>
        <w:tc>
          <w:tcPr>
            <w:tcW w:type="dxa" w:w="1440"/>
            <w:shd w:fill="FAFAFA" w:val="clear"/>
          </w:tcPr>
          <w:p>
            <w:r>
              <w:rPr>
                <w:sz w:val="17"/>
              </w:rPr>
              <w:t>10,123</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7,900</w:t>
            </w:r>
          </w:p>
        </w:tc>
        <w:tc>
          <w:tcPr>
            <w:tcW w:type="dxa" w:w="1440"/>
            <w:shd w:fill="FAFAFA" w:val="clear"/>
          </w:tcPr>
          <w:p>
            <w:r>
              <w:rPr>
                <w:b/>
                <w:sz w:val="17"/>
              </w:rPr>
              <w:t>9,043</w:t>
            </w:r>
          </w:p>
        </w:tc>
        <w:tc>
          <w:tcPr>
            <w:tcW w:type="dxa" w:w="1440"/>
            <w:shd w:fill="FAFAFA" w:val="clear"/>
          </w:tcPr>
          <w:p>
            <w:r>
              <w:rPr>
                <w:sz w:val="17"/>
              </w:rPr>
              <w:t>10,187</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7,837</w:t>
            </w:r>
          </w:p>
        </w:tc>
        <w:tc>
          <w:tcPr>
            <w:tcW w:type="dxa" w:w="1440"/>
            <w:shd w:fill="FAFAFA" w:val="clear"/>
          </w:tcPr>
          <w:p>
            <w:r>
              <w:rPr>
                <w:b/>
                <w:sz w:val="17"/>
              </w:rPr>
              <w:t>9,042</w:t>
            </w:r>
          </w:p>
        </w:tc>
        <w:tc>
          <w:tcPr>
            <w:tcW w:type="dxa" w:w="1440"/>
            <w:shd w:fill="FAFAFA" w:val="clear"/>
          </w:tcPr>
          <w:p>
            <w:r>
              <w:rPr>
                <w:sz w:val="17"/>
              </w:rPr>
              <w:t>10,247</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 BÉNIN (BOAB)**</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363,02 milliards FCFA, BOA Bénin se positionne parmi les valeurs bancaires de premier plan de la cote BRVM, reflétant la solidité de son bilan de 964,66 milliards FCFA. Le BPA de 496 FCFA/action signifie que chaque titre détenu génère près de 500 FCFA de bénéfice net, un niveau appréciable pour le secteur. Le PER de 18,1x traduit une valorisation modérée mais nettement supérieure à la moyenne du marché BRVM (8-12x), ce qui indique que les investisseurs acceptent de payer une prime pour la qualité de la signature BOA. Le P/B de 3,09x confirme cette prime de croissance : le marché valorise la banque à plus de trois fois ses fonds propres comptables (117,5 Mds FCFA), signe d'une forte confiance dans sa capacité bénéficiaire future. Enfin, l'EV/EBITDA de 18,8x, très exigeant (&gt;15x), suggère que la valeur d'entreprise intègre déjà une bonne partie du potentiel opérationnel,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 affiche une variation quasi nulle de -0,06%, avec une dernière séance stable à +0,00%, traduisant une phase de consolidation latérale après une correction. Le cours actuel de 8 950 FCFA se situe dans la moitié basse du range de trading délimité par un plus haut de 10 350 FCFA et un plus bas de 8 520 FCFA, soit un écart de 1 830 FCFA (21,5%) qui témoigne d'une réelle amplitude de négociation. La tendance générale est donc baissière sur la période, le titre ayant cédé du terrain depuis ses sommets pour se stabiliser autour de 8 950 FCFA. Les statistiques descriptives révèlent une moyenne de 9 166 FCFA supérieure à la médiane de 8 950 FCFA, confirmant une asymétrie positive (skewness de 0,976) : le cours a passé plus de journées sous sa moyenne, avec quelques pics haussiers tirant la moyenne vers le haut. L'écart-type de 554 FCFA (CV de 6,0%) indique une dispersion modérée, tandis que le kurtosis de -0,456 (mésokurtique) suggère une distribution proche de la normale, sans risque excessif de pics extrêmes. La volatilité annualisée de 27,4% classe le titre dans la catégorie des valeurs à volatilité modérée (15-30%), cohérente avec un profil bancaire de qualité mais exposé aux aléas du marché régional.</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(9 893 FCFA) et la MM50 (9 344 FCFA) se situent toutes deux au-dessus du cours actuel (8 950 FCFA), ce qui place le titre en position baissière à court et moyen terme. Cependant, la décision affichée est "Achat", probablement justifiée par le fort potentiel de rattrapage du cours vers ses moyennes, la MM50 constituant un premier objectif de rebond à 9 344 FCFA.</w:t>
      </w:r>
    </w:p>
    <w:p>
      <w:pPr>
        <w:spacing w:after="120" w:line="276" w:lineRule="auto"/>
      </w:pPr>
      <w:r>
        <w:t>**Bandes de Bollinger** : Le cours (8 950 FCFA) évolue très près de la borne inférieure (8 847 FCFA) et loin de la borne supérieure (10 939 FCFA), signalant une pression vendeuse mais aussi une zone de survente potentielle. La décision "Neutre" reflète l'absence de signal directionnel fort, le cours étant coincé dans un canal large de plus de 2 000 FCFA.</w:t>
      </w:r>
    </w:p>
    <w:p>
      <w:pPr>
        <w:spacing w:after="120" w:line="276" w:lineRule="auto"/>
      </w:pPr>
      <w:r>
        <w:t>**MACD** : La valeur du MACD (-126,7) est nettement inférieure à son signal (67,2), générant une divergence baissière marquée et une décision "Vente". Le momentum reste clairement négatif, bien que l'écart important entre les deux lignes puisse annoncer un épuisement prochain de la tendance baissière.</w:t>
      </w:r>
    </w:p>
    <w:p>
      <w:pPr>
        <w:spacing w:after="120" w:line="276" w:lineRule="auto"/>
      </w:pPr>
      <w:r>
        <w:t>**RSI** : À 21,08, le RSI est en zone de survente sévère (&lt;30), ce qui déclenche une décision "Achat". Ce niveau extrême suggère que la pression vendeuse est excessive et qu'un rebond technique est probable à court terme, les acheteurs pouvant revenir sur des niveaux jugés attractifs.</w:t>
      </w:r>
    </w:p>
    <w:p>
      <w:pPr>
        <w:spacing w:after="120" w:line="276" w:lineRule="auto"/>
      </w:pPr>
      <w:r>
        <w:t>**Stochastique** : Le %K (10,74) et le %D (7,16) sont tous deux en zone de survente profonde, avec une décision "Achat". Le croisement potentiel des deux lignes, si le %K remonte au-dessus du %D, confirmerait un signal d'entrée haussier.</w:t>
      </w:r>
    </w:p>
    <w:p>
      <w:pPr>
        <w:spacing w:after="120" w:line="276" w:lineRule="auto"/>
      </w:pPr>
      <w:r>
        <w:t>**Conclusion technique** : Les indicateurs présentent une divergence notable : les moyennes mobiles et le MACD sont baissiers, tandis que le RSI et le stochastique signalent une survente extrême propice à un rebond. Les bandes de Bollinger confirment cette configuration de fin de correction. La convergence des signaux de survente (RSI, stochastique) suggère qu'un retournement technique est imminent, mais la prudence reste de mise tant que le cours n'aura pas reconquis la MM50 (9 344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 Bénin affiche un Produit Net Bancaire (PNB) de 51,274 milliards FCFA, en croissance de 10,2% sur un an, confirmant la dynamique commerciale de la banque. Le résultat net s'établit à 20,107 milliards FCFA, avec un ROE de 17,11% (excellent, &gt;15%) et un ROA de 2,08%, traduisant une rentabilité solide des fonds propres et des actifs. Le coefficient d'exploitation de 49,53% (&lt;50%) classe la banque parmi les établissements les plus efficaces du secteur, tandis que le coût du risque de 22,50% (provisions/charges financières) reste un point de vigilance, bien qu'il soit compensé par la qualité globale du portefeuille. La structure financière montre une autonomie financière de 12,18% (capitaux propres/total bilan), un ratio d'endettement de 98,77% et une solvabilité générale de 113,87% (&gt;1), confirmant la solidité du bilan malgré un levier élevé. Le ratio de couverture des intérêts de 101,77% indique que le résultat d'exploitation couvre tout juste les charges financières, laissant peu de marge en cas de dégradation. Les rapports trimestriels récents confirment cette tendance : le T1 2026 (publié en 2026) affiche un PNB de 12,329 milliards FCFA (+11%) et un résultat net de 4,502 milliards FCFA (+1%), avec une progression des commissions de +18,9% et des dépôts clientèle de 753,7 milliards FCFA (+3,5%). Le T3 2025 (rapport du 30/09/2025) montrait déjà un PNB de 37,065 milliards FCFA (+9%) et un résultat net de 15,880 milliards FCFA (+13%), malgré une contraction des crédits (-10%) et des dépôts (-5%). On estime, sur la base de ces rapports, que l'exercice 2026 devrait maintenir une croissance du PNB autour de 10-11%, avec un résultat net en progression modérée de 3-5%, la banque privilégiant la qualité des marges à la croissance volumique. La recommandation fondamentale est de **conserver** le titre : la solidité financière, la rentabilité élevée et la stratégie de gestion prudente compensent la valorisation exigeante et les risques de contraction du bilan.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(PER 18,1x, P/B 3,09x, EV/EBITDA 18,8x) indique une prime significative par rapport au marché BRVM, reflétant la qualité de la signature mais limitant le potentiel de réévaluation à court terme. Le comportement du cours sur 100 jours (variation nulle, volatilité modérée de 27,4%, skewness positive) révèle une phase de consolidation avec une légère asymétrie haussière, sans risque extrême (kurtosis mésokurtique). Les signaux techniques sont divergents : baissiers pour les MM et le MACD, mais haussiers pour le RSI (21,08) et le stochastique (10,74) en zone de survente, suggérant un rebond technique imminent. Les fondamentaux restent solides : ROE de 17,11%, coefficient d'exploitation de 49,53%, PNB en croissance de 10,2% en 2025, et les rapports T1 2026 (PNB +11%) confirment la dynamique, bien que la croissance du résultat net soit plus modérée (+1%). Les prédictions IA anticipent une trajectoire haussière graduelle vers 9 047 FCFA d'ici J+10, ce qui confirme le scénario de rebond technique sans emballement. Sur la base de cette synthèse, la recommandation finale est **CONSERVER**, avec un niveau de confiance **Moyen** et un risque global **Moyen**. L'horizon d'investissement optimal est le **moyen terme (3-12 mois)**, le temps que la banque confirme la sostenibilité de sa rentabilité et que le cours reconquière ses moyennes mobiles. Un investisseur déjà positionné pourra conserver en attendant un retour vers 9 500-10 000 FCFA, tandis qu'un nouvel entrant pourra envisager une entrée progressive sur les niveaux actuels (8 950 FCFA) avec un objectif de 9 344 FCFA (MM50)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356.40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6,675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+48.35%</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18.31% (Élevée) — μ=6,730 FCFA, σ=1,232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β=0.7332 (Défensif) — Cov=0.000050, Var(idx)=0.000068, ρ=0.270,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6,675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7,685</w:t>
            </w:r>
          </w:p>
        </w:tc>
        <w:tc>
          <w:tcPr>
            <w:tcW w:type="dxa" w:w="1440"/>
            <w:shd w:fill="FAFAFA" w:val="clear"/>
          </w:tcPr>
          <w:p>
            <w:r>
              <w:rPr>
                <w:b/>
                <w:sz w:val="17"/>
              </w:rPr>
              <w:t>8,082</w:t>
            </w:r>
          </w:p>
        </w:tc>
        <w:tc>
          <w:tcPr>
            <w:tcW w:type="dxa" w:w="1440"/>
            <w:shd w:fill="FAFAFA" w:val="clear"/>
          </w:tcPr>
          <w:p>
            <w:r>
              <w:rPr>
                <w:sz w:val="17"/>
              </w:rPr>
              <w:t>8,479</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7,499</w:t>
            </w:r>
          </w:p>
        </w:tc>
        <w:tc>
          <w:tcPr>
            <w:tcW w:type="dxa" w:w="1440"/>
            <w:shd w:fill="FAFAFA" w:val="clear"/>
          </w:tcPr>
          <w:p>
            <w:r>
              <w:rPr>
                <w:b/>
                <w:sz w:val="17"/>
              </w:rPr>
              <w:t>8,059</w:t>
            </w:r>
          </w:p>
        </w:tc>
        <w:tc>
          <w:tcPr>
            <w:tcW w:type="dxa" w:w="1440"/>
            <w:shd w:fill="FAFAFA" w:val="clear"/>
          </w:tcPr>
          <w:p>
            <w:r>
              <w:rPr>
                <w:sz w:val="17"/>
              </w:rPr>
              <w:t>8,620</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7,358</w:t>
            </w:r>
          </w:p>
        </w:tc>
        <w:tc>
          <w:tcPr>
            <w:tcW w:type="dxa" w:w="1440"/>
            <w:shd w:fill="FAFAFA" w:val="clear"/>
          </w:tcPr>
          <w:p>
            <w:r>
              <w:rPr>
                <w:b/>
                <w:sz w:val="17"/>
              </w:rPr>
              <w:t>8,043</w:t>
            </w:r>
          </w:p>
        </w:tc>
        <w:tc>
          <w:tcPr>
            <w:tcW w:type="dxa" w:w="1440"/>
            <w:shd w:fill="FAFAFA" w:val="clear"/>
          </w:tcPr>
          <w:p>
            <w:r>
              <w:rPr>
                <w:sz w:val="17"/>
              </w:rPr>
              <w:t>8,728</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7,249</w:t>
            </w:r>
          </w:p>
        </w:tc>
        <w:tc>
          <w:tcPr>
            <w:tcW w:type="dxa" w:w="1440"/>
            <w:shd w:fill="FAFAFA" w:val="clear"/>
          </w:tcPr>
          <w:p>
            <w:r>
              <w:rPr>
                <w:b/>
                <w:sz w:val="17"/>
              </w:rPr>
              <w:t>8,039</w:t>
            </w:r>
          </w:p>
        </w:tc>
        <w:tc>
          <w:tcPr>
            <w:tcW w:type="dxa" w:w="1440"/>
            <w:shd w:fill="FAFAFA" w:val="clear"/>
          </w:tcPr>
          <w:p>
            <w:r>
              <w:rPr>
                <w:sz w:val="17"/>
              </w:rPr>
              <w:t>8,830</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7,158</w:t>
            </w:r>
          </w:p>
        </w:tc>
        <w:tc>
          <w:tcPr>
            <w:tcW w:type="dxa" w:w="1440"/>
            <w:shd w:fill="FAFAFA" w:val="clear"/>
          </w:tcPr>
          <w:p>
            <w:r>
              <w:rPr>
                <w:b/>
                <w:sz w:val="17"/>
              </w:rPr>
              <w:t>8,042</w:t>
            </w:r>
          </w:p>
        </w:tc>
        <w:tc>
          <w:tcPr>
            <w:tcW w:type="dxa" w:w="1440"/>
            <w:shd w:fill="FAFAFA" w:val="clear"/>
          </w:tcPr>
          <w:p>
            <w:r>
              <w:rPr>
                <w:sz w:val="17"/>
              </w:rPr>
              <w:t>8,926</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7,079</w:t>
            </w:r>
          </w:p>
        </w:tc>
        <w:tc>
          <w:tcPr>
            <w:tcW w:type="dxa" w:w="1440"/>
            <w:shd w:fill="FAFAFA" w:val="clear"/>
          </w:tcPr>
          <w:p>
            <w:r>
              <w:rPr>
                <w:b/>
                <w:sz w:val="17"/>
              </w:rPr>
              <w:t>8,048</w:t>
            </w:r>
          </w:p>
        </w:tc>
        <w:tc>
          <w:tcPr>
            <w:tcW w:type="dxa" w:w="1440"/>
            <w:shd w:fill="FAFAFA" w:val="clear"/>
          </w:tcPr>
          <w:p>
            <w:r>
              <w:rPr>
                <w:sz w:val="17"/>
              </w:rPr>
              <w:t>9,017</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7,008</w:t>
            </w:r>
          </w:p>
        </w:tc>
        <w:tc>
          <w:tcPr>
            <w:tcW w:type="dxa" w:w="1440"/>
            <w:shd w:fill="FAFAFA" w:val="clear"/>
          </w:tcPr>
          <w:p>
            <w:r>
              <w:rPr>
                <w:b/>
                <w:sz w:val="17"/>
              </w:rPr>
              <w:t>8,055</w:t>
            </w:r>
          </w:p>
        </w:tc>
        <w:tc>
          <w:tcPr>
            <w:tcW w:type="dxa" w:w="1440"/>
            <w:shd w:fill="FAFAFA" w:val="clear"/>
          </w:tcPr>
          <w:p>
            <w:r>
              <w:rPr>
                <w:sz w:val="17"/>
              </w:rPr>
              <w:t>9,103</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6,942</w:t>
            </w:r>
          </w:p>
        </w:tc>
        <w:tc>
          <w:tcPr>
            <w:tcW w:type="dxa" w:w="1440"/>
            <w:shd w:fill="FAFAFA" w:val="clear"/>
          </w:tcPr>
          <w:p>
            <w:r>
              <w:rPr>
                <w:b/>
                <w:sz w:val="17"/>
              </w:rPr>
              <w:t>8,063</w:t>
            </w:r>
          </w:p>
        </w:tc>
        <w:tc>
          <w:tcPr>
            <w:tcW w:type="dxa" w:w="1440"/>
            <w:shd w:fill="FAFAFA" w:val="clear"/>
          </w:tcPr>
          <w:p>
            <w:r>
              <w:rPr>
                <w:sz w:val="17"/>
              </w:rPr>
              <w:t>9,184</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6,880</w:t>
            </w:r>
          </w:p>
        </w:tc>
        <w:tc>
          <w:tcPr>
            <w:tcW w:type="dxa" w:w="1440"/>
            <w:shd w:fill="FAFAFA" w:val="clear"/>
          </w:tcPr>
          <w:p>
            <w:r>
              <w:rPr>
                <w:b/>
                <w:sz w:val="17"/>
              </w:rPr>
              <w:t>8,070</w:t>
            </w:r>
          </w:p>
        </w:tc>
        <w:tc>
          <w:tcPr>
            <w:tcW w:type="dxa" w:w="1440"/>
            <w:shd w:fill="FAFAFA" w:val="clear"/>
          </w:tcPr>
          <w:p>
            <w:r>
              <w:rPr>
                <w:sz w:val="17"/>
              </w:rPr>
              <w:t>9,260</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6,821</w:t>
            </w:r>
          </w:p>
        </w:tc>
        <w:tc>
          <w:tcPr>
            <w:tcW w:type="dxa" w:w="1440"/>
            <w:shd w:fill="FAFAFA" w:val="clear"/>
          </w:tcPr>
          <w:p>
            <w:r>
              <w:rPr>
                <w:b/>
                <w:sz w:val="17"/>
              </w:rPr>
              <w:t>8,077</w:t>
            </w:r>
          </w:p>
        </w:tc>
        <w:tc>
          <w:tcPr>
            <w:tcW w:type="dxa" w:w="1440"/>
            <w:shd w:fill="FAFAFA" w:val="clear"/>
          </w:tcPr>
          <w:p>
            <w:r>
              <w:rPr>
                <w:sz w:val="17"/>
              </w:rPr>
              <w:t>9,332</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 RAPPORT D'ANALYSE FINANCIÈRE — BOABF (Bank of Africa Burkina Faso)</w:t>
        <w:br/>
        <w:t>### 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356,40 milliards FCFA, BOABF figure parmi les valeurs bancaires de premier plan de la cote BRVM, ce qui témoigne de sa solidité et de sa liquidité relative sur le marché régional. Le BPA de 438 FCFA par action signifie que chaque titre génère près de 438 FCFA de bénéfice net, un niveau confortable qui soutient la distribution de dividendes (397 FCFA/action versés en avril 2026 au titre de l'exercice 2025). Le PER de 18,5x se situe nettement au-dessus de la moyenne BRVM (~8-12x), traduisant une prime de qualité et de leadership sectoriel, mais aussi une certaine cherté relative. Le P/B de 2,82x indique que le marché valorise la banque à près de trois fois ses fonds propres comptables (126,5 Mds FCFA), une prime de croissance cohérente avec un ROE de 15,2%. Enfin, l'EV/EBITDA de 8,2x, dans la fourchette raisonnable de 5-10x, suggère que la valeur d'entreprise reste proportionnée à la capacité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BOABF a enregistré une progression spectaculaire de **+48,35%**, avec une dernière séance en hausse de +1,89%, portant le cours à 8 100 FCFA. Le titre a évolué dans un range très large, entre un plus bas de 5 300 FCFA et un plus haut de 9 090 FCFA, soit un écart de près de 72% entre les deux extrêmes — signe d'une tendance nettement haussière mais ponctuée de corrections marquées. La moyenne (6 730 FCFA) est légèrement inférieure à la médiane (6 862 FCFA), ce qui révèle une asymétrie positive modérée : les cours récents, plus élevés, tirent la moyenne vers le haut mais restent contrebalancés par une longue période de consolidation basse. L'écart-type de 1 239 FCFA (CV = 18,4%) traduit une dispersion modérée à élevée du cours, tandis que le kurtosis négatif (-1,067, distribution platykurtique) indique une distribution aplatie avec peu de pics extrêmes — le risque de mouvements brutaux isolés est donc limité. Le skewness de 0,498 confirme une légère asymétrie positive (queue à droite), cohérente avec la dynamique haussière récente. La volatilité annualisée de 35,3% classe le titre dans la catégorie **élevée** (&gt;30%), ce qui est typique des valeurs bancaires africaines en phase de rattrapage.</w:t>
      </w:r>
    </w:p>
    <w:p>
      <w:pPr>
        <w:spacing w:after="120" w:line="276" w:lineRule="auto"/>
      </w:pPr>
      <w:r>
        <w:t>---</w:t>
      </w:r>
    </w:p>
    <w:p>
      <w:pPr>
        <w:spacing w:after="120" w:line="276" w:lineRule="auto"/>
      </w:pPr>
      <w:r>
        <w:t>## PARTIE 2 : ANALYSE TECHNIQUE DÉTAILLÉE</w:t>
      </w:r>
    </w:p>
    <w:p>
      <w:pPr>
        <w:spacing w:after="120" w:line="276" w:lineRule="auto"/>
      </w:pPr>
      <w:r>
        <w:t>**Moyennes Mobiles** : La MM20 (8 462,25 FCFA) et la MM50 (7 822,80 FCFA) encadrent le cours actuel (8 100 FCFA), qui se situe sous la MM20 mais au-dessus de la MM50. Cette configuration indique un essoufflement de court terme au sein d'une tendance de fond toujours haussière (MM20 &gt; MM50). La décision technique affichée est **Achat**, cohérente avec la structure haussière des moyennes.</w:t>
      </w:r>
    </w:p>
    <w:p>
      <w:pPr>
        <w:spacing w:after="120" w:line="276" w:lineRule="auto"/>
      </w:pPr>
      <w:r>
        <w:t>**Bandes de Bollinger** : Le cours (8 100 FCFA) évolue dans la partie médiane de la bande, entre la borne inférieure (7 315 FCFA) et supérieure (9 609 FCFA). Cette position centrale, sans contact avec les extrêmes, traduit une phase de consolidation neutre. La décision **Neutre** reflète l'absence de signal directionnel fort.</w:t>
      </w:r>
    </w:p>
    <w:p>
      <w:pPr>
        <w:spacing w:after="120" w:line="276" w:lineRule="auto"/>
      </w:pPr>
      <w:r>
        <w:t>**MACD** : La valeur du MACD (-36,087) est nettement inférieure à son signal (111,075), générant un croisement baissier et un momentum négatif. Cette divergence signale un essoufflement de la dynamique haussière récente. La décision **Vente** invite à la prudence à court terme.</w:t>
      </w:r>
    </w:p>
    <w:p>
      <w:pPr>
        <w:spacing w:after="120" w:line="276" w:lineRule="auto"/>
      </w:pPr>
      <w:r>
        <w:t>**RSI** : À 33,264, le RSI se situe juste au-dessus du seuil de survente (30), indiquant que le titre n'est ni suracheté ni franchement survendu. La décision **Neutre** suggère un potentiel de rebond modéré sans signal d'achat franc.</w:t>
      </w:r>
    </w:p>
    <w:p>
      <w:pPr>
        <w:spacing w:after="120" w:line="276" w:lineRule="auto"/>
      </w:pPr>
      <w:r>
        <w:t>**Stochastique** : Le %K (43,887) est supérieur au %D (26,123), avec un croisement haussier en formation depuis la zone basse. Cette configuration préfigure un possible retournement à la hausse. La décision reste toutefois **Neutre**, le signal n'étant pas encore confirmé.</w:t>
      </w:r>
    </w:p>
    <w:p>
      <w:pPr>
        <w:spacing w:after="120" w:line="276" w:lineRule="auto"/>
      </w:pPr>
      <w:r>
        <w:t>**Conclusion technique** : Les indicateurs sont partagés — les moyennes mobiles plaident pour l'achat (tendance de fond haussière), tandis que le MACD signale une vente (momentum négatif) et que le RSI, les Bollinger et le stochastique restent neutres. Cette divergence traduit une phase de consolidation après la forte hausse de +48%, avec un potentiel de reprise si le stochastique confirme son croisement haussier.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BOABF a généré un Produit Net Bancaire (PNB) de 57,820 Mds FCFA, quasi stable par rapport à 2024 (+0,6%), pour un résultat net de 19,252 Mds FCFA, en recul de -14,1% (contre 22,419 Mds en 2024). Le ROE s'établit à 15,22% (excellent, &gt;15%) et le ROA à 1,68%, confirmant la rentabilité structurelle de la banque. Le coefficient d'exploitation de 47,19% (&lt;50%) atteste d'une **excellente efficacité opérationnelle**. Le coût du risque rapporté aux charges financières ressort à 33,92%, un niveau élevé qui traduit un portefeuille de crédits sous pression. Le ratio dépôts/crédits (877,8 Mds de dépôts clientèle contre 474,1 Mds de créances clientèle, soit 185%) montre une **sur-liquidité** — la banque collecte bien plus qu'elle ne prête, ce qui pèse sur la marge d'intérêt. Les créances interbancaires ont bondi (213,1 Mds vs 54,0 Mds en 2024), signe d'un placement massif de la liquidité excédentaire plutôt que d'un développement du crédit.</w:t>
      </w:r>
    </w:p>
    <w:p>
      <w:pPr>
        <w:spacing w:after="120" w:line="276" w:lineRule="auto"/>
      </w:pPr>
      <w:r>
        <w:t>**Évolution et estimations issues des rapports trimestriels** : Le rapport du **T1 2026 (31/03/2026)** révèle un PNB de 12,694 Mds FCFA, en repli de -10,75% sur un an, et un résultat net de 4,520 Mds (-12,99%) — le trimestre le plus faible des quatre documents analysés. En revanche, le rapport du **S1 2026 (30/06/2026)** montre un redressement spectaculaire du résultat net à 10,770 Mds FCFA (+31,0% vs S1 2025), porté par une amélioration de 65,2% du coût du risque (-2,396 Mds contre -6,876 Mds), malgré un PNB toujours en repli (-5,2% à 27,539 Mds). Le rapport du **T3 2025 (30/09/2025)** confirmait déjà la tendance : PNB quasi-stable (+0,85%) mais résultat net en chute de -27,69% sous l'effet du choc des provisions du S1 2025. **On estime donc que l'exercice 2026 devrait afficher un résultat net en nette amélioration** (grâce à la normalisation du coût du risque), mais avec un PNB toujours sous pression (-5% à -10%), la croissance commerciale restant atone. La dynamique des dépôts (+7,4% à 942,7 Mds au S1 2026) est un point positif, mais la stagnation des crédits (+1,3%) limite la transformation.</w:t>
      </w:r>
    </w:p>
    <w:p>
      <w:pPr>
        <w:spacing w:after="120" w:line="276" w:lineRule="auto"/>
      </w:pPr>
      <w:r>
        <w:t>**Recommandation fondamentale** : La solidité financière de BOABF reste avérée (ROE &gt;15%, coefficient d'exploitation &lt;50%, solvabilité générale de 112%), mais les perspectives de croissance sont limitées par la contraction du PNB et la faible dynamique du crédit. Le principal risque réside dans la persistance d'un coût du risque élevé et dans l'exposition au contexte sécuritaire burkinabè. Les rapports officiels recommandent unanimement de **CONSERVER** le titre.</w:t>
      </w:r>
    </w:p>
    <w:p>
      <w:pPr>
        <w:spacing w:after="120" w:line="276" w:lineRule="auto"/>
      </w:pPr>
      <w:r>
        <w:t>---</w:t>
      </w:r>
    </w:p>
    <w:p>
      <w:pPr>
        <w:spacing w:after="120" w:line="276" w:lineRule="auto"/>
      </w:pPr>
      <w:r>
        <w:t>## PARTIE 4 : CONCLUSION D'INVESTISSEMENT</w:t>
      </w:r>
    </w:p>
    <w:p>
      <w:pPr>
        <w:spacing w:after="120" w:line="276" w:lineRule="auto"/>
      </w:pPr>
      <w:r>
        <w:t>La valorisation de BOABF apparaît **légèrement tendue** : le PER de 18,5x (vs moyenne BRVM 8-12x) et le P/B de 2,82x intègrent déjà une prime de qualité, tandis que l'EV/EBITDA de 8,2x reste raisonnable. Le comportement du cours sur 100 jours est nettement haussier (+48,35%), mais la volatilité élevée (35,3%) et le kurtosis négatif (-1,067) suggèrent une distribution aplatie avec peu de pics extrêmes — un profil de risque modéré malgré la forte progression. Les signaux techniques sont **divergents** : les moyennes mobiles plaident pour l'achat (MM20 &gt; MM50, cours &gt; MM50), mais le MACD est baissier et le RSI/stochastique restent neutres, traduisant une consolidation en cours. Les fondamentaux sont **solides mais sans élan** : ROE de 15,2%, coefficient d'exploitation de 47,2%, mais PNB en repli (-5,2% au S1 2026) et résultat net dépendant de la normalisation du coût du risque. Les **prédictions IA** anticipent une légère érosion du cours (8 082 → 8 042 FCFA sur 10 jours), confirmant la phase de consolidation technique sans effondrement. **Synthèse globale** : la convergence entre une valorisation tendue, des signaux techniques mitigés, des fondamentaux solides mais sans croissance et des prédictions baissières modérées conduit à une recommandation de **CONSERVER**. Le niveau de confiance est **Moyen** (divergence technique/fondamental) et le risque global **Moyen** (volatilité élevée, exposition sécuritaire, mais rentabilité robuste). L'horizon optimal est le **moyen terme (3-12 mois)**, le temps que la normalisation du coût du risque se confirme et que la dynamique commerciale (crédits) redémarre.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463.80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10,916 titres</w:t>
            </w:r>
          </w:p>
        </w:tc>
        <w:tc>
          <w:tcPr>
            <w:tcW w:type="dxa" w:w="2268"/>
            <w:shd w:fill="FFF2CC" w:val="clear"/>
          </w:tcPr>
          <w:p>
            <w:r>
              <w:rPr>
                <w:b/>
                <w:color w:val="503200"/>
                <w:sz w:val="16"/>
              </w:rPr>
              <w:t xml:space="preserve">Cours actuel : </w:t>
            </w:r>
            <w:r>
              <w:rPr>
                <w:color w:val="000000"/>
                <w:sz w:val="17"/>
              </w:rPr>
              <w:t>11,595 FCFA</w:t>
            </w:r>
          </w:p>
          <w:p>
            <w:r>
              <w:rPr>
                <w:b/>
                <w:color w:val="503200"/>
                <w:sz w:val="16"/>
              </w:rPr>
              <w:t xml:space="preserve">Var. 100 jours : </w:t>
            </w:r>
            <w:r>
              <w:rPr>
                <w:b/>
                <w:color w:val="007800"/>
                <w:sz w:val="17"/>
              </w:rPr>
              <w:t>+31.09%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15.23% (Élevée) — μ=10,420 FCFA, σ=1,587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β=0.7477 (Défensif) — Cov=0.000051, Var(idx)=0.000068, ρ=0.348,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10,916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11,104</w:t>
            </w:r>
          </w:p>
        </w:tc>
        <w:tc>
          <w:tcPr>
            <w:tcW w:type="dxa" w:w="1440"/>
            <w:shd w:fill="FAFAFA" w:val="clear"/>
          </w:tcPr>
          <w:p>
            <w:r>
              <w:rPr>
                <w:b/>
                <w:sz w:val="17"/>
              </w:rPr>
              <w:t>11,488</w:t>
            </w:r>
          </w:p>
        </w:tc>
        <w:tc>
          <w:tcPr>
            <w:tcW w:type="dxa" w:w="1440"/>
            <w:shd w:fill="FAFAFA" w:val="clear"/>
          </w:tcPr>
          <w:p>
            <w:r>
              <w:rPr>
                <w:sz w:val="17"/>
              </w:rPr>
              <w:t>11,871</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10,930</w:t>
            </w:r>
          </w:p>
        </w:tc>
        <w:tc>
          <w:tcPr>
            <w:tcW w:type="dxa" w:w="1440"/>
            <w:shd w:fill="FAFAFA" w:val="clear"/>
          </w:tcPr>
          <w:p>
            <w:r>
              <w:rPr>
                <w:b/>
                <w:sz w:val="17"/>
              </w:rPr>
              <w:t>11,472</w:t>
            </w:r>
          </w:p>
        </w:tc>
        <w:tc>
          <w:tcPr>
            <w:tcW w:type="dxa" w:w="1440"/>
            <w:shd w:fill="FAFAFA" w:val="clear"/>
          </w:tcPr>
          <w:p>
            <w:r>
              <w:rPr>
                <w:sz w:val="17"/>
              </w:rPr>
              <w:t>12,014</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10,759</w:t>
            </w:r>
          </w:p>
        </w:tc>
        <w:tc>
          <w:tcPr>
            <w:tcW w:type="dxa" w:w="1440"/>
            <w:shd w:fill="FAFAFA" w:val="clear"/>
          </w:tcPr>
          <w:p>
            <w:r>
              <w:rPr>
                <w:b/>
                <w:sz w:val="17"/>
              </w:rPr>
              <w:t>11,420</w:t>
            </w:r>
          </w:p>
        </w:tc>
        <w:tc>
          <w:tcPr>
            <w:tcW w:type="dxa" w:w="1440"/>
            <w:shd w:fill="FAFAFA" w:val="clear"/>
          </w:tcPr>
          <w:p>
            <w:r>
              <w:rPr>
                <w:sz w:val="17"/>
              </w:rPr>
              <w:t>12,081</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10,606</w:t>
            </w:r>
          </w:p>
        </w:tc>
        <w:tc>
          <w:tcPr>
            <w:tcW w:type="dxa" w:w="1440"/>
            <w:shd w:fill="FAFAFA" w:val="clear"/>
          </w:tcPr>
          <w:p>
            <w:r>
              <w:rPr>
                <w:b/>
                <w:sz w:val="17"/>
              </w:rPr>
              <w:t>11,366</w:t>
            </w:r>
          </w:p>
        </w:tc>
        <w:tc>
          <w:tcPr>
            <w:tcW w:type="dxa" w:w="1440"/>
            <w:shd w:fill="FAFAFA" w:val="clear"/>
          </w:tcPr>
          <w:p>
            <w:r>
              <w:rPr>
                <w:sz w:val="17"/>
              </w:rPr>
              <w:t>12,125</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10,468</w:t>
            </w:r>
          </w:p>
        </w:tc>
        <w:tc>
          <w:tcPr>
            <w:tcW w:type="dxa" w:w="1440"/>
            <w:shd w:fill="FFDCE0" w:val="clear"/>
          </w:tcPr>
          <w:p>
            <w:r>
              <w:rPr>
                <w:b/>
                <w:sz w:val="17"/>
              </w:rPr>
              <w:t>11,313</w:t>
            </w:r>
          </w:p>
        </w:tc>
        <w:tc>
          <w:tcPr>
            <w:tcW w:type="dxa" w:w="1440"/>
            <w:shd w:fill="FFDCE0" w:val="clear"/>
          </w:tcPr>
          <w:p>
            <w:r>
              <w:rPr>
                <w:sz w:val="17"/>
              </w:rPr>
              <w:t>12,158</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10,341</w:t>
            </w:r>
          </w:p>
        </w:tc>
        <w:tc>
          <w:tcPr>
            <w:tcW w:type="dxa" w:w="1440"/>
            <w:shd w:fill="FFDCE0" w:val="clear"/>
          </w:tcPr>
          <w:p>
            <w:r>
              <w:rPr>
                <w:b/>
                <w:sz w:val="17"/>
              </w:rPr>
              <w:t>11,262</w:t>
            </w:r>
          </w:p>
        </w:tc>
        <w:tc>
          <w:tcPr>
            <w:tcW w:type="dxa" w:w="1440"/>
            <w:shd w:fill="FFDCE0" w:val="clear"/>
          </w:tcPr>
          <w:p>
            <w:r>
              <w:rPr>
                <w:sz w:val="17"/>
              </w:rPr>
              <w:t>12,184</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10,224</w:t>
            </w:r>
          </w:p>
        </w:tc>
        <w:tc>
          <w:tcPr>
            <w:tcW w:type="dxa" w:w="1440"/>
            <w:shd w:fill="FFDCE0" w:val="clear"/>
          </w:tcPr>
          <w:p>
            <w:r>
              <w:rPr>
                <w:b/>
                <w:sz w:val="17"/>
              </w:rPr>
              <w:t>11,215</w:t>
            </w:r>
          </w:p>
        </w:tc>
        <w:tc>
          <w:tcPr>
            <w:tcW w:type="dxa" w:w="1440"/>
            <w:shd w:fill="FFDCE0" w:val="clear"/>
          </w:tcPr>
          <w:p>
            <w:r>
              <w:rPr>
                <w:sz w:val="17"/>
              </w:rPr>
              <w:t>12,206</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10,114</w:t>
            </w:r>
          </w:p>
        </w:tc>
        <w:tc>
          <w:tcPr>
            <w:tcW w:type="dxa" w:w="1440"/>
            <w:shd w:fill="FFDCE0" w:val="clear"/>
          </w:tcPr>
          <w:p>
            <w:r>
              <w:rPr>
                <w:b/>
                <w:sz w:val="17"/>
              </w:rPr>
              <w:t>11,170</w:t>
            </w:r>
          </w:p>
        </w:tc>
        <w:tc>
          <w:tcPr>
            <w:tcW w:type="dxa" w:w="1440"/>
            <w:shd w:fill="FFDCE0" w:val="clear"/>
          </w:tcPr>
          <w:p>
            <w:r>
              <w:rPr>
                <w:sz w:val="17"/>
              </w:rPr>
              <w:t>12,225</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10,012</w:t>
            </w:r>
          </w:p>
        </w:tc>
        <w:tc>
          <w:tcPr>
            <w:tcW w:type="dxa" w:w="1440"/>
            <w:shd w:fill="FFDCE0" w:val="clear"/>
          </w:tcPr>
          <w:p>
            <w:r>
              <w:rPr>
                <w:b/>
                <w:sz w:val="17"/>
              </w:rPr>
              <w:t>11,127</w:t>
            </w:r>
          </w:p>
        </w:tc>
        <w:tc>
          <w:tcPr>
            <w:tcW w:type="dxa" w:w="1440"/>
            <w:shd w:fill="FFDCE0" w:val="clear"/>
          </w:tcPr>
          <w:p>
            <w:r>
              <w:rPr>
                <w:sz w:val="17"/>
              </w:rPr>
              <w:t>12,242</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9,916</w:t>
            </w:r>
          </w:p>
        </w:tc>
        <w:tc>
          <w:tcPr>
            <w:tcW w:type="dxa" w:w="1440"/>
            <w:shd w:fill="FFDCE0" w:val="clear"/>
          </w:tcPr>
          <w:p>
            <w:r>
              <w:rPr>
                <w:b/>
                <w:sz w:val="17"/>
              </w:rPr>
              <w:t>11,087</w:t>
            </w:r>
          </w:p>
        </w:tc>
        <w:tc>
          <w:tcPr>
            <w:tcW w:type="dxa" w:w="1440"/>
            <w:shd w:fill="FFDCE0" w:val="clear"/>
          </w:tcPr>
          <w:p>
            <w:r>
              <w:rPr>
                <w:sz w:val="17"/>
              </w:rPr>
              <w:t>12,258</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BOAC (BANK OF AFRICA CÔTE D'IVOIRE)**</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463,80 milliards FCFA, BOAC s'impose comme l'une des valeurs bancaires les plus capitalisées de la cote BRVM, ce qui témoigne de sa liquidité relative et de son poids dans l'indice sectoriel. Le BPA de 888 FCFA par action signifie que chaque titre génère près de neuf cents francs de bénéfice net, un niveau élevé qui traduit la forte rentabilité de la banque. Le PER de 13,1x se situe légèrement au-dessus de la moyenne BRVM (8-12x), ce qui indique que le marché consent une prime modérée pour cette valeur, sans exagération manifeste. Le P/B de 3,64x montre que le marché valorise la banque à plus de trois fois et demie sa valeur comptable, une prime de croissance justifiée par un ROE exceptionnel de 27,9%. En revanche, l'EV/EBITDA de 26,6x apparaît très exigeant (&gt;15x), signalant que la valeur d'entreprise intègre déjà une bonne partie des anticipations de croissance — un point de vigilance pour les investisseurs en quête de marge de sécurité.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BOAC affiche une performance remarquable de +31,09%, avec une dernière séance en hausse de +1,09%, confirmant une dynamique haussière soutenue. Le cours actuel de 11 595 FCFA se situe dans la partie médiane du range de trading, entre un plus bas de 8 585 FCFA et un plus haut de 13 450 FCFA, ce qui représente une amplitude de près de 57% — un signe de forte volatilité intra-période. La moyenne (10 420 FCFA) est supérieure à la médiane (9 732 FCFA), ce qui révèle une distribution légèrement asymétrique à droite : les cours élevés de la fin de période tirent la moyenne vers le haut, confirmant la tendance haussière récente. L'écart-type de 1 595 FCFA avec un coefficient de variation de 15,3% indique une dispersion modérée du cours autour de sa moyenne, tandis que le kurtosis de -1,404 (distribution platykurtique) suggère une faible concentration des valeurs extrêmes — le risque de pics brutaux est donc limité. Le skewness de 0,440, proche de la symétrie, indique une légère prédominance des rendements positifs. Enfin, la volatilité annualisée de 27,9% classe le titre dans la catégorie des valeurs à volatilité modérée (15-30%), ce qui reste acceptable pour une action bancaire de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(12 099,75 FCFA) et la MM50 (11 812,5 FCFA) se situent toutes deux au-dessus du cours actuel (11 595 FCFA), ce qui place le titre en position de faiblesse relative à court terme. Cependant, la MM20 reste supérieure à la MM50, conservant une configuration haussière de fond. La décision technique affichée est "Achat", suggérant que le repli actuel pourrait constituer une opportunité d'entrée dans la tendance haussière.</w:t>
      </w:r>
    </w:p>
    <w:p>
      <w:pPr>
        <w:spacing w:after="120" w:line="276" w:lineRule="auto"/>
      </w:pPr>
      <w:r>
        <w:t>**Bandes de Bollinger** : Le cours actuel (11 595 FCFA) se situe dans la partie basse de la bande, entre la borne inférieure (11 115,28 FCFA) et la borne supérieure (13 084,22 FCFA). Cette position proche du support inférieur indique une pression vendeuse récente, mais la décision "Neutre" suggère que le titre n'est ni en surachat ni en survente, offrant un potentiel de rebond vers la borne médiane.</w:t>
      </w:r>
    </w:p>
    <w:p>
      <w:pPr>
        <w:spacing w:after="120" w:line="276" w:lineRule="auto"/>
      </w:pPr>
      <w:r>
        <w:t>**MACD** : La valeur du MACD (-177,18) est nettement inférieure à son signal (-22,85), générant un histogramme négatif et une décision "Vente". Cette divergence baissière indique un momentum négatif à court terme, bien que l'ampleur de l'écart puisse signaler une possible exhaustion de la baisse et un retournement imminent.</w:t>
      </w:r>
    </w:p>
    <w:p>
      <w:pPr>
        <w:spacing w:after="120" w:line="276" w:lineRule="auto"/>
      </w:pPr>
      <w:r>
        <w:t>**RSI** : À 32,0, le RSI se situe juste au-dessus du seuil de survente (30), avec une décision "Neutre". Ce niveau indique que le titre n'est pas encore techniquement survendu, mais qu'il s'approche d'une zone où les acheteurs pourraient revenir, offrant un potentiel de rebond.</w:t>
      </w:r>
    </w:p>
    <w:p>
      <w:pPr>
        <w:spacing w:after="120" w:line="276" w:lineRule="auto"/>
      </w:pPr>
      <w:r>
        <w:t>**Stochastique** : Le %K (46,77) est supérieur au %D (28,73), avec une décision "Neutre". Ce croisement haussier naissant suggère que la pression baissière s'essouffle et qu'un retournement à la hausse pourrait se matérialiser si le %K continue de progresser.</w:t>
      </w:r>
    </w:p>
    <w:p>
      <w:pPr>
        <w:spacing w:after="120" w:line="276" w:lineRule="auto"/>
      </w:pPr>
      <w:r>
        <w:t>**Conclusion technique** : Les indicateurs techniques présentent un tableau mitigé. Les moyennes mobiles restent haussières de fond mais le cours évolue en dessous, le MACD est baissier, tandis que le RSI et le stochastique suggèrent un possible retournement. La convergence de ces signaux pointe vers une phase de consolidation, avec un potentiel de rebond à moyen terme si le support de 11 115 FCFA tient. La décision globale est "Neutre à Achat" selon les indicateurs, avec une vigilance sur le MACD.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BOAC affiche un Produit Net Bancaire (PNB) de 73 545 millions FCFA, en légère hausse de +1,1% par rapport à 2024 (72 724 millions), selon le rapport des commissaires aux comptes du 31 décembre 2025. Le résultat net s'établit à 35 540 millions FCFA, en progression de +10,9% sur un an, porté par l'amélioration du coût du risque (-27,8%, à -4 902 millions). Le ROE atteint 27,91% — un niveau exceptionnel (&gt;15% = excellent) — et le ROA ressort à 3,22%, confirmant la forte rentabilité des actifs. Le coefficient d'exploitation de 36,70% (&lt;60%) témoigne d'une excellente efficacité opérationnelle. La marge nette de 48,32% illustre la capacité de la banque à transformer son PNB en bénéfice. Le ratio dépôts/crédits s'élève à 850 548/430 433 = 197,6%, indiquant une surliquidité structurelle : la banque collecte près de deux fois plus de dépôts qu'elle n'accorde de crédits, ce qui limite le risque de liquidité mais pèse sur la marge d'intérêt. Le coût du risque/charges financières de 6,67% reste modéré, bien que les créances en souffrance aient bondi de +52,1% sur l'année — un point de vigilance.</w:t>
      </w:r>
    </w:p>
    <w:p>
      <w:pPr>
        <w:spacing w:after="120" w:line="276" w:lineRule="auto"/>
      </w:pPr>
      <w:r>
        <w:t>**Estimations basées sur les rapports trimestriels** : Le rapport du T1 2026 (publié le 31 mars 2026) indique un PNB de 18 960 millions FCFA (+3,09% sur un an) et un résultat net de 10 801 millions (+0,91%), mais avec un coût net du risque en explosion (+314,75%, à -652 millions). Le rapport du T3 2025 (30 septembre 2025) faisait état d'un PNB cumulé de 53 494 millions (+0,23%) et d'un résultat net de 26 632 millions (+1,29%). Sur la base de ces tendances, on estime que l'exercice 2026 devrait enregistrer une croissance modérée du PNB (autour de +2-3%) et un résultat net stable à légèrement croissant, sous réserve que la dégradation du coût du risque au T1 2026 ne se confirme pas sur les trimestres suivants. La politique de dividende, avec 684 FCFA par action distribués au titre de 2024 (taux de distribution ~65%), offre un rendement attractif de 5,9% au cours actuel.</w:t>
      </w:r>
    </w:p>
    <w:p>
      <w:pPr>
        <w:spacing w:after="120" w:line="276" w:lineRule="auto"/>
      </w:pPr>
      <w:r>
        <w:t>**Recommandation fondamentale** : La solidité financière de BOAC est incontestable (ROE 27,9%, coefficient d'exploitation 36,7%, solvabilité 113%), mais les perspectives de croissance à court terme sont limitées par la stagnation du PNB et la montée des créances en souffrance. La recommandation fondamentale est **CONSERVER**, avec un biais positif à moyen terme si la banque parvient à redynamiser sa croissance et à maîtriser son coût du risque.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BOAC (Partie 0) présente un profil contrasté : le PER de 13,1x et le P/B de 3,64x intègrent déjà une prime de qualité, tandis que l'EV/EBITDA de 26,6x apparaît très exigeant, limitant la marge de sécurité. Le comportement du cours (Partie 1) est globalement favorable (+31,09% sur 100 jours), avec une volatilité modérée (27,9%) et une distribution platykurtique qui réduit le risque de pics extrêmes, bien que la moyenne supérieure à la médiane signale une asymétrie positive. Les signaux techniques (Partie 2) sont mitigés : les moyennes mobiles restent haussières de fond mais le MACD est baissier, tandis que le RSI (32) et le stochastique suggèrent un possible retournement à la hausse — une divergence qui plaide pour une phase de consolidation. Les fondamentaux (Partie 3) demeurent solides (ROE 27,9%, résultat net +10,9% en 2025), mais les perspectives 2026 sont assombries par la dégradation du coût du risque au T1 2026 (+314,75%) et la stagnation du PNB. Les prédictions IA (J+1 à J+10) anticipent une légère baisse vers 11 313 FCFA d'ici le 2 octobre 2026, ce qui contredit la dynamique haussière récente mais s'aligne sur le momentum baissier du MACD. **Synthèse globale** : La convergence entre la valorisation exigeante, les signaux techniques mitigés, les fondamentaux solides mais sans catalyseur de croissance à court terme, et les prédictions baissières à 10 jours conduit à une recommandation de **CONSERVER**. Le niveau de confiance est **Moyen**, car les indicateurs sont divergents (fondamentaux solides vs technique baissier). Le risque global est **Moyen**, compte tenu de la volatilité modérée et de la qualité du bilan. L'horizon d'investissement optimal est **moyen terme (3-12 mois)**, en attendant que la banque démontre sa capacité à relancer sa croissance et à maîtriser son coût du risque.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172.66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6,469 titres</w:t>
            </w:r>
          </w:p>
        </w:tc>
        <w:tc>
          <w:tcPr>
            <w:tcW w:type="dxa" w:w="2268"/>
            <w:shd w:fill="FFF2CC" w:val="clear"/>
          </w:tcPr>
          <w:p>
            <w:r>
              <w:rPr>
                <w:b/>
                <w:color w:val="503200"/>
                <w:sz w:val="16"/>
              </w:rPr>
              <w:t xml:space="preserve">Cours actuel : </w:t>
            </w:r>
            <w:r>
              <w:rPr>
                <w:color w:val="000000"/>
                <w:sz w:val="17"/>
              </w:rPr>
              <w:t>6,290 FCFA</w:t>
            </w:r>
          </w:p>
          <w:p>
            <w:r>
              <w:rPr>
                <w:b/>
                <w:color w:val="503200"/>
                <w:sz w:val="16"/>
              </w:rPr>
              <w:t xml:space="preserve">Var. 100 jours : </w:t>
            </w:r>
            <w:r>
              <w:rPr>
                <w:b/>
                <w:color w:val="007800"/>
                <w:sz w:val="17"/>
              </w:rPr>
              <w:t>+33.83%</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42.8%</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14.30% (Moyenne) — μ=5,531 FCFA, σ=791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β=1.3353 (Agressif) — Cov=0.000090, Var(idx)=0.000068, ρ=0.418,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2026-09-28</w:t>
            </w:r>
          </w:p>
        </w:tc>
        <w:tc>
          <w:tcPr>
            <w:tcW w:type="dxa" w:w="1440"/>
            <w:shd w:fill="C6EFCE" w:val="clear"/>
          </w:tcPr>
          <w:p>
            <w:r>
              <w:rPr>
                <w:sz w:val="17"/>
              </w:rPr>
              <w:t>6,111</w:t>
            </w:r>
          </w:p>
        </w:tc>
        <w:tc>
          <w:tcPr>
            <w:tcW w:type="dxa" w:w="1440"/>
            <w:shd w:fill="C6EFCE" w:val="clear"/>
          </w:tcPr>
          <w:p>
            <w:r>
              <w:rPr>
                <w:b/>
                <w:sz w:val="17"/>
              </w:rPr>
              <w:t>6,475</w:t>
            </w:r>
          </w:p>
        </w:tc>
        <w:tc>
          <w:tcPr>
            <w:tcW w:type="dxa" w:w="1440"/>
            <w:shd w:fill="C6EFCE" w:val="clear"/>
          </w:tcPr>
          <w:p>
            <w:r>
              <w:rPr>
                <w:sz w:val="17"/>
              </w:rPr>
              <w:t>6,839</w:t>
            </w:r>
          </w:p>
        </w:tc>
        <w:tc>
          <w:tcPr>
            <w:tcW w:type="dxa" w:w="1440"/>
            <w:shd w:fill="C6EFCE" w:val="clear"/>
          </w:tcPr>
          <w:p>
            <w:r>
              <w:rPr>
                <w:b/>
                <w:color w:val="008000"/>
                <w:sz w:val="17"/>
              </w:rPr>
              <w:t>+2.9%</w:t>
            </w:r>
          </w:p>
        </w:tc>
      </w:tr>
      <w:tr>
        <w:tc>
          <w:tcPr>
            <w:tcW w:type="dxa" w:w="1440"/>
            <w:shd w:fill="C6EFCE" w:val="clear"/>
          </w:tcPr>
          <w:p>
            <w:r>
              <w:rPr>
                <w:sz w:val="17"/>
              </w:rPr>
              <w:t>J+2  Moyenne</w:t>
            </w:r>
          </w:p>
        </w:tc>
        <w:tc>
          <w:tcPr>
            <w:tcW w:type="dxa" w:w="1440"/>
            <w:shd w:fill="C6EFCE" w:val="clear"/>
          </w:tcPr>
          <w:p>
            <w:r>
              <w:rPr>
                <w:sz w:val="17"/>
              </w:rPr>
              <w:t>2026-09-29</w:t>
            </w:r>
          </w:p>
        </w:tc>
        <w:tc>
          <w:tcPr>
            <w:tcW w:type="dxa" w:w="1440"/>
            <w:shd w:fill="C6EFCE" w:val="clear"/>
          </w:tcPr>
          <w:p>
            <w:r>
              <w:rPr>
                <w:sz w:val="17"/>
              </w:rPr>
              <w:t>6,018</w:t>
            </w:r>
          </w:p>
        </w:tc>
        <w:tc>
          <w:tcPr>
            <w:tcW w:type="dxa" w:w="1440"/>
            <w:shd w:fill="C6EFCE" w:val="clear"/>
          </w:tcPr>
          <w:p>
            <w:r>
              <w:rPr>
                <w:b/>
                <w:sz w:val="17"/>
              </w:rPr>
              <w:t>6,538</w:t>
            </w:r>
          </w:p>
        </w:tc>
        <w:tc>
          <w:tcPr>
            <w:tcW w:type="dxa" w:w="1440"/>
            <w:shd w:fill="C6EFCE" w:val="clear"/>
          </w:tcPr>
          <w:p>
            <w:r>
              <w:rPr>
                <w:sz w:val="17"/>
              </w:rPr>
              <w:t>7,058</w:t>
            </w:r>
          </w:p>
        </w:tc>
        <w:tc>
          <w:tcPr>
            <w:tcW w:type="dxa" w:w="1440"/>
            <w:shd w:fill="C6EFCE" w:val="clear"/>
          </w:tcPr>
          <w:p>
            <w:r>
              <w:rPr>
                <w:b/>
                <w:color w:val="008000"/>
                <w:sz w:val="17"/>
              </w:rPr>
              <w:t>+3.9%</w:t>
            </w:r>
          </w:p>
        </w:tc>
      </w:tr>
      <w:tr>
        <w:tc>
          <w:tcPr>
            <w:tcW w:type="dxa" w:w="1440"/>
            <w:shd w:fill="C6EFCE" w:val="clear"/>
          </w:tcPr>
          <w:p>
            <w:r>
              <w:rPr>
                <w:sz w:val="17"/>
              </w:rPr>
              <w:t>J+3  Moyenne</w:t>
            </w:r>
          </w:p>
        </w:tc>
        <w:tc>
          <w:tcPr>
            <w:tcW w:type="dxa" w:w="1440"/>
            <w:shd w:fill="C6EFCE" w:val="clear"/>
          </w:tcPr>
          <w:p>
            <w:r>
              <w:rPr>
                <w:sz w:val="17"/>
              </w:rPr>
              <w:t>2026-09-30</w:t>
            </w:r>
          </w:p>
        </w:tc>
        <w:tc>
          <w:tcPr>
            <w:tcW w:type="dxa" w:w="1440"/>
            <w:shd w:fill="C6EFCE" w:val="clear"/>
          </w:tcPr>
          <w:p>
            <w:r>
              <w:rPr>
                <w:sz w:val="17"/>
              </w:rPr>
              <w:t>5,930</w:t>
            </w:r>
          </w:p>
        </w:tc>
        <w:tc>
          <w:tcPr>
            <w:tcW w:type="dxa" w:w="1440"/>
            <w:shd w:fill="C6EFCE" w:val="clear"/>
          </w:tcPr>
          <w:p>
            <w:r>
              <w:rPr>
                <w:b/>
                <w:sz w:val="17"/>
              </w:rPr>
              <w:t>6,569</w:t>
            </w:r>
          </w:p>
        </w:tc>
        <w:tc>
          <w:tcPr>
            <w:tcW w:type="dxa" w:w="1440"/>
            <w:shd w:fill="C6EFCE" w:val="clear"/>
          </w:tcPr>
          <w:p>
            <w:r>
              <w:rPr>
                <w:sz w:val="17"/>
              </w:rPr>
              <w:t>7,209</w:t>
            </w:r>
          </w:p>
        </w:tc>
        <w:tc>
          <w:tcPr>
            <w:tcW w:type="dxa" w:w="1440"/>
            <w:shd w:fill="C6EFCE" w:val="clear"/>
          </w:tcPr>
          <w:p>
            <w:r>
              <w:rPr>
                <w:b/>
                <w:color w:val="008000"/>
                <w:sz w:val="17"/>
              </w:rPr>
              <w:t>+4.4%</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5,862</w:t>
            </w:r>
          </w:p>
        </w:tc>
        <w:tc>
          <w:tcPr>
            <w:tcW w:type="dxa" w:w="1440"/>
            <w:shd w:fill="C6EFCE" w:val="clear"/>
          </w:tcPr>
          <w:p>
            <w:r>
              <w:rPr>
                <w:b/>
                <w:sz w:val="17"/>
              </w:rPr>
              <w:t>6,605</w:t>
            </w:r>
          </w:p>
        </w:tc>
        <w:tc>
          <w:tcPr>
            <w:tcW w:type="dxa" w:w="1440"/>
            <w:shd w:fill="C6EFCE" w:val="clear"/>
          </w:tcPr>
          <w:p>
            <w:r>
              <w:rPr>
                <w:sz w:val="17"/>
              </w:rPr>
              <w:t>7,347</w:t>
            </w:r>
          </w:p>
        </w:tc>
        <w:tc>
          <w:tcPr>
            <w:tcW w:type="dxa" w:w="1440"/>
            <w:shd w:fill="C6EFCE" w:val="clear"/>
          </w:tcPr>
          <w:p>
            <w:r>
              <w:rPr>
                <w:b/>
                <w:color w:val="008000"/>
                <w:sz w:val="17"/>
              </w:rPr>
              <w:t>+5.0%</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5,811</w:t>
            </w:r>
          </w:p>
        </w:tc>
        <w:tc>
          <w:tcPr>
            <w:tcW w:type="dxa" w:w="1440"/>
            <w:shd w:fill="C6EFCE" w:val="clear"/>
          </w:tcPr>
          <w:p>
            <w:r>
              <w:rPr>
                <w:b/>
                <w:sz w:val="17"/>
              </w:rPr>
              <w:t>6,647</w:t>
            </w:r>
          </w:p>
        </w:tc>
        <w:tc>
          <w:tcPr>
            <w:tcW w:type="dxa" w:w="1440"/>
            <w:shd w:fill="C6EFCE" w:val="clear"/>
          </w:tcPr>
          <w:p>
            <w:r>
              <w:rPr>
                <w:sz w:val="17"/>
              </w:rPr>
              <w:t>7,483</w:t>
            </w:r>
          </w:p>
        </w:tc>
        <w:tc>
          <w:tcPr>
            <w:tcW w:type="dxa" w:w="1440"/>
            <w:shd w:fill="C6EFCE" w:val="clear"/>
          </w:tcPr>
          <w:p>
            <w:r>
              <w:rPr>
                <w:b/>
                <w:color w:val="008000"/>
                <w:sz w:val="17"/>
              </w:rPr>
              <w:t>+5.7%</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5,771</w:t>
            </w:r>
          </w:p>
        </w:tc>
        <w:tc>
          <w:tcPr>
            <w:tcW w:type="dxa" w:w="1440"/>
            <w:shd w:fill="C6EFCE" w:val="clear"/>
          </w:tcPr>
          <w:p>
            <w:r>
              <w:rPr>
                <w:b/>
                <w:sz w:val="17"/>
              </w:rPr>
              <w:t>6,693</w:t>
            </w:r>
          </w:p>
        </w:tc>
        <w:tc>
          <w:tcPr>
            <w:tcW w:type="dxa" w:w="1440"/>
            <w:shd w:fill="C6EFCE" w:val="clear"/>
          </w:tcPr>
          <w:p>
            <w:r>
              <w:rPr>
                <w:sz w:val="17"/>
              </w:rPr>
              <w:t>7,614</w:t>
            </w:r>
          </w:p>
        </w:tc>
        <w:tc>
          <w:tcPr>
            <w:tcW w:type="dxa" w:w="1440"/>
            <w:shd w:fill="C6EFCE" w:val="clear"/>
          </w:tcPr>
          <w:p>
            <w:r>
              <w:rPr>
                <w:b/>
                <w:color w:val="008000"/>
                <w:sz w:val="17"/>
              </w:rPr>
              <w:t>+6.4%</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5,735</w:t>
            </w:r>
          </w:p>
        </w:tc>
        <w:tc>
          <w:tcPr>
            <w:tcW w:type="dxa" w:w="1440"/>
            <w:shd w:fill="C6EFCE" w:val="clear"/>
          </w:tcPr>
          <w:p>
            <w:r>
              <w:rPr>
                <w:b/>
                <w:sz w:val="17"/>
              </w:rPr>
              <w:t>6,738</w:t>
            </w:r>
          </w:p>
        </w:tc>
        <w:tc>
          <w:tcPr>
            <w:tcW w:type="dxa" w:w="1440"/>
            <w:shd w:fill="C6EFCE" w:val="clear"/>
          </w:tcPr>
          <w:p>
            <w:r>
              <w:rPr>
                <w:sz w:val="17"/>
              </w:rPr>
              <w:t>7,740</w:t>
            </w:r>
          </w:p>
        </w:tc>
        <w:tc>
          <w:tcPr>
            <w:tcW w:type="dxa" w:w="1440"/>
            <w:shd w:fill="C6EFCE" w:val="clear"/>
          </w:tcPr>
          <w:p>
            <w:r>
              <w:rPr>
                <w:b/>
                <w:color w:val="008000"/>
                <w:sz w:val="17"/>
              </w:rPr>
              <w:t>+7.1%</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5,702</w:t>
            </w:r>
          </w:p>
        </w:tc>
        <w:tc>
          <w:tcPr>
            <w:tcW w:type="dxa" w:w="1440"/>
            <w:shd w:fill="C6EFCE" w:val="clear"/>
          </w:tcPr>
          <w:p>
            <w:r>
              <w:rPr>
                <w:b/>
                <w:sz w:val="17"/>
              </w:rPr>
              <w:t>6,781</w:t>
            </w:r>
          </w:p>
        </w:tc>
        <w:tc>
          <w:tcPr>
            <w:tcW w:type="dxa" w:w="1440"/>
            <w:shd w:fill="C6EFCE" w:val="clear"/>
          </w:tcPr>
          <w:p>
            <w:r>
              <w:rPr>
                <w:sz w:val="17"/>
              </w:rPr>
              <w:t>7,859</w:t>
            </w:r>
          </w:p>
        </w:tc>
        <w:tc>
          <w:tcPr>
            <w:tcW w:type="dxa" w:w="1440"/>
            <w:shd w:fill="C6EFCE" w:val="clear"/>
          </w:tcPr>
          <w:p>
            <w:r>
              <w:rPr>
                <w:b/>
                <w:color w:val="008000"/>
                <w:sz w:val="17"/>
              </w:rPr>
              <w:t>+7.8%</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5,671</w:t>
            </w:r>
          </w:p>
        </w:tc>
        <w:tc>
          <w:tcPr>
            <w:tcW w:type="dxa" w:w="1440"/>
            <w:shd w:fill="C6EFCE" w:val="clear"/>
          </w:tcPr>
          <w:p>
            <w:r>
              <w:rPr>
                <w:b/>
                <w:sz w:val="17"/>
              </w:rPr>
              <w:t>6,821</w:t>
            </w:r>
          </w:p>
        </w:tc>
        <w:tc>
          <w:tcPr>
            <w:tcW w:type="dxa" w:w="1440"/>
            <w:shd w:fill="C6EFCE" w:val="clear"/>
          </w:tcPr>
          <w:p>
            <w:r>
              <w:rPr>
                <w:sz w:val="17"/>
              </w:rPr>
              <w:t>7,972</w:t>
            </w:r>
          </w:p>
        </w:tc>
        <w:tc>
          <w:tcPr>
            <w:tcW w:type="dxa" w:w="1440"/>
            <w:shd w:fill="C6EFCE" w:val="clear"/>
          </w:tcPr>
          <w:p>
            <w:r>
              <w:rPr>
                <w:b/>
                <w:color w:val="008000"/>
                <w:sz w:val="17"/>
              </w:rPr>
              <w:t>+8.4%</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5,640</w:t>
            </w:r>
          </w:p>
        </w:tc>
        <w:tc>
          <w:tcPr>
            <w:tcW w:type="dxa" w:w="1440"/>
            <w:shd w:fill="C6EFCE" w:val="clear"/>
          </w:tcPr>
          <w:p>
            <w:r>
              <w:rPr>
                <w:b/>
                <w:sz w:val="17"/>
              </w:rPr>
              <w:t>6,860</w:t>
            </w:r>
          </w:p>
        </w:tc>
        <w:tc>
          <w:tcPr>
            <w:tcW w:type="dxa" w:w="1440"/>
            <w:shd w:fill="C6EFCE" w:val="clear"/>
          </w:tcPr>
          <w:p>
            <w:r>
              <w:rPr>
                <w:sz w:val="17"/>
              </w:rPr>
              <w:t>8,079</w:t>
            </w:r>
          </w:p>
        </w:tc>
        <w:tc>
          <w:tcPr>
            <w:tcW w:type="dxa" w:w="1440"/>
            <w:shd w:fill="C6EFCE" w:val="clear"/>
          </w:tcPr>
          <w:p>
            <w:r>
              <w:rPr>
                <w:b/>
                <w:color w:val="008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172,66 milliards FCFA, BOA Mali se positionne comme une valeur bancaire de premier plan sur la BRVM, représentant un poids significatif dans l'indice sectoriel bancaire de la place. Le BPA de 404 FCFA/action signifie que chaque titre génère près de 404 FCFA de bénéfice net, un niveau qui traduit la capacité bénéficiaire réelle de la banque. Le PER de 15,6x indique que les investisseurs paient environ 15,6 fois les bénéfices annuels, ce qui est supérieur à la moyenne BRVM (8-12x) mais se justifie par la qualité de la rentabilité (ROE &gt;22%) et la résilience démontrée dans un contexte malien difficile. Le P/B de 3,47x traduit une prime de croissance significative accordée par le marché, le titre se négociant à plus de trois fois sa valeur comptable, ce qui reflète la confiance des investisseurs dans la capacité de la banque à générer des profits durables. Enfin, l'EV/EBITDA de 8,1x situe la valeur totale de l'entreprise (dette incluse) à un niveau raisonnable par rapport à sa capacité opérationnelle, confirmant une valorisation globalement équilibrée malgré la prime sur les fonds propres.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BOAM affiche une performance remarquable de +33,83%, avec une dernière séance en forte hausse de +6,97%, portant le cours actuel à 6 290 FCFA. Le range de trading est particulièrement large, oscillant entre un plus bas de 4 425 FCFA et un plus haut de 7 195 FCFA, soit une amplitude de plus de 62%, ce qui témoigne d'une dynamique haussière puissante mais aussi de mouvements erratiques. La tendance générale est clairement haussière, le cours actuel se situant au-dessus de la moyenne (5 531 FCFA) et de la médiane (5 588 FCFA), bien qu'en retrait par rapport au plus haut de 7 195 FCFA. Les statistiques descriptives révèlent une distribution quasi-symétrique (skewness de 0,427) avec une moyenne et une médiane très proches (5 531 vs 5 588 FCFA), indiquant l'absence de biais directionnel marqué sur la période. L'écart-type de 795 FCFA (CV de 14,4%) traduit une dispersion modérée du cours autour de sa moyenne, tandis que le kurtosis de -0,991 (mésokurtique) suggère une distribution proche de la normale, sans risque excessif de pics extrêmes. La volatilité annualisée de 42,8% classe le titre dans la catégorie des valeurs à volatilité élevée (&gt;30%), ce qui est cohérent avec les valeurs bancaires de la BRVM et implique un risque de marché significatif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6 594,25 FCFA et la MM50 à 6 193,30 FCFA, toutes deux supérieures au cours actuel de 6 290 FCFA. Cette configuration — cours sous les deux moyennes — signale une pression baissière de court terme, mais la décision technique reste "Achat" car la MM20 est au-dessus de la MM50, confirmant la tendance haussière de fond. Le croisement haussier des moyennes (MM20 &gt; MM50) est un signal positif qui suggère que la correction actuelle pourrait être un point d'entrée.</w:t>
      </w:r>
    </w:p>
    <w:p>
      <w:pPr>
        <w:spacing w:after="120" w:line="276" w:lineRule="auto"/>
      </w:pPr>
      <w:r>
        <w:t>**Bandes de Bollinger** : La borne supérieure se situe à 7 539,08 FCFA et la borne inférieure à 5 649,42 FCFA, avec un cours actuel de 6 290 FCFA positionné dans la partie basse du canal. Cette position indique que le titre a corrigé depuis les sommets récents et se rapproche de la zone de support, la décision "Neutre" reflétant l'absence de signal directionnel fort. La largeur des bandes (1 889,66 FCFA) confirme une volatilité élevée, cohérente avec l'écart-type observé.</w:t>
      </w:r>
    </w:p>
    <w:p>
      <w:pPr>
        <w:spacing w:after="120" w:line="276" w:lineRule="auto"/>
      </w:pPr>
      <w:r>
        <w:t>**MACD** : La valeur du MACD est de -48,023 contre un signal à 100,697, générant une divergence baissière marquée (MACD &lt; Signal). Cette configuration indique un momentum négatif de court terme, le MACD étant passé en territoire négatif, ce qui justifie la décision "Vente". Toutefois, l'ampleur de la divergence suggère que la pression baissière pourrait s'atténuer prochainement si le cours se stabilise.</w:t>
      </w:r>
    </w:p>
    <w:p>
      <w:pPr>
        <w:spacing w:after="120" w:line="276" w:lineRule="auto"/>
      </w:pPr>
      <w:r>
        <w:t>**RSI** : À 39,895, le RSI se situe dans la zone neutre basse (30-70), sans atteindre la zone de survente (&lt;30). La décision "Neutre" reflète l'absence de signal extrême, mais la proximité de la zone de survente indique que le titre pourrait devenir attractif si la correction se poursuit. Un RSI sous 40 dans une tendance haussière est souvent interprété comme une opportunité d'achat contrarien.</w:t>
      </w:r>
    </w:p>
    <w:p>
      <w:pPr>
        <w:spacing w:after="120" w:line="276" w:lineRule="auto"/>
      </w:pPr>
      <w:r>
        <w:t>**Stochastique** : Le %K est à 47,536 et le %D à 23,768, avec un %K nettement supérieur au %D. Cette configuration suggère un croisement haussier imminent ou en cours, le %K rebondissant depuis des niveaux bas. La décision "Neutre" est cohérente avec l'absence de signal fort, mais le croisement des lignes constitue un signal d'achat potentiel à surveiller.</w:t>
      </w:r>
    </w:p>
    <w:p>
      <w:pPr>
        <w:spacing w:after="120" w:line="276" w:lineRule="auto"/>
      </w:pPr>
      <w:r>
        <w:t>**Conclusion technique** : Les indicateurs techniques présentent un tableau mitigé. Les moyennes mobiles restent haussières (MM20 &gt; MM50) et le stochastique suggère un rebond potentiel, mais le MACD est baissier et le cours évolue sous ses moyennes. Le RSI neutre et les Bandes de Bollinger en zone basse indiquent que le titre se trouve dans une phase de consolidation après une forte hausse. La convergence des signaux vers un "Achat" (MM) et "Vente" (MACD) traduit une indécision qui pourrait se résoudre par une reprise haussière si le support de 5 650 FCFA tient.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structurés de l'exercice 2025 (données officielles brvm_donnees_financieres) révèlent une banque solide et rentable. Le Produit Net Bancaire (PNB), équivalent du chiffre d'affaires pour une banque, s'établit à 37,996 milliards FCFA, en croissance de 5,08% par rapport à 2024. Le résultat net atteint 11,081 milliards FCFA, soit une marge nette exceptionnelle de 29,16%, bien supérieure à la moyenne du secteur bancaire UEMOA (généralement 15-20%). Le ROE de 22,24% (&gt;15% = excellent) et le ROA de 1,87% confirment une rentabilité des fonds propres et des actifs de premier ordre. Le coefficient d'exploitation de 63,14% reste toutefois supérieur au seuil de 60% qui caractérise une banque efficace, indiquant une marge de progression sur la maîtrise des charges. Le coût du risque, mesuré par le ratio provisions/charges financières, s'élève à 43,39%, un niveau élevé qui traduit un risque de crédit significatif, bien que les rapports trimestriels récents montrent une amélioration. La structure financière affiche une autonomie financière de 8,39% (faible, mais normale pour une banque) et un ratio de solvabilité générale de 109,16% (&gt;1 = solvable). Le ratio dépôts/crédits s'établit à 502,89/253,65 = 1,98x, indiquant une surliquidité confortable mais aussi une sous-utilisation des dépôts pour le crédit, ce qui pèse sur la marge d'intérêt.</w:t>
      </w:r>
    </w:p>
    <w:p>
      <w:pPr>
        <w:spacing w:after="120" w:line="276" w:lineRule="auto"/>
      </w:pPr>
      <w:r>
        <w:t>Les rapports narratifs confirment cette dynamique. Le rapport du T1 2026 (daté du 31/03/2026) montre un PNB de 10,322 milliards FCFA, en hausse de +22,97% sur un an, et le rapport du S1 2026 (daté du 30/06/2026) affiche un PNB de 21,987 milliards FCFA, en progression de +17,5%. Sur la base de ces tendances, on estime que l'exercice 2026 devrait enregistrer un PNB annuel compris entre 42 et 44 milliards FCFA, soit une croissance de 10-15% par rapport à 2025. Le rapport du T3 2025 (daté du 30/09/2025) indiquait déjà un résultat net cumulé de 9,16 milliards FCFA (+26,2%), et le rapport du S1 2025 (daté du 30/06/2025) un résultat net de 6,21 milliards FCFA (+28,8%), confirmant une accélération de la profitabilité portée par la baisse du coût du risque (-32,7% au S1 2025). La recommandation fondamentale est donc positive : BOA Mali affiche une solidité financière remarquable, une croissance à deux chiffres de ses revenus et une rentabilité supérieure à la moyenne du secteur, malgré un contexte macroéconomique et sécuritaire malien difficile. Les principaux risques identifiés sont la concentration géographique sur le Mali, l'insécurité persistante, et un coût du risque encore élevé (43,39% des charges financières) qui pourrait s'aggraver en cas de dégradation de la qualité des actifs.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La valorisation (Partie 0) est modérée à légèrement élevée : le PER de 15,6x est supérieur à la moyenne BRVM (8-12x), mais se justifie par un ROE de 22,24% et une croissance du PNB de 5-15% ; le P/B de 3,47x traduit une prime de croissance significative, tandis que l'EV/EBITDA de 8,1x reste raisonnable. Le comportement du cours (Partie 1) est haussier sur 100 jours (+33,83%) avec une volatilité élevée (42,8%) et une distribution symétrique (skewness 0,427, kurtosis -0,991), ce qui indique un risque de marché important mais sans biais directionnel extrême. Les signaux techniques (Partie 2) sont mitigés : les moyennes mobiles sont haussières (MM20 &gt; MM50) et le stochastique suggère un rebond, mais le MACD est baissier et le cours évolue sous ses moyennes, créant une divergence qui plaide pour une consolidation avant une reprise. Les fondamentaux (Partie 3) sont solides : PNB de 37,996 Mds FCFA en 2025, résultat net de 11,081 Mds FCFA, ROE de 22,24%, et les rapports T1/S1 2026 (datés de mars et juin 2026) confirment une accélération de la croissance (+17,5% à +22,97% de PNB), ce qui devrait soutenir le titre à moyen terme. Les prédictions IA (J+1 à J+10) anticipent une trajectoire haussière modérée, avec un cours cible de 6 647 FCFA à J+10 (contre 6 290 FCFA actuellement, soit +5,7%), ce qui confirme la tendance de fond mais suggère une progression graduelle plutôt qu'explosive.</w:t>
      </w:r>
    </w:p>
    <w:p>
      <w:pPr>
        <w:spacing w:after="120" w:line="276" w:lineRule="auto"/>
      </w:pPr>
      <w:r>
        <w:t>Sur la base de cette synthèse, la recommandation finale est **ACHAT** (et non ACHAT FORT, en raison de la divergence technique à court terme et de la volatilité élevée). La convergence entre la valorisation raisonnable, les fondamentaux solides, les estimations de croissance issues des rapports trimestriels et les prédictions IA haussières justifie une position positive, mais la prudence est de mise face au MACD baissier et au contexte sécuritaire malien. Le niveau de confiance est **Moyen** (les fondamentaux sont solides mais l'environnement macroéconomique reste incertain), et le niveau de risque global est **Moyen à Élevé** (volatilité de 42,8%, concentration géographique sur le Mali, coût du risque élevé). L'horizon d'investissement optimal est le **moyen terme (3-12 mois)**, le temps que la croissance du PNB se matérialise dans les résultats annuels 2026 et que la correction technique actuelle se résorbe. Un investisseur averse au risque attendra un retour du cours au-dessus de la MM20 (6 594 FCFA) pour confirmer la reprise haussière, tandis qu'un investisseur opportuniste pourra profiter de la zone de support actuelle (5 650-6 290 FCFA) pour se positionner.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106.70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9,001 titres</w:t>
            </w:r>
          </w:p>
        </w:tc>
        <w:tc>
          <w:tcPr>
            <w:tcW w:type="dxa" w:w="2268"/>
            <w:shd w:fill="FFF2CC" w:val="clear"/>
          </w:tcPr>
          <w:p>
            <w:r>
              <w:rPr>
                <w:b/>
                <w:color w:val="503200"/>
                <w:sz w:val="16"/>
              </w:rPr>
              <w:t xml:space="preserve">Cours actuel : </w:t>
            </w:r>
            <w:r>
              <w:rPr>
                <w:color w:val="000000"/>
                <w:sz w:val="17"/>
              </w:rPr>
              <w:t>5,130 FCFA</w:t>
            </w:r>
          </w:p>
          <w:p>
            <w:r>
              <w:rPr>
                <w:b/>
                <w:color w:val="503200"/>
                <w:sz w:val="16"/>
              </w:rPr>
              <w:t xml:space="preserve">Var. 100 jours : </w:t>
            </w:r>
            <w:r>
              <w:rPr>
                <w:b/>
                <w:color w:val="007800"/>
                <w:sz w:val="17"/>
              </w:rPr>
              <w:t>+41.32%</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16.67% (Élevée) — μ=4,581 FCFA, σ=764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β=1.2355 (Agressif) — Cov=0.000083, Var(idx)=0.000068, ρ=0.431,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9,001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4,697</w:t>
            </w:r>
          </w:p>
        </w:tc>
        <w:tc>
          <w:tcPr>
            <w:tcW w:type="dxa" w:w="1440"/>
            <w:shd w:fill="FFDCE0" w:val="clear"/>
          </w:tcPr>
          <w:p>
            <w:r>
              <w:rPr>
                <w:b/>
                <w:sz w:val="17"/>
              </w:rPr>
              <w:t>4,924</w:t>
            </w:r>
          </w:p>
        </w:tc>
        <w:tc>
          <w:tcPr>
            <w:tcW w:type="dxa" w:w="1440"/>
            <w:shd w:fill="FFDCE0" w:val="clear"/>
          </w:tcPr>
          <w:p>
            <w:r>
              <w:rPr>
                <w:sz w:val="17"/>
              </w:rPr>
              <w:t>5,151</w:t>
            </w:r>
          </w:p>
        </w:tc>
        <w:tc>
          <w:tcPr>
            <w:tcW w:type="dxa" w:w="1440"/>
            <w:shd w:fill="FFDCE0" w:val="clear"/>
          </w:tcPr>
          <w:p>
            <w:r>
              <w:rPr>
                <w:b/>
                <w:color w:val="C00000"/>
                <w:sz w:val="17"/>
              </w:rPr>
              <w:t>-4.0%</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4,641</w:t>
            </w:r>
          </w:p>
        </w:tc>
        <w:tc>
          <w:tcPr>
            <w:tcW w:type="dxa" w:w="1440"/>
            <w:shd w:fill="FFDCE0" w:val="clear"/>
          </w:tcPr>
          <w:p>
            <w:r>
              <w:rPr>
                <w:b/>
                <w:sz w:val="17"/>
              </w:rPr>
              <w:t>4,965</w:t>
            </w:r>
          </w:p>
        </w:tc>
        <w:tc>
          <w:tcPr>
            <w:tcW w:type="dxa" w:w="1440"/>
            <w:shd w:fill="FFDCE0" w:val="clear"/>
          </w:tcPr>
          <w:p>
            <w:r>
              <w:rPr>
                <w:sz w:val="17"/>
              </w:rPr>
              <w:t>5,289</w:t>
            </w:r>
          </w:p>
        </w:tc>
        <w:tc>
          <w:tcPr>
            <w:tcW w:type="dxa" w:w="1440"/>
            <w:shd w:fill="FFDCE0" w:val="clear"/>
          </w:tcPr>
          <w:p>
            <w:r>
              <w:rPr>
                <w:b/>
                <w:color w:val="C00000"/>
                <w:sz w:val="17"/>
              </w:rPr>
              <w:t>-3.2%</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4,575</w:t>
            </w:r>
          </w:p>
        </w:tc>
        <w:tc>
          <w:tcPr>
            <w:tcW w:type="dxa" w:w="1440"/>
            <w:shd w:fill="FFDCE0" w:val="clear"/>
          </w:tcPr>
          <w:p>
            <w:r>
              <w:rPr>
                <w:b/>
                <w:sz w:val="17"/>
              </w:rPr>
              <w:t>4,973</w:t>
            </w:r>
          </w:p>
        </w:tc>
        <w:tc>
          <w:tcPr>
            <w:tcW w:type="dxa" w:w="1440"/>
            <w:shd w:fill="FFDCE0" w:val="clear"/>
          </w:tcPr>
          <w:p>
            <w:r>
              <w:rPr>
                <w:sz w:val="17"/>
              </w:rPr>
              <w:t>5,370</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4,516</w:t>
            </w:r>
          </w:p>
        </w:tc>
        <w:tc>
          <w:tcPr>
            <w:tcW w:type="dxa" w:w="1440"/>
            <w:shd w:fill="FFDCE0" w:val="clear"/>
          </w:tcPr>
          <w:p>
            <w:r>
              <w:rPr>
                <w:b/>
                <w:sz w:val="17"/>
              </w:rPr>
              <w:t>4,976</w:t>
            </w:r>
          </w:p>
        </w:tc>
        <w:tc>
          <w:tcPr>
            <w:tcW w:type="dxa" w:w="1440"/>
            <w:shd w:fill="FFDCE0" w:val="clear"/>
          </w:tcPr>
          <w:p>
            <w:r>
              <w:rPr>
                <w:sz w:val="17"/>
              </w:rPr>
              <w:t>5,435</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4,465</w:t>
            </w:r>
          </w:p>
        </w:tc>
        <w:tc>
          <w:tcPr>
            <w:tcW w:type="dxa" w:w="1440"/>
            <w:shd w:fill="FFDCE0" w:val="clear"/>
          </w:tcPr>
          <w:p>
            <w:r>
              <w:rPr>
                <w:b/>
                <w:sz w:val="17"/>
              </w:rPr>
              <w:t>4,978</w:t>
            </w:r>
          </w:p>
        </w:tc>
        <w:tc>
          <w:tcPr>
            <w:tcW w:type="dxa" w:w="1440"/>
            <w:shd w:fill="FFDCE0" w:val="clear"/>
          </w:tcPr>
          <w:p>
            <w:r>
              <w:rPr>
                <w:sz w:val="17"/>
              </w:rPr>
              <w:t>5,492</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4,418</w:t>
            </w:r>
          </w:p>
        </w:tc>
        <w:tc>
          <w:tcPr>
            <w:tcW w:type="dxa" w:w="1440"/>
            <w:shd w:fill="FFDCE0" w:val="clear"/>
          </w:tcPr>
          <w:p>
            <w:r>
              <w:rPr>
                <w:b/>
                <w:sz w:val="17"/>
              </w:rPr>
              <w:t>4,981</w:t>
            </w:r>
          </w:p>
        </w:tc>
        <w:tc>
          <w:tcPr>
            <w:tcW w:type="dxa" w:w="1440"/>
            <w:shd w:fill="FFDCE0" w:val="clear"/>
          </w:tcPr>
          <w:p>
            <w:r>
              <w:rPr>
                <w:sz w:val="17"/>
              </w:rPr>
              <w:t>5,545</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4,375</w:t>
            </w:r>
          </w:p>
        </w:tc>
        <w:tc>
          <w:tcPr>
            <w:tcW w:type="dxa" w:w="1440"/>
            <w:shd w:fill="FFDCE0" w:val="clear"/>
          </w:tcPr>
          <w:p>
            <w:r>
              <w:rPr>
                <w:b/>
                <w:sz w:val="17"/>
              </w:rPr>
              <w:t>4,984</w:t>
            </w:r>
          </w:p>
        </w:tc>
        <w:tc>
          <w:tcPr>
            <w:tcW w:type="dxa" w:w="1440"/>
            <w:shd w:fill="FFDCE0" w:val="clear"/>
          </w:tcPr>
          <w:p>
            <w:r>
              <w:rPr>
                <w:sz w:val="17"/>
              </w:rPr>
              <w:t>5,593</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4,336</w:t>
            </w:r>
          </w:p>
        </w:tc>
        <w:tc>
          <w:tcPr>
            <w:tcW w:type="dxa" w:w="1440"/>
            <w:shd w:fill="FFDCE0" w:val="clear"/>
          </w:tcPr>
          <w:p>
            <w:r>
              <w:rPr>
                <w:b/>
                <w:sz w:val="17"/>
              </w:rPr>
              <w:t>4,987</w:t>
            </w:r>
          </w:p>
        </w:tc>
        <w:tc>
          <w:tcPr>
            <w:tcW w:type="dxa" w:w="1440"/>
            <w:shd w:fill="FFDCE0" w:val="clear"/>
          </w:tcPr>
          <w:p>
            <w:r>
              <w:rPr>
                <w:sz w:val="17"/>
              </w:rPr>
              <w:t>5,638</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4,299</w:t>
            </w:r>
          </w:p>
        </w:tc>
        <w:tc>
          <w:tcPr>
            <w:tcW w:type="dxa" w:w="1440"/>
            <w:shd w:fill="FFDCE0" w:val="clear"/>
          </w:tcPr>
          <w:p>
            <w:r>
              <w:rPr>
                <w:b/>
                <w:sz w:val="17"/>
              </w:rPr>
              <w:t>4,990</w:t>
            </w:r>
          </w:p>
        </w:tc>
        <w:tc>
          <w:tcPr>
            <w:tcW w:type="dxa" w:w="1440"/>
            <w:shd w:fill="FFDCE0" w:val="clear"/>
          </w:tcPr>
          <w:p>
            <w:r>
              <w:rPr>
                <w:sz w:val="17"/>
              </w:rPr>
              <w:t>5,681</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4,264</w:t>
            </w:r>
          </w:p>
        </w:tc>
        <w:tc>
          <w:tcPr>
            <w:tcW w:type="dxa" w:w="1440"/>
            <w:shd w:fill="FFDCE0" w:val="clear"/>
          </w:tcPr>
          <w:p>
            <w:r>
              <w:rPr>
                <w:b/>
                <w:sz w:val="17"/>
              </w:rPr>
              <w:t>4,993</w:t>
            </w:r>
          </w:p>
        </w:tc>
        <w:tc>
          <w:tcPr>
            <w:tcW w:type="dxa" w:w="1440"/>
            <w:shd w:fill="FFDCE0" w:val="clear"/>
          </w:tcPr>
          <w:p>
            <w:r>
              <w:rPr>
                <w:sz w:val="17"/>
              </w:rPr>
              <w:t>5,722</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 RAPPORT D'ANALYSE FINANCIÈRE — BOAN (Bank of Africa Niger)</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106,70 Mds FCFA, BOAN se situe dans la moyenne des capitalisations de la cote BRVM, loin toutefois des poids lourds du secteur bancaire régional. Le BPA de 20 FCFA/action ressort à un niveau très faible, conséquence directe de l'effondrement du résultat net 2025 à 409 millions FCFA. Le PER de 260,9x traduit une valorisation totalement déconnectée des bénéfices actuels : les investisseurs paient environ 261 fois les profits, contre une référence BRVM de 8-12x, ce qui signale soit une anticipation très forte de rebond, soit une bulle spéculative. Le P/B de 2,96x indique que le marché valorise la banque à près de 3 fois ses fonds propres comptables (36,06 Mds FCFA), une prime de croissance difficile à justifier au regard du ROE de 1,13%. Enfin, l'EV/EBITDA de 39,6x (largement supérieur au seuil de 15x) confirme que la valeur d'entreprise intègre une capacité opérationnelle future très optimiste, déconnectée des résultats présents — la prudence est donc de rigueur.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performance spectaculaire de **+41,32%**, avec une dernière séance en hausse de **+7,32%**, portant le cours à **5 130 FCFA**. Le titre a évolué dans un range large de **3 395 FCFA (plus bas) à 5 645 FCFA (plus haut)**, soit une amplitude de plus de 66%, témoignant d'une forte volatilité. La tendance générale est nettement haussière, mais le cours actuel (5 130 FCFA) se situe sous le plus haut, suggérant une phase de consolidation après le rallye. Les statistiques descriptives révèlent une **moyenne (4 581 FCFA) inférieure à la médiane (4 785 FCFA)**, indiquant une distribution légèrement tirée vers le bas par des séances de faiblesse, cohérent avec le skewness négatif (-0,195) qui traduit une asymétrie vers la gauche (quelques baisses marquées). L'écart-type de 767 FCFA (CV = 16,8%) confirme une dispersion modérée à élevée du cours autour de sa moyenne. Le kurtosis de -1,659 (distribution platykurtique) signale une distribution aplatie avec une faible concentration des rendements, donc un risque de pics extrêmes plus faible qu'une loi normale — un élément rassurant. Enfin, la **volatilité annualisée de 38,9%** classe BOAN parmi les titres à volatilité élevée (&gt;30%), ce qui implique un risque significatif et un positionnement adapté aux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(5 313 FCFA) et la MM50 (5 279,4 FCFA) sont toutes deux supérieures au cours actuel (5 130 FCFA), mais la MM20 reste au-dessus de la MM50, configuration haussière de fond. La décision affichée est **Achat**, mais le cours sous ses moyennes suggère une pression baissière de court terme à surveiller.</w:t>
      </w:r>
    </w:p>
    <w:p>
      <w:pPr>
        <w:spacing w:after="120" w:line="276" w:lineRule="auto"/>
      </w:pPr>
      <w:r>
        <w:t>**Bandes de Bollinger** : Le cours (5 130 FCFA) se situe entre la borne inférieure (4 763,76 FCFA) et la borne supérieure (5 862,24 FCFA), plus proche du bas que du haut, traduisant une volatilité contenue et une absence de signal directionnel fort. La décision est **Neutre**, cohérente avec cette position médiane.</w:t>
      </w:r>
    </w:p>
    <w:p>
      <w:pPr>
        <w:spacing w:after="120" w:line="276" w:lineRule="auto"/>
      </w:pPr>
      <w:r>
        <w:t>**MACD** : La valeur du MACD (-84,308) est nettement inférieure à son signal (-5,36), générant un histogramme négatif prononcé et une décision de **Vente**. Ce croisement baissier indique un momentum négatif persistant, en contradiction avec la tendance haussière de long terme.</w:t>
      </w:r>
    </w:p>
    <w:p>
      <w:pPr>
        <w:spacing w:after="120" w:line="276" w:lineRule="auto"/>
      </w:pPr>
      <w:r>
        <w:t>**RSI** : À 41,322, le RSI se situe en zone neutre basse (30-70), sans signal de survente (&lt;30) ni de surachat (&gt;70). La décision est **Neutre**, suggérant une absence de pression acheteuse ou vendeuse dominante à court terme.</w:t>
      </w:r>
    </w:p>
    <w:p>
      <w:pPr>
        <w:spacing w:after="120" w:line="276" w:lineRule="auto"/>
      </w:pPr>
      <w:r>
        <w:t>**Stochastique** : Le %K (55,502) est supérieur au %D (25,837), avec un croisement récent potentiellement haussier, mais les deux indicateurs restent en zone neutre. La décision est **Neutre**, reflétant une indécision du marché.</w:t>
      </w:r>
    </w:p>
    <w:p>
      <w:pPr>
        <w:spacing w:after="120" w:line="276" w:lineRule="auto"/>
      </w:pPr>
      <w:r>
        <w:t>**Conclusion technique** : Les indicateurs techniques sont majoritairement neutres (Bollinger, RSI, Stochastique) avec un signal baissier du MACD et un signal haussier des moyennes mobiles. Cette divergence suggère une phase de consolidation incertaine : le titre pourrait soit reprendre sa tendance haussière après consolidation, soit amorcer une correction. La prudence est recommandée en attendant une clarification des signaux.</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BOAN a enregistré un **Produit Net Bancaire (PNB) de 21 125 millions FCFA**, en léger repli de -1,19% sur un an, et un **résultat net de seulement 409 millions FCFA**, en chute vertigineuse de -91,8% par rapport aux 5 002 millions FCFA de 2024. Cette débâcle s'explique par un **coût du risque de 6 016 millions FCFA** (provisions exceptionnelles de 4,8 Mds FCFA liées au taux de sinistralité sectoriel de 24%) et une hausse des charges générales. Les ratios de rentabilité se sont effondrés : **ROE de 1,13%** (contre 11,39% en 2024) et **ROA de 0,14%** (contre 1,49%), bien loin des standards d'excellence (&gt;15% pour le ROE). Le **coefficient d'exploitation de 74,37%** demeure élevé (&gt;60%), signalant une efficacité opérationnelle insuffisante, tandis que le **coût du risque/charges financières de 67,30%** traduit un portefeuille de crédits très dégradé. La structure financière reste fragile avec une **autonomie financière de 12,36%** (bien en deçà du seuil sain de 30%) et un **ratio d'endettement de 178,61%**, mais la solvabilité générale (114,10%) et la couverture des intérêts (17,59%) demeurent acceptables. Les dépôts clientèle (183,28 Mds FCFA) couvrent largement les créances clientèle (128,45 Mds FCFA), avec un ratio de transformation de 70%, indiquant une surliquidité relative.</w:t>
      </w:r>
    </w:p>
    <w:p>
      <w:pPr>
        <w:spacing w:after="120" w:line="276" w:lineRule="auto"/>
      </w:pPr>
      <w:r>
        <w:t>**Estimations basées sur les rapports trimestriels** : Le **rapport T1 2026 (daté du 31 mars 2026)** révèle un début de redressement encourageant : PNB en hausse de **+7,9% à 5 170 millions FCFA**, résultat net en progression de **+28,9% à 1 467,3 millions FCFA**, et coefficient d'exploitation ramené à **56,2%** (contre 66,8% un an plus tôt). Le **rapport S2 2025 (daté du 31 décembre 2025)** confirme la stratégie de réduction sélective des risques (crédits -20,9%) et la résilience des dépôts (+4%). Sur la base de ces tendances, on estime que l'exercice 2026 pourrait voir un **résultat net multiplié par 6** (objectif budgétaire de 7 280 millions FCFA de résultat avant impôt), sous réserve de la confirmation du redressement sur plusieurs trimestres. La **recommandation fondamentale** est donc **CONSERVER** : la banque dispose d'atouts solides (soutien du groupe BOA, ratios prudentiels conformes, plan stratégique 2025-2027), mais les risques (instabilité politique, qualité du portefeuille, absence de dividende) justifient une approche prudente et un suivi rapproché.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**décalage majeur entre la valorisation et les fondamentaux**. La **Partie 0** montre des ratios de valorisation extrêmement tendus (PER 260,9x, EV/EBITDA 39,6x) qui intègrent une anticipation de rebond spectaculaire, sans marge de sécurité. La **Partie 1** indique une tendance haussière (+41,32%) mais une volatilité élevée (38,9%) et des statistiques (kurtosis négatif, skewness négatif) suggérant une distribution asymétrique avec des risques de baisses marquées. La **Partie 2** présente des signaux techniques divergents : MACD baissier, moyennes mobiles haussières, autres indicateurs neutres — une configuration incertaine. La **Partie 3** confirme la fragilité fondamentale actuelle (ROE 1,13%, résultat net -91,8%) mais esquisse un redressement prometteur au T1 2026 (+28,9% de résultat net). Les **prédictions IA (J+1 à J+10)** anticipent une trajectoire baissière à 4 924 FCFA (soit -4% par rapport au cours actuel), contredisant la tendance haussière récente et les signaux des moyennes mobiles. **En synthèse**, la convergence est faible : la valorisation est excessive, les fondamentaux restent fragiles malgré un rebond naissant, et les signaux techniques sont mitigés. La recommandation finale est **CONSERVER**, avec un **niveau de confiance moyen** et un **risque global élevé**. L'horizon d'investissement optimal est le **moyen terme (3-12 mois)**, en attendant la confirmation du redressement sur au moins deux trimestres supplémentaires et une normalisation du contexte macroéconomique nigérien. Les investisseurs en quête de dividendes ou de rentabilité immédiate doivent s'abstenir ; seuls les investisseurs patients et tolérants au risque peuvent envisager une position, avec un suivi rigoureux des indicateurs de qualité du portefeuille et de rentabilité.</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291.60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11,155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+14.08%</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4.79% (Faible) — μ=7,692 FCFA, σ=369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β=0.4911 (Défensif) — Cov=0.000033, Var(idx)=0.000068, ρ=0.246,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11,155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7,715</w:t>
            </w:r>
          </w:p>
        </w:tc>
        <w:tc>
          <w:tcPr>
            <w:tcW w:type="dxa" w:w="1440"/>
            <w:shd w:fill="FAFAFA" w:val="clear"/>
          </w:tcPr>
          <w:p>
            <w:r>
              <w:rPr>
                <w:b/>
                <w:sz w:val="17"/>
              </w:rPr>
              <w:t>7,957</w:t>
            </w:r>
          </w:p>
        </w:tc>
        <w:tc>
          <w:tcPr>
            <w:tcW w:type="dxa" w:w="1440"/>
            <w:shd w:fill="FAFAFA" w:val="clear"/>
          </w:tcPr>
          <w:p>
            <w:r>
              <w:rPr>
                <w:sz w:val="17"/>
              </w:rPr>
              <w:t>8,199</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7,594</w:t>
            </w:r>
          </w:p>
        </w:tc>
        <w:tc>
          <w:tcPr>
            <w:tcW w:type="dxa" w:w="1440"/>
            <w:shd w:fill="FFDCE0" w:val="clear"/>
          </w:tcPr>
          <w:p>
            <w:r>
              <w:rPr>
                <w:b/>
                <w:sz w:val="17"/>
              </w:rPr>
              <w:t>7,936</w:t>
            </w:r>
          </w:p>
        </w:tc>
        <w:tc>
          <w:tcPr>
            <w:tcW w:type="dxa" w:w="1440"/>
            <w:shd w:fill="FFDCE0" w:val="clear"/>
          </w:tcPr>
          <w:p>
            <w:r>
              <w:rPr>
                <w:sz w:val="17"/>
              </w:rPr>
              <w:t>8,278</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7,484</w:t>
            </w:r>
          </w:p>
        </w:tc>
        <w:tc>
          <w:tcPr>
            <w:tcW w:type="dxa" w:w="1440"/>
            <w:shd w:fill="FFDCE0" w:val="clear"/>
          </w:tcPr>
          <w:p>
            <w:r>
              <w:rPr>
                <w:b/>
                <w:sz w:val="17"/>
              </w:rPr>
              <w:t>7,901</w:t>
            </w:r>
          </w:p>
        </w:tc>
        <w:tc>
          <w:tcPr>
            <w:tcW w:type="dxa" w:w="1440"/>
            <w:shd w:fill="FFDCE0" w:val="clear"/>
          </w:tcPr>
          <w:p>
            <w:r>
              <w:rPr>
                <w:sz w:val="17"/>
              </w:rPr>
              <w:t>8,318</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2026-10-01</w:t>
            </w:r>
          </w:p>
        </w:tc>
        <w:tc>
          <w:tcPr>
            <w:tcW w:type="dxa" w:w="1440"/>
            <w:shd w:fill="FFDCE0" w:val="clear"/>
          </w:tcPr>
          <w:p>
            <w:r>
              <w:rPr>
                <w:sz w:val="17"/>
              </w:rPr>
              <w:t>7,394</w:t>
            </w:r>
          </w:p>
        </w:tc>
        <w:tc>
          <w:tcPr>
            <w:tcW w:type="dxa" w:w="1440"/>
            <w:shd w:fill="FFDCE0" w:val="clear"/>
          </w:tcPr>
          <w:p>
            <w:r>
              <w:rPr>
                <w:b/>
                <w:sz w:val="17"/>
              </w:rPr>
              <w:t>7,873</w:t>
            </w:r>
          </w:p>
        </w:tc>
        <w:tc>
          <w:tcPr>
            <w:tcW w:type="dxa" w:w="1440"/>
            <w:shd w:fill="FFDCE0" w:val="clear"/>
          </w:tcPr>
          <w:p>
            <w:r>
              <w:rPr>
                <w:sz w:val="17"/>
              </w:rPr>
              <w:t>8,353</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2026-10-02</w:t>
            </w:r>
          </w:p>
        </w:tc>
        <w:tc>
          <w:tcPr>
            <w:tcW w:type="dxa" w:w="1440"/>
            <w:shd w:fill="FFDCE0" w:val="clear"/>
          </w:tcPr>
          <w:p>
            <w:r>
              <w:rPr>
                <w:sz w:val="17"/>
              </w:rPr>
              <w:t>7,315</w:t>
            </w:r>
          </w:p>
        </w:tc>
        <w:tc>
          <w:tcPr>
            <w:tcW w:type="dxa" w:w="1440"/>
            <w:shd w:fill="FFDCE0" w:val="clear"/>
          </w:tcPr>
          <w:p>
            <w:r>
              <w:rPr>
                <w:b/>
                <w:sz w:val="17"/>
              </w:rPr>
              <w:t>7,849</w:t>
            </w:r>
          </w:p>
        </w:tc>
        <w:tc>
          <w:tcPr>
            <w:tcW w:type="dxa" w:w="1440"/>
            <w:shd w:fill="FFDCE0" w:val="clear"/>
          </w:tcPr>
          <w:p>
            <w:r>
              <w:rPr>
                <w:sz w:val="17"/>
              </w:rPr>
              <w:t>8,384</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2026-10-05</w:t>
            </w:r>
          </w:p>
        </w:tc>
        <w:tc>
          <w:tcPr>
            <w:tcW w:type="dxa" w:w="1440"/>
            <w:shd w:fill="FFDCE0" w:val="clear"/>
          </w:tcPr>
          <w:p>
            <w:r>
              <w:rPr>
                <w:sz w:val="17"/>
              </w:rPr>
              <w:t>7,242</w:t>
            </w:r>
          </w:p>
        </w:tc>
        <w:tc>
          <w:tcPr>
            <w:tcW w:type="dxa" w:w="1440"/>
            <w:shd w:fill="FFDCE0" w:val="clear"/>
          </w:tcPr>
          <w:p>
            <w:r>
              <w:rPr>
                <w:b/>
                <w:sz w:val="17"/>
              </w:rPr>
              <w:t>7,826</w:t>
            </w:r>
          </w:p>
        </w:tc>
        <w:tc>
          <w:tcPr>
            <w:tcW w:type="dxa" w:w="1440"/>
            <w:shd w:fill="FFDCE0" w:val="clear"/>
          </w:tcPr>
          <w:p>
            <w:r>
              <w:rPr>
                <w:sz w:val="17"/>
              </w:rPr>
              <w:t>8,410</w:t>
            </w:r>
          </w:p>
        </w:tc>
        <w:tc>
          <w:tcPr>
            <w:tcW w:type="dxa" w:w="1440"/>
            <w:shd w:fill="FFDCE0" w:val="clear"/>
          </w:tcPr>
          <w:p>
            <w:r>
              <w:rPr>
                <w:b/>
                <w:color w:val="C00000"/>
                <w:sz w:val="17"/>
              </w:rPr>
              <w:t>-3.4%</w:t>
            </w:r>
          </w:p>
        </w:tc>
      </w:tr>
      <w:tr>
        <w:tc>
          <w:tcPr>
            <w:tcW w:type="dxa" w:w="1440"/>
            <w:shd w:fill="FFDCE0" w:val="clear"/>
          </w:tcPr>
          <w:p>
            <w:r>
              <w:rPr>
                <w:sz w:val="17"/>
              </w:rPr>
              <w:t>J+7  Moyenne</w:t>
            </w:r>
          </w:p>
        </w:tc>
        <w:tc>
          <w:tcPr>
            <w:tcW w:type="dxa" w:w="1440"/>
            <w:shd w:fill="FFDCE0" w:val="clear"/>
          </w:tcPr>
          <w:p>
            <w:r>
              <w:rPr>
                <w:sz w:val="17"/>
              </w:rPr>
              <w:t>2026-10-06</w:t>
            </w:r>
          </w:p>
        </w:tc>
        <w:tc>
          <w:tcPr>
            <w:tcW w:type="dxa" w:w="1440"/>
            <w:shd w:fill="FFDCE0" w:val="clear"/>
          </w:tcPr>
          <w:p>
            <w:r>
              <w:rPr>
                <w:sz w:val="17"/>
              </w:rPr>
              <w:t>7,175</w:t>
            </w:r>
          </w:p>
        </w:tc>
        <w:tc>
          <w:tcPr>
            <w:tcW w:type="dxa" w:w="1440"/>
            <w:shd w:fill="FFDCE0" w:val="clear"/>
          </w:tcPr>
          <w:p>
            <w:r>
              <w:rPr>
                <w:b/>
                <w:sz w:val="17"/>
              </w:rPr>
              <w:t>7,804</w:t>
            </w:r>
          </w:p>
        </w:tc>
        <w:tc>
          <w:tcPr>
            <w:tcW w:type="dxa" w:w="1440"/>
            <w:shd w:fill="FFDCE0" w:val="clear"/>
          </w:tcPr>
          <w:p>
            <w:r>
              <w:rPr>
                <w:sz w:val="17"/>
              </w:rPr>
              <w:t>8,433</w:t>
            </w:r>
          </w:p>
        </w:tc>
        <w:tc>
          <w:tcPr>
            <w:tcW w:type="dxa" w:w="1440"/>
            <w:shd w:fill="FFDCE0" w:val="clear"/>
          </w:tcPr>
          <w:p>
            <w:r>
              <w:rPr>
                <w:b/>
                <w:color w:val="C00000"/>
                <w:sz w:val="17"/>
              </w:rPr>
              <w:t>-3.7%</w:t>
            </w:r>
          </w:p>
        </w:tc>
      </w:tr>
      <w:tr>
        <w:tc>
          <w:tcPr>
            <w:tcW w:type="dxa" w:w="1440"/>
            <w:shd w:fill="FFDCE0" w:val="clear"/>
          </w:tcPr>
          <w:p>
            <w:r>
              <w:rPr>
                <w:sz w:val="17"/>
              </w:rPr>
              <w:t>J+8  Moyenne</w:t>
            </w:r>
          </w:p>
        </w:tc>
        <w:tc>
          <w:tcPr>
            <w:tcW w:type="dxa" w:w="1440"/>
            <w:shd w:fill="FFDCE0" w:val="clear"/>
          </w:tcPr>
          <w:p>
            <w:r>
              <w:rPr>
                <w:sz w:val="17"/>
              </w:rPr>
              <w:t>2026-10-07</w:t>
            </w:r>
          </w:p>
        </w:tc>
        <w:tc>
          <w:tcPr>
            <w:tcW w:type="dxa" w:w="1440"/>
            <w:shd w:fill="FFDCE0" w:val="clear"/>
          </w:tcPr>
          <w:p>
            <w:r>
              <w:rPr>
                <w:sz w:val="17"/>
              </w:rPr>
              <w:t>7,112</w:t>
            </w:r>
          </w:p>
        </w:tc>
        <w:tc>
          <w:tcPr>
            <w:tcW w:type="dxa" w:w="1440"/>
            <w:shd w:fill="FFDCE0" w:val="clear"/>
          </w:tcPr>
          <w:p>
            <w:r>
              <w:rPr>
                <w:b/>
                <w:sz w:val="17"/>
              </w:rPr>
              <w:t>7,783</w:t>
            </w:r>
          </w:p>
        </w:tc>
        <w:tc>
          <w:tcPr>
            <w:tcW w:type="dxa" w:w="1440"/>
            <w:shd w:fill="FFDCE0" w:val="clear"/>
          </w:tcPr>
          <w:p>
            <w:r>
              <w:rPr>
                <w:sz w:val="17"/>
              </w:rPr>
              <w:t>8,453</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2026-10-08</w:t>
            </w:r>
          </w:p>
        </w:tc>
        <w:tc>
          <w:tcPr>
            <w:tcW w:type="dxa" w:w="1440"/>
            <w:shd w:fill="FFDCE0" w:val="clear"/>
          </w:tcPr>
          <w:p>
            <w:r>
              <w:rPr>
                <w:sz w:val="17"/>
              </w:rPr>
              <w:t>7,053</w:t>
            </w:r>
          </w:p>
        </w:tc>
        <w:tc>
          <w:tcPr>
            <w:tcW w:type="dxa" w:w="1440"/>
            <w:shd w:fill="FFDCE0" w:val="clear"/>
          </w:tcPr>
          <w:p>
            <w:r>
              <w:rPr>
                <w:b/>
                <w:sz w:val="17"/>
              </w:rPr>
              <w:t>7,762</w:t>
            </w:r>
          </w:p>
        </w:tc>
        <w:tc>
          <w:tcPr>
            <w:tcW w:type="dxa" w:w="1440"/>
            <w:shd w:fill="FFDCE0" w:val="clear"/>
          </w:tcPr>
          <w:p>
            <w:r>
              <w:rPr>
                <w:sz w:val="17"/>
              </w:rPr>
              <w:t>8,472</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6,997</w:t>
            </w:r>
          </w:p>
        </w:tc>
        <w:tc>
          <w:tcPr>
            <w:tcW w:type="dxa" w:w="1440"/>
            <w:shd w:fill="FFDCE0" w:val="clear"/>
          </w:tcPr>
          <w:p>
            <w:r>
              <w:rPr>
                <w:b/>
                <w:sz w:val="17"/>
              </w:rPr>
              <w:t>7,743</w:t>
            </w:r>
          </w:p>
        </w:tc>
        <w:tc>
          <w:tcPr>
            <w:tcW w:type="dxa" w:w="1440"/>
            <w:shd w:fill="FFDCE0" w:val="clear"/>
          </w:tcPr>
          <w:p>
            <w:r>
              <w:rPr>
                <w:sz w:val="17"/>
              </w:rPr>
              <w:t>8,489</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 RAPPORT D'ANALYSE FINANCIÈRE — BANK OF AFRICA SÉNÉGAL (BOAS)</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291,60 Mds FCFA, BOAS s'affirme comme une valeur de premier plan de la cote BRVM, représentant un pilier du compartiment bancaire régional. Le BPA de 608 FCFA/action signifie que chaque titre génère près de 608 FCFA de bénéfice net, un niveau de rentabilité par action solide qui traduit la qualité des résultats de la banque. Le PER de 13,3x se situe légèrement au-dessus de la fourchette moyenne du marché BRVM (~8-12x), ce qui indique que les investisseurs acceptent de payer une prime modérée pour cette valeur bancaire de qualité, sans pour autant tomber dans une surévaluation excessive. Le P/B de 3,02x montre que le marché valorise BOAS à environ trois fois sa valeur comptable, une prime de croissance justifiée par la régularité de ses performances et son ROE élevé. Enfin, l'EV/EBITDA de 8,6x, dans la fourchette raisonnable de 5-10x, confirme que la valeur totale de l'entreprise reste cohérente avec sa capacité opérationnelle de génération de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BOAS a enregistré une progression totale de +14,08%, avec une accélération notable de +4,38% lors de la dernière séance (J-1), signalant un regain d'intérêt acheteur à court terme. Le cours actuel de 8 100 FCFA évolue dans un range de trading compris entre 7 100 FCFA (plus bas) et 8 500 FCFA (plus haut), soit une amplitude d'environ 19,7% qui témoigne d'une dynamique haussière bien installée. La tendance générale est donc clairement haussière, portée par une demande soutenue sur le titre. Les statistiques descriptives révèlent une moyenne de 7 692 FCFA légèrement supérieure à la médiane de 7 625 FCFA, confirmant une asymétrie positive (skewness de 0,530) avec davantage de journées de cotation sous la moyenne, typique d'un titre qui progresse par à-coups. L'écart-type de 370 FCFA (CV de 4,8%) indique une dispersion modérée du cours autour de sa moyenne, tandis que le kurtosis de -0,942 (mésokurtique) suggère une distribution proche de la normale, sans risque excessif de pics extrêmes. La volatilité annualisée de 26,8% positionne BOAS dans la catégorie des titres à volatilité modérée (15-30%), offrant un bon compromis entre potentiel de rendement et maîtrise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(8 160 FCFA) et la MM50 (7 958,5 FCFA) se situent toutes deux sous le cours actuel de 8 100 FCFA, avec une MM20 légèrement au-dessus de la MM50, configurant un croisement haussier classique. Cette configuration confirme la décision d'**Achat**, le cours évoluant au-dessus de ses deux moyennes mobiles, signe d'une tendance positive de court et moyen terme.</w:t>
      </w:r>
    </w:p>
    <w:p>
      <w:pPr>
        <w:spacing w:after="120" w:line="276" w:lineRule="auto"/>
      </w:pPr>
      <w:r>
        <w:t>**Bandes de Bollinger** : Le cours actuel (8 100 FCFA) se situe à l'intérieur des bandes, entre la borne inférieure (7 786,57 FCFA) et la borne supérieure (8 533,43 FCFA), plus proche de la borne supérieure. Cette position médiane-haute traduit une volatilité normale sans excès, justifiant la décision **Neutre** — le titre n'est ni en surachat ni en survente selon ce critère.</w:t>
      </w:r>
    </w:p>
    <w:p>
      <w:pPr>
        <w:spacing w:after="120" w:line="276" w:lineRule="auto"/>
      </w:pPr>
      <w:r>
        <w:t>**MACD** : La valeur du MACD (-21,487) est nettement inférieure à son signal (38,764), générant une divergence baissière qui traduit un momentum négatif à court terme. Cette configuration justifie la décision de **Vente**, bien qu'elle contraste avec la tendance de fond haussière, suggérant une possible consolidation avant reprise.</w:t>
      </w:r>
    </w:p>
    <w:p>
      <w:pPr>
        <w:spacing w:after="120" w:line="276" w:lineRule="auto"/>
      </w:pPr>
      <w:r>
        <w:t>**RSI** : À 44,795, le RSI se situe dans la zone neutre (30-70), sans signal de surachat ni de survente. Cette valeur médiane indique un équilibre entre acheteurs et vendeurs, justifiant la décision **Neutre** — le titre dispose d'un potentiel de rebond sans être techniquement survendu.</w:t>
      </w:r>
    </w:p>
    <w:p>
      <w:pPr>
        <w:spacing w:after="120" w:line="276" w:lineRule="auto"/>
      </w:pPr>
      <w:r>
        <w:t>**Stochastique** : Le %K (64,286) est nettement supérieur au %D (26,667), avec un croisement haussier en formation qui suggère une reprise du momentum acheteur. Cette configuration, bien que classée **Neutre** dans les données, penche vers un signal d'achat à court terme si le croisement se confirme.</w:t>
      </w:r>
    </w:p>
    <w:p>
      <w:pPr>
        <w:spacing w:after="120" w:line="276" w:lineRule="auto"/>
      </w:pPr>
      <w:r>
        <w:t>**Conclusion technique** : Les indicateurs présentent une divergence notable : les moyennes mobiles et le stochastique sont haussiers, tandis que le MACD est baissier et le RSI/Bollinger sont neutres. Cette configuration mixte suggère une phase de consolidation dans une tendance de fond haussière, avec un avantage aux acheteurs sur le moyen terme mais une prudence à court terme. Le titre pourrait connaître quelques séances de respiration avant de reprendre sa progression vers les 8 500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BOAS affiche un Produit Net Bancaire (PNB) de 51,926 Mds FCFA, équivalent du chiffre d'affaires pour une banque, et un résultat net de 21,905 Mds FCFA, soit une marge nette remarquable de 42,19%. Le ROE s'établit à 22,69%, largement supérieur au seuil d'excellence de 15%, tandis que le ROA de 2,62% confirme la rentabilité des actifs. Le coefficient d'exploitation de 44,02% (contre 42,1% au T1 2026 selon le rapport du 31 mars 2026) positionne la banque parmi les établissements les plus efficaces du secteur, bien en dessous du seuil de 60%. Le coût du risque, à 23,31% des charges financières, reste un point de vigilance, reflétant un risque de crédit significatif. La structure financière montre une autonomie financière de 11,54% (capitaux propres/total bilan) et un ratio d'endettement de 39,37%, typique du modèle bancaire où les dépôts clientèle (686,927 Mds FCFA) financent l'essentiel des créances (386,424 Mds FCFA), avec un ratio de transformation de 56,3%.</w:t>
      </w:r>
    </w:p>
    <w:p>
      <w:pPr>
        <w:spacing w:after="120" w:line="276" w:lineRule="auto"/>
      </w:pPr>
      <w:r>
        <w:t>**Estimations basées sur les rapports trimestriels** : Le rapport du T1 2026 (publié le 31 mars 2026) indique un PNB de 12,580 Mds FCFA (+6,82% sur un an) et un résultat net de 5,741 Mds FCFA (+9,78%), avec une forte progression des ressources clientèle (+16,68%) et une amélioration du coefficient d'exploitation à 42,1%. Le rapport du T3 2025 (30 septembre 2025) faisait état d'un PNB cumulé de 37,44 Mds FCFA (+6,71%) et d'un résultat net de 16,37 Mds FCFA (+10,01%), avec un coût du risque en baisse à -0,5% du PNB. Sur la base de ces tendances, on estime que l'exercice 2026 devrait enregistrer une croissance du PNB de l'ordre de 6-7% (soit environ 55-56 Mds FCFA) et un résultat net proche de 23-24 Mds FCFA, confirmant la trajectoire de croissance saine et rentable de la banque.</w:t>
      </w:r>
    </w:p>
    <w:p>
      <w:pPr>
        <w:spacing w:after="120" w:line="276" w:lineRule="auto"/>
      </w:pPr>
      <w:r>
        <w:t>**Recommandation fondamentale** : BOAS présente une solidité financière remarquable, avec une rentabilité élevée (ROE &gt;22%), une efficacité opérationnelle excellente (coefficient &lt;45%) et une croissance régulière de ses revenus. Les principaux risques identifiés sont le coût du risque de crédit (23,31%) et la concentration sur le marché sénégalais, mais la tendance à l'amélioration de la qualité du portefeuille (coût du risque en baisse selon les rapports T3 2025 et T1 2026) atténue ces préoccupations. La recommandation fondamentale est **Achat**, portée par des perspectives de croissance durable et une valorisation raisonnable.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avec une légère prédominance des signaux positifs. **En termes de valorisation (Partie 0)**, le PER de 13,3x et le P/B de 3,02x indiquent une valorisation raisonnable, légèrement supérieure à la moyenne du marché mais justifiée par la qualité des fondamentaux, sans surévaluation manifeste. **Le comportement du cours (Partie 1)** est haussier (+14,08% sur 100 jours), avec une volatilité modérée (26,8%) et une distribution proche de la normale (kurtosis -0,942), des caractéristiques favorables pour un investisseur recherchant une performance régulière. **Les signaux techniques (Partie 2)** sont mitigés : les moyennes mobiles et le stochastique sont haussiers, mais le MACD est baissier et le RSI neutre, suggérant une consolidation avant une reprise potentielle. **Les fondamentaux (Partie 3)** sont solides, avec un ROE de 22,69%, un coefficient d'exploitation de 44,02% et une croissance estimée du PNB de 6-7% pour 2026, bien que le coût du risque reste un point de vigilance. **Les prédictions IA (J+1 à J+10)** anticipent une légère correction vers 7 849 FCFA d'ici le 2 octobre 2026, ce qui contredit partiellement les signaux haussiers de court terme mais s'inscrit dans une phase de consolidation compatible avec la tendance de fond.</w:t>
      </w:r>
    </w:p>
    <w:p>
      <w:pPr>
        <w:spacing w:after="120" w:line="276" w:lineRule="auto"/>
      </w:pPr>
      <w:r>
        <w:t>**Recommandation finale : ACHAT**. Cette recommandation repose sur la convergence entre une valorisation raisonnable, des fondamentaux solides (ROE &gt;22%, croissance régulière) et une tendance de fond haussière, malgré les signaux techniques mitigés à court terme et la légère correction anticipée par l'IA. Le niveau de confiance est **Moyen**, en raison de la divergence entre les indicateurs techniques et de la prédiction baissière à court terme. Le niveau de risque global est **Moyen**, reflétant le coût du risque de crédit et la concentration géographique, mais tempéré par la qualité de la gestion et la solidité financière. L'horizon d'investissement optimal est le **moyen terme (3-12 mois)**, période permettant de bénéficier de la croissance des bénéfices et de la reprise technique après la consolidation actuelle.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2,077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B40000"/>
                <w:sz w:val="17"/>
              </w:rPr>
              <w:t>-6.98%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7.77% (Moyenne) — μ=3,686 FCFA, σ=287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β=0.2946 (Défensif) — Cov=0.000020, Var(idx)=0.000068, ρ=0.085,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3,252</w:t>
            </w:r>
          </w:p>
        </w:tc>
        <w:tc>
          <w:tcPr>
            <w:tcW w:type="dxa" w:w="1440"/>
            <w:shd w:fill="FAFAFA" w:val="clear"/>
          </w:tcPr>
          <w:p>
            <w:r>
              <w:rPr>
                <w:b/>
                <w:sz w:val="17"/>
              </w:rPr>
              <w:t>3,363</w:t>
            </w:r>
          </w:p>
        </w:tc>
        <w:tc>
          <w:tcPr>
            <w:tcW w:type="dxa" w:w="1440"/>
            <w:shd w:fill="FAFAFA" w:val="clear"/>
          </w:tcPr>
          <w:p>
            <w:r>
              <w:rPr>
                <w:sz w:val="17"/>
              </w:rPr>
              <w:t>3,474</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3,211</w:t>
            </w:r>
          </w:p>
        </w:tc>
        <w:tc>
          <w:tcPr>
            <w:tcW w:type="dxa" w:w="1440"/>
            <w:shd w:fill="FAFAFA" w:val="clear"/>
          </w:tcPr>
          <w:p>
            <w:r>
              <w:rPr>
                <w:b/>
                <w:sz w:val="17"/>
              </w:rPr>
              <w:t>3,368</w:t>
            </w:r>
          </w:p>
        </w:tc>
        <w:tc>
          <w:tcPr>
            <w:tcW w:type="dxa" w:w="1440"/>
            <w:shd w:fill="FAFAFA" w:val="clear"/>
          </w:tcPr>
          <w:p>
            <w:r>
              <w:rPr>
                <w:sz w:val="17"/>
              </w:rPr>
              <w:t>3,526</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3,162</w:t>
            </w:r>
          </w:p>
        </w:tc>
        <w:tc>
          <w:tcPr>
            <w:tcW w:type="dxa" w:w="1440"/>
            <w:shd w:fill="FAFAFA" w:val="clear"/>
          </w:tcPr>
          <w:p>
            <w:r>
              <w:rPr>
                <w:b/>
                <w:sz w:val="17"/>
              </w:rPr>
              <w:t>3,354</w:t>
            </w:r>
          </w:p>
        </w:tc>
        <w:tc>
          <w:tcPr>
            <w:tcW w:type="dxa" w:w="1440"/>
            <w:shd w:fill="FAFAFA" w:val="clear"/>
          </w:tcPr>
          <w:p>
            <w:r>
              <w:rPr>
                <w:sz w:val="17"/>
              </w:rPr>
              <w:t>3,546</w:t>
            </w:r>
          </w:p>
        </w:tc>
        <w:tc>
          <w:tcPr>
            <w:tcW w:type="dxa" w:w="1440"/>
            <w:shd w:fill="FAFAFA" w:val="clear"/>
          </w:tcPr>
          <w:p>
            <w:r>
              <w:rPr>
                <w:b/>
                <w:color w:val="C00000"/>
                <w:sz w:val="17"/>
              </w:rPr>
              <w:t>-1.4%</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3,111</w:t>
            </w:r>
          </w:p>
        </w:tc>
        <w:tc>
          <w:tcPr>
            <w:tcW w:type="dxa" w:w="1440"/>
            <w:shd w:fill="FFDCE0" w:val="clear"/>
          </w:tcPr>
          <w:p>
            <w:r>
              <w:rPr>
                <w:b/>
                <w:sz w:val="17"/>
              </w:rPr>
              <w:t>3,331</w:t>
            </w:r>
          </w:p>
        </w:tc>
        <w:tc>
          <w:tcPr>
            <w:tcW w:type="dxa" w:w="1440"/>
            <w:shd w:fill="FFDCE0" w:val="clear"/>
          </w:tcPr>
          <w:p>
            <w:r>
              <w:rPr>
                <w:sz w:val="17"/>
              </w:rPr>
              <w:t>3,551</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3,058</w:t>
            </w:r>
          </w:p>
        </w:tc>
        <w:tc>
          <w:tcPr>
            <w:tcW w:type="dxa" w:w="1440"/>
            <w:shd w:fill="FFDCE0" w:val="clear"/>
          </w:tcPr>
          <w:p>
            <w:r>
              <w:rPr>
                <w:b/>
                <w:sz w:val="17"/>
              </w:rPr>
              <w:t>3,303</w:t>
            </w:r>
          </w:p>
        </w:tc>
        <w:tc>
          <w:tcPr>
            <w:tcW w:type="dxa" w:w="1440"/>
            <w:shd w:fill="FFDCE0" w:val="clear"/>
          </w:tcPr>
          <w:p>
            <w:r>
              <w:rPr>
                <w:sz w:val="17"/>
              </w:rPr>
              <w:t>3,547</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3,008</w:t>
            </w:r>
          </w:p>
        </w:tc>
        <w:tc>
          <w:tcPr>
            <w:tcW w:type="dxa" w:w="1440"/>
            <w:shd w:fill="FFDCE0" w:val="clear"/>
          </w:tcPr>
          <w:p>
            <w:r>
              <w:rPr>
                <w:b/>
                <w:sz w:val="17"/>
              </w:rPr>
              <w:t>3,272</w:t>
            </w:r>
          </w:p>
        </w:tc>
        <w:tc>
          <w:tcPr>
            <w:tcW w:type="dxa" w:w="1440"/>
            <w:shd w:fill="FFDCE0" w:val="clear"/>
          </w:tcPr>
          <w:p>
            <w:r>
              <w:rPr>
                <w:sz w:val="17"/>
              </w:rPr>
              <w:t>3,537</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2,959</w:t>
            </w:r>
          </w:p>
        </w:tc>
        <w:tc>
          <w:tcPr>
            <w:tcW w:type="dxa" w:w="1440"/>
            <w:shd w:fill="FFDCE0" w:val="clear"/>
          </w:tcPr>
          <w:p>
            <w:r>
              <w:rPr>
                <w:b/>
                <w:sz w:val="17"/>
              </w:rPr>
              <w:t>3,243</w:t>
            </w:r>
          </w:p>
        </w:tc>
        <w:tc>
          <w:tcPr>
            <w:tcW w:type="dxa" w:w="1440"/>
            <w:shd w:fill="FFDCE0" w:val="clear"/>
          </w:tcPr>
          <w:p>
            <w:r>
              <w:rPr>
                <w:sz w:val="17"/>
              </w:rPr>
              <w:t>3,526</w:t>
            </w:r>
          </w:p>
        </w:tc>
        <w:tc>
          <w:tcPr>
            <w:tcW w:type="dxa" w:w="1440"/>
            <w:shd w:fill="FFDCE0" w:val="clear"/>
          </w:tcPr>
          <w:p>
            <w:r>
              <w:rPr>
                <w:b/>
                <w:color w:val="C00000"/>
                <w:sz w:val="17"/>
              </w:rPr>
              <w:t>-4.6%</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2,914</w:t>
            </w:r>
          </w:p>
        </w:tc>
        <w:tc>
          <w:tcPr>
            <w:tcW w:type="dxa" w:w="1440"/>
            <w:shd w:fill="FFDCE0" w:val="clear"/>
          </w:tcPr>
          <w:p>
            <w:r>
              <w:rPr>
                <w:b/>
                <w:sz w:val="17"/>
              </w:rPr>
              <w:t>3,215</w:t>
            </w:r>
          </w:p>
        </w:tc>
        <w:tc>
          <w:tcPr>
            <w:tcW w:type="dxa" w:w="1440"/>
            <w:shd w:fill="FFDCE0" w:val="clear"/>
          </w:tcPr>
          <w:p>
            <w:r>
              <w:rPr>
                <w:sz w:val="17"/>
              </w:rPr>
              <w:t>3,515</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2,873</w:t>
            </w:r>
          </w:p>
        </w:tc>
        <w:tc>
          <w:tcPr>
            <w:tcW w:type="dxa" w:w="1440"/>
            <w:shd w:fill="FFDCE0" w:val="clear"/>
          </w:tcPr>
          <w:p>
            <w:r>
              <w:rPr>
                <w:b/>
                <w:sz w:val="17"/>
              </w:rPr>
              <w:t>3,189</w:t>
            </w:r>
          </w:p>
        </w:tc>
        <w:tc>
          <w:tcPr>
            <w:tcW w:type="dxa" w:w="1440"/>
            <w:shd w:fill="FFDCE0" w:val="clear"/>
          </w:tcPr>
          <w:p>
            <w:r>
              <w:rPr>
                <w:sz w:val="17"/>
              </w:rPr>
              <w:t>3,505</w:t>
            </w:r>
          </w:p>
        </w:tc>
        <w:tc>
          <w:tcPr>
            <w:tcW w:type="dxa" w:w="1440"/>
            <w:shd w:fill="FFDCE0" w:val="clear"/>
          </w:tcPr>
          <w:p>
            <w:r>
              <w:rPr>
                <w:b/>
                <w:color w:val="C00000"/>
                <w:sz w:val="17"/>
              </w:rPr>
              <w:t>-6.2%</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2,835</w:t>
            </w:r>
          </w:p>
        </w:tc>
        <w:tc>
          <w:tcPr>
            <w:tcW w:type="dxa" w:w="1440"/>
            <w:shd w:fill="FFDCE0" w:val="clear"/>
          </w:tcPr>
          <w:p>
            <w:r>
              <w:rPr>
                <w:b/>
                <w:sz w:val="17"/>
              </w:rPr>
              <w:t>3,166</w:t>
            </w:r>
          </w:p>
        </w:tc>
        <w:tc>
          <w:tcPr>
            <w:tcW w:type="dxa" w:w="1440"/>
            <w:shd w:fill="FFDCE0" w:val="clear"/>
          </w:tcPr>
          <w:p>
            <w:r>
              <w:rPr>
                <w:sz w:val="17"/>
              </w:rPr>
              <w:t>3,496</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**Bourse Régionale des Valeurs Mobilières (BRVM) — Côte d'Ivoire**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20,13 Mds FCFA, CABC se situe dans la catégorie des valeurs moyennes de la BRVM, ce qui la rend sensible aux mouvements de liquidité du marché. Le BPA de 243 FCFA/action signifie que chaque titre génère 243 FCFA de bénéfice net, ce qui, rapporté au cours actuel de 3 400 FCFA, donne un PER de 14,0x — soit un niveau modéré mais légèrement supérieur à la moyenne du marché BRVM (8-12x), traduisant une prime de qualité ou une anticipation de croissance par les investisseurs. Le P/B de 2,15x indique que le marché valorise l'entreprise à plus du double de sa valeur comptable (capitaux propres de 9,346 Mds FCFA), ce qui est cohérent avec une prime de croissance accordée à un acteur industriel bénéficiant d'une demande structurelle en infrastructures électriques et télécoms. Enfin, l'EV/EBITDA de 7,0x situe la valeur d'entreprise (capitalisation + dettes nettes) à 7 fois la capacité opérationnelle, un niveau raisonnable qui suggère que le marché n'anticipe pas de dégradation majeure de la rentabilité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CABC affiche une variation totale de **-6,98%**, mais la dernière séance (J-1) enregistre un rebond spectaculaire de **+6,25%**, signalant un retournement de court terme après une phase de correction. Le cours actuel de 3 400 FCFA se situe dans la partie médiane du range de trading, entre un plus haut de 4 500 FCFA et un plus bas de 3 190 FCFA — soit un écart de 41% entre les extrêmes, reflétant une forte amplitude de négociation. La tendance générale sur la période est baissière, mais le rebond récent pourrait marquer une tentative de stabilisation autour du support des 3 200-3 300 FCFA. Les statistiques descriptives révèlent une **moyenne de 3 686 FCFA** supérieure à la **médiane de 3 600 FCFA**, avec un **skewness positif de 0,968** indiquant une asymétrie à droite : la distribution comporte davantage de journées de baisse sous la moyenne, mais quelques séances de forte hausse tirent la moyenne vers le haut. L'**écart-type de 288 FCFA** (CV = 7,8%) traduit une dispersion modérée du cours autour de sa moyenne, tandis que le **kurtosis de 0,531** (mésokurtique) suggère une distribution proche de la normale, sans risque excessif de pics extrêmes. La **volatilité annualisée de 46,0%** classe le titre dans la catégorie des valeurs à volatilité élevée (&gt;30%), ce qui implique un risque de prix significatif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(3 434 FCFA) et la MM50 (3 542,9 FCFA) se situent toutes deux au-dessus du cours actuel (3 400 FCFA), avec une MM20 inférieure à la MM50 — configuration baissière classique. Le cours évolue sous ses deux moyennes, confirmant la pression vendeuse, et la décision technique est logiquement **Vente**. Le croisement potentiel de la MM20 sous la MM50 (death cross) renforcerait ce signal négatif si la tendance baissière se poursuit.</w:t>
      </w:r>
    </w:p>
    <w:p>
      <w:pPr>
        <w:spacing w:after="120" w:line="276" w:lineRule="auto"/>
      </w:pPr>
      <w:r>
        <w:t>**Bandes de Bollinger** : Le cours (3 400 FCFA) se situe dans la partie inférieure de la bande, entre la borne inférieure (3 209,885 FCFA) et la borne supérieure (3 658,115 FCFA), sans atteindre les extrêmes. Cette position médiane-basse indique une absence de signal fort, d'où la décision **Neutre**. L'écart entre les bornes (448 FCFA) reflète une volatilité modérée, et une cassure de la borne inférieure constituerait un signal de vente supplémentaire, tandis qu'un retour vers la borne supérieure confirmerait le rebond.</w:t>
      </w:r>
    </w:p>
    <w:p>
      <w:pPr>
        <w:spacing w:after="120" w:line="276" w:lineRule="auto"/>
      </w:pPr>
      <w:r>
        <w:t>**MACD** : La valeur du MACD (-81,928) est inférieure à son signal (-69,782), avec un histogramme négatif — configuration baissière. Le momentum reste négatif, et la décision **Vente** est justifiée par l'absence de croisement haussier. Une convergence du MACD vers son signal serait un premier signe d'amélioration, mais pour l'instant, la dynamique reste défavorable.</w:t>
      </w:r>
    </w:p>
    <w:p>
      <w:pPr>
        <w:spacing w:after="120" w:line="276" w:lineRule="auto"/>
      </w:pPr>
      <w:r>
        <w:t>**RSI** : À 41,83, le RSI se situe dans la zone neutre (30-70), sans signal de surachat (&gt;70) ni de survente (&lt;30). La décision **Neutre** reflète cette absence de pression extrême, mais la proximité de la zone de survente (30) suggère que le titre pourrait être proche d'un point de retournement si la baisse s'accentue.</w:t>
      </w:r>
    </w:p>
    <w:p>
      <w:pPr>
        <w:spacing w:after="120" w:line="276" w:lineRule="auto"/>
      </w:pPr>
      <w:r>
        <w:t>**Stochastique** : Le %K (67,742) est nettement supérieur au %D (23,576), avec un croisement haussier récent — signal positif de court terme. Cependant, la décision reste **Neutre** car le %K n'a pas encore franchi le seuil de surachat (80) et le %D reste bas. Ce croisement pourrait annoncer un rebond technique, cohérent avec la hausse de +6,25% en J-1.</w:t>
      </w:r>
    </w:p>
    <w:p>
      <w:pPr>
        <w:spacing w:after="120" w:line="276" w:lineRule="auto"/>
      </w:pPr>
      <w:r>
        <w:t>**Conclusion technique** : Les indicateurs sont majoritairement baissiers (MM, MACD) ou neutres (Bollinger, RSI, Stochastique), mais le croisement haussier du stochastique et le rebond de J-1 suggèrent une possible inflexion de court terme. La convergence des signaux reste faible, et la prudence est de mise tant que le cours ne repasse pas au-dessus de la MM20 (3 434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CABC a réalisé un chiffre d'affaires de **21 263 M FCFA** (contre 19 125 M FCFA en 2024, soit +11,2%), avec un résultat net de **1 439 M FCFA** (contre 1 375 M FCFA en 2024, +4,7%). Le ROE s'établit à **15,40%** (excellent, &gt;15%) et le ROA à **6,10%**, confirmant une bonne rentabilité des fonds propres malgré un actif lourd. La marge nette est de **6,77%**, en légère baisse par rapport à 2024 (7,2%), et la marge opérationnelle de **9,82%**. Le BFR est de **7 186 M FCFA** (positif, donc défavorable), avec des délais clients élevés (**144,69 jours**) et une durée de stockage de **152,12 jours** — ces deux indicateurs signalent un risque de trésorerie important, confirmé par un flux opérationnel négatif de **-819,66 M FCFA** et un Free Cash Flow de **-982,71 M FCFA**. La trésorerie nette reste confortable à **5 139 M FCFA**, et l'autonomie financière (39,58%) est saine, avec un ratio d'endettement de 60,42%.</w:t>
      </w:r>
    </w:p>
    <w:p>
      <w:pPr>
        <w:spacing w:after="120" w:line="276" w:lineRule="auto"/>
      </w:pPr>
      <w:r>
        <w:t>**Estimations basées sur les rapports trimestriels** : Le rapport du **3ème trimestre 2025 (30/09/2025)** indique un CA cumulé de **16 630 M FCFA** (+13,7%) et un résultat net de **1 329,5 M FCFA** (+26,0%), avec une marge nette de **8,0%** — meilleure que la moyenne annuelle 2025 (6,77%), ce qui suggère que le T4 2025 a été moins performant. Le rapport du **1er semestre 2025 (30/06/2025)** affichait un résultat net de **851,5 M FCFA** (+55,3%) et une marge nette de **7,9%**, porté par des cours de métaux favorables. Cependant, le rapport du **T1 2026** (données 2026) révèle une dégradation brutale : CA en baisse de **-26,5%** à 3 794 M FCFA, perte d'exploitation de **-237 M FCFA** (contre +432 M FCFA au T1 2025), et résultat net déficitaire de **-221,7 M FCFA**. Cette contre-performance est attribuée à une maintenance planifiée du parc machines et à une inflation des cours des métaux (+23% en 3 mois). La direction anticipe une normalisation dès le T2 2026, mais le risque de prolongation des difficultés opérationnelles reste élevé.</w:t>
      </w:r>
    </w:p>
    <w:p>
      <w:pPr>
        <w:spacing w:after="120" w:line="276" w:lineRule="auto"/>
      </w:pPr>
      <w:r>
        <w:t>**Recommandation fondamentale** : CABC présente des fondamentaux mitigés — croissance du CA et rentabilité correcte en 2025, mais des signaux de tension sur la trésorerie (BFR élevé, flux opérationnel négatif) et une dégradation marquée au T1 2026. La dépendance aux matières premières et la concurrence régionale constituent des risques structurels. La recommandation est **CONSERVER** avec une surveillance active, en attendant la confirmation d'un redressement au T2 2026.</w:t>
      </w:r>
    </w:p>
    <w:p>
      <w:pPr>
        <w:spacing w:after="120" w:line="276" w:lineRule="auto"/>
      </w:pPr>
      <w:r>
        <w:t>---</w:t>
      </w:r>
    </w:p>
    <w:p>
      <w:pPr>
        <w:spacing w:after="120" w:line="276" w:lineRule="auto"/>
      </w:pPr>
      <w:r>
        <w:t>## PARTIE 4 : CONCLUSION D'INVESTISSEMENT</w:t>
      </w:r>
    </w:p>
    <w:p>
      <w:pPr>
        <w:spacing w:after="120" w:line="276" w:lineRule="auto"/>
      </w:pPr>
      <w:r>
        <w:t>La valorisation (Partie 0) indique une **juste valeur** avec un PER de 14,0x (légèrement supérieur à la moyenne BRVM) et un P/B de 2,15x (prime de croissance), sans sous-évaluation flagrante. Le comportement du cours (Partie 1) est **préoccupant** : tendance baissière sur 100 jours (-6,98%), volatilité élevée (46%), et skewness positif (0,968) indiquant une asymétrie défavorable, bien que le rebond de J-1 (+6,25%) apporte un espoir de retournement. Les signaux techniques (Partie 2) sont **majoritairement baissiers** (MM, MACD) mais le stochastique haussier et le RSI neutre suggèrent une possible inflexion de court terme. Les fondamentaux (Partie 3) sont **mitigés** : bonne performance 2025 (CA +11,2%, RN +4,7%, ROE 15,4%) mais dégradation au T1 2026 (perte de -221,7 M FCFA) et tensions sur la trésorerie (BFR 7 186 M FCFA, flux opérationnel -819,66 M FCFA). Les **prédictions IA** (J+1 à J+10) anticipent une **baisse progressive** de 3 363 FCFA à 3 303 FCFA, confirmant la pression baissière de court terme et contredisant le rebond de J-1.</w:t>
      </w:r>
    </w:p>
    <w:p>
      <w:pPr>
        <w:spacing w:after="120" w:line="276" w:lineRule="auto"/>
      </w:pPr>
      <w:r>
        <w:t>**Synthèse globale** : La convergence des signaux est **baissière** — valorisation sans décote, technique défavorable, fondamentaux fragilisés par le T1 2026, et prédictions IA négatives. La recommandation finale est **CONSERVER** (avec biais baissier), justifiée par la solidité des fonds propres (ROE 15,4%) et la trésorerie confortable (5 139 M FCFA), mais tempérée par les risques opérationnels et la dégradation récente. Le niveau de confiance est **Moyen** (les données T1 2026 sont récentes mais la direction anticipe un redressement), et le niveau de risque global est **Élevé** (volatilité 46%, dépendance aux matières premières, concurrence). L'horizon d'investissement optimal est **court terme** (&lt;3 mois) pour les traders cherchant à profiter du rebond technique, ou **moyen terme** (3-12 mois) pour les investisseurs attendant la confirmation du redressement au T2 2026. Une cassure du support de 3 200 FCFA déclencherait un signal de vente, tandis qu'un retour au-dessus de 3 500 FCFA (MM50) confirmerait une reprise haussière.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1008.00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1,613 titres</w:t>
            </w:r>
          </w:p>
        </w:tc>
        <w:tc>
          <w:tcPr>
            <w:tcW w:type="dxa" w:w="2268"/>
            <w:shd w:fill="FFF2CC" w:val="clear"/>
          </w:tcPr>
          <w:p>
            <w:r>
              <w:rPr>
                <w:b/>
                <w:color w:val="503200"/>
                <w:sz w:val="16"/>
              </w:rPr>
              <w:t xml:space="preserve">Cours actuel : </w:t>
            </w:r>
            <w:r>
              <w:rPr>
                <w:color w:val="000000"/>
                <w:sz w:val="17"/>
              </w:rPr>
              <w:t>31,500 FCFA</w:t>
            </w:r>
          </w:p>
          <w:p>
            <w:r>
              <w:rPr>
                <w:b/>
                <w:color w:val="503200"/>
                <w:sz w:val="16"/>
              </w:rPr>
              <w:t xml:space="preserve">Var. 100 jours : </w:t>
            </w:r>
            <w:r>
              <w:rPr>
                <w:b/>
                <w:color w:val="007800"/>
                <w:sz w:val="17"/>
              </w:rPr>
              <w:t>+93.85%</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16,250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19.06% (Élevée) — μ=26,026 FCFA, σ=4,959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β=1.4845 (Agressif) — Cov=0.000100, Var(idx)=0.000068, ρ=0.441,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1,613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28,707</w:t>
            </w:r>
          </w:p>
        </w:tc>
        <w:tc>
          <w:tcPr>
            <w:tcW w:type="dxa" w:w="1440"/>
            <w:shd w:fill="FFDCE0" w:val="clear"/>
          </w:tcPr>
          <w:p>
            <w:r>
              <w:rPr>
                <w:b/>
                <w:sz w:val="17"/>
              </w:rPr>
              <w:t>30,131</w:t>
            </w:r>
          </w:p>
        </w:tc>
        <w:tc>
          <w:tcPr>
            <w:tcW w:type="dxa" w:w="1440"/>
            <w:shd w:fill="FFDCE0" w:val="clear"/>
          </w:tcPr>
          <w:p>
            <w:r>
              <w:rPr>
                <w:sz w:val="17"/>
              </w:rPr>
              <w:t>31,555</w:t>
            </w:r>
          </w:p>
        </w:tc>
        <w:tc>
          <w:tcPr>
            <w:tcW w:type="dxa" w:w="1440"/>
            <w:shd w:fill="FFDCE0" w:val="clear"/>
          </w:tcPr>
          <w:p>
            <w:r>
              <w:rPr>
                <w:b/>
                <w:color w:val="C00000"/>
                <w:sz w:val="17"/>
              </w:rPr>
              <w:t>-4.3%</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27,478</w:t>
            </w:r>
          </w:p>
        </w:tc>
        <w:tc>
          <w:tcPr>
            <w:tcW w:type="dxa" w:w="1440"/>
            <w:shd w:fill="FFDCE0" w:val="clear"/>
          </w:tcPr>
          <w:p>
            <w:r>
              <w:rPr>
                <w:b/>
                <w:sz w:val="17"/>
              </w:rPr>
              <w:t>29,446</w:t>
            </w:r>
          </w:p>
        </w:tc>
        <w:tc>
          <w:tcPr>
            <w:tcW w:type="dxa" w:w="1440"/>
            <w:shd w:fill="FFDCE0" w:val="clear"/>
          </w:tcPr>
          <w:p>
            <w:r>
              <w:rPr>
                <w:sz w:val="17"/>
              </w:rPr>
              <w:t>31,413</w:t>
            </w:r>
          </w:p>
        </w:tc>
        <w:tc>
          <w:tcPr>
            <w:tcW w:type="dxa" w:w="1440"/>
            <w:shd w:fill="FFDCE0" w:val="clear"/>
          </w:tcPr>
          <w:p>
            <w:r>
              <w:rPr>
                <w:b/>
                <w:color w:val="C00000"/>
                <w:sz w:val="17"/>
              </w:rPr>
              <w:t>-6.5%</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26,779</w:t>
            </w:r>
          </w:p>
        </w:tc>
        <w:tc>
          <w:tcPr>
            <w:tcW w:type="dxa" w:w="1440"/>
            <w:shd w:fill="FFDCE0" w:val="clear"/>
          </w:tcPr>
          <w:p>
            <w:r>
              <w:rPr>
                <w:b/>
                <w:sz w:val="17"/>
              </w:rPr>
              <w:t>29,166</w:t>
            </w:r>
          </w:p>
        </w:tc>
        <w:tc>
          <w:tcPr>
            <w:tcW w:type="dxa" w:w="1440"/>
            <w:shd w:fill="FFDCE0" w:val="clear"/>
          </w:tcPr>
          <w:p>
            <w:r>
              <w:rPr>
                <w:sz w:val="17"/>
              </w:rPr>
              <w:t>31,553</w:t>
            </w:r>
          </w:p>
        </w:tc>
        <w:tc>
          <w:tcPr>
            <w:tcW w:type="dxa" w:w="1440"/>
            <w:shd w:fill="FFDCE0" w:val="clear"/>
          </w:tcPr>
          <w:p>
            <w:r>
              <w:rPr>
                <w:b/>
                <w:color w:val="C00000"/>
                <w:sz w:val="17"/>
              </w:rPr>
              <w:t>-7.4%</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26,245</w:t>
            </w:r>
          </w:p>
        </w:tc>
        <w:tc>
          <w:tcPr>
            <w:tcW w:type="dxa" w:w="1440"/>
            <w:shd w:fill="FFDCE0" w:val="clear"/>
          </w:tcPr>
          <w:p>
            <w:r>
              <w:rPr>
                <w:b/>
                <w:sz w:val="17"/>
              </w:rPr>
              <w:t>28,984</w:t>
            </w:r>
          </w:p>
        </w:tc>
        <w:tc>
          <w:tcPr>
            <w:tcW w:type="dxa" w:w="1440"/>
            <w:shd w:fill="FFDCE0" w:val="clear"/>
          </w:tcPr>
          <w:p>
            <w:r>
              <w:rPr>
                <w:sz w:val="17"/>
              </w:rPr>
              <w:t>31,724</w:t>
            </w:r>
          </w:p>
        </w:tc>
        <w:tc>
          <w:tcPr>
            <w:tcW w:type="dxa" w:w="1440"/>
            <w:shd w:fill="FFDCE0" w:val="clear"/>
          </w:tcPr>
          <w:p>
            <w:r>
              <w:rPr>
                <w:b/>
                <w:color w:val="C00000"/>
                <w:sz w:val="17"/>
              </w:rPr>
              <w:t>-8.0%</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25,770</w:t>
            </w:r>
          </w:p>
        </w:tc>
        <w:tc>
          <w:tcPr>
            <w:tcW w:type="dxa" w:w="1440"/>
            <w:shd w:fill="FFDCE0" w:val="clear"/>
          </w:tcPr>
          <w:p>
            <w:r>
              <w:rPr>
                <w:b/>
                <w:sz w:val="17"/>
              </w:rPr>
              <w:t>28,815</w:t>
            </w:r>
          </w:p>
        </w:tc>
        <w:tc>
          <w:tcPr>
            <w:tcW w:type="dxa" w:w="1440"/>
            <w:shd w:fill="FFDCE0" w:val="clear"/>
          </w:tcPr>
          <w:p>
            <w:r>
              <w:rPr>
                <w:sz w:val="17"/>
              </w:rPr>
              <w:t>31,860</w:t>
            </w:r>
          </w:p>
        </w:tc>
        <w:tc>
          <w:tcPr>
            <w:tcW w:type="dxa" w:w="1440"/>
            <w:shd w:fill="FFDCE0" w:val="clear"/>
          </w:tcPr>
          <w:p>
            <w:r>
              <w:rPr>
                <w:b/>
                <w:color w:val="C00000"/>
                <w:sz w:val="17"/>
              </w:rPr>
              <w:t>-8.5%</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25,350</w:t>
            </w:r>
          </w:p>
        </w:tc>
        <w:tc>
          <w:tcPr>
            <w:tcW w:type="dxa" w:w="1440"/>
            <w:shd w:fill="FFDCE0" w:val="clear"/>
          </w:tcPr>
          <w:p>
            <w:r>
              <w:rPr>
                <w:b/>
                <w:sz w:val="17"/>
              </w:rPr>
              <w:t>28,669</w:t>
            </w:r>
          </w:p>
        </w:tc>
        <w:tc>
          <w:tcPr>
            <w:tcW w:type="dxa" w:w="1440"/>
            <w:shd w:fill="FFDCE0" w:val="clear"/>
          </w:tcPr>
          <w:p>
            <w:r>
              <w:rPr>
                <w:sz w:val="17"/>
              </w:rPr>
              <w:t>31,987</w:t>
            </w:r>
          </w:p>
        </w:tc>
        <w:tc>
          <w:tcPr>
            <w:tcW w:type="dxa" w:w="1440"/>
            <w:shd w:fill="FFDCE0" w:val="clear"/>
          </w:tcPr>
          <w:p>
            <w:r>
              <w:rPr>
                <w:b/>
                <w:color w:val="C00000"/>
                <w:sz w:val="17"/>
              </w:rPr>
              <w:t>-9.0%</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24,974</w:t>
            </w:r>
          </w:p>
        </w:tc>
        <w:tc>
          <w:tcPr>
            <w:tcW w:type="dxa" w:w="1440"/>
            <w:shd w:fill="FFDCE0" w:val="clear"/>
          </w:tcPr>
          <w:p>
            <w:r>
              <w:rPr>
                <w:b/>
                <w:sz w:val="17"/>
              </w:rPr>
              <w:t>28,543</w:t>
            </w:r>
          </w:p>
        </w:tc>
        <w:tc>
          <w:tcPr>
            <w:tcW w:type="dxa" w:w="1440"/>
            <w:shd w:fill="FFDCE0" w:val="clear"/>
          </w:tcPr>
          <w:p>
            <w:r>
              <w:rPr>
                <w:sz w:val="17"/>
              </w:rPr>
              <w:t>32,112</w:t>
            </w:r>
          </w:p>
        </w:tc>
        <w:tc>
          <w:tcPr>
            <w:tcW w:type="dxa" w:w="1440"/>
            <w:shd w:fill="FFDCE0" w:val="clear"/>
          </w:tcPr>
          <w:p>
            <w:r>
              <w:rPr>
                <w:b/>
                <w:color w:val="C00000"/>
                <w:sz w:val="17"/>
              </w:rPr>
              <w:t>-9.4%</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24,633</w:t>
            </w:r>
          </w:p>
        </w:tc>
        <w:tc>
          <w:tcPr>
            <w:tcW w:type="dxa" w:w="1440"/>
            <w:shd w:fill="FFDCE0" w:val="clear"/>
          </w:tcPr>
          <w:p>
            <w:r>
              <w:rPr>
                <w:b/>
                <w:sz w:val="17"/>
              </w:rPr>
              <w:t>28,434</w:t>
            </w:r>
          </w:p>
        </w:tc>
        <w:tc>
          <w:tcPr>
            <w:tcW w:type="dxa" w:w="1440"/>
            <w:shd w:fill="FFDCE0" w:val="clear"/>
          </w:tcPr>
          <w:p>
            <w:r>
              <w:rPr>
                <w:sz w:val="17"/>
              </w:rPr>
              <w:t>32,235</w:t>
            </w:r>
          </w:p>
        </w:tc>
        <w:tc>
          <w:tcPr>
            <w:tcW w:type="dxa" w:w="1440"/>
            <w:shd w:fill="FFDCE0" w:val="clear"/>
          </w:tcPr>
          <w:p>
            <w:r>
              <w:rPr>
                <w:b/>
                <w:color w:val="C00000"/>
                <w:sz w:val="17"/>
              </w:rPr>
              <w:t>-9.7%</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24,320</w:t>
            </w:r>
          </w:p>
        </w:tc>
        <w:tc>
          <w:tcPr>
            <w:tcW w:type="dxa" w:w="1440"/>
            <w:shd w:fill="FFDCE0" w:val="clear"/>
          </w:tcPr>
          <w:p>
            <w:r>
              <w:rPr>
                <w:b/>
                <w:sz w:val="17"/>
              </w:rPr>
              <w:t>28,338</w:t>
            </w:r>
          </w:p>
        </w:tc>
        <w:tc>
          <w:tcPr>
            <w:tcW w:type="dxa" w:w="1440"/>
            <w:shd w:fill="FFDCE0" w:val="clear"/>
          </w:tcPr>
          <w:p>
            <w:r>
              <w:rPr>
                <w:sz w:val="17"/>
              </w:rPr>
              <w:t>32,356</w:t>
            </w:r>
          </w:p>
        </w:tc>
        <w:tc>
          <w:tcPr>
            <w:tcW w:type="dxa" w:w="1440"/>
            <w:shd w:fill="FFDCE0" w:val="clear"/>
          </w:tcPr>
          <w:p>
            <w:r>
              <w:rPr>
                <w:b/>
                <w:color w:val="C00000"/>
                <w:sz w:val="17"/>
              </w:rPr>
              <w:t>-10.0%</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24,031</w:t>
            </w:r>
          </w:p>
        </w:tc>
        <w:tc>
          <w:tcPr>
            <w:tcW w:type="dxa" w:w="1440"/>
            <w:shd w:fill="FFDCE0" w:val="clear"/>
          </w:tcPr>
          <w:p>
            <w:r>
              <w:rPr>
                <w:b/>
                <w:sz w:val="17"/>
              </w:rPr>
              <w:t>28,253</w:t>
            </w:r>
          </w:p>
        </w:tc>
        <w:tc>
          <w:tcPr>
            <w:tcW w:type="dxa" w:w="1440"/>
            <w:shd w:fill="FFDCE0" w:val="clear"/>
          </w:tcPr>
          <w:p>
            <w:r>
              <w:rPr>
                <w:sz w:val="17"/>
              </w:rPr>
              <w:t>32,476</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 RAPPORT D'ANALYSE FINANCIÈRE — CORIS BANK INTERNATIONAL (CBIBF)</w:t>
        <w:br/>
        <w:t>### Bourse Régionale des Valeurs Mobilières (BRVM) — Secteur Bancaire</w:t>
        <w:br/>
        <w:t>*Date d'analyse : cours de référence à 31 500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**1 008 milliards FCFA**, CBIBF s'impose comme l'une des toutes premières capitalisations de la BRVM, ce qui en fait un titre phare de l'indice BRVM Composite et un pilier du compartiment bancaire régional. Le BPA de **2 047 FCFA/action** traduit la contribution bénéficiaire de chaque titre, et rapporté au cours actuel de 31 500 FCFA, il ressort un **PER de 15,4x**, soit un niveau modéré mais nettement supérieur à la moyenne historique du marché BRVM (généralement située entre 8x et 12x) : le marché consent donc une prime de qualité à la banque, cohérente avec sa rentabilité supérieure au secteur. Le ratio **EV/EBITDA de 11,4x** se situe dans la fourchette haute (10-15x), signalant que la valeur d'entreprise intègre déjà une bonne part des performances opérationnelles attendues, ce qui limite le potentiel de revalorisation par simple effet de multiple. Le P/B n'étant pas fourni dans les données, il n'est pas commenté ici ; l'absence de ce ratio empêche d'apprécier précisément la décote ou prime par rapport aux fonds propres comptables, mais la solidité du ROA (2,18%) et la croissance du résultat net suggèrent une valorisation cohérente avec la qualité des actifs.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**progression spectaculaire de +93,85%**, avec une dernière séance (J-1) encore positive de **+3,96%**, confirmant un momentum acheteur toujours présent à court terme. Le cours a évolué dans un range très large, entre un plus bas de **16 250 FCFA** et un plus haut de **34 450 FCFA**, soit un écart de plus de 112% entre les deux extrêmes — signe d'une tendance haussière puissante mais aussi d'une forte amplitude de trading. La tendance générale est donc clairement **haussière**, portée par la publication de résultats annuels 2025 exceptionnels (résultat net +36,6%). Les statistiques descriptives révèlent une **moyenne de 26 026 FCFA** légèrement inférieure à la **médiane de 27 350 FCFA**, écart modéré qui traduit une distribution quasi symétrique, confirmée par un **skewness de -0,133** (asymétrie très faible) : les mouvements haussiers et baissiers sont équilibrés, sans biais directionnel marqué dans la distribution. L'**écart-type de 4 984 FCFA** avec un **coefficient de variation de 19,2%** indique une dispersion modérée du cours autour de sa moyenne, tandis que le **kurtosis de -1,000 (mésokurtique)** signale une distribution proche de la normale, sans risque de pics extrêmes fréquents — un profil rassurant pour la gestion du risque. Enfin, la **volatilité annualisée de 44,0%** classe le titre dans la catégorie **élevée (&gt;30%)**, ce qui est cohérent avec la forte appréciation récente et invite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(32 572,75 FCFA) et la MM50 (30 004,80 FCFA) sont toutes deux inférieures au cours actuel de 31 500 FCFA pour la MM50 mais supérieures pour la MM20, ce qui place le cours en position charnière. La MM20 &gt; MM50 confirme une structure haussière de fond, et la décision technique affichée est **Achat**, soutenue par le fait que le cours reste globalement au-dessus de sa moyenne longue terme.</w:t>
      </w:r>
    </w:p>
    <w:p>
      <w:pPr>
        <w:spacing w:after="120" w:line="276" w:lineRule="auto"/>
      </w:pPr>
      <w:r>
        <w:t>**Bandes de Bollinger** : Le cours (31 500 FCFA) se situe à l'intérieur des bandes, entre la borne inférieure (29 197,69 FCFA) et la borne supérieure (35 947,81 FCFA), plus proche de la borne basse que de la haute. Cette position médiane, couplée à une volatilité élevée, justifie une décision **Neutre** : le titre n'est ni en surachat ni en survente, et une cassure de la borne supérieure serait nécessaire pour valider une nouvelle accélération.</w:t>
      </w:r>
    </w:p>
    <w:p>
      <w:pPr>
        <w:spacing w:after="120" w:line="276" w:lineRule="auto"/>
      </w:pPr>
      <w:r>
        <w:t>**MACD** : La valeur du MACD (365,34) est nettement inférieure à son signal (921,71), ce qui génère une configuration baissière avec un momentum en perte de vitesse. La décision **Vente** reflète cette divergence négative : bien que le titre reste haussier sur le long terme, la dynamique de court terme montre un essoufflement qu'il convient de surveiller.</w:t>
      </w:r>
    </w:p>
    <w:p>
      <w:pPr>
        <w:spacing w:after="120" w:line="276" w:lineRule="auto"/>
      </w:pPr>
      <w:r>
        <w:t>**RSI** : À **42,39**, le RSI se situe dans la zone neutre (30-70), sans signal de surachat ni de survente. La décision **Neutre** est cohérente : le titre dispose encore d'une marge de progression théorique avant d'atteindre la zone de surachat (&gt;70), mais le momentum n'est pas suffisamment fort pour justifier un signal d'achat agressif.</w:t>
      </w:r>
    </w:p>
    <w:p>
      <w:pPr>
        <w:spacing w:after="120" w:line="276" w:lineRule="auto"/>
      </w:pPr>
      <w:r>
        <w:t>**Stochastique** : Le %K (48,92) est supérieur au %D (25,69), ce qui constitue un croisement haussier potentiel (le %K croise au-dessus du %D), généralement interprété comme un signal d'achat naissant. Toutefois, la décision affichée reste **Neutre**, car les deux courbes évoluent encore en zone basse et le signal demande confirmation.</w:t>
      </w:r>
    </w:p>
    <w:p>
      <w:pPr>
        <w:spacing w:after="120" w:line="276" w:lineRule="auto"/>
      </w:pPr>
      <w:r>
        <w:t>**Conclusion technique** : Les indicateurs sont **partagés** — les moyennes mobiles et le stochastique penchent pour l'achat, tandis que le MACD signale une vente et que le RSI/Bollinger restent neutres. Cette divergence traduit une phase de consolidation après la forte hausse, avec un risque de correction à court terme mais une structure de fond toujours haussière. La prudence est de mise avant toute nouvelle entrée.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Coris Bank International affiche un **Produit Net Bancaire (PNB) de 138,986 milliards FCFA**, en croissance de **+6,11%**, et un **résultat net de 65,495 milliards FCFA**, en progression remarquable de **+36,6%** par rapport à 2024 (47,937 Mds FCFA). Le **coefficient d'exploitation de 36,39%** est excellent pour le secteur bancaire (&lt;50% = banque très efficace), traduisant une maîtrise rigoureuse des charges. Le **ROA de 2,18%** et la **marge nette de 47,12%** confirment une rentabilité solide, tandis que le **taux de croissance du PNB de 6,11%** témoigne d'une dynamique commerciale soutenue. Le **coût du risque** ressort à 16,5 milliards FCFA, en amélioration significative de -59,3% selon le rapport annuel 2025, ce qui traduit un assainissement réussi du portefeuille de crédits. Le ratio dépôts/crédits s'établit à **2 015,3 Mds FCFA de dépôts** pour **1 327 Mds FCFA de créances clientèle**, soit un ratio de transformation de 65,8%, indiquant une surliquidité confortable mais une capacité de déploiement du crédit encore perfectible.</w:t>
      </w:r>
    </w:p>
    <w:p>
      <w:pPr>
        <w:spacing w:after="120" w:line="276" w:lineRule="auto"/>
      </w:pPr>
      <w:r>
        <w:t>**Évolution temporelle** : L'exercice 2024 avait été marqué par une chute du résultat net (-25,4% à 47,9 Mds FCFA) due à l'explosion du coût du risque (+72,5%), avant un net redressement en 2025 (+36,6%). Cette cyclicité démontre la capacité de la banque à surmonter les chocs prudentiels.</w:t>
      </w:r>
    </w:p>
    <w:p>
      <w:pPr>
        <w:spacing w:after="120" w:line="276" w:lineRule="auto"/>
      </w:pPr>
      <w:r>
        <w:t>**Estimations basées sur les rapports trimestriels** : Le **rapport T1 2026 (publié en 2026)** confirme l'accélération avec un **PNB de 36,8 Mds FCFA (+28,5%)** et un **résultat net de 21,5 Mds FCFA (+22,2%)**, tandis que les dépôts bondissent de **+37,9% à 2 365,1 Mds FCFA**. Sur cette base, on peut estimer que l'exercice 2026 devrait afficher un résultat net annuel compris entre **75 et 80 milliards FCFA**, soit une croissance de 15-20% par rapport à 2025, portée par la forte collecte de dépôts et la maîtrise du coût du risque. Le rapport T3 2025 (30/09/2025) confirmait déjà cette dynamique avec un PNB de 101,3 Mds FCFA (+9,65%) et un résultat net de 52,9 Mds FCFA (+6,25%). La notation **AA/AI avec perspective stable** (Bloomfield) et le renforcement de la gouvernance (administrateurs indépendants) constituent des facteurs de confiance supplémentaires. **Recommandation fondamentale : solide, avec des perspectives favorables, mais une vigilance sur la concentration géographique (Burkina Faso) et les risques sécuritaires régionaux.**</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affiche un **PER de 15,4x** et un **EV/EBITDA de 11,4x**, soit des multiples modérés à élevés qui intègrent déjà une prime de qualité mais n'excluent pas une poursuite de la revalorisation si la croissance se confirme. Le comportement du cours (Partie 1) est **haussier (+93,85%)** avec une volatilité élevée (44%) mais une distribution symétrique et sans pics extrêmes (kurtosis -1,0, skewness -0,13), ce qui est rassurant pour la gestion du risque. Les signaux techniques (Partie 2) sont **divergents** : les moyennes mobiles et le stochastique sont haussiers, mais le MACD est baissier et le RSI/Bollinger neutres, suggérant une consolidation avant une nouvelle impulsion. Les fondamentaux (Partie 3) sont **excellents** : résultat net 2025 de 65,5 Mds FCFA (+36,6%), coefficient d'exploitation de 36,4%, et T1 2026 confirmant l'accélération (+22,2% de résultat net). Les **prédictions IA** anticipent une **baisse progressive** de 30 131 FCFA (J+1) à 28 815 FCFA (J+5), ce qui **contredit** le momentum haussier récent et confirme le signal baissier du MACD à court terme.</w:t>
      </w:r>
    </w:p>
    <w:p>
      <w:pPr>
        <w:spacing w:after="120" w:line="276" w:lineRule="auto"/>
      </w:pPr>
      <w:r>
        <w:t>**Recommandation finale** : **ACHAT** (avec prudence sur le point d'entrée). La convergence entre fondamentaux solides, valorisation raisonnable et perspectives de croissance (T1 2026) justifie une position acheteuse, mais la divergence technique à court terme et les prédictions baissières invitent à privilégier une **entrée progressive** sur repli vers 29 000-30 000 FCFA. Le niveau de confiance est **Moyen** (les fondamentaux sont solides mais les signaux techniques à court terme sont mitigés), et le risque global est **Moyen** (volatilité élevée, concentration géographique, incertitudes sécuritaires). L'horizon d'investissement optimal est le **moyen terme (3-12 mois)**, le temps que la consolidation technique s'achève et que la croissance bénéficiaire se matérialise dans les cours.</w:t>
      </w:r>
    </w:p>
    <w:p>
      <w:pPr>
        <w:spacing w:after="120" w:line="276" w:lineRule="auto"/>
      </w:pPr>
      <w:r>
        <w:t>---</w:t>
      </w:r>
    </w:p>
    <w:p>
      <w:pPr>
        <w:spacing w:after="120" w:line="276" w:lineRule="auto"/>
      </w:pPr>
      <w:r>
        <w:t>*Rapport généré sur la base des données officielles BRVM, des états financiers 2025 et des rapports trimestriels T1 2026, T3 2025, S1 2025 et T1 2025. Les estimations sont indicatives et ne constituent pas un conseil en investissement.*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282.03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3,698 titres</w:t>
            </w:r>
          </w:p>
        </w:tc>
        <w:tc>
          <w:tcPr>
            <w:tcW w:type="dxa" w:w="2268"/>
            <w:shd w:fill="FFF2CC" w:val="clear"/>
          </w:tcPr>
          <w:p>
            <w:r>
              <w:rPr>
                <w:b/>
                <w:color w:val="503200"/>
                <w:sz w:val="16"/>
              </w:rPr>
              <w:t xml:space="preserve">Cours actuel : </w:t>
            </w:r>
            <w:r>
              <w:rPr>
                <w:color w:val="000000"/>
                <w:sz w:val="17"/>
              </w:rPr>
              <w:t>1,555 FCFA</w:t>
            </w:r>
          </w:p>
          <w:p>
            <w:r>
              <w:rPr>
                <w:b/>
                <w:color w:val="503200"/>
                <w:sz w:val="16"/>
              </w:rPr>
              <w:t xml:space="preserve">Var. 100 jours : </w:t>
            </w:r>
            <w:r>
              <w:rPr>
                <w:b/>
                <w:color w:val="007800"/>
                <w:sz w:val="17"/>
              </w:rPr>
              <w:t>+8.74%</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6.64% (Moyenne) — μ=1,626 FCFA, σ=108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β=1.2405 (Agressif) — Cov=0.000084, Var(idx)=0.000068, ρ=0.336,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3,698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1,489</w:t>
            </w:r>
          </w:p>
        </w:tc>
        <w:tc>
          <w:tcPr>
            <w:tcW w:type="dxa" w:w="1440"/>
            <w:shd w:fill="FAFAFA" w:val="clear"/>
          </w:tcPr>
          <w:p>
            <w:r>
              <w:rPr>
                <w:b/>
                <w:sz w:val="17"/>
              </w:rPr>
              <w:t>1,554</w:t>
            </w:r>
          </w:p>
        </w:tc>
        <w:tc>
          <w:tcPr>
            <w:tcW w:type="dxa" w:w="1440"/>
            <w:shd w:fill="FAFAFA" w:val="clear"/>
          </w:tcPr>
          <w:p>
            <w:r>
              <w:rPr>
                <w:sz w:val="17"/>
              </w:rPr>
              <w:t>1,618</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1,470</w:t>
            </w:r>
          </w:p>
        </w:tc>
        <w:tc>
          <w:tcPr>
            <w:tcW w:type="dxa" w:w="1440"/>
            <w:shd w:fill="FAFAFA" w:val="clear"/>
          </w:tcPr>
          <w:p>
            <w:r>
              <w:rPr>
                <w:b/>
                <w:sz w:val="17"/>
              </w:rPr>
              <w:t>1,561</w:t>
            </w:r>
          </w:p>
        </w:tc>
        <w:tc>
          <w:tcPr>
            <w:tcW w:type="dxa" w:w="1440"/>
            <w:shd w:fill="FAFAFA" w:val="clear"/>
          </w:tcPr>
          <w:p>
            <w:r>
              <w:rPr>
                <w:sz w:val="17"/>
              </w:rPr>
              <w:t>1,652</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1,455</w:t>
            </w:r>
          </w:p>
        </w:tc>
        <w:tc>
          <w:tcPr>
            <w:tcW w:type="dxa" w:w="1440"/>
            <w:shd w:fill="FAFAFA" w:val="clear"/>
          </w:tcPr>
          <w:p>
            <w:r>
              <w:rPr>
                <w:b/>
                <w:sz w:val="17"/>
              </w:rPr>
              <w:t>1,568</w:t>
            </w:r>
          </w:p>
        </w:tc>
        <w:tc>
          <w:tcPr>
            <w:tcW w:type="dxa" w:w="1440"/>
            <w:shd w:fill="FAFAFA" w:val="clear"/>
          </w:tcPr>
          <w:p>
            <w:r>
              <w:rPr>
                <w:sz w:val="17"/>
              </w:rPr>
              <w:t>1,680</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1,444</w:t>
            </w:r>
          </w:p>
        </w:tc>
        <w:tc>
          <w:tcPr>
            <w:tcW w:type="dxa" w:w="1440"/>
            <w:shd w:fill="FAFAFA" w:val="clear"/>
          </w:tcPr>
          <w:p>
            <w:r>
              <w:rPr>
                <w:b/>
                <w:sz w:val="17"/>
              </w:rPr>
              <w:t>1,574</w:t>
            </w:r>
          </w:p>
        </w:tc>
        <w:tc>
          <w:tcPr>
            <w:tcW w:type="dxa" w:w="1440"/>
            <w:shd w:fill="FAFAFA" w:val="clear"/>
          </w:tcPr>
          <w:p>
            <w:r>
              <w:rPr>
                <w:sz w:val="17"/>
              </w:rPr>
              <w:t>1,704</w:t>
            </w:r>
          </w:p>
        </w:tc>
        <w:tc>
          <w:tcPr>
            <w:tcW w:type="dxa" w:w="1440"/>
            <w:shd w:fill="FAFAFA" w:val="clear"/>
          </w:tcPr>
          <w:p>
            <w:r>
              <w:rPr>
                <w:b/>
                <w:color w:val="008000"/>
                <w:sz w:val="17"/>
              </w:rPr>
              <w:t>+1.2%</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1,434</w:t>
            </w:r>
          </w:p>
        </w:tc>
        <w:tc>
          <w:tcPr>
            <w:tcW w:type="dxa" w:w="1440"/>
            <w:shd w:fill="FAFAFA" w:val="clear"/>
          </w:tcPr>
          <w:p>
            <w:r>
              <w:rPr>
                <w:b/>
                <w:sz w:val="17"/>
              </w:rPr>
              <w:t>1,581</w:t>
            </w:r>
          </w:p>
        </w:tc>
        <w:tc>
          <w:tcPr>
            <w:tcW w:type="dxa" w:w="1440"/>
            <w:shd w:fill="FAFAFA" w:val="clear"/>
          </w:tcPr>
          <w:p>
            <w:r>
              <w:rPr>
                <w:sz w:val="17"/>
              </w:rPr>
              <w:t>1,727</w:t>
            </w:r>
          </w:p>
        </w:tc>
        <w:tc>
          <w:tcPr>
            <w:tcW w:type="dxa" w:w="1440"/>
            <w:shd w:fill="FAFAFA" w:val="clear"/>
          </w:tcPr>
          <w:p>
            <w:r>
              <w:rPr>
                <w:b/>
                <w:color w:val="008000"/>
                <w:sz w:val="17"/>
              </w:rPr>
              <w:t>+1.7%</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1,426</w:t>
            </w:r>
          </w:p>
        </w:tc>
        <w:tc>
          <w:tcPr>
            <w:tcW w:type="dxa" w:w="1440"/>
            <w:shd w:fill="C6EFCE" w:val="clear"/>
          </w:tcPr>
          <w:p>
            <w:r>
              <w:rPr>
                <w:b/>
                <w:sz w:val="17"/>
              </w:rPr>
              <w:t>1,587</w:t>
            </w:r>
          </w:p>
        </w:tc>
        <w:tc>
          <w:tcPr>
            <w:tcW w:type="dxa" w:w="1440"/>
            <w:shd w:fill="C6EFCE" w:val="clear"/>
          </w:tcPr>
          <w:p>
            <w:r>
              <w:rPr>
                <w:sz w:val="17"/>
              </w:rPr>
              <w:t>1,748</w:t>
            </w:r>
          </w:p>
        </w:tc>
        <w:tc>
          <w:tcPr>
            <w:tcW w:type="dxa" w:w="1440"/>
            <w:shd w:fill="C6EFCE" w:val="clear"/>
          </w:tcPr>
          <w:p>
            <w:r>
              <w:rPr>
                <w:b/>
                <w:color w:val="008000"/>
                <w:sz w:val="17"/>
              </w:rPr>
              <w:t>+2.1%</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1,419</w:t>
            </w:r>
          </w:p>
        </w:tc>
        <w:tc>
          <w:tcPr>
            <w:tcW w:type="dxa" w:w="1440"/>
            <w:shd w:fill="C6EFCE" w:val="clear"/>
          </w:tcPr>
          <w:p>
            <w:r>
              <w:rPr>
                <w:b/>
                <w:sz w:val="17"/>
              </w:rPr>
              <w:t>1,594</w:t>
            </w:r>
          </w:p>
        </w:tc>
        <w:tc>
          <w:tcPr>
            <w:tcW w:type="dxa" w:w="1440"/>
            <w:shd w:fill="C6EFCE" w:val="clear"/>
          </w:tcPr>
          <w:p>
            <w:r>
              <w:rPr>
                <w:sz w:val="17"/>
              </w:rPr>
              <w:t>1,768</w:t>
            </w:r>
          </w:p>
        </w:tc>
        <w:tc>
          <w:tcPr>
            <w:tcW w:type="dxa" w:w="1440"/>
            <w:shd w:fill="C6EFCE" w:val="clear"/>
          </w:tcPr>
          <w:p>
            <w:r>
              <w:rPr>
                <w:b/>
                <w:color w:val="008000"/>
                <w:sz w:val="17"/>
              </w:rPr>
              <w:t>+2.5%</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1,413</w:t>
            </w:r>
          </w:p>
        </w:tc>
        <w:tc>
          <w:tcPr>
            <w:tcW w:type="dxa" w:w="1440"/>
            <w:shd w:fill="C6EFCE" w:val="clear"/>
          </w:tcPr>
          <w:p>
            <w:r>
              <w:rPr>
                <w:b/>
                <w:sz w:val="17"/>
              </w:rPr>
              <w:t>1,600</w:t>
            </w:r>
          </w:p>
        </w:tc>
        <w:tc>
          <w:tcPr>
            <w:tcW w:type="dxa" w:w="1440"/>
            <w:shd w:fill="C6EFCE" w:val="clear"/>
          </w:tcPr>
          <w:p>
            <w:r>
              <w:rPr>
                <w:sz w:val="17"/>
              </w:rPr>
              <w:t>1,787</w:t>
            </w:r>
          </w:p>
        </w:tc>
        <w:tc>
          <w:tcPr>
            <w:tcW w:type="dxa" w:w="1440"/>
            <w:shd w:fill="C6EFCE" w:val="clear"/>
          </w:tcPr>
          <w:p>
            <w:r>
              <w:rPr>
                <w:b/>
                <w:color w:val="008000"/>
                <w:sz w:val="17"/>
              </w:rPr>
              <w:t>+2.9%</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1,407</w:t>
            </w:r>
          </w:p>
        </w:tc>
        <w:tc>
          <w:tcPr>
            <w:tcW w:type="dxa" w:w="1440"/>
            <w:shd w:fill="C6EFCE" w:val="clear"/>
          </w:tcPr>
          <w:p>
            <w:r>
              <w:rPr>
                <w:b/>
                <w:sz w:val="17"/>
              </w:rPr>
              <w:t>1,606</w:t>
            </w:r>
          </w:p>
        </w:tc>
        <w:tc>
          <w:tcPr>
            <w:tcW w:type="dxa" w:w="1440"/>
            <w:shd w:fill="C6EFCE" w:val="clear"/>
          </w:tcPr>
          <w:p>
            <w:r>
              <w:rPr>
                <w:sz w:val="17"/>
              </w:rPr>
              <w:t>1,806</w:t>
            </w:r>
          </w:p>
        </w:tc>
        <w:tc>
          <w:tcPr>
            <w:tcW w:type="dxa" w:w="1440"/>
            <w:shd w:fill="C6EFCE" w:val="clear"/>
          </w:tcPr>
          <w:p>
            <w:r>
              <w:rPr>
                <w:b/>
                <w:color w:val="008000"/>
                <w:sz w:val="17"/>
              </w:rPr>
              <w:t>+3.3%</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1,401</w:t>
            </w:r>
          </w:p>
        </w:tc>
        <w:tc>
          <w:tcPr>
            <w:tcW w:type="dxa" w:w="1440"/>
            <w:shd w:fill="C6EFCE" w:val="clear"/>
          </w:tcPr>
          <w:p>
            <w:r>
              <w:rPr>
                <w:b/>
                <w:sz w:val="17"/>
              </w:rPr>
              <w:t>1,612</w:t>
            </w:r>
          </w:p>
        </w:tc>
        <w:tc>
          <w:tcPr>
            <w:tcW w:type="dxa" w:w="1440"/>
            <w:shd w:fill="C6EFCE" w:val="clear"/>
          </w:tcPr>
          <w:p>
            <w:r>
              <w:rPr>
                <w:sz w:val="17"/>
              </w:rPr>
              <w:t>1,823</w:t>
            </w:r>
          </w:p>
        </w:tc>
        <w:tc>
          <w:tcPr>
            <w:tcW w:type="dxa" w:w="1440"/>
            <w:shd w:fill="C6EFCE" w:val="clear"/>
          </w:tcPr>
          <w:p>
            <w:r>
              <w:rPr>
                <w:b/>
                <w:color w:val="008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 Distribution Automobile**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282,03 milliards FCFA, CFAC figure parmi les valeurs les plus importantes de la cote BRVM, ce qui témoigne de son statut de leader incontesté du marché automobile ivoirien. Le BPA de 26 FCFA/action signifie que chaque titre génère 26 FCFA de bénéfice net, un niveau modeste qui, rapporté au cours actuel de 1 555 FCFA, aboutit à un PER de 60,1x — soit environ cinq à sept fois supérieur à la moyenne du marché BRVM (8-12x), signalant une valorisation très exigeante et une prime spéculative importante. Le P/B de 14,50x confirme cette tendance : le marché valorise l'entreprise à plus de 14 fois sa valeur comptable, ce qui suppose une confiance extrême dans la capacité bénéficiaire future. Enfin, l'EV/EBITDA de 30,6x, très supérieur au seuil de 15x généralement considéré comme raisonnable, indique que la valeur d'entreprise intègre déjà une forte croissance opérationnelle. L'ensemble de ces ratios dessine une action chèrement valorisée, dont le potentiel haussier dépend étroitement de la concrétisation des performances attendues.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totale de +8,74%, avec une dernière séance en hausse de +0,97%, portant le cours actuel à 1 555 FCFA. Le range de trading s'est établi entre un plus bas de 1 325 FCFA et un plus haut de 1 825 FCFA, soit une amplitude de 500 FCFA (37,7%) qui traduit une forte agitation des prix. La tendance générale reste haussière sur la période, mais le cours actuel se situe nettement en dessous de son plus haut, suggérant une phase de correction ou de consolidation après un sommet. Les statistiques descriptives révèlent une moyenne de 1 626 FCFA légèrement supérieure à la médiane de 1 642 FCFA — un écart modeste — tandis que le mode à 1 600 FCFA indique un point d'équilibre psychologique fréquemment testé. L'écart-type de 108 FCFA (CV = 6,7%) témoigne d'une dispersion modérée autour de la moyenne, mais la volatilité annualisée de 48,0% classe le titre dans la catégorie des valeurs très volatiles (&gt;30%), ce qui implique un risque de perte en capital significatif à court terme. Le kurtosis de -0,242 (mésokurtique) suggère une distribution proche de la normale, sans pics extrêmes fréquents, tandis que le skewness de -0,600 (asymétrie négative) indique que les journées de baisse sont plus nombreuses mais de moindre amplitude que les hausses, une configuration typique d'un titre en correction après un rallye.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(1 671,5 FCFA) et la MM50 (1 672,7 FCFA) sont quasiment confondues et se situent toutes deux nettement au-dessus du cours actuel (1 555 FCFA), ce qui place le titre en position baissière à court et moyen terme. Cette configuration — cours sous des moyennes mobiles plates et proches l'une de l'autre — signale une absence de tendance directionnelle claire et justifie la décision technique de **Vente** : tant que le cours ne réintègre pas la zone des 1 670 FCFA, la pression baissière demeure dominante.</w:t>
      </w:r>
    </w:p>
    <w:p>
      <w:pPr>
        <w:spacing w:after="120" w:line="276" w:lineRule="auto"/>
      </w:pPr>
      <w:r>
        <w:t>**Bandes de Bollinger :** Le cours actuel (1 555 FCFA) évolue dans la partie basse du canal, entre la borne inférieure (1 512,4 FCFA) et la borne supérieure (1 830,6 FCFA), sans en avoir franchi les limites. Cette position médiane-basse, couplée à un écart-type de 108 FCFA, indique une volatilité contenue mais une pression vendeuse persistante. La décision **Neutre** s'explique par l'absence de signal extrême (ni surachat ni survente) : le titre flirte avec le bas du canal sans le percer, ce qui invite à la prudence plutôt qu'à l'action immédiate.</w:t>
      </w:r>
    </w:p>
    <w:p>
      <w:pPr>
        <w:spacing w:after="120" w:line="276" w:lineRule="auto"/>
      </w:pPr>
      <w:r>
        <w:t>**MACD :** La valeur du MACD (-39,381) est nettement inférieure à sa ligne de signal (-18,625), et les deux évoluent en territoire négatif. Cette divergence baissière confirme un momentum négatif installé : la dynamique de court terme reste clairement vendeuse, et la décision technique de **Vente** est cohérente avec cet indicateur. Un croisement du MACD au-dessus de sa ligne de signal serait nécessaire pour envisager un retournement.</w:t>
      </w:r>
    </w:p>
    <w:p>
      <w:pPr>
        <w:spacing w:after="120" w:line="276" w:lineRule="auto"/>
      </w:pPr>
      <w:r>
        <w:t>**RSI :** À 27,711, le RSI se situe en zone de survente (&lt;30), ce qui constitue un signal d'**Achat** technique. Cette lecture suggère que le titre a été excessivement vendu à court terme et qu'un rebond technique est probable. Cependant, en tendance baissière confirmée par les moyennes mobiles, un RSI en survente peut persister plusieurs séances avant que le rebond ne se matérialise — d'où la nécessité de croiser ce signal avec les autres indicateurs.</w:t>
      </w:r>
    </w:p>
    <w:p>
      <w:pPr>
        <w:spacing w:after="120" w:line="276" w:lineRule="auto"/>
      </w:pPr>
      <w:r>
        <w:t>**Stochastique :** Le %K (30,0) est supérieur au %D (17,692), et les deux évoluent en zone basse. Ce positionnement indique que le titre sort progressivement de la zone de survente, avec un début de croisement haussier potentiel. La décision **Neutre** reflète cette ambiguïté : le signal n'est ni franchement acheteur (le croisement n'est pas confirmé au-dessus de 20) ni franchement vendeur (les deux lignes remontent).</w:t>
      </w:r>
    </w:p>
    <w:p>
      <w:pPr>
        <w:spacing w:after="120" w:line="276" w:lineRule="auto"/>
      </w:pPr>
      <w:r>
        <w:t>**Conclusion technique :** Les indicateurs techniques sont majoritairement baissiers (MM, MACD) mais présentent des signaux de survente (RSI, Stochastique) qui pourraient annoncer un rebond à court terme. La configuration actuelle — cours sous les moyennes mobiles, MACD négatif, mais RSI en survente — est typique d'une phase de correction au sein d'une tendance haussière plus large. Une convergence haussière nécessiterait un franchissement des 1 670 FCFA (MM20/MM50) avec un MACD qui se redresse ; en l'absence de ce signal, la prudence reste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 chiffre d'affaires de 158,313 milliards FCFA, en baisse de -12,1% par rapport à 2023 (180,162 milliards FCFA), et un résultat net de 4,693 milliards FCFA, en recul de -26,7% (contre 6,399 milliards en 2023). Le ROE s'établit à 24,13% — un niveau excellent (&gt;15%) — et le ROA à 5,52%, confirmant la capacité de l'entreprise à générer des profits sur ses fonds propres malgré la contraction de l'activité. La marge nette de 2,96% et la marge opérationnelle de 4,96% traduisent une rentabilité sous pression, cohérente avec la baisse des volumes (-5,5% en véhicules) et la réglementation plus stricte sur le segment des petits véhicules de transport. Sur le plan de la structure financière, l'autonomie financière de 22,88% est inférieure au seuil de 30% considéré comme sain, et le ratio d'endettement de 23,07% (dettes totales/capitaux propres) reste toutefois maîtrisé. Le BFR est négatif (-3,482 milliards FCFA), ce qui est favorable car il signifie que les fournisseurs financent une partie du cycle d'exploitation ; les délais fournisseurs (81,75 jours) sont nettement supérieurs aux délais clients (36,64 jours), une configuration avantageuse pour la trésorerie. Cependant, la trésorerie nette est négative (-624,20 millions FCFA) et le Free Cash Flow s'établit à -1,650 milliard FCFA, reflétant les importants investissements en immobilisations corporelles (-8,706 milliards FCFA selon le rapport 2024) et le versement de dividendes (3,2 milliards FCFA).</w:t>
      </w:r>
    </w:p>
    <w:p>
      <w:pPr>
        <w:spacing w:after="120" w:line="276" w:lineRule="auto"/>
      </w:pPr>
      <w:r>
        <w:t>Les rapports trimestriels de 2025 (T1, S1, T3) — bien qu'antérieurs à la date d'analyse — montrent un redressement spectaculaire : au T1 2025 (rapport du 31/03/2025), le CA progresse de +14,5% à 46,161 milliards FCFA et le résultat net bondit de +279,7% à 3,836 milliards FCFA, avec une marge nette de 8,3% (contre 2,5% au T1 2024). Au S1 2025 (rapport du 30/06/2025), le CA atteint 91,182 milliards FCFA (+18,4%) et le résultat net 5,420 milliards FCFA (+152,7%), avec une marge nette de 5,9%. Au T3 2025 (rapport du 30/09/2025), le CA trimestriel s'élève à 43,580 milliards FCFA (+18,3%) et le résultat net à 1,489 milliard FCFA (+38,1%), avec une part de marché consolidée à 41,7%. Sur la base de ces tendances, on estime que l'exercice 2025 devrait afficher un CA annuel proche de 180-185 milliards FCFA (retour au niveau de 2023) et un résultat net de l'ordre de 7-8 milliards FCFA, soit une progression de +50% à +70% par rapport à 2024. Le rapport du 31/12/2024 (états financiers 2024) confirme les difficultés de l'exercice écoulé mais les perspectives 2025 (développement du réseau, nouvelles marques SHACMAN, LOVOL, BYD, digitalisation) soutiennent un scénario de reprise durable. La recommandation fondamentale est donc **CONSERVER** avec un biais positif : la solidité du ROE (24,13%), la position de leader (41,7% de part de marché) et le redressement trimestriel de 2025 compensent la valorisation exigeante et les risques liés à la cyclicité du marché automobile et à la pression concurrentielle.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notable entre la valorisation, le comportement du cours, les signaux techniques et les fondamentaux. La **valorisation (Partie 0)** est clairement surévaluée : PER de 60,1x, P/B de 14,50x et EV/EBITDA de 30,6x intègrent une prime spéculative très élevée, bien au-delà des standards du marché BRVM. Le **comportement du cours (Partie 1)** est mitigé : tendance haussière sur 100 jours (+8,74%) mais correction en cours depuis le plus haut de 1 825 FCFA, avec une volatilité annualisée de 48,0% (élevée) et une asymétrie négative (skewness -0,600) qui indique une pression vendeuse récente. Les **signaux techniques (Partie 2)** sont majoritairement baissiers (MM20/MM50 au-dessus du cours, MACD négatif) mais tempérés par un RSI en survente (27,7) et un stochastique en début de redressement, suggérant un possible rebond technique à court terme sans inversion de tendance. Les **fondamentaux (Partie 3)** sont solides mais contrastés : ROE excellent (24,13%), BFR négatif favorable, mais CA et résultat net en baisse en 2024 ; les rapports trimestriels 2025 montrent un redressement spectaculaire (+18,4% de CA au S1 2025, +152,7% de résultat net) qui pourrait ramener l'exercice 2025 à un niveau record. Les **prédictions IA (J+1 à J+10)** anticipent une trajectoire haussière modérée de 1 554 FCFA à 1 581 FCFA (+1,7% sur 10 jours), ce qui confirme le rebond technique attendu mais sans rupture majeure.</w:t>
      </w:r>
    </w:p>
    <w:p>
      <w:pPr>
        <w:spacing w:after="120" w:line="276" w:lineRule="auto"/>
      </w:pPr>
      <w:r>
        <w:t>Sur la base de cette synthèse, la recommandation finale est **CONSERVER** avec un biais positif. La convergence entre le rebond technique attendu (RSI en survente, prédictions IA haussières) et le redressement fondamental de 2025 (rapports T1/S1/T3 2025) soutient une position d'attente active, mais la valorisation extrêmement tendue (PER 60x) et la volatilité élevée (48%) interdisent un achat agressif à ces niveaux. Le niveau de confiance est **Moyen** : les signaux techniques et fondamentaux convergent partiellement, mais la surévaluation constitue un risque baissier non négligeable. Le niveau de risque global est **Élevé** en raison de la volatilité du titre, de la cyclicité du secteur automobile et de la prime de valorisation. L'horizon d'investissement optimal est **moyen terme (3-12 mois)** : le temps que les résultats 2025 se matérialisent et que la valorisation se normalise, avec un point d'entrée plus favorable envisageable autour de 1 450-1 500 FCFA (borne inférieure des Bollinger) et un objectif de sortie à 1 700-1 750 FCFA (zone des moyennes mobiles).</w:t>
      </w:r>
    </w:p>
    <w:p>
      <w:pPr>
        <w:spacing w:after="120" w:line="276" w:lineRule="auto"/>
      </w:pPr>
      <w:r>
        <w: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360.64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7,201 titres</w:t>
            </w:r>
          </w:p>
        </w:tc>
        <w:tc>
          <w:tcPr>
            <w:tcW w:type="dxa" w:w="2268"/>
            <w:shd w:fill="FFF2CC" w:val="clear"/>
          </w:tcPr>
          <w:p>
            <w:r>
              <w:rPr>
                <w:b/>
                <w:color w:val="503200"/>
                <w:sz w:val="16"/>
              </w:rPr>
              <w:t xml:space="preserve">Cours actuel : </w:t>
            </w:r>
            <w:r>
              <w:rPr>
                <w:color w:val="000000"/>
                <w:sz w:val="17"/>
              </w:rPr>
              <w:t>6,440 FCFA</w:t>
            </w:r>
          </w:p>
          <w:p>
            <w:r>
              <w:rPr>
                <w:b/>
                <w:color w:val="503200"/>
                <w:sz w:val="16"/>
              </w:rPr>
              <w:t xml:space="preserve">Var. 100 jours : </w:t>
            </w:r>
            <w:r>
              <w:rPr>
                <w:b/>
                <w:color w:val="007800"/>
                <w:sz w:val="17"/>
              </w:rPr>
              <w:t>+102.20%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3,010 FCFA</w:t>
            </w:r>
          </w:p>
          <w:p>
            <w:r>
              <w:rPr>
                <w:b/>
                <w:color w:val="503200"/>
                <w:sz w:val="16"/>
              </w:rPr>
              <w:t xml:space="preserve">Volatilité ann. : </w:t>
            </w:r>
            <w:r>
              <w:rPr>
                <w:color w:val="000000"/>
                <w:sz w:val="17"/>
              </w:rPr>
              <w:t>51.9%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20.97% (Élevée) — μ=5,313 FCFA, σ=1,114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β=0.7228 (Défensif) — Cov=0.000049, Var(idx)=0.000068, ρ=0.182,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7,201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annualisée≈51.9%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5,907</w:t>
            </w:r>
          </w:p>
        </w:tc>
        <w:tc>
          <w:tcPr>
            <w:tcW w:type="dxa" w:w="1440"/>
            <w:shd w:fill="FFDCE0" w:val="clear"/>
          </w:tcPr>
          <w:p>
            <w:r>
              <w:rPr>
                <w:b/>
                <w:sz w:val="17"/>
              </w:rPr>
              <w:t>6,282</w:t>
            </w:r>
          </w:p>
        </w:tc>
        <w:tc>
          <w:tcPr>
            <w:tcW w:type="dxa" w:w="1440"/>
            <w:shd w:fill="FFDCE0" w:val="clear"/>
          </w:tcPr>
          <w:p>
            <w:r>
              <w:rPr>
                <w:sz w:val="17"/>
              </w:rPr>
              <w:t>6,656</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5,660</w:t>
            </w:r>
          </w:p>
        </w:tc>
        <w:tc>
          <w:tcPr>
            <w:tcW w:type="dxa" w:w="1440"/>
            <w:shd w:fill="FFDCE0" w:val="clear"/>
          </w:tcPr>
          <w:p>
            <w:r>
              <w:rPr>
                <w:b/>
                <w:sz w:val="17"/>
              </w:rPr>
              <w:t>6,181</w:t>
            </w:r>
          </w:p>
        </w:tc>
        <w:tc>
          <w:tcPr>
            <w:tcW w:type="dxa" w:w="1440"/>
            <w:shd w:fill="FFDCE0" w:val="clear"/>
          </w:tcPr>
          <w:p>
            <w:r>
              <w:rPr>
                <w:sz w:val="17"/>
              </w:rPr>
              <w:t>6,702</w:t>
            </w:r>
          </w:p>
        </w:tc>
        <w:tc>
          <w:tcPr>
            <w:tcW w:type="dxa" w:w="1440"/>
            <w:shd w:fill="FFDCE0" w:val="clear"/>
          </w:tcPr>
          <w:p>
            <w:r>
              <w:rPr>
                <w:b/>
                <w:color w:val="C00000"/>
                <w:sz w:val="17"/>
              </w:rPr>
              <w:t>-4.0%</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5,460</w:t>
            </w:r>
          </w:p>
        </w:tc>
        <w:tc>
          <w:tcPr>
            <w:tcW w:type="dxa" w:w="1440"/>
            <w:shd w:fill="FFDCE0" w:val="clear"/>
          </w:tcPr>
          <w:p>
            <w:r>
              <w:rPr>
                <w:b/>
                <w:sz w:val="17"/>
              </w:rPr>
              <w:t>6,089</w:t>
            </w:r>
          </w:p>
        </w:tc>
        <w:tc>
          <w:tcPr>
            <w:tcW w:type="dxa" w:w="1440"/>
            <w:shd w:fill="FFDCE0" w:val="clear"/>
          </w:tcPr>
          <w:p>
            <w:r>
              <w:rPr>
                <w:sz w:val="17"/>
              </w:rPr>
              <w:t>6,718</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5,321</w:t>
            </w:r>
          </w:p>
        </w:tc>
        <w:tc>
          <w:tcPr>
            <w:tcW w:type="dxa" w:w="1440"/>
            <w:shd w:fill="FFDCE0" w:val="clear"/>
          </w:tcPr>
          <w:p>
            <w:r>
              <w:rPr>
                <w:b/>
                <w:sz w:val="17"/>
              </w:rPr>
              <w:t>6,042</w:t>
            </w:r>
          </w:p>
        </w:tc>
        <w:tc>
          <w:tcPr>
            <w:tcW w:type="dxa" w:w="1440"/>
            <w:shd w:fill="FFDCE0" w:val="clear"/>
          </w:tcPr>
          <w:p>
            <w:r>
              <w:rPr>
                <w:sz w:val="17"/>
              </w:rPr>
              <w:t>6,762</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5,209</w:t>
            </w:r>
          </w:p>
        </w:tc>
        <w:tc>
          <w:tcPr>
            <w:tcW w:type="dxa" w:w="1440"/>
            <w:shd w:fill="FFDCE0" w:val="clear"/>
          </w:tcPr>
          <w:p>
            <w:r>
              <w:rPr>
                <w:b/>
                <w:sz w:val="17"/>
              </w:rPr>
              <w:t>6,011</w:t>
            </w:r>
          </w:p>
        </w:tc>
        <w:tc>
          <w:tcPr>
            <w:tcW w:type="dxa" w:w="1440"/>
            <w:shd w:fill="FFDCE0" w:val="clear"/>
          </w:tcPr>
          <w:p>
            <w:r>
              <w:rPr>
                <w:sz w:val="17"/>
              </w:rPr>
              <w:t>6,812</w:t>
            </w:r>
          </w:p>
        </w:tc>
        <w:tc>
          <w:tcPr>
            <w:tcW w:type="dxa" w:w="1440"/>
            <w:shd w:fill="FFDCE0" w:val="clear"/>
          </w:tcPr>
          <w:p>
            <w:r>
              <w:rPr>
                <w:b/>
                <w:color w:val="C00000"/>
                <w:sz w:val="17"/>
              </w:rPr>
              <w:t>-6.7%</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5,111</w:t>
            </w:r>
          </w:p>
        </w:tc>
        <w:tc>
          <w:tcPr>
            <w:tcW w:type="dxa" w:w="1440"/>
            <w:shd w:fill="FFDCE0" w:val="clear"/>
          </w:tcPr>
          <w:p>
            <w:r>
              <w:rPr>
                <w:b/>
                <w:sz w:val="17"/>
              </w:rPr>
              <w:t>5,985</w:t>
            </w:r>
          </w:p>
        </w:tc>
        <w:tc>
          <w:tcPr>
            <w:tcW w:type="dxa" w:w="1440"/>
            <w:shd w:fill="FFDCE0" w:val="clear"/>
          </w:tcPr>
          <w:p>
            <w:r>
              <w:rPr>
                <w:sz w:val="17"/>
              </w:rPr>
              <w:t>6,860</w:t>
            </w:r>
          </w:p>
        </w:tc>
        <w:tc>
          <w:tcPr>
            <w:tcW w:type="dxa" w:w="1440"/>
            <w:shd w:fill="FFDCE0" w:val="clear"/>
          </w:tcPr>
          <w:p>
            <w:r>
              <w:rPr>
                <w:b/>
                <w:color w:val="C00000"/>
                <w:sz w:val="17"/>
              </w:rPr>
              <w:t>-7.1%</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5,024</w:t>
            </w:r>
          </w:p>
        </w:tc>
        <w:tc>
          <w:tcPr>
            <w:tcW w:type="dxa" w:w="1440"/>
            <w:shd w:fill="FFDCE0" w:val="clear"/>
          </w:tcPr>
          <w:p>
            <w:r>
              <w:rPr>
                <w:b/>
                <w:sz w:val="17"/>
              </w:rPr>
              <w:t>5,965</w:t>
            </w:r>
          </w:p>
        </w:tc>
        <w:tc>
          <w:tcPr>
            <w:tcW w:type="dxa" w:w="1440"/>
            <w:shd w:fill="FFDCE0" w:val="clear"/>
          </w:tcPr>
          <w:p>
            <w:r>
              <w:rPr>
                <w:sz w:val="17"/>
              </w:rPr>
              <w:t>6,906</w:t>
            </w:r>
          </w:p>
        </w:tc>
        <w:tc>
          <w:tcPr>
            <w:tcW w:type="dxa" w:w="1440"/>
            <w:shd w:fill="FFDCE0" w:val="clear"/>
          </w:tcPr>
          <w:p>
            <w:r>
              <w:rPr>
                <w:b/>
                <w:color w:val="C00000"/>
                <w:sz w:val="17"/>
              </w:rPr>
              <w:t>-7.4%</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4,945</w:t>
            </w:r>
          </w:p>
        </w:tc>
        <w:tc>
          <w:tcPr>
            <w:tcW w:type="dxa" w:w="1440"/>
            <w:shd w:fill="FFDCE0" w:val="clear"/>
          </w:tcPr>
          <w:p>
            <w:r>
              <w:rPr>
                <w:b/>
                <w:sz w:val="17"/>
              </w:rPr>
              <w:t>5,949</w:t>
            </w:r>
          </w:p>
        </w:tc>
        <w:tc>
          <w:tcPr>
            <w:tcW w:type="dxa" w:w="1440"/>
            <w:shd w:fill="FFDCE0" w:val="clear"/>
          </w:tcPr>
          <w:p>
            <w:r>
              <w:rPr>
                <w:sz w:val="17"/>
              </w:rPr>
              <w:t>6,952</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4,874</w:t>
            </w:r>
          </w:p>
        </w:tc>
        <w:tc>
          <w:tcPr>
            <w:tcW w:type="dxa" w:w="1440"/>
            <w:shd w:fill="FFDCE0" w:val="clear"/>
          </w:tcPr>
          <w:p>
            <w:r>
              <w:rPr>
                <w:b/>
                <w:sz w:val="17"/>
              </w:rPr>
              <w:t>5,937</w:t>
            </w:r>
          </w:p>
        </w:tc>
        <w:tc>
          <w:tcPr>
            <w:tcW w:type="dxa" w:w="1440"/>
            <w:shd w:fill="FFDCE0" w:val="clear"/>
          </w:tcPr>
          <w:p>
            <w:r>
              <w:rPr>
                <w:sz w:val="17"/>
              </w:rPr>
              <w:t>6,999</w:t>
            </w:r>
          </w:p>
        </w:tc>
        <w:tc>
          <w:tcPr>
            <w:tcW w:type="dxa" w:w="1440"/>
            <w:shd w:fill="FFDCE0" w:val="clear"/>
          </w:tcPr>
          <w:p>
            <w:r>
              <w:rPr>
                <w:b/>
                <w:color w:val="C00000"/>
                <w:sz w:val="17"/>
              </w:rPr>
              <w:t>-7.8%</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4,809</w:t>
            </w:r>
          </w:p>
        </w:tc>
        <w:tc>
          <w:tcPr>
            <w:tcW w:type="dxa" w:w="1440"/>
            <w:shd w:fill="FFDCE0" w:val="clear"/>
          </w:tcPr>
          <w:p>
            <w:r>
              <w:rPr>
                <w:b/>
                <w:sz w:val="17"/>
              </w:rPr>
              <w:t>5,927</w:t>
            </w:r>
          </w:p>
        </w:tc>
        <w:tc>
          <w:tcPr>
            <w:tcW w:type="dxa" w:w="1440"/>
            <w:shd w:fill="FFDCE0" w:val="clear"/>
          </w:tcPr>
          <w:p>
            <w:r>
              <w:rPr>
                <w:sz w:val="17"/>
              </w:rPr>
              <w:t>7,044</w:t>
            </w:r>
          </w:p>
        </w:tc>
        <w:tc>
          <w:tcPr>
            <w:tcW w:type="dxa" w:w="1440"/>
            <w:shd w:fill="FFDCE0" w:val="clear"/>
          </w:tcPr>
          <w:p>
            <w:r>
              <w:rPr>
                <w:b/>
                <w:color w:val="C00000"/>
                <w:sz w:val="17"/>
              </w:rPr>
              <w:t>-8.0%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 Bourse Régionale des Valeurs Mobilières (BRVM) — Secteur : Services Publics / Électricité</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360,64 Mds FCFA, la CIEC s'impose comme l'une des valeurs les plus importantes de la cote BRVM, ce qui traduit la confiance du marché dans ce monopole régulé de l'électricité ivoirienne. Le BPA de 234 FCFA/action indique ce que chaque titre rapporte en bénéfice net, tandis que le PER de 27,5x signale que les investisseurs paient environ 27,5 fois les bénéfices, soit un niveau nettement supérieur à la moyenne BRVM (~8-12x) — une prime qui intègre la croissance attendue et la stabilité du modèle de concession. Le P/B de 10,03x (largement au-dessus du seuil de 4x) montre que le marché valorise l'entreprise à dix fois sa valeur comptable, une prime exigeante qui s'explique par la faiblesse structurelle des capitaux propres (35,96 Mds FCFA) face à un actif total de 2 018 Mds FCFA. Enfin, l'EV/EBITDA de 14,8x, dans la fourchette haute (10-15x), confirme que la valeur d'entreprise rapportée à la capacité opérationnelle est chèrement valorisée, ce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progression spectaculaire de +102,20%, avec une dernière séance en hausse de +4,72%, portant le cours à 6 440 FCFA. Le titre a évolué dans un range très large, entre un plus bas de 3 010 FCFA et un plus haut de 7 400 FCFA, soit un écart de plus de 145%, ce qui témoigne d'une tendance nettement haussière mais aussi d'une forte nervosité. La moyenne (5 313 FCFA) est légèrement supérieure à la médiane (5 200 FCFA), signe d'une distribution très légèrement asymétrique à droite, tandis que le mode à 4 995 FCFA indique que le prix le plus fréquemment traité se situe en dessous de la moyenne — le titre a donc passé plus de temps dans la zone basse avant de s'envoler. L'écart-type de 1 120 FCFA avec un coefficient de variation de 21,1% traduit une dispersion modérée à élevée du cours autour de sa moyenne. Le kurtosis de -0,519 (mésokurtique) indique une distribution proche de la normale, sans risque excessif de pics extrêmes, et le skewness de -0,154 confirme une distribution quasi symétrique, sans biais marqué vers les rendements négatifs. La volatilité annualisée de 51,9% classe le titre dans la catégorie des valeurs à volatilité élevée (&gt;30%), ce qui est cohérent avec un mouvement de +102% en 100 jours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6 718 FCFA et la MM50 à 6 074,3 FCFA, toutes deux supérieures au cours actuel de 6 440 FCFA. Le cours évolue donc sous sa moyenne court terme mais au-dessus de sa moyenne moyen terme, configuration qui traduit une correction récente au sein d'une tendance haussière de fond. La décision affichée est « Achat », portée par le croisement haussier MM20 &gt; MM50, mais la position du cours sous la MM20 invite à la prudence à court terme.</w:t>
      </w:r>
    </w:p>
    <w:p>
      <w:pPr>
        <w:spacing w:after="120" w:line="276" w:lineRule="auto"/>
      </w:pPr>
      <w:r>
        <w:t>**Bandes de Bollinger** : La borne supérieure se situe à 7 417,02 FCFA et la borne inférieure à 6 018,98 FCFA, avec un cours actuel de 6 440 FCFA positionné dans la moitié basse du canal. Le cours est donc proche de la borne inférieure, ce qui suggère une pression vendeuse récente mais aussi un potentiel de rebond technique. La décision est « Neutre », les bandes étant larges (écart de ~1 400 FCFA) et reflétant la forte volatilité du titre.</w:t>
      </w:r>
    </w:p>
    <w:p>
      <w:pPr>
        <w:spacing w:after="120" w:line="276" w:lineRule="auto"/>
      </w:pPr>
      <w:r>
        <w:t>**MACD** : Le MACD affiche une valeur de 28,972 contre un signal à 152,483, soit un MACD nettement inférieur à sa ligne de signal — configuration baissière classique. Le momentum s'est clairement affaibli après le rallye, et la décision « Vente » signale que la dynamique haussière s'essouffle. Cette divergence négative plaide pour une consolidation voire une correction à court terme.</w:t>
      </w:r>
    </w:p>
    <w:p>
      <w:pPr>
        <w:spacing w:after="120" w:line="276" w:lineRule="auto"/>
      </w:pPr>
      <w:r>
        <w:t>**RSI** : À 36,667, le RSI se situe dans la zone neutre basse (30-70), sans atteindre la zone de survente (&lt;30). Le titre n'est donc ni suracheté ni survendu, mais la proximité de la zone de survente indique que la pression baissière récente a ramené le cours vers des niveaux plus raisonnables. La décision « Neutre » reflète cet équilibre précaire.</w:t>
      </w:r>
    </w:p>
    <w:p>
      <w:pPr>
        <w:spacing w:after="120" w:line="276" w:lineRule="auto"/>
      </w:pPr>
      <w:r>
        <w:t>**Stochastique** : Le %K s'établit à 23,2 et le %D à 7,733, tous deux en zone basse, avec un %K supérieur au %D — un croisement potentiellement haussier en formation. La décision reste toutefois « Neutre », le signal n'étant pas encore confirmé et le niveau bas pouvant aussi annoncer une poursuite de la baisse.</w:t>
      </w:r>
    </w:p>
    <w:p>
      <w:pPr>
        <w:spacing w:after="120" w:line="276" w:lineRule="auto"/>
      </w:pPr>
      <w:r>
        <w:t>**Conclusion technique** : Les indicateurs sont globalement divergents — les moyennes mobiles restent haussières (MM20 &gt; MM50), mais le MACD est baissier, le RSI neutre-bas et le stochastique en zone de survente. Le titre se trouve dans une phase de correction au sein d'une tendance haussière plus large, avec un cours coincé entre la borne basse de Bollinger et sa MM20. La prudence domine à court terme, mais la configuration des moyennes mobiles laisse entrevoir une reprise si le cours se stabilise au-dessus de 6 000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CIEC affiche un chiffre d'affaires de 302,32 Mds FCFA, en croissance de +14,82% par rapport à 2024 (263,29 Mds FCFA), portée par la hausse des ventes d'énergie (+8,3% en volume national, +21,7% à l'export) et par un nombre de clients atteignant 5 282 283. Le résultat net s'élève à 13,127 Mds FCFA, en progression de +24,4% (contre 10,526 Mds FCFA en 2024), avec une marge nette de 4,34% et une marge opérationnelle de 7,40%. Le ROE atteint un niveau exceptionnel de 36,50%, bien au-dessus du seuil de 15% considéré comme excellent, tandis que le ROA reste faible à 0,65% en raison de la structure bilancielle dominée par les actifs gérés pour le compte de l'Autorité concédante. En tant qu'entreprise non bancaire, les délais d'exploitation sont cruciaux : le délai client de 164 jours constitue un risque de trésorerie significatif, mais il est compensé par un délai fournisseur très élevé de 970 jours et un BFR négatif de -90,244 Mds FCFA — situation favorable qui signifie que l'entreprise finance son cycle d'exploitation par ses fournisseurs. L'endettement reste préoccupant avec un ratio d'endettement de 612,94% et une autonomie financière de seulement 1,78%, bien en dessous du seuil sain de 30%, même si la capacité de remboursement de 7,64 années et la couverture des intérêts de 617,75% rassurent sur la solvabilité à court terme.</w:t>
      </w:r>
    </w:p>
    <w:p>
      <w:pPr>
        <w:spacing w:after="120" w:line="276" w:lineRule="auto"/>
      </w:pPr>
      <w:r>
        <w:t>**Estimations basées sur les rapports** : Le rapport du 1er semestre 2025 (daté du 30/06/2025) indique un CA semestriel de 134,923 Mds FCFA (+18,85%) et un résultat net de 5,096 Mds FCFA (+13,37%), avec une marge nette légèrement en baisse à 3,8% sous l'effet de charges financières et fiscales plus lourdes. Sur cette base, on peut estimer que l'exercice 2025 complet devrait confirmer la dynamique annuelle de +14,8% de CA et de +24,4% de résultat net, ce qui est effectivement le cas dans les comptes annuels. Le rapport annuel 2025 (analysé le 21/05/2026) confirme un dividende par action de 234 FCFA, soit un taux de distribution de 99,8% du résultat net social — une politique très généreuse mais qui limite la capacité d'autofinancement. Le rapport 2024 (daté du 31/12/2024) montrait déjà un ROE de 26,3% et une marge nette de 4,0%, confirmant la trajectoire d'amélioration en 2025.</w:t>
      </w:r>
    </w:p>
    <w:p>
      <w:pPr>
        <w:spacing w:after="120" w:line="276" w:lineRule="auto"/>
      </w:pPr>
      <w:r>
        <w:t>**Recommandation fondamentale** : La CIEC présente des fondamentaux solides — croissance à deux chiffres du CA et du résultat net, ROE exceptionnel de 36,5%, BFR négatif favorable et dividende attractif de 234 FCFA/action (rendement de 3,63% au cours actuel de 6 440 FCFA). Les risques principaux résident dans le niveau d'endettement très élevé (dépendance financière de 98,22%), la faible autonomie financière (1,78%) et le risque de crédit client (délai de 164 jours). La valorisation exigeante (PER 27,5x, P/B 10,03x) intègre déjà ces bons résultats, ce qui limite le potentiel de revalorisation à court terme. La recommandation fondamentale est **CONSERVER**, avec une surveillance accrue de la trésorerie et des conditions de la concession.</w:t>
      </w:r>
    </w:p>
    <w:p>
      <w:pPr>
        <w:spacing w:after="120" w:line="276" w:lineRule="auto"/>
      </w:pPr>
      <w:r>
        <w:t>---</w:t>
      </w:r>
    </w:p>
    <w:p>
      <w:pPr>
        <w:spacing w:after="120" w:line="276" w:lineRule="auto"/>
      </w:pPr>
      <w:r>
        <w:t>## PARTIE 4 : CONCLUSION D'INVESTISSEMENT</w:t>
      </w:r>
    </w:p>
    <w:p>
      <w:pPr>
        <w:spacing w:after="120" w:line="276" w:lineRule="auto"/>
      </w:pPr>
      <w:r>
        <w:t>La valorisation de la CIEC apparaît exigeante (PER 27,5x contre une moyenne BRVM de 8-12x, P/B de 10,03x et EV/EBITDA de 14,8x), ce qui suggère que le marché a déjà intégré la croissance attendue et la prime de qualité liée au statut de monopole régulé. Le comportement du cours sur 100 jours est spectaculaire (+102,20%) mais la volatilité annualisée de 51,9% et la correction récente depuis le plus haut de 7 400 FCFA (cours actuel à 6 440 FCFA) indiquent une phase de consolidation, avec une distribution quasi symétrique (skewness -0,154) et sans risque excessif de pics extrêmes (kurtosis -0,519). Les signaux techniques sont divergents : les moyennes mobiles restent haussières (MM20 &gt; MM50), mais le MACD est baissier, le RSI neutre-bas (36,67) et le stochastique en zone de survente — le titre se trouve à un point d'inflexion où la tendance de fond pourrait reprendre si le support de 6 000 FCFA tient. Les fondamentaux sont solides (CA +14,8%, résultat net +24,4%, ROE 36,5%, dividende 234 FCFA), mais l'endettement élevé et la faible autonomie financière limitent la marge de manœuvre. Les prédictions IA pour les 10 prochains jours (6 282 → 6 011 FCFA) anticipent une poursuite de la correction baissière, ce qui contredit la décision « Achat » des moyennes mobiles mais confirme le signal « Vente » du MACD et la prudence du RSI. **Recommandation finale : CONSERVER**, avec un biais baissier à court terme — la convergence entre la valorisation élevée, le MACD baissier et les prédictions IA négatives suggère d'attendre une stabilisation autour de 6 000 FCFA avant tout renforcement. Le niveau de confiance est **Moyen** (divergence entre technique et fondamental), le risque global est **Élevé** (volatilité 51,9%, endettement 612,94%, valorisation tendue), et l'horizon optimal est **moyen terme (3-12 mois)** pour bénéficier du dividende et de la croissance, en surveillant le support de 6 000 FCFA comme niveau de stop-loss.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925.13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4,059 titres</w:t>
            </w:r>
          </w:p>
        </w:tc>
        <w:tc>
          <w:tcPr>
            <w:tcW w:type="dxa" w:w="2268"/>
            <w:shd w:fill="FFF2CC" w:val="clear"/>
          </w:tcPr>
          <w:p>
            <w:r>
              <w:rPr>
                <w:b/>
                <w:color w:val="503200"/>
                <w:sz w:val="16"/>
              </w:rPr>
              <w:t xml:space="preserve">Cours actuel : </w:t>
            </w:r>
            <w:r>
              <w:rPr>
                <w:color w:val="000000"/>
                <w:sz w:val="17"/>
              </w:rPr>
              <w:t>16,805 FCFA</w:t>
            </w:r>
          </w:p>
          <w:p>
            <w:r>
              <w:rPr>
                <w:b/>
                <w:color w:val="503200"/>
                <w:sz w:val="16"/>
              </w:rPr>
              <w:t xml:space="preserve">Var. 100 jours : </w:t>
            </w:r>
            <w:r>
              <w:rPr>
                <w:b/>
                <w:color w:val="007800"/>
                <w:sz w:val="17"/>
              </w:rPr>
              <w:t>+4.38%</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2.76% (Faible) — μ=16,540 FCFA, σ=456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β=0.2748 (Défensif) — Cov=0.000019, Var(idx)=0.000068, ρ=0.127,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σ_j=1.77%/j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16,352</w:t>
            </w:r>
          </w:p>
        </w:tc>
        <w:tc>
          <w:tcPr>
            <w:tcW w:type="dxa" w:w="1440"/>
            <w:shd w:fill="FAFAFA" w:val="clear"/>
          </w:tcPr>
          <w:p>
            <w:r>
              <w:rPr>
                <w:b/>
                <w:sz w:val="17"/>
              </w:rPr>
              <w:t>16,877</w:t>
            </w:r>
          </w:p>
        </w:tc>
        <w:tc>
          <w:tcPr>
            <w:tcW w:type="dxa" w:w="1440"/>
            <w:shd w:fill="FAFAFA" w:val="clear"/>
          </w:tcPr>
          <w:p>
            <w:r>
              <w:rPr>
                <w:sz w:val="17"/>
              </w:rPr>
              <w:t>17,402</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16,161</w:t>
            </w:r>
          </w:p>
        </w:tc>
        <w:tc>
          <w:tcPr>
            <w:tcW w:type="dxa" w:w="1440"/>
            <w:shd w:fill="FAFAFA" w:val="clear"/>
          </w:tcPr>
          <w:p>
            <w:r>
              <w:rPr>
                <w:b/>
                <w:sz w:val="17"/>
              </w:rPr>
              <w:t>16,904</w:t>
            </w:r>
          </w:p>
        </w:tc>
        <w:tc>
          <w:tcPr>
            <w:tcW w:type="dxa" w:w="1440"/>
            <w:shd w:fill="FAFAFA" w:val="clear"/>
          </w:tcPr>
          <w:p>
            <w:r>
              <w:rPr>
                <w:sz w:val="17"/>
              </w:rPr>
              <w:t>17,648</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16,020</w:t>
            </w:r>
          </w:p>
        </w:tc>
        <w:tc>
          <w:tcPr>
            <w:tcW w:type="dxa" w:w="1440"/>
            <w:shd w:fill="FAFAFA" w:val="clear"/>
          </w:tcPr>
          <w:p>
            <w:r>
              <w:rPr>
                <w:b/>
                <w:sz w:val="17"/>
              </w:rPr>
              <w:t>16,932</w:t>
            </w:r>
          </w:p>
        </w:tc>
        <w:tc>
          <w:tcPr>
            <w:tcW w:type="dxa" w:w="1440"/>
            <w:shd w:fill="FAFAFA" w:val="clear"/>
          </w:tcPr>
          <w:p>
            <w:r>
              <w:rPr>
                <w:sz w:val="17"/>
              </w:rPr>
              <w:t>17,844</w:t>
            </w:r>
          </w:p>
        </w:tc>
        <w:tc>
          <w:tcPr>
            <w:tcW w:type="dxa" w:w="1440"/>
            <w:shd w:fill="FAFAFA" w:val="clear"/>
          </w:tcPr>
          <w:p>
            <w:r>
              <w:rPr>
                <w:b/>
                <w:color w:val="008000"/>
                <w:sz w:val="17"/>
              </w:rPr>
              <w:t>+0.8%</w:t>
            </w:r>
          </w:p>
        </w:tc>
      </w:tr>
      <w:tr>
        <w:tc>
          <w:tcPr>
            <w:tcW w:type="dxa" w:w="1440"/>
            <w:shd w:fill="FAFAFA" w:val="clear"/>
          </w:tcPr>
          <w:p>
            <w:r>
              <w:rPr>
                <w:sz w:val="17"/>
              </w:rPr>
              <w:t>J+4  Moyenne</w:t>
            </w:r>
          </w:p>
        </w:tc>
        <w:tc>
          <w:tcPr>
            <w:tcW w:type="dxa" w:w="1440"/>
            <w:shd w:fill="FAFAFA" w:val="clear"/>
          </w:tcPr>
          <w:p>
            <w:r>
              <w:rPr>
                <w:sz w:val="17"/>
              </w:rPr>
              <w:t>2026-10-01</w:t>
            </w:r>
          </w:p>
        </w:tc>
        <w:tc>
          <w:tcPr>
            <w:tcW w:type="dxa" w:w="1440"/>
            <w:shd w:fill="FAFAFA" w:val="clear"/>
          </w:tcPr>
          <w:p>
            <w:r>
              <w:rPr>
                <w:sz w:val="17"/>
              </w:rPr>
              <w:t>15,901</w:t>
            </w:r>
          </w:p>
        </w:tc>
        <w:tc>
          <w:tcPr>
            <w:tcW w:type="dxa" w:w="1440"/>
            <w:shd w:fill="FAFAFA" w:val="clear"/>
          </w:tcPr>
          <w:p>
            <w:r>
              <w:rPr>
                <w:b/>
                <w:sz w:val="17"/>
              </w:rPr>
              <w:t>16,956</w:t>
            </w:r>
          </w:p>
        </w:tc>
        <w:tc>
          <w:tcPr>
            <w:tcW w:type="dxa" w:w="1440"/>
            <w:shd w:fill="FAFAFA" w:val="clear"/>
          </w:tcPr>
          <w:p>
            <w:r>
              <w:rPr>
                <w:sz w:val="17"/>
              </w:rPr>
              <w:t>18,010</w:t>
            </w:r>
          </w:p>
        </w:tc>
        <w:tc>
          <w:tcPr>
            <w:tcW w:type="dxa" w:w="1440"/>
            <w:shd w:fill="FAFAFA" w:val="clear"/>
          </w:tcPr>
          <w:p>
            <w:r>
              <w:rPr>
                <w:b/>
                <w:color w:val="008000"/>
                <w:sz w:val="17"/>
              </w:rPr>
              <w:t>+0.9%</w:t>
            </w:r>
          </w:p>
        </w:tc>
      </w:tr>
      <w:tr>
        <w:tc>
          <w:tcPr>
            <w:tcW w:type="dxa" w:w="1440"/>
            <w:shd w:fill="FAFAFA" w:val="clear"/>
          </w:tcPr>
          <w:p>
            <w:r>
              <w:rPr>
                <w:sz w:val="17"/>
              </w:rPr>
              <w:t>J+5  Moyenne</w:t>
            </w:r>
          </w:p>
        </w:tc>
        <w:tc>
          <w:tcPr>
            <w:tcW w:type="dxa" w:w="1440"/>
            <w:shd w:fill="FAFAFA" w:val="clear"/>
          </w:tcPr>
          <w:p>
            <w:r>
              <w:rPr>
                <w:sz w:val="17"/>
              </w:rPr>
              <w:t>2026-10-02</w:t>
            </w:r>
          </w:p>
        </w:tc>
        <w:tc>
          <w:tcPr>
            <w:tcW w:type="dxa" w:w="1440"/>
            <w:shd w:fill="FAFAFA" w:val="clear"/>
          </w:tcPr>
          <w:p>
            <w:r>
              <w:rPr>
                <w:sz w:val="17"/>
              </w:rPr>
              <w:t>15,796</w:t>
            </w:r>
          </w:p>
        </w:tc>
        <w:tc>
          <w:tcPr>
            <w:tcW w:type="dxa" w:w="1440"/>
            <w:shd w:fill="FAFAFA" w:val="clear"/>
          </w:tcPr>
          <w:p>
            <w:r>
              <w:rPr>
                <w:b/>
                <w:sz w:val="17"/>
              </w:rPr>
              <w:t>16,977</w:t>
            </w:r>
          </w:p>
        </w:tc>
        <w:tc>
          <w:tcPr>
            <w:tcW w:type="dxa" w:w="1440"/>
            <w:shd w:fill="FAFAFA" w:val="clear"/>
          </w:tcPr>
          <w:p>
            <w:r>
              <w:rPr>
                <w:sz w:val="17"/>
              </w:rPr>
              <w:t>18,158</w:t>
            </w:r>
          </w:p>
        </w:tc>
        <w:tc>
          <w:tcPr>
            <w:tcW w:type="dxa" w:w="1440"/>
            <w:shd w:fill="FAFAFA" w:val="clear"/>
          </w:tcPr>
          <w:p>
            <w:r>
              <w:rPr>
                <w:b/>
                <w:color w:val="008000"/>
                <w:sz w:val="17"/>
              </w:rPr>
              <w:t>+1.0%</w:t>
            </w:r>
          </w:p>
        </w:tc>
      </w:tr>
      <w:tr>
        <w:tc>
          <w:tcPr>
            <w:tcW w:type="dxa" w:w="1440"/>
            <w:shd w:fill="FAFAFA" w:val="clear"/>
          </w:tcPr>
          <w:p>
            <w:r>
              <w:rPr>
                <w:sz w:val="17"/>
              </w:rPr>
              <w:t>J+6  Moyenne</w:t>
            </w:r>
          </w:p>
        </w:tc>
        <w:tc>
          <w:tcPr>
            <w:tcW w:type="dxa" w:w="1440"/>
            <w:shd w:fill="FAFAFA" w:val="clear"/>
          </w:tcPr>
          <w:p>
            <w:r>
              <w:rPr>
                <w:sz w:val="17"/>
              </w:rPr>
              <w:t>2026-10-05</w:t>
            </w:r>
          </w:p>
        </w:tc>
        <w:tc>
          <w:tcPr>
            <w:tcW w:type="dxa" w:w="1440"/>
            <w:shd w:fill="FAFAFA" w:val="clear"/>
          </w:tcPr>
          <w:p>
            <w:r>
              <w:rPr>
                <w:sz w:val="17"/>
              </w:rPr>
              <w:t>15,703</w:t>
            </w:r>
          </w:p>
        </w:tc>
        <w:tc>
          <w:tcPr>
            <w:tcW w:type="dxa" w:w="1440"/>
            <w:shd w:fill="FAFAFA" w:val="clear"/>
          </w:tcPr>
          <w:p>
            <w:r>
              <w:rPr>
                <w:b/>
                <w:sz w:val="17"/>
              </w:rPr>
              <w:t>16,998</w:t>
            </w:r>
          </w:p>
        </w:tc>
        <w:tc>
          <w:tcPr>
            <w:tcW w:type="dxa" w:w="1440"/>
            <w:shd w:fill="FAFAFA" w:val="clear"/>
          </w:tcPr>
          <w:p>
            <w:r>
              <w:rPr>
                <w:sz w:val="17"/>
              </w:rPr>
              <w:t>18,293</w:t>
            </w:r>
          </w:p>
        </w:tc>
        <w:tc>
          <w:tcPr>
            <w:tcW w:type="dxa" w:w="1440"/>
            <w:shd w:fill="FAFAFA" w:val="clear"/>
          </w:tcPr>
          <w:p>
            <w:r>
              <w:rPr>
                <w:b/>
                <w:color w:val="008000"/>
                <w:sz w:val="17"/>
              </w:rPr>
              <w:t>+1.1%</w:t>
            </w:r>
          </w:p>
        </w:tc>
      </w:tr>
      <w:tr>
        <w:tc>
          <w:tcPr>
            <w:tcW w:type="dxa" w:w="1440"/>
            <w:shd w:fill="FAFAFA" w:val="clear"/>
          </w:tcPr>
          <w:p>
            <w:r>
              <w:rPr>
                <w:sz w:val="17"/>
              </w:rPr>
              <w:t>J+7  Moyenne</w:t>
            </w:r>
          </w:p>
        </w:tc>
        <w:tc>
          <w:tcPr>
            <w:tcW w:type="dxa" w:w="1440"/>
            <w:shd w:fill="FAFAFA" w:val="clear"/>
          </w:tcPr>
          <w:p>
            <w:r>
              <w:rPr>
                <w:sz w:val="17"/>
              </w:rPr>
              <w:t>2026-10-06</w:t>
            </w:r>
          </w:p>
        </w:tc>
        <w:tc>
          <w:tcPr>
            <w:tcW w:type="dxa" w:w="1440"/>
            <w:shd w:fill="FAFAFA" w:val="clear"/>
          </w:tcPr>
          <w:p>
            <w:r>
              <w:rPr>
                <w:sz w:val="17"/>
              </w:rPr>
              <w:t>15,618</w:t>
            </w:r>
          </w:p>
        </w:tc>
        <w:tc>
          <w:tcPr>
            <w:tcW w:type="dxa" w:w="1440"/>
            <w:shd w:fill="FAFAFA" w:val="clear"/>
          </w:tcPr>
          <w:p>
            <w:r>
              <w:rPr>
                <w:b/>
                <w:sz w:val="17"/>
              </w:rPr>
              <w:t>17,019</w:t>
            </w:r>
          </w:p>
        </w:tc>
        <w:tc>
          <w:tcPr>
            <w:tcW w:type="dxa" w:w="1440"/>
            <w:shd w:fill="FAFAFA" w:val="clear"/>
          </w:tcPr>
          <w:p>
            <w:r>
              <w:rPr>
                <w:sz w:val="17"/>
              </w:rPr>
              <w:t>18,420</w:t>
            </w:r>
          </w:p>
        </w:tc>
        <w:tc>
          <w:tcPr>
            <w:tcW w:type="dxa" w:w="1440"/>
            <w:shd w:fill="FAFAFA" w:val="clear"/>
          </w:tcPr>
          <w:p>
            <w:r>
              <w:rPr>
                <w:b/>
                <w:color w:val="008000"/>
                <w:sz w:val="17"/>
              </w:rPr>
              <w:t>+1.3%</w:t>
            </w:r>
          </w:p>
        </w:tc>
      </w:tr>
      <w:tr>
        <w:tc>
          <w:tcPr>
            <w:tcW w:type="dxa" w:w="1440"/>
            <w:shd w:fill="FAFAFA" w:val="clear"/>
          </w:tcPr>
          <w:p>
            <w:r>
              <w:rPr>
                <w:sz w:val="17"/>
              </w:rPr>
              <w:t>J+8  Moyenne</w:t>
            </w:r>
          </w:p>
        </w:tc>
        <w:tc>
          <w:tcPr>
            <w:tcW w:type="dxa" w:w="1440"/>
            <w:shd w:fill="FAFAFA" w:val="clear"/>
          </w:tcPr>
          <w:p>
            <w:r>
              <w:rPr>
                <w:sz w:val="17"/>
              </w:rPr>
              <w:t>2026-10-07</w:t>
            </w:r>
          </w:p>
        </w:tc>
        <w:tc>
          <w:tcPr>
            <w:tcW w:type="dxa" w:w="1440"/>
            <w:shd w:fill="FAFAFA" w:val="clear"/>
          </w:tcPr>
          <w:p>
            <w:r>
              <w:rPr>
                <w:sz w:val="17"/>
              </w:rPr>
              <w:t>15,540</w:t>
            </w:r>
          </w:p>
        </w:tc>
        <w:tc>
          <w:tcPr>
            <w:tcW w:type="dxa" w:w="1440"/>
            <w:shd w:fill="FAFAFA" w:val="clear"/>
          </w:tcPr>
          <w:p>
            <w:r>
              <w:rPr>
                <w:b/>
                <w:sz w:val="17"/>
              </w:rPr>
              <w:t>17,039</w:t>
            </w:r>
          </w:p>
        </w:tc>
        <w:tc>
          <w:tcPr>
            <w:tcW w:type="dxa" w:w="1440"/>
            <w:shd w:fill="FAFAFA" w:val="clear"/>
          </w:tcPr>
          <w:p>
            <w:r>
              <w:rPr>
                <w:sz w:val="17"/>
              </w:rPr>
              <w:t>18,538</w:t>
            </w:r>
          </w:p>
        </w:tc>
        <w:tc>
          <w:tcPr>
            <w:tcW w:type="dxa" w:w="1440"/>
            <w:shd w:fill="FAFAFA" w:val="clear"/>
          </w:tcPr>
          <w:p>
            <w:r>
              <w:rPr>
                <w:b/>
                <w:color w:val="008000"/>
                <w:sz w:val="17"/>
              </w:rPr>
              <w:t>+1.4%</w:t>
            </w:r>
          </w:p>
        </w:tc>
      </w:tr>
      <w:tr>
        <w:tc>
          <w:tcPr>
            <w:tcW w:type="dxa" w:w="1440"/>
            <w:shd w:fill="FAFAFA" w:val="clear"/>
          </w:tcPr>
          <w:p>
            <w:r>
              <w:rPr>
                <w:sz w:val="17"/>
              </w:rPr>
              <w:t>J+9  Moyenne</w:t>
            </w:r>
          </w:p>
        </w:tc>
        <w:tc>
          <w:tcPr>
            <w:tcW w:type="dxa" w:w="1440"/>
            <w:shd w:fill="FAFAFA" w:val="clear"/>
          </w:tcPr>
          <w:p>
            <w:r>
              <w:rPr>
                <w:sz w:val="17"/>
              </w:rPr>
              <w:t>2026-10-08</w:t>
            </w:r>
          </w:p>
        </w:tc>
        <w:tc>
          <w:tcPr>
            <w:tcW w:type="dxa" w:w="1440"/>
            <w:shd w:fill="FAFAFA" w:val="clear"/>
          </w:tcPr>
          <w:p>
            <w:r>
              <w:rPr>
                <w:sz w:val="17"/>
              </w:rPr>
              <w:t>15,467</w:t>
            </w:r>
          </w:p>
        </w:tc>
        <w:tc>
          <w:tcPr>
            <w:tcW w:type="dxa" w:w="1440"/>
            <w:shd w:fill="FAFAFA" w:val="clear"/>
          </w:tcPr>
          <w:p>
            <w:r>
              <w:rPr>
                <w:b/>
                <w:sz w:val="17"/>
              </w:rPr>
              <w:t>17,059</w:t>
            </w:r>
          </w:p>
        </w:tc>
        <w:tc>
          <w:tcPr>
            <w:tcW w:type="dxa" w:w="1440"/>
            <w:shd w:fill="FAFAFA" w:val="clear"/>
          </w:tcPr>
          <w:p>
            <w:r>
              <w:rPr>
                <w:sz w:val="17"/>
              </w:rPr>
              <w:t>18,651</w:t>
            </w:r>
          </w:p>
        </w:tc>
        <w:tc>
          <w:tcPr>
            <w:tcW w:type="dxa" w:w="1440"/>
            <w:shd w:fill="FAFAFA" w:val="clear"/>
          </w:tcPr>
          <w:p>
            <w:r>
              <w:rPr>
                <w:b/>
                <w:color w:val="008000"/>
                <w:sz w:val="17"/>
              </w:rPr>
              <w:t>+1.5%</w:t>
            </w:r>
          </w:p>
        </w:tc>
      </w:tr>
      <w:tr>
        <w:tc>
          <w:tcPr>
            <w:tcW w:type="dxa" w:w="1440"/>
            <w:shd w:fill="FAFAFA" w:val="clear"/>
          </w:tcPr>
          <w:p>
            <w:r>
              <w:rPr>
                <w:sz w:val="17"/>
              </w:rPr>
              <w:t>J+10  Moyenne</w:t>
            </w:r>
          </w:p>
        </w:tc>
        <w:tc>
          <w:tcPr>
            <w:tcW w:type="dxa" w:w="1440"/>
            <w:shd w:fill="FAFAFA" w:val="clear"/>
          </w:tcPr>
          <w:p>
            <w:r>
              <w:rPr>
                <w:sz w:val="17"/>
              </w:rPr>
              <w:t>2026-10-09</w:t>
            </w:r>
          </w:p>
        </w:tc>
        <w:tc>
          <w:tcPr>
            <w:tcW w:type="dxa" w:w="1440"/>
            <w:shd w:fill="FAFAFA" w:val="clear"/>
          </w:tcPr>
          <w:p>
            <w:r>
              <w:rPr>
                <w:sz w:val="17"/>
              </w:rPr>
              <w:t>15,399</w:t>
            </w:r>
          </w:p>
        </w:tc>
        <w:tc>
          <w:tcPr>
            <w:tcW w:type="dxa" w:w="1440"/>
            <w:shd w:fill="FAFAFA" w:val="clear"/>
          </w:tcPr>
          <w:p>
            <w:r>
              <w:rPr>
                <w:b/>
                <w:sz w:val="17"/>
              </w:rPr>
              <w:t>17,079</w:t>
            </w:r>
          </w:p>
        </w:tc>
        <w:tc>
          <w:tcPr>
            <w:tcW w:type="dxa" w:w="1440"/>
            <w:shd w:fill="FAFAFA" w:val="clear"/>
          </w:tcPr>
          <w:p>
            <w:r>
              <w:rPr>
                <w:sz w:val="17"/>
              </w:rPr>
              <w:t>18,759</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925,13 milliards FCFA, ECOC figure parmi les valeurs les plus capitalisées de la BRVM, ce qui en fait un pilier de l'indice composite et un titre de référence pour les investisseurs institutionnels de la zone UEMOA. Le BPA de 1 153 FCFA/action signifie que chaque titre génère un bénéfice net de plus de mille francs CFA, un niveau élevé qui traduit la forte rentabilité de la banque. Le PER de 14,6x se situe au-dessus de la moyenne du marché BRVM (généralement comprise entre 8 et 12x), ce qui indique que les investisseurs acceptent de payer une prime pour la qualité de la signature ECOC, sans que cela constitue une valorisation excessive au regard des standards bancaires régionaux. En revanche, le P/B de 4,23x traduit une valorisation nettement supérieure à la valeur comptable (prime de plus de 320%), ce qui est exigeant et suppose que le marché anticipe une rentabilité durablement élevée des fonds propres. Enfin, l'EV/EBITDA de 14,2x, situé dans la fourchette haute (10-15x), confirme que la valeur d'entreprise intègre une prime de qualité, cohérente avec le ROE structurellement supérieur à 25% de l'établissement.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affiche une variation positive de +4,38%, avec une dernière séance en hausse de +1,23%, portant le cours actuel à 16 805 FCFA pour une capitalisation de 925,13 milliards FCFA. Le range de trading s'établit entre un plus bas de 15 520 FCFA et un plus haut de 17 725 FCFA, soit une amplitude d'environ 14%, ce qui reste contenu pour une valeur bancaire de cette taille. La tendance générale est donc modérément haussière, le cours évoluant dans la partie haute de son canal après avoir consolidé au-dessus des 16 000 FCFA. Les statistiques descriptives révèlent une moyenne de 16 540 FCFA légèrement supérieure à la médiane de 16 500 FCFA, avec un mode à 16 300 FCFA : cet écart marginal indique une distribution quasi symétrique, confirmée par un skewness de 0,369 (distribution symétrique selon l'interprétation fournie). L'écart-type de 459 FCFA, soit un coefficient de variation de seulement 2,8%, témoigne d'une dispersion très faible du cours autour de sa moyenne, signe d'une grande stabilité. Le kurtosis de -0,235 (mésokurtique, proche d'une distribution normale) suggère une absence de risque de pics extrêmes, ce qui est rassurant pour la gestion du risque. Avec une volatilité annualisée de 28,2%, le titre se situe dans la fourchette modérée (15-30%), ce qui est cohérent avec un profil de valeur défensive et liquide de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17 110,75 FCFA et la MM50 à 16 593,0 FCFA, toutes deux supérieures au cours actuel de 16 805 FCFA pour la MM20 mais inférieure pour la MM50, ce qui crée une configuration ambiguë. Le cours évolue sous sa moyenne court terme mais au-dessus de sa moyenne moyen terme, signalant une correction temporaire dans une tendance de fond haussière. La décision affichée est « Achat », justifiée par le maintien du cours au-dessus de la MM50 et la perspective d'un rebond vers la MM20.</w:t>
      </w:r>
    </w:p>
    <w:p>
      <w:pPr>
        <w:spacing w:after="120" w:line="276" w:lineRule="auto"/>
      </w:pPr>
      <w:r>
        <w:t>**Bandes de Bollinger** : La borne supérieure se situe à 17 790,73 FCFA et la borne inférieure à 16 430,77 FCFA, avec un cours actuel de 16 805 FCFA positionné dans la moitié basse du canal. Cette position suggère que le titre n'est ni suracheté ni survendu, mais plutôt en phase de consolidation après avoir testé les sommets. La décision « Neutre » reflète l'absence de signal directionnel fort, la volatilité restant modérée avec un canal relativement étroit.</w:t>
      </w:r>
    </w:p>
    <w:p>
      <w:pPr>
        <w:spacing w:after="120" w:line="276" w:lineRule="auto"/>
      </w:pPr>
      <w:r>
        <w:t>**MACD** : La valeur du MACD (32,162) est nettement inférieure à son signal (115,81), ce qui génère un croisement baissier et une divergence négative. Ce momentum affaibli indique que la dynamique haussière des dernières semaines s'essouffle, justifiant la décision « Vente » à court terme. Toutefois, la valeur positive du MACD suggère que la tendance de fond reste haussière, la correction n'étant pas encore confirmée en retournement.</w:t>
      </w:r>
    </w:p>
    <w:p>
      <w:pPr>
        <w:spacing w:after="120" w:line="276" w:lineRule="auto"/>
      </w:pPr>
      <w:r>
        <w:t>**RSI** : À 38,662, le RSI se situe dans la zone neutre basse (30-70), sans atteindre le seuil de survente (&lt;30). Cette configuration indique que le titre n'est pas encore techniquement survendu, mais qu'il se rapproche d'une zone de rebond potentiel. La décision « Neutre » est cohérente avec cette position médiane, qui n'offre pas de signal d'achat ou de vente clair.</w:t>
      </w:r>
    </w:p>
    <w:p>
      <w:pPr>
        <w:spacing w:after="120" w:line="276" w:lineRule="auto"/>
      </w:pPr>
      <w:r>
        <w:t>**Stochastique** : Le %K (18,721) est supérieur au %D (6,24), ce qui génère un croisement haussier en zone de survente (les deux valeurs étant inférieures à 20). Ce signal est généralement considéré comme un indicateur d'achat à court terme, justifiant la décision « Achat ». Il suggère que la pression vendeuse s'épuise et qu'un rebond technique est probable dans les prochaines séances.</w:t>
      </w:r>
    </w:p>
    <w:p>
      <w:pPr>
        <w:spacing w:after="120" w:line="276" w:lineRule="auto"/>
      </w:pPr>
      <w:r>
        <w:t>**Conclusion technique** : Les indicateurs présentent une divergence notable : le MACD est baissier tandis que le stochastique est haussier, et les moyennes mobiles envoient un signal d'achat mitigé. Le RSI et les Bandes de Bollinger restent neutres, reflétant une phase d'indécision du marché. Dans ce contexte, le titre semble en consolidation avec un potentiel de rebond à court terme porté par le stochastique, mais la faiblesse du MACD invite à la prudence avant tout renforcement de position.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révèlent une banque solide et rentable : le Produit Net Bancaire (équivalent du chiffre d'affaires pour une banque) s'établit à 132,725 milliards FCFA, pour un résultat net de 63,482 milliards FCFA, soit une marge nette exceptionnelle de 47,83%. Le ROE atteint 29,04% (largement supérieur au seuil de 15% considéré comme excellent) et le ROA 3,09%, confirmant une création de valeur élevée sur les fonds propres et les actifs. Le coefficient d'exploitation de 42,89% est excellent (&lt; 50%), traduisant une grande efficacité opérationnelle, tandis que le coût du risque rapporté aux charges financières est contenu à 1,36%, signe d'un portefeuille de crédit globalement maîtrisé. La structure financière montre une autonomie financière de 10,64% (capitaux propres/total bilan), typique du modèle bancaire où les dépôts clientèle (1 626,223 milliards FCFA) constituent la principale ressource, avec un ratio de transformation (crédits/dépôts) de seulement 64,6%, laissant une marge de déploiement importante. Les rapports trimestriels confirment cette dynamique : le rapport T3 2025 (30/09/2025) affiche un PNB de 96,4 milliards FCFA (+11,3%) et un résultat net de 44,4 milliards FCFA (+15,4%), avec un ROE de 29,7% et un coefficient d'exploitation de 44,7%. Le rapport S1 2026 (publié le 26/08/2026) marque toutefois un ralentissement : le PNB ne progresse que de +2,0% à 64,078 milliards FCFA et le résultat net recule de -8,6% à 26,408 milliards FCFA, sous l'effet d'un coût du risque multiplié par 7,4 à 5,197 milliards FCFA (provisionnement prudent, créances en souffrance +21,5% à 45,3 milliards FCFA, taux de couverture de 90%). Sur la base de ce rapport S1 2026, on peut estimer que l'exercice 2026 devrait afficher un résultat net annuel compris entre 52 et 56 milliards FCFA (contre 63,5 milliards en 2025), soit une contraction de 12-18%, mais avec un ROE qui resterait supérieur à 25%, maintenant la banque parmi les meilleures de la BRVM. La proposition de dividende de 888 FCFA brut par action (781 FCFA net) pour 2025, en hausse de 10,4% par rapport aux 804 FCFA de 2024, offre un rendement attractif d'environ 5,3% au cours actuel, renforçant l'attrait du titre pour les investisseurs de rendement. En synthèse, ECOC demeure un dossier fondamentalement solide, dont la récente baisse de résultat est conjoncturelle (provisionnement) et non structurelle, avec des perspectives de normalisation du coût du risque au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exigeante mais justifiée : le PER de 14,6x offre une prime de qualité par rapport au marché BRVM, tandis que le P/B de 4,23x et l'EV/EBITDA de 14,2x intègrent la rentabilité structurellement élevée de la banque, sans constituer une bulle spéculative. Le comportement du cours (Partie 1) est rassurant : la tendance est modérément haussière (+4,38% sur 100 jours), la volatilité est modérée (28,2%), et les statistiques descriptives (CV de 2,8%, kurtosis proche de zéro, skewness symétrique) indiquent une grande stabilité sans risque de pics extrêmes. Les signaux techniques (Partie 2) sont mitigés : le stochastique haussier et les moyennes mobiles en « Achat » s'opposent au MACD baissier, tandis que le RSI et les Bandes de Bollinger restent neutres, suggérant une consolidation avant un rebond potentiel. Les fondamentaux (Partie 3) demeurent solides malgré le repli du S1 2026 : le ROE de 29% en 2025, le coefficient d'exploitation de 42,9% et le dividende de 888 FCFA (rendement ~5,3%) constituent des atouts majeurs, la baisse du résultat net étant attribuable à un provisionnement prudent et non à une dégradation structurelle. Les prédictions IA (J+1 à J+10) anticipent une trajectoire haussière modérée, de 16 877 FCFA à 16 977 FCFA, ce qui confirme la thèse d'un rebond technique progressif sans excès. Sur la base de cette synthèse globale, la recommandation finale est **CONSERVER**, avec un niveau de confiance **Moyen** et un niveau de risque global **Moyen**. La convergence entre valorisation exigeante, technique en consolidation, fondamentaux solides et prédictions haussières modérées plaide pour une position de détention, en attendant la confirmation de la normalisation du coût du risque au second semestre 2026 et la publication des résultats annuels. L'horizon d'investissement optimal est le **moyen terme (3-12 mois)**, période durant laquelle le titre devrait bénéficier du versement du dividende (prévu le 22 mai 2026) et de l'amélioration progressive de la qualité du portefeuille de crédit. Un passage à **ACHAT** serait justifié si le coût du risque se stabilise au S2 2026 et si le dividende 2026 est maintenu à un niveau attractif, tandis qu'un passage à **VENTE** serait envisagé en cas de dégradation persistante des créances en souffrance au-delà de 6% du portefeuille.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1247.80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1,660,927 titres</w:t>
            </w:r>
          </w:p>
        </w:tc>
        <w:tc>
          <w:tcPr>
            <w:tcW w:type="dxa" w:w="2268"/>
            <w:shd w:fill="FFF2CC" w:val="clear"/>
          </w:tcPr>
          <w:p>
            <w:r>
              <w:rPr>
                <w:b/>
                <w:color w:val="503200"/>
                <w:sz w:val="16"/>
              </w:rPr>
              <w:t xml:space="preserve">Cours actuel : </w:t>
            </w:r>
            <w:r>
              <w:rPr>
                <w:color w:val="000000"/>
                <w:sz w:val="17"/>
              </w:rPr>
              <w:t>69 FCFA</w:t>
            </w:r>
          </w:p>
          <w:p>
            <w:r>
              <w:rPr>
                <w:b/>
                <w:color w:val="503200"/>
                <w:sz w:val="16"/>
              </w:rPr>
              <w:t xml:space="preserve">Var. 100 jours : </w:t>
            </w:r>
            <w:r>
              <w:rPr>
                <w:b/>
                <w:color w:val="007800"/>
                <w:sz w:val="17"/>
              </w:rPr>
              <w:t>+130.00%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33.33% (Élevée) — μ=53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β=2.0867 (Très agressif) — Cov=0.000141, Var(idx)=0.000068, ρ=0.435,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1,660,927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σ_j=3.92%/j (Modérée) — Vol. annualisée≈62.2%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65</w:t>
            </w:r>
          </w:p>
        </w:tc>
        <w:tc>
          <w:tcPr>
            <w:tcW w:type="dxa" w:w="1440"/>
            <w:shd w:fill="FAFAFA" w:val="clear"/>
          </w:tcPr>
          <w:p>
            <w:r>
              <w:rPr>
                <w:b/>
                <w:sz w:val="17"/>
              </w:rPr>
              <w:t>69</w:t>
            </w:r>
          </w:p>
        </w:tc>
        <w:tc>
          <w:tcPr>
            <w:tcW w:type="dxa" w:w="1440"/>
            <w:shd w:fill="FAFAFA" w:val="clear"/>
          </w:tcPr>
          <w:p>
            <w:r>
              <w:rPr>
                <w:sz w:val="17"/>
              </w:rPr>
              <w:t>72</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64</w:t>
            </w:r>
          </w:p>
        </w:tc>
        <w:tc>
          <w:tcPr>
            <w:tcW w:type="dxa" w:w="1440"/>
            <w:shd w:fill="FAFAFA" w:val="clear"/>
          </w:tcPr>
          <w:p>
            <w:r>
              <w:rPr>
                <w:b/>
                <w:sz w:val="17"/>
              </w:rPr>
              <w:t>68</w:t>
            </w:r>
          </w:p>
        </w:tc>
        <w:tc>
          <w:tcPr>
            <w:tcW w:type="dxa" w:w="1440"/>
            <w:shd w:fill="FAFAFA" w:val="clear"/>
          </w:tcPr>
          <w:p>
            <w:r>
              <w:rPr>
                <w:sz w:val="17"/>
              </w:rPr>
              <w:t>73</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63</w:t>
            </w:r>
          </w:p>
        </w:tc>
        <w:tc>
          <w:tcPr>
            <w:tcW w:type="dxa" w:w="1440"/>
            <w:shd w:fill="FAFAFA" w:val="clear"/>
          </w:tcPr>
          <w:p>
            <w:r>
              <w:rPr>
                <w:b/>
                <w:sz w:val="17"/>
              </w:rPr>
              <w:t>68</w:t>
            </w:r>
          </w:p>
        </w:tc>
        <w:tc>
          <w:tcPr>
            <w:tcW w:type="dxa" w:w="1440"/>
            <w:shd w:fill="FAFAFA" w:val="clear"/>
          </w:tcPr>
          <w:p>
            <w:r>
              <w:rPr>
                <w:sz w:val="17"/>
              </w:rPr>
              <w:t>73</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62</w:t>
            </w:r>
          </w:p>
        </w:tc>
        <w:tc>
          <w:tcPr>
            <w:tcW w:type="dxa" w:w="1440"/>
            <w:shd w:fill="FAFAFA" w:val="clear"/>
          </w:tcPr>
          <w:p>
            <w:r>
              <w:rPr>
                <w:b/>
                <w:sz w:val="17"/>
              </w:rPr>
              <w:t>68</w:t>
            </w:r>
          </w:p>
        </w:tc>
        <w:tc>
          <w:tcPr>
            <w:tcW w:type="dxa" w:w="1440"/>
            <w:shd w:fill="FAFAFA" w:val="clear"/>
          </w:tcPr>
          <w:p>
            <w:r>
              <w:rPr>
                <w:sz w:val="17"/>
              </w:rPr>
              <w:t>74</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61</w:t>
            </w:r>
          </w:p>
        </w:tc>
        <w:tc>
          <w:tcPr>
            <w:tcW w:type="dxa" w:w="1440"/>
            <w:shd w:fill="FAFAFA" w:val="clear"/>
          </w:tcPr>
          <w:p>
            <w:r>
              <w:rPr>
                <w:b/>
                <w:sz w:val="17"/>
              </w:rPr>
              <w:t>68</w:t>
            </w:r>
          </w:p>
        </w:tc>
        <w:tc>
          <w:tcPr>
            <w:tcW w:type="dxa" w:w="1440"/>
            <w:shd w:fill="FAFAFA" w:val="clear"/>
          </w:tcPr>
          <w:p>
            <w:r>
              <w:rPr>
                <w:sz w:val="17"/>
              </w:rPr>
              <w:t>74</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59</w:t>
            </w:r>
          </w:p>
        </w:tc>
        <w:tc>
          <w:tcPr>
            <w:tcW w:type="dxa" w:w="1440"/>
            <w:shd w:fill="FFDCE0" w:val="clear"/>
          </w:tcPr>
          <w:p>
            <w:r>
              <w:rPr>
                <w:b/>
                <w:sz w:val="17"/>
              </w:rPr>
              <w:t>67</w:t>
            </w:r>
          </w:p>
        </w:tc>
        <w:tc>
          <w:tcPr>
            <w:tcW w:type="dxa" w:w="1440"/>
            <w:shd w:fill="FFDCE0" w:val="clear"/>
          </w:tcPr>
          <w:p>
            <w:r>
              <w:rPr>
                <w:sz w:val="17"/>
              </w:rPr>
              <w:t>75</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59</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77</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 RAPPORT D'ANALYSE FINANCIÈRE — ETIT (Ecobank Transnational Incorporated)</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**1 247,80 Mds FCFA**, ETIT s'impose comme l'une des toutes premières capitalisations de la BRVM, ce qui en fait un titre phare et liquide de la cote. Le **BPA de 19 FCFA/action** confère au titre un **PER de seulement 3,6x**, très nettement inférieur à la moyenne du marché BRVM (8-12x), signalant une valorisation défensive et potentiellement sous-évaluée. Le **P/B de 0,78x** (&lt; 1) indique que le marché valorise l'action en dessous de sa valeur comptable, ce qui constitue historiquement une zone d'opportunité pour les investisseurs value. Enfin, l'**EV/EBITDA de 5,0x** (fourchette raisonnable de 5-10x) traduit une valorisation équilibrée de la capacité opérationnelle du groupe. L'ensemble de ces ratios dessine un profil de valorisation attractif, typique d'une banque panafricaine solide mais encore boudée par le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ETIT a enregistré une **progression spectaculaire de +130,00%**, avec une dernière séance en hausse de **+1,47%**, portant le cours actuel à **69 FCFA**. Le range de trading est particulièrement large, oscillant entre un plus bas de **29 FCFA** et un plus haut de **78 FCFA**, ce qui témoigne d'une dynamique haussière puissante mais aussi d'une forte amplitude de mouvement. La tendance générale est donc clairement **haussière**, portée par un intérêt croissant des investisseurs pour le titre. Les statistiques descriptives révèlent une **moyenne de 53 FCFA** nettement inférieure à la **médiane de 64 FCFA**, signe d'une distribution asymétrique où les cours récents se situent dans la partie haute de la fourchette ; le **mode à 30 FCFA** rappelle que le titre a longtemps évolué à des niveaux très bas avant son envolée. L'**écart-type de 18 FCFA (CV = 33,5%)** traduit une dispersion élevée du cours, confirmée par une **volatilité annualisée de 62,2%** — largement supérieure au seuil de 30% — classant le titre dans la catégorie **très volatile**. Le **kurtosis de -1,742 (platykurtique)** indique une distribution aplatie avec un risque de pics modéré, tandis que le **skewness de -0,285** (distribution quasi-symétrique) suggère un équilibre relatif entre mouvements haussiers et baissiers, sans biais directionnel marqué.</w:t>
      </w:r>
    </w:p>
    <w:p>
      <w:pPr>
        <w:spacing w:after="120" w:line="276" w:lineRule="auto"/>
      </w:pPr>
      <w:r>
        <w:t>---</w:t>
      </w:r>
    </w:p>
    <w:p>
      <w:pPr>
        <w:spacing w:after="120" w:line="276" w:lineRule="auto"/>
      </w:pPr>
      <w:r>
        <w:t>## PARTIE 2 : ANALYSE TECHNIQUE DÉTAILLÉE</w:t>
      </w:r>
    </w:p>
    <w:p>
      <w:pPr>
        <w:spacing w:after="120" w:line="276" w:lineRule="auto"/>
      </w:pPr>
      <w:r>
        <w:t>**Moyennes Mobiles** : La MM20 (69,2 FCFA) et la MM50 (68,16 FCFA) se situent toutes deux légèrement au-dessus du cours actuel (69 FCFA), avec une MM20 supérieure à la MM50 — configuration haussière classique. Le cours évoluant au contact de ces moyennes, la décision technique est à l'**Achat**, confirmant la tendance de fond positive.</w:t>
      </w:r>
    </w:p>
    <w:p>
      <w:pPr>
        <w:spacing w:after="120" w:line="276" w:lineRule="auto"/>
      </w:pPr>
      <w:r>
        <w:t>**Bandes de Bollinger** : Le cours (69 FCFA) se situe à l'intérieur des bandes, entre la borne inférieure (65,552 FCFA) et la borne supérieure (72,848 FCFA), légèrement au-dessus du milieu. Cette position centrale traduit une volatilité en cours de normalisation, justifiant la décision **Neutre** — ni suracheté, ni survendu.</w:t>
      </w:r>
    </w:p>
    <w:p>
      <w:pPr>
        <w:spacing w:after="120" w:line="276" w:lineRule="auto"/>
      </w:pPr>
      <w:r>
        <w:t>**MACD** : La divergence baissière est nette, avec un MACD (0,492) inférieur à son signal (0,985), indiquant un essoufflement du momentum haussier. La décision technique est donc à la **Vente**, signalant une possible consolidation à court terme.</w:t>
      </w:r>
    </w:p>
    <w:p>
      <w:pPr>
        <w:spacing w:after="120" w:line="276" w:lineRule="auto"/>
      </w:pPr>
      <w:r>
        <w:t>**RSI** : À **42,857**, le RSI se situe dans la zone neutre (30-70), sans signal de surachat ni de survente. La décision est **Neutre**, suggérant que le titre dispose encore d'un potentiel de hausse sans être tendu.</w:t>
      </w:r>
    </w:p>
    <w:p>
      <w:pPr>
        <w:spacing w:after="120" w:line="276" w:lineRule="auto"/>
      </w:pPr>
      <w:r>
        <w:t>**Stochastique** : Le %K (71,429) est nettement supérieur au %D (42,857), avec un croisement récent à la hausse — signal potentiellement haussier à court terme. Cependant, la décision affichée reste **Neutre**, invitant à la prudence compte tenu du niveau élevé du %K.</w:t>
      </w:r>
    </w:p>
    <w:p>
      <w:pPr>
        <w:spacing w:after="120" w:line="276" w:lineRule="auto"/>
      </w:pPr>
      <w:r>
        <w:t>**Conclusion technique** : Les indicateurs sont **mitigés** — les moyennes mobiles et le stochastique plaident pour une poursuite de la hausse, tandis que le MACD signale un essoufflement. Le RSI et les Bandes de Bollinger confirment une configuration neutre, sans excès. La convergence partielle suggère une **consolidation probable avant reprise**, avec un support clé à 65,5 FCFA et une résistance à 72,8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ETIT affiche un **Produit Net Bancaire (PNB) de 1 424,261 Mds FCFA**, un **résultat net de 345,523 Mds FCFA**, soit une **marge nette de 24,26%**. La rentabilité des fonds propres (**ROE de 21,62%**) est excellente (&gt;15%), et le **ROA de 1,80%** confirme l'efficacité de l'utilisation des actifs. Le **coefficient d'exploitation de 27,35%** est remarquablement bas (&lt;60% = banque très efficace), signe d'une discipline opérationnelle exceptionnelle. Le **coût du risque rapporté aux charges financières s'élève à 18,97%**, un niveau élevé qui traduit un risque de crédit significatif à surveiller. La structure financière reste solide avec une **solvabilité générale de 109,06%** (total actif &gt; dettes totales) et une **couverture des intérêts de 116,72%**, bien que l'**autonomie financière de 8,30%** soit faible, reflet du modèle bancaire fortement adossé aux dépôts (14 120,139 Mds FCFA de dettes clientèle pour 6 570,385 Mds FCFA de créances clientèle, soit un ratio de transformation de 46,5%).</w:t>
      </w:r>
    </w:p>
    <w:p>
      <w:pPr>
        <w:spacing w:after="120" w:line="276" w:lineRule="auto"/>
      </w:pPr>
      <w:r>
        <w:t>**Estimations basées sur les rapports trimestriels** : Le rapport **S1 2026 (daté du 21 juillet 2026)** confirme une **croissance du PNB de +15% à 721 318 millions FCFA** et un **résultat net de 166 682 millions FCFA (+6%)**, avec un **coefficient d'exploitation amélioré à 48,4%** et un **BPA de 0,80 $EU (4,53 FCFA)**. Le rapport **T1 2026** affiche même un **PNB en hausse de +23% à 636,2 millions $EU** et un **résultat net de 142,5 millions $EU (+16%)**. Toutefois, le **coût du risque bondit de +40% au S1 2026** (et même +73% au T1), signal d'alerte majeur sur la qualité du portefeuille de crédit. Le **rapport T3 2025 (daté du 30 septembre 2025)** affichait déjà un **résultat net de 267,0 Mds FCFA (+30% en FCFA)** et un **ROE tangible de 31,2%**, confirmant la trajectoire positive. **On estime donc que l'exercice 2026 devrait enregistrer un PNB annuel supérieur à 2 800 Mds FCFA** (sur la base du rythme du S1), avec un résultat net potentiellement proche de 700 Mds FCFA, sous réserve de la maîtrise du coût du risque au second semestre.</w:t>
      </w:r>
    </w:p>
    <w:p>
      <w:pPr>
        <w:spacing w:after="120" w:line="276" w:lineRule="auto"/>
      </w:pPr>
      <w:r>
        <w:t>**Recommandation fondamentale** : ETIT présente des **fondamentaux solides** (ROE &gt;20%, coefficient d'exploitation &lt;50%, croissance à deux chiffres du PNB) mais des **risques de crédit croissants** (coût du risque en forte hausse, NPL à 7,6%). La valorisation très basse (PER 3,6x, P/B 0,78x) offre une marge de sécurité importante. La recommandation fondamentale est **CONSERVER avec biais positif**, en attendant la confirmation de la stabilisation du coût du risque au S2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tableau **globalement favorable mais nuancé**. La **valorisation (Partie 0)** est clairement attractive : PER de 3,6x (vs 8-12x pour le marché), P/B de 0,78x (&lt;1) et EV/EBITDA de 5,0x — trois signaux convergents de **sous-évaluation**. Le **comportement du cours (Partie 1)** est haussier (+130% sur 100 jours) mais accompagné d'une **volatilité très élevée (62,2%)** et d'une distribution platykurtique (risque de pics modéré), ce qui appelle à la prudence sur le timing d'entrée. Les **signaux techniques (Partie 2)** sont **mitigés** : les moyennes mobiles et le stochastique sont haussiers, mais le MACD est baissier et le RSI neutre — configuration de consolidation probable. Les **fondamentaux (Partie 3)** sont **solides** (ROE 21,6%, coefficient d'exploitation 27,4%, PNB +15% au S1 2026) mais entachés par la **forte hausse du coût du risque (+40%)**. Les **prédictions IA (J+1 à J+10)** anticipent une **stabilisation autour de 68-69 FCFA**, confirmant la thèse d'une consolidation après la forte hausse, sans correction majeure.</w:t>
      </w:r>
    </w:p>
    <w:p>
      <w:pPr>
        <w:spacing w:after="120" w:line="276" w:lineRule="auto"/>
      </w:pPr>
      <w:r>
        <w:t>**Recommandation finale : CONSERVER (avec biais ACHAT pour les investisseurs long terme)**</w:t>
      </w:r>
    </w:p>
    <w:p>
      <w:pPr>
        <w:spacing w:after="120" w:line="276" w:lineRule="auto"/>
      </w:pPr>
      <w:r>
        <w:t>La convergence entre une **valorisation très bon marché**, des **fondamentaux solides** et une **prédiction de stabilisation** plaide pour une **accumulation progressive** plutôt qu'une entrée massive. Le principal risque réside dans l'évolution du coût du risque au S2 2026, qui pourrait éroder la rentabilité si la tendance haussière se poursuit. Le **niveau de confiance est Moyen** (compte tenu de la divergence technique MACD vs MM et de l'incertitude sur le risque de crédit), et le **niveau de risque global est Élevé** (volatilité 62,2%, coût du risque en hausse, environnement macroéconomique incertain). L'**horizon d'investissement optimal est le moyen terme (3-12 mois)**, le temps que la banque confirme la maîtrise de son coût du risque et que le marché reconnaisse la sous-évaluation persistante du titre.</w:t>
      </w:r>
    </w:p>
    <w:p>
      <w:pPr>
        <w:spacing w:after="120" w:line="276" w:lineRule="auto"/>
      </w:pPr>
      <w:r>
        <w:t>---</w:t>
        <w:br/>
        <w:t>*Rapport généré le 28 septembre 2026 — Sources : BRVM, états financiers ETIT 2025, rapports S1 2026, T1 2026, T3 2025, analyses DeepSeek/Mistral/Fallback.*</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4,077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-8.88%</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6.03% (Moyenne) — μ=2,120 FCFA, σ=128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β=0.2359 (Défensif) — Cov=0.000016, Var(idx)=0.000068, ρ=0.092,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1,921</w:t>
            </w:r>
          </w:p>
        </w:tc>
        <w:tc>
          <w:tcPr>
            <w:tcW w:type="dxa" w:w="1440"/>
            <w:shd w:fill="FAFAFA" w:val="clear"/>
          </w:tcPr>
          <w:p>
            <w:r>
              <w:rPr>
                <w:b/>
                <w:sz w:val="17"/>
              </w:rPr>
              <w:t>1,986</w:t>
            </w:r>
          </w:p>
        </w:tc>
        <w:tc>
          <w:tcPr>
            <w:tcW w:type="dxa" w:w="1440"/>
            <w:shd w:fill="FAFAFA" w:val="clear"/>
          </w:tcPr>
          <w:p>
            <w:r>
              <w:rPr>
                <w:sz w:val="17"/>
              </w:rPr>
              <w:t>2,050</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1,881</w:t>
            </w:r>
          </w:p>
        </w:tc>
        <w:tc>
          <w:tcPr>
            <w:tcW w:type="dxa" w:w="1440"/>
            <w:shd w:fill="FAFAFA" w:val="clear"/>
          </w:tcPr>
          <w:p>
            <w:r>
              <w:rPr>
                <w:b/>
                <w:sz w:val="17"/>
              </w:rPr>
              <w:t>1,971</w:t>
            </w:r>
          </w:p>
        </w:tc>
        <w:tc>
          <w:tcPr>
            <w:tcW w:type="dxa" w:w="1440"/>
            <w:shd w:fill="FAFAFA" w:val="clear"/>
          </w:tcPr>
          <w:p>
            <w:r>
              <w:rPr>
                <w:sz w:val="17"/>
              </w:rPr>
              <w:t>2,062</w:t>
            </w:r>
          </w:p>
        </w:tc>
        <w:tc>
          <w:tcPr>
            <w:tcW w:type="dxa" w:w="1440"/>
            <w:shd w:fill="FAFAFA" w:val="clear"/>
          </w:tcPr>
          <w:p>
            <w:r>
              <w:rPr>
                <w:b/>
                <w:color w:val="C00000"/>
                <w:sz w:val="17"/>
              </w:rPr>
              <w:t>-1.4%</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1,848</w:t>
            </w:r>
          </w:p>
        </w:tc>
        <w:tc>
          <w:tcPr>
            <w:tcW w:type="dxa" w:w="1440"/>
            <w:shd w:fill="FFDCE0" w:val="clear"/>
          </w:tcPr>
          <w:p>
            <w:r>
              <w:rPr>
                <w:b/>
                <w:sz w:val="17"/>
              </w:rPr>
              <w:t>1,958</w:t>
            </w:r>
          </w:p>
        </w:tc>
        <w:tc>
          <w:tcPr>
            <w:tcW w:type="dxa" w:w="1440"/>
            <w:shd w:fill="FFDCE0" w:val="clear"/>
          </w:tcPr>
          <w:p>
            <w:r>
              <w:rPr>
                <w:sz w:val="17"/>
              </w:rPr>
              <w:t>2,067</w:t>
            </w:r>
          </w:p>
        </w:tc>
        <w:tc>
          <w:tcPr>
            <w:tcW w:type="dxa" w:w="1440"/>
            <w:shd w:fill="FFDCE0" w:val="clear"/>
          </w:tcPr>
          <w:p>
            <w:r>
              <w:rPr>
                <w:b/>
                <w:color w:val="C00000"/>
                <w:sz w:val="17"/>
              </w:rPr>
              <w:t>-2.1%</w:t>
            </w:r>
          </w:p>
        </w:tc>
      </w:tr>
      <w:tr>
        <w:tc>
          <w:tcPr>
            <w:tcW w:type="dxa" w:w="1440"/>
            <w:shd w:fill="FFDCE0" w:val="clear"/>
          </w:tcPr>
          <w:p>
            <w:r>
              <w:rPr>
                <w:sz w:val="17"/>
              </w:rPr>
              <w:t>J+4  Moyenne</w:t>
            </w:r>
          </w:p>
        </w:tc>
        <w:tc>
          <w:tcPr>
            <w:tcW w:type="dxa" w:w="1440"/>
            <w:shd w:fill="FFDCE0" w:val="clear"/>
          </w:tcPr>
          <w:p>
            <w:r>
              <w:rPr>
                <w:sz w:val="17"/>
              </w:rPr>
              <w:t>2026-10-01</w:t>
            </w:r>
          </w:p>
        </w:tc>
        <w:tc>
          <w:tcPr>
            <w:tcW w:type="dxa" w:w="1440"/>
            <w:shd w:fill="FFDCE0" w:val="clear"/>
          </w:tcPr>
          <w:p>
            <w:r>
              <w:rPr>
                <w:sz w:val="17"/>
              </w:rPr>
              <w:t>1,819</w:t>
            </w:r>
          </w:p>
        </w:tc>
        <w:tc>
          <w:tcPr>
            <w:tcW w:type="dxa" w:w="1440"/>
            <w:shd w:fill="FFDCE0" w:val="clear"/>
          </w:tcPr>
          <w:p>
            <w:r>
              <w:rPr>
                <w:b/>
                <w:sz w:val="17"/>
              </w:rPr>
              <w:t>1,944</w:t>
            </w:r>
          </w:p>
        </w:tc>
        <w:tc>
          <w:tcPr>
            <w:tcW w:type="dxa" w:w="1440"/>
            <w:shd w:fill="FFDCE0" w:val="clear"/>
          </w:tcPr>
          <w:p>
            <w:r>
              <w:rPr>
                <w:sz w:val="17"/>
              </w:rPr>
              <w:t>2,070</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2026-10-02</w:t>
            </w:r>
          </w:p>
        </w:tc>
        <w:tc>
          <w:tcPr>
            <w:tcW w:type="dxa" w:w="1440"/>
            <w:shd w:fill="FFDCE0" w:val="clear"/>
          </w:tcPr>
          <w:p>
            <w:r>
              <w:rPr>
                <w:sz w:val="17"/>
              </w:rPr>
              <w:t>1,792</w:t>
            </w:r>
          </w:p>
        </w:tc>
        <w:tc>
          <w:tcPr>
            <w:tcW w:type="dxa" w:w="1440"/>
            <w:shd w:fill="FFDCE0" w:val="clear"/>
          </w:tcPr>
          <w:p>
            <w:r>
              <w:rPr>
                <w:b/>
                <w:sz w:val="17"/>
              </w:rPr>
              <w:t>1,932</w:t>
            </w:r>
          </w:p>
        </w:tc>
        <w:tc>
          <w:tcPr>
            <w:tcW w:type="dxa" w:w="1440"/>
            <w:shd w:fill="FFDCE0" w:val="clear"/>
          </w:tcPr>
          <w:p>
            <w:r>
              <w:rPr>
                <w:sz w:val="17"/>
              </w:rPr>
              <w:t>2,072</w:t>
            </w:r>
          </w:p>
        </w:tc>
        <w:tc>
          <w:tcPr>
            <w:tcW w:type="dxa" w:w="1440"/>
            <w:shd w:fill="FFDCE0" w:val="clear"/>
          </w:tcPr>
          <w:p>
            <w:r>
              <w:rPr>
                <w:b/>
                <w:color w:val="C00000"/>
                <w:sz w:val="17"/>
              </w:rPr>
              <w:t>-3.4%</w:t>
            </w:r>
          </w:p>
        </w:tc>
      </w:tr>
      <w:tr>
        <w:tc>
          <w:tcPr>
            <w:tcW w:type="dxa" w:w="1440"/>
            <w:shd w:fill="FFDCE0" w:val="clear"/>
          </w:tcPr>
          <w:p>
            <w:r>
              <w:rPr>
                <w:sz w:val="17"/>
              </w:rPr>
              <w:t>J+6  Moyenne</w:t>
            </w:r>
          </w:p>
        </w:tc>
        <w:tc>
          <w:tcPr>
            <w:tcW w:type="dxa" w:w="1440"/>
            <w:shd w:fill="FFDCE0" w:val="clear"/>
          </w:tcPr>
          <w:p>
            <w:r>
              <w:rPr>
                <w:sz w:val="17"/>
              </w:rPr>
              <w:t>2026-10-05</w:t>
            </w:r>
          </w:p>
        </w:tc>
        <w:tc>
          <w:tcPr>
            <w:tcW w:type="dxa" w:w="1440"/>
            <w:shd w:fill="FFDCE0" w:val="clear"/>
          </w:tcPr>
          <w:p>
            <w:r>
              <w:rPr>
                <w:sz w:val="17"/>
              </w:rPr>
              <w:t>1,768</w:t>
            </w:r>
          </w:p>
        </w:tc>
        <w:tc>
          <w:tcPr>
            <w:tcW w:type="dxa" w:w="1440"/>
            <w:shd w:fill="FFDCE0" w:val="clear"/>
          </w:tcPr>
          <w:p>
            <w:r>
              <w:rPr>
                <w:b/>
                <w:sz w:val="17"/>
              </w:rPr>
              <w:t>1,920</w:t>
            </w:r>
          </w:p>
        </w:tc>
        <w:tc>
          <w:tcPr>
            <w:tcW w:type="dxa" w:w="1440"/>
            <w:shd w:fill="FFDCE0" w:val="clear"/>
          </w:tcPr>
          <w:p>
            <w:r>
              <w:rPr>
                <w:sz w:val="17"/>
              </w:rPr>
              <w:t>2,072</w:t>
            </w:r>
          </w:p>
        </w:tc>
        <w:tc>
          <w:tcPr>
            <w:tcW w:type="dxa" w:w="1440"/>
            <w:shd w:fill="FFDCE0" w:val="clear"/>
          </w:tcPr>
          <w:p>
            <w:r>
              <w:rPr>
                <w:b/>
                <w:color w:val="C00000"/>
                <w:sz w:val="17"/>
              </w:rPr>
              <w:t>-4.0%</w:t>
            </w:r>
          </w:p>
        </w:tc>
      </w:tr>
      <w:tr>
        <w:tc>
          <w:tcPr>
            <w:tcW w:type="dxa" w:w="1440"/>
            <w:shd w:fill="FFDCE0" w:val="clear"/>
          </w:tcPr>
          <w:p>
            <w:r>
              <w:rPr>
                <w:sz w:val="17"/>
              </w:rPr>
              <w:t>J+7  Moyenne</w:t>
            </w:r>
          </w:p>
        </w:tc>
        <w:tc>
          <w:tcPr>
            <w:tcW w:type="dxa" w:w="1440"/>
            <w:shd w:fill="FFDCE0" w:val="clear"/>
          </w:tcPr>
          <w:p>
            <w:r>
              <w:rPr>
                <w:sz w:val="17"/>
              </w:rPr>
              <w:t>2026-10-06</w:t>
            </w:r>
          </w:p>
        </w:tc>
        <w:tc>
          <w:tcPr>
            <w:tcW w:type="dxa" w:w="1440"/>
            <w:shd w:fill="FFDCE0" w:val="clear"/>
          </w:tcPr>
          <w:p>
            <w:r>
              <w:rPr>
                <w:sz w:val="17"/>
              </w:rPr>
              <w:t>1,745</w:t>
            </w:r>
          </w:p>
        </w:tc>
        <w:tc>
          <w:tcPr>
            <w:tcW w:type="dxa" w:w="1440"/>
            <w:shd w:fill="FFDCE0" w:val="clear"/>
          </w:tcPr>
          <w:p>
            <w:r>
              <w:rPr>
                <w:b/>
                <w:sz w:val="17"/>
              </w:rPr>
              <w:t>1,908</w:t>
            </w:r>
          </w:p>
        </w:tc>
        <w:tc>
          <w:tcPr>
            <w:tcW w:type="dxa" w:w="1440"/>
            <w:shd w:fill="FFDCE0" w:val="clear"/>
          </w:tcPr>
          <w:p>
            <w:r>
              <w:rPr>
                <w:sz w:val="17"/>
              </w:rPr>
              <w:t>2,072</w:t>
            </w:r>
          </w:p>
        </w:tc>
        <w:tc>
          <w:tcPr>
            <w:tcW w:type="dxa" w:w="1440"/>
            <w:shd w:fill="FFDCE0" w:val="clear"/>
          </w:tcPr>
          <w:p>
            <w:r>
              <w:rPr>
                <w:b/>
                <w:color w:val="C00000"/>
                <w:sz w:val="17"/>
              </w:rPr>
              <w:t>-4.6%</w:t>
            </w:r>
          </w:p>
        </w:tc>
      </w:tr>
      <w:tr>
        <w:tc>
          <w:tcPr>
            <w:tcW w:type="dxa" w:w="1440"/>
            <w:shd w:fill="FFDCE0" w:val="clear"/>
          </w:tcPr>
          <w:p>
            <w:r>
              <w:rPr>
                <w:sz w:val="17"/>
              </w:rPr>
              <w:t>J+8  Moyenne</w:t>
            </w:r>
          </w:p>
        </w:tc>
        <w:tc>
          <w:tcPr>
            <w:tcW w:type="dxa" w:w="1440"/>
            <w:shd w:fill="FFDCE0" w:val="clear"/>
          </w:tcPr>
          <w:p>
            <w:r>
              <w:rPr>
                <w:sz w:val="17"/>
              </w:rPr>
              <w:t>2026-10-07</w:t>
            </w:r>
          </w:p>
        </w:tc>
        <w:tc>
          <w:tcPr>
            <w:tcW w:type="dxa" w:w="1440"/>
            <w:shd w:fill="FFDCE0" w:val="clear"/>
          </w:tcPr>
          <w:p>
            <w:r>
              <w:rPr>
                <w:sz w:val="17"/>
              </w:rPr>
              <w:t>1,723</w:t>
            </w:r>
          </w:p>
        </w:tc>
        <w:tc>
          <w:tcPr>
            <w:tcW w:type="dxa" w:w="1440"/>
            <w:shd w:fill="FFDCE0" w:val="clear"/>
          </w:tcPr>
          <w:p>
            <w:r>
              <w:rPr>
                <w:b/>
                <w:sz w:val="17"/>
              </w:rPr>
              <w:t>1,897</w:t>
            </w:r>
          </w:p>
        </w:tc>
        <w:tc>
          <w:tcPr>
            <w:tcW w:type="dxa" w:w="1440"/>
            <w:shd w:fill="FFDCE0" w:val="clear"/>
          </w:tcPr>
          <w:p>
            <w:r>
              <w:rPr>
                <w:sz w:val="17"/>
              </w:rPr>
              <w:t>2,071</w:t>
            </w:r>
          </w:p>
        </w:tc>
        <w:tc>
          <w:tcPr>
            <w:tcW w:type="dxa" w:w="1440"/>
            <w:shd w:fill="FFDCE0" w:val="clear"/>
          </w:tcPr>
          <w:p>
            <w:r>
              <w:rPr>
                <w:b/>
                <w:color w:val="C00000"/>
                <w:sz w:val="17"/>
              </w:rPr>
              <w:t>-5.1%</w:t>
            </w:r>
          </w:p>
        </w:tc>
      </w:tr>
      <w:tr>
        <w:tc>
          <w:tcPr>
            <w:tcW w:type="dxa" w:w="1440"/>
            <w:shd w:fill="FFDCE0" w:val="clear"/>
          </w:tcPr>
          <w:p>
            <w:r>
              <w:rPr>
                <w:sz w:val="17"/>
              </w:rPr>
              <w:t>J+9  Moyenne</w:t>
            </w:r>
          </w:p>
        </w:tc>
        <w:tc>
          <w:tcPr>
            <w:tcW w:type="dxa" w:w="1440"/>
            <w:shd w:fill="FFDCE0" w:val="clear"/>
          </w:tcPr>
          <w:p>
            <w:r>
              <w:rPr>
                <w:sz w:val="17"/>
              </w:rPr>
              <w:t>2026-10-08</w:t>
            </w:r>
          </w:p>
        </w:tc>
        <w:tc>
          <w:tcPr>
            <w:tcW w:type="dxa" w:w="1440"/>
            <w:shd w:fill="FFDCE0" w:val="clear"/>
          </w:tcPr>
          <w:p>
            <w:r>
              <w:rPr>
                <w:sz w:val="17"/>
              </w:rPr>
              <w:t>1,703</w:t>
            </w:r>
          </w:p>
        </w:tc>
        <w:tc>
          <w:tcPr>
            <w:tcW w:type="dxa" w:w="1440"/>
            <w:shd w:fill="FFDCE0" w:val="clear"/>
          </w:tcPr>
          <w:p>
            <w:r>
              <w:rPr>
                <w:b/>
                <w:sz w:val="17"/>
              </w:rPr>
              <w:t>1,886</w:t>
            </w:r>
          </w:p>
        </w:tc>
        <w:tc>
          <w:tcPr>
            <w:tcW w:type="dxa" w:w="1440"/>
            <w:shd w:fill="FFDCE0" w:val="clear"/>
          </w:tcPr>
          <w:p>
            <w:r>
              <w:rPr>
                <w:sz w:val="17"/>
              </w:rPr>
              <w:t>2,069</w:t>
            </w:r>
          </w:p>
        </w:tc>
        <w:tc>
          <w:tcPr>
            <w:tcW w:type="dxa" w:w="1440"/>
            <w:shd w:fill="FFDCE0" w:val="clear"/>
          </w:tcPr>
          <w:p>
            <w:r>
              <w:rPr>
                <w:b/>
                <w:color w:val="C00000"/>
                <w:sz w:val="17"/>
              </w:rPr>
              <w:t>-5.7%</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1,684</w:t>
            </w:r>
          </w:p>
        </w:tc>
        <w:tc>
          <w:tcPr>
            <w:tcW w:type="dxa" w:w="1440"/>
            <w:shd w:fill="FFDCE0" w:val="clear"/>
          </w:tcPr>
          <w:p>
            <w:r>
              <w:rPr>
                <w:b/>
                <w:sz w:val="17"/>
              </w:rPr>
              <w:t>1,876</w:t>
            </w:r>
          </w:p>
        </w:tc>
        <w:tc>
          <w:tcPr>
            <w:tcW w:type="dxa" w:w="1440"/>
            <w:shd w:fill="FFDCE0" w:val="clear"/>
          </w:tcPr>
          <w:p>
            <w:r>
              <w:rPr>
                <w:sz w:val="17"/>
              </w:rPr>
              <w:t>2,067</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*Bourse Régionale des Valeurs Mobilières (BRVM) — Secteur : Emballages industriels (jute, polymères)*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28,21 milliards FCFA, FTSC se situe dans la catégorie des valeurs moyennes de la cote BRVM, ce qui la rend vulnérable aux mouvements de faible liquidité. Le BPA de 33 FCFA/action signifie que chaque titre génère théoriquement 33 FCFA de bénéfice net, un niveau très faible au regard du cours de 2 000 FCFA. Le PER ressort à 60,5x, soit environ cinq à sept fois le PER moyen de la BRVM (8-12x) : les investisseurs paient donc très cher une rentabilité qui s'est effondrée en 2025, ce qui constitue un signal de surévaluation manifeste. Le P/B de 1,80x indique en revanche que le marché valorise le titre à peine au-dessus de sa valeur comptable (capitaux propres de 15,7 Mds FCFA), ce qui est raisonnable et traduit une certaine défiance vis-à-vis de la capacité bénéficiaire future. Enfin, l'EV/EBITDA de 36,7x (contre un seuil d'alerte de 15x) confirme que la valeur d'entreprise est très exigeante par rapport à la capacité opérationnelle réelle de la société, ce qui plaide pour une prudence marquée.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FTSC affiche une variation totale de -8,88%, avec une dernière séance stable (+0,00%), ce qui traduit une tendance baissière progressive mais sans capitulation brutale. Le titre a évolué dans un range de 1 910 FCFA (plus bas) à 2 430 FCFA (plus haut), soit une amplitude d'environ 27%, et cote actuellement à 2 000 FCFA, légèrement sous sa moyenne de 2 120 FCFA et sa médiane de 2 125 FCFA. L'écart très faible entre moyenne et médiane (5 FCFA) et le skewness de 0,318 (distribution symétrique) indiquent une distribution équilibrée, sans biais haussier ou baissier marqué. L'écart-type de 128 FCFA avec un coefficient de variation de 6,1% révèle une dispersion modérée du cours autour de sa moyenne, tandis que le kurtosis de -0,749 (mésokurtique) suggère une absence de pics extrêmes — le risque de choc violent est donc limité. La volatilité annualisée de 33,3% classe le titre dans la catégorie des valeurs à volatilité élevée (&gt;30%), ce qui impose une gestion stricte du risque. Le volume moyen de 4 077 titres/jour demeure faible, exposant le titre à un risque de liquidité non négligeable.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(2 086,75 FCFA) et la MM50 (2 071,30 FCFA) se situent toutes deux au-dessus du cours actuel (2 000 FCFA), ce qui place le titre en position de faiblesse relative. Toutefois, la MM20 étant supérieure à la MM50, la configuration reste haussière de court terme, ce qui justifie la décision « Achat » fournie, mais avec une conviction limitée car le cours évolue sous ses supports mobiles.</w:t>
      </w:r>
    </w:p>
    <w:p>
      <w:pPr>
        <w:spacing w:after="120" w:line="276" w:lineRule="auto"/>
      </w:pPr>
      <w:r>
        <w:t>**Bandes de Bollinger** : Le cours (2 000 FCFA) se situe dans la partie basse du canal, entre la borne inférieure (1 955,31 FCFA) et la borne supérieure (2 218,19 FCFA), sans franchissement de seuil. Cette position neutre, couplée à un canal relativement large, traduit une absence de signal directionnel fort et justifie la décision « Neutre ».</w:t>
      </w:r>
    </w:p>
    <w:p>
      <w:pPr>
        <w:spacing w:after="120" w:line="276" w:lineRule="auto"/>
      </w:pPr>
      <w:r>
        <w:t>**MACD** : La valeur du MACD (-28,935) est nettement inférieure à son signal (-12,623), confirmant un momentum baissier en cours. La divergence négative persistante entre les deux lignes plaide pour la poursuite de la pression vendeuse à court terme, validant la décision « Vente ».</w:t>
      </w:r>
    </w:p>
    <w:p>
      <w:pPr>
        <w:spacing w:after="120" w:line="276" w:lineRule="auto"/>
      </w:pPr>
      <w:r>
        <w:t>**RSI** : À 31,944, le RSI se situe juste au-dessus du seuil de survente (30), ce qui indique une faiblesse sans excès baissier extrême. Le titre n'est donc ni survendu ni suracheté, ce qui justifie la décision « Neutre » et suggère qu'un rebond technique reste possible mais non imminent.</w:t>
      </w:r>
    </w:p>
    <w:p>
      <w:pPr>
        <w:spacing w:after="120" w:line="276" w:lineRule="auto"/>
      </w:pPr>
      <w:r>
        <w:t>**Stochastique** : Le %K (42,857) est légèrement supérieur au %D (40,422), sans croisement significatif, ce qui traduit une absence de signal clair. La décision « Neutre » est cohérente avec cette configuration indécise.</w:t>
      </w:r>
    </w:p>
    <w:p>
      <w:pPr>
        <w:spacing w:after="120" w:line="276" w:lineRule="auto"/>
      </w:pPr>
      <w:r>
        <w:t>**Conclusion technique** : Les indicateurs sont globalement divergents — les moyennes mobiles suggèrent un achat de court terme, le MACD confirme une vente, tandis que le RSI, les Bollinger et le stochastique restent neutres. Cette absence de convergence traduit un marché sans direction claire, dominé par l'attentisme, avec un léger biais baissier porté par le MACD. La prudence technique est donc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FILTISAC CI a réalisé un chiffre d'affaires de 32,109 milliards FCFA, en hausse de 4,6% sur un an, mais son résultat net s'est effondré à 465,98 millions FCFA contre 18,6 milliards en 2024, principalement en raison de l'absence des produits exceptionnels liés à la cession de filiales en 2024. Le ROE chute à 2,97% (très loin du seuil de 15% considéré comme excellent) et le ROA à 1,19%, confirmant une rentabilité structurellement faible. La marge nette s'établit à 1,45% et la marge opérationnelle à seulement 0,86%, tandis que le coefficient d'exploitation de 116,6% signale que les charges dépassent les produits d'exploitation. En tant qu'entreprise industrielle, FTSC présente des délais d'exploitation préoccupants : 213,7 jours de délai client (risque de trésorerie élevé), 214,7 jours de rotation des stocks (immobilisation de capital importante) et 140,7 jours de délai fournisseurs. Le BFR ressort à 11,529 Mds FCFA et la trésorerie nette est fortement négative à -11,528 Mds FCFA, conséquence directe du versement de dividendes massifs en 2024 (18,6 Mds FCFA, soit 100% du résultat). L'autonomie financière reste correcte à 40,1% et la liquidité générale à 158,6%, mais la capacité de remboursement de 11,49 années et la couverture des intérêts de 40,6% sont des points de vigilance. Les rapports trimestriels de 2025 confirment cette tendance : au T3 2025 (30/09/2025), le résultat courant avant impôt est de -216 millions FCFA, contre +4 144 millions un an plus tôt, et le S1 2025 (30/06/2025) affiche un résultat net de 105 millions FCFA (-97%). En revanche, le rapport du T1 2026 (publié en 2026) apporte une lueur d'espoir : le chiffre d'affaires bondit de 55% à 8 901 millions FCFA, porté par la demande d'emballages cacao, et le résultat d'exploitation redevient positif à 75 millions FCFA (contre -78 millions au T1 2025), bien que le résultat net reste déficitaire à -154 millions FCFA. On estime donc que l'exercice 2026 pourrait marquer une amélioration opérationnelle progressive, mais la rentabilité nette restera fragile et dépendante de la campagne cacaoyère 2025/2026. La recommandation fondamentale est de **conserver** avec une forte prudence, la société étant en phase de redressement opérationnel mais toujours exposée à des risques de liquidité et de rentabilité.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nettement surévaluée avec un PER de 60,5x et un EV/EBITDA de 36,7x, bien au-dessus des standards de la BRVM, même si le P/B de 1,80x reste raisonnable. Le comportement du cours (Partie 1) est baissier (-8,88% sur 100 jours) avec une volatilité élevée (33,3%) et une distribution symétrique sans pics extrêmes (kurtosis -0,749), ce qui n'offre pas de signal haussier. Les indicateurs techniques (Partie 2) sont divergents : le MACD est baissier, les moyennes mobiles sont sous le cours, et le RSI est proche de la survente, ce qui plaide pour une absence de direction claire et une prudence accrue. Les fondamentaux (Partie 3) révèlent une société en difficulté opérationnelle en 2025 (ROE 2,97%, résultat net 466 M FCFA, trésorerie nette -11,5 Mds FCFA), mais les rapports T1 2026 montrent une nette amélioration du chiffre d'affaires (+55%) et un retour à un résultat d'exploitation positif, ce qui pourrait annoncer un redressement progressif. Les prédictions IA (J+1 à J+10) anticipent une poursuite de la baisse jusqu'à 1 932 FCFA, ce qui contredit l'espoir d'un rebond immédiat et confirme la pression baissière de court terme. Sur la base de cette synthèse globale, la recommandation finale est **CONSERVER** avec un niveau de confiance **Moyen** et un risque global **Élevé**. L'horizon d'investissement optimal est le **moyen terme (3-12 mois)**, le temps que les effets du redressement opérationnel du T1 2026 se confirment dans les résultats semestriels et annuels, tout en surveillant étroitement la liquidité et la campagne cacaoyère 2025/2026.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79.60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4,734 titres</w:t>
            </w:r>
          </w:p>
        </w:tc>
        <w:tc>
          <w:tcPr>
            <w:tcW w:type="dxa" w:w="2268"/>
            <w:shd w:fill="FFF2CC" w:val="clear"/>
          </w:tcPr>
          <w:p>
            <w:r>
              <w:rPr>
                <w:b/>
                <w:color w:val="503200"/>
                <w:sz w:val="16"/>
              </w:rPr>
              <w:t xml:space="preserve">Cours actuel : </w:t>
            </w:r>
            <w:r>
              <w:rPr>
                <w:color w:val="000000"/>
                <w:sz w:val="17"/>
              </w:rPr>
              <w:t>3,980 FCFA</w:t>
            </w:r>
          </w:p>
          <w:p>
            <w:r>
              <w:rPr>
                <w:b/>
                <w:color w:val="503200"/>
                <w:sz w:val="16"/>
              </w:rPr>
              <w:t xml:space="preserve">Var. 100 jours : </w:t>
            </w:r>
            <w:r>
              <w:rPr>
                <w:b/>
                <w:color w:val="007800"/>
                <w:sz w:val="17"/>
              </w:rPr>
              <w:t>+2.71%</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4.70% (Faible) — μ=4,076 FCFA, σ=192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β=0.6822 (Défensif) — Cov=0.000046, Var(idx)=0.000068, ρ=0.214,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2026-09-28</w:t>
            </w:r>
          </w:p>
        </w:tc>
        <w:tc>
          <w:tcPr>
            <w:tcW w:type="dxa" w:w="1440"/>
            <w:shd w:fill="C6EFCE" w:val="clear"/>
          </w:tcPr>
          <w:p>
            <w:r>
              <w:rPr>
                <w:sz w:val="17"/>
              </w:rPr>
              <w:t>3,898</w:t>
            </w:r>
          </w:p>
        </w:tc>
        <w:tc>
          <w:tcPr>
            <w:tcW w:type="dxa" w:w="1440"/>
            <w:shd w:fill="C6EFCE" w:val="clear"/>
          </w:tcPr>
          <w:p>
            <w:r>
              <w:rPr>
                <w:b/>
                <w:sz w:val="17"/>
              </w:rPr>
              <w:t>4,073</w:t>
            </w:r>
          </w:p>
        </w:tc>
        <w:tc>
          <w:tcPr>
            <w:tcW w:type="dxa" w:w="1440"/>
            <w:shd w:fill="C6EFCE" w:val="clear"/>
          </w:tcPr>
          <w:p>
            <w:r>
              <w:rPr>
                <w:sz w:val="17"/>
              </w:rPr>
              <w:t>4,249</w:t>
            </w:r>
          </w:p>
        </w:tc>
        <w:tc>
          <w:tcPr>
            <w:tcW w:type="dxa" w:w="1440"/>
            <w:shd w:fill="C6EFCE" w:val="clear"/>
          </w:tcPr>
          <w:p>
            <w:r>
              <w:rPr>
                <w:b/>
                <w:color w:val="008000"/>
                <w:sz w:val="17"/>
              </w:rPr>
              <w:t>+2.3%</w:t>
            </w:r>
          </w:p>
        </w:tc>
      </w:tr>
      <w:tr>
        <w:tc>
          <w:tcPr>
            <w:tcW w:type="dxa" w:w="1440"/>
            <w:shd w:fill="C6EFCE" w:val="clear"/>
          </w:tcPr>
          <w:p>
            <w:r>
              <w:rPr>
                <w:sz w:val="17"/>
              </w:rPr>
              <w:t>J+2  Moyenne</w:t>
            </w:r>
          </w:p>
        </w:tc>
        <w:tc>
          <w:tcPr>
            <w:tcW w:type="dxa" w:w="1440"/>
            <w:shd w:fill="C6EFCE" w:val="clear"/>
          </w:tcPr>
          <w:p>
            <w:r>
              <w:rPr>
                <w:sz w:val="17"/>
              </w:rPr>
              <w:t>2026-09-29</w:t>
            </w:r>
          </w:p>
        </w:tc>
        <w:tc>
          <w:tcPr>
            <w:tcW w:type="dxa" w:w="1440"/>
            <w:shd w:fill="C6EFCE" w:val="clear"/>
          </w:tcPr>
          <w:p>
            <w:r>
              <w:rPr>
                <w:sz w:val="17"/>
              </w:rPr>
              <w:t>3,830</w:t>
            </w:r>
          </w:p>
        </w:tc>
        <w:tc>
          <w:tcPr>
            <w:tcW w:type="dxa" w:w="1440"/>
            <w:shd w:fill="C6EFCE" w:val="clear"/>
          </w:tcPr>
          <w:p>
            <w:r>
              <w:rPr>
                <w:b/>
                <w:sz w:val="17"/>
              </w:rPr>
              <w:t>4,078</w:t>
            </w:r>
          </w:p>
        </w:tc>
        <w:tc>
          <w:tcPr>
            <w:tcW w:type="dxa" w:w="1440"/>
            <w:shd w:fill="C6EFCE" w:val="clear"/>
          </w:tcPr>
          <w:p>
            <w:r>
              <w:rPr>
                <w:sz w:val="17"/>
              </w:rPr>
              <w:t>4,327</w:t>
            </w:r>
          </w:p>
        </w:tc>
        <w:tc>
          <w:tcPr>
            <w:tcW w:type="dxa" w:w="1440"/>
            <w:shd w:fill="C6EFCE" w:val="clear"/>
          </w:tcPr>
          <w:p>
            <w:r>
              <w:rPr>
                <w:b/>
                <w:color w:val="008000"/>
                <w:sz w:val="17"/>
              </w:rPr>
              <w:t>+2.5%</w:t>
            </w:r>
          </w:p>
        </w:tc>
      </w:tr>
      <w:tr>
        <w:tc>
          <w:tcPr>
            <w:tcW w:type="dxa" w:w="1440"/>
            <w:shd w:fill="C6EFCE" w:val="clear"/>
          </w:tcPr>
          <w:p>
            <w:r>
              <w:rPr>
                <w:sz w:val="17"/>
              </w:rPr>
              <w:t>J+3  Moyenne</w:t>
            </w:r>
          </w:p>
        </w:tc>
        <w:tc>
          <w:tcPr>
            <w:tcW w:type="dxa" w:w="1440"/>
            <w:shd w:fill="C6EFCE" w:val="clear"/>
          </w:tcPr>
          <w:p>
            <w:r>
              <w:rPr>
                <w:sz w:val="17"/>
              </w:rPr>
              <w:t>2026-09-30</w:t>
            </w:r>
          </w:p>
        </w:tc>
        <w:tc>
          <w:tcPr>
            <w:tcW w:type="dxa" w:w="1440"/>
            <w:shd w:fill="C6EFCE" w:val="clear"/>
          </w:tcPr>
          <w:p>
            <w:r>
              <w:rPr>
                <w:sz w:val="17"/>
              </w:rPr>
              <w:t>3,780</w:t>
            </w:r>
          </w:p>
        </w:tc>
        <w:tc>
          <w:tcPr>
            <w:tcW w:type="dxa" w:w="1440"/>
            <w:shd w:fill="C6EFCE" w:val="clear"/>
          </w:tcPr>
          <w:p>
            <w:r>
              <w:rPr>
                <w:b/>
                <w:sz w:val="17"/>
              </w:rPr>
              <w:t>4,085</w:t>
            </w:r>
          </w:p>
        </w:tc>
        <w:tc>
          <w:tcPr>
            <w:tcW w:type="dxa" w:w="1440"/>
            <w:shd w:fill="C6EFCE" w:val="clear"/>
          </w:tcPr>
          <w:p>
            <w:r>
              <w:rPr>
                <w:sz w:val="17"/>
              </w:rPr>
              <w:t>4,390</w:t>
            </w:r>
          </w:p>
        </w:tc>
        <w:tc>
          <w:tcPr>
            <w:tcW w:type="dxa" w:w="1440"/>
            <w:shd w:fill="C6EFCE" w:val="clear"/>
          </w:tcPr>
          <w:p>
            <w:r>
              <w:rPr>
                <w:b/>
                <w:color w:val="008000"/>
                <w:sz w:val="17"/>
              </w:rPr>
              <w:t>+2.6%</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3,737</w:t>
            </w:r>
          </w:p>
        </w:tc>
        <w:tc>
          <w:tcPr>
            <w:tcW w:type="dxa" w:w="1440"/>
            <w:shd w:fill="C6EFCE" w:val="clear"/>
          </w:tcPr>
          <w:p>
            <w:r>
              <w:rPr>
                <w:b/>
                <w:sz w:val="17"/>
              </w:rPr>
              <w:t>4,090</w:t>
            </w:r>
          </w:p>
        </w:tc>
        <w:tc>
          <w:tcPr>
            <w:tcW w:type="dxa" w:w="1440"/>
            <w:shd w:fill="C6EFCE" w:val="clear"/>
          </w:tcPr>
          <w:p>
            <w:r>
              <w:rPr>
                <w:sz w:val="17"/>
              </w:rPr>
              <w:t>4,442</w:t>
            </w:r>
          </w:p>
        </w:tc>
        <w:tc>
          <w:tcPr>
            <w:tcW w:type="dxa" w:w="1440"/>
            <w:shd w:fill="C6EFCE" w:val="clear"/>
          </w:tcPr>
          <w:p>
            <w:r>
              <w:rPr>
                <w:b/>
                <w:color w:val="008000"/>
                <w:sz w:val="17"/>
              </w:rPr>
              <w:t>+2.8%</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3,700</w:t>
            </w:r>
          </w:p>
        </w:tc>
        <w:tc>
          <w:tcPr>
            <w:tcW w:type="dxa" w:w="1440"/>
            <w:shd w:fill="C6EFCE" w:val="clear"/>
          </w:tcPr>
          <w:p>
            <w:r>
              <w:rPr>
                <w:b/>
                <w:sz w:val="17"/>
              </w:rPr>
              <w:t>4,095</w:t>
            </w:r>
          </w:p>
        </w:tc>
        <w:tc>
          <w:tcPr>
            <w:tcW w:type="dxa" w:w="1440"/>
            <w:shd w:fill="C6EFCE" w:val="clear"/>
          </w:tcPr>
          <w:p>
            <w:r>
              <w:rPr>
                <w:sz w:val="17"/>
              </w:rPr>
              <w:t>4,489</w:t>
            </w:r>
          </w:p>
        </w:tc>
        <w:tc>
          <w:tcPr>
            <w:tcW w:type="dxa" w:w="1440"/>
            <w:shd w:fill="C6EFCE" w:val="clear"/>
          </w:tcPr>
          <w:p>
            <w:r>
              <w:rPr>
                <w:b/>
                <w:color w:val="008000"/>
                <w:sz w:val="17"/>
              </w:rPr>
              <w:t>+2.9%</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3,690</w:t>
            </w:r>
          </w:p>
        </w:tc>
        <w:tc>
          <w:tcPr>
            <w:tcW w:type="dxa" w:w="1440"/>
            <w:shd w:fill="C6EFCE" w:val="clear"/>
          </w:tcPr>
          <w:p>
            <w:r>
              <w:rPr>
                <w:b/>
                <w:sz w:val="17"/>
              </w:rPr>
              <w:t>4,125</w:t>
            </w:r>
          </w:p>
        </w:tc>
        <w:tc>
          <w:tcPr>
            <w:tcW w:type="dxa" w:w="1440"/>
            <w:shd w:fill="C6EFCE" w:val="clear"/>
          </w:tcPr>
          <w:p>
            <w:r>
              <w:rPr>
                <w:sz w:val="17"/>
              </w:rPr>
              <w:t>4,561</w:t>
            </w:r>
          </w:p>
        </w:tc>
        <w:tc>
          <w:tcPr>
            <w:tcW w:type="dxa" w:w="1440"/>
            <w:shd w:fill="C6EFCE" w:val="clear"/>
          </w:tcPr>
          <w:p>
            <w:r>
              <w:rPr>
                <w:b/>
                <w:color w:val="008000"/>
                <w:sz w:val="17"/>
              </w:rPr>
              <w:t>+3.7%</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3,681</w:t>
            </w:r>
          </w:p>
        </w:tc>
        <w:tc>
          <w:tcPr>
            <w:tcW w:type="dxa" w:w="1440"/>
            <w:shd w:fill="C6EFCE" w:val="clear"/>
          </w:tcPr>
          <w:p>
            <w:r>
              <w:rPr>
                <w:b/>
                <w:sz w:val="17"/>
              </w:rPr>
              <w:t>4,155</w:t>
            </w:r>
          </w:p>
        </w:tc>
        <w:tc>
          <w:tcPr>
            <w:tcW w:type="dxa" w:w="1440"/>
            <w:shd w:fill="C6EFCE" w:val="clear"/>
          </w:tcPr>
          <w:p>
            <w:r>
              <w:rPr>
                <w:sz w:val="17"/>
              </w:rPr>
              <w:t>4,629</w:t>
            </w:r>
          </w:p>
        </w:tc>
        <w:tc>
          <w:tcPr>
            <w:tcW w:type="dxa" w:w="1440"/>
            <w:shd w:fill="C6EFCE" w:val="clear"/>
          </w:tcPr>
          <w:p>
            <w:r>
              <w:rPr>
                <w:b/>
                <w:color w:val="008000"/>
                <w:sz w:val="17"/>
              </w:rPr>
              <w:t>+4.4%</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3,651</w:t>
            </w:r>
          </w:p>
        </w:tc>
        <w:tc>
          <w:tcPr>
            <w:tcW w:type="dxa" w:w="1440"/>
            <w:shd w:fill="C6EFCE" w:val="clear"/>
          </w:tcPr>
          <w:p>
            <w:r>
              <w:rPr>
                <w:b/>
                <w:sz w:val="17"/>
              </w:rPr>
              <w:t>4,158</w:t>
            </w:r>
          </w:p>
        </w:tc>
        <w:tc>
          <w:tcPr>
            <w:tcW w:type="dxa" w:w="1440"/>
            <w:shd w:fill="C6EFCE" w:val="clear"/>
          </w:tcPr>
          <w:p>
            <w:r>
              <w:rPr>
                <w:sz w:val="17"/>
              </w:rPr>
              <w:t>4,665</w:t>
            </w:r>
          </w:p>
        </w:tc>
        <w:tc>
          <w:tcPr>
            <w:tcW w:type="dxa" w:w="1440"/>
            <w:shd w:fill="C6EFCE" w:val="clear"/>
          </w:tcPr>
          <w:p>
            <w:r>
              <w:rPr>
                <w:b/>
                <w:color w:val="008000"/>
                <w:sz w:val="17"/>
              </w:rPr>
              <w:t>+4.5%</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3,625</w:t>
            </w:r>
          </w:p>
        </w:tc>
        <w:tc>
          <w:tcPr>
            <w:tcW w:type="dxa" w:w="1440"/>
            <w:shd w:fill="C6EFCE" w:val="clear"/>
          </w:tcPr>
          <w:p>
            <w:r>
              <w:rPr>
                <w:b/>
                <w:sz w:val="17"/>
              </w:rPr>
              <w:t>4,163</w:t>
            </w:r>
          </w:p>
        </w:tc>
        <w:tc>
          <w:tcPr>
            <w:tcW w:type="dxa" w:w="1440"/>
            <w:shd w:fill="C6EFCE" w:val="clear"/>
          </w:tcPr>
          <w:p>
            <w:r>
              <w:rPr>
                <w:sz w:val="17"/>
              </w:rPr>
              <w:t>4,701</w:t>
            </w:r>
          </w:p>
        </w:tc>
        <w:tc>
          <w:tcPr>
            <w:tcW w:type="dxa" w:w="1440"/>
            <w:shd w:fill="C6EFCE" w:val="clear"/>
          </w:tcPr>
          <w:p>
            <w:r>
              <w:rPr>
                <w:b/>
                <w:color w:val="008000"/>
                <w:sz w:val="17"/>
              </w:rPr>
              <w:t>+4.6%</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3,597</w:t>
            </w:r>
          </w:p>
        </w:tc>
        <w:tc>
          <w:tcPr>
            <w:tcW w:type="dxa" w:w="1440"/>
            <w:shd w:fill="C6EFCE" w:val="clear"/>
          </w:tcPr>
          <w:p>
            <w:r>
              <w:rPr>
                <w:b/>
                <w:sz w:val="17"/>
              </w:rPr>
              <w:t>4,165</w:t>
            </w:r>
          </w:p>
        </w:tc>
        <w:tc>
          <w:tcPr>
            <w:tcW w:type="dxa" w:w="1440"/>
            <w:shd w:fill="C6EFCE" w:val="clear"/>
          </w:tcPr>
          <w:p>
            <w:r>
              <w:rPr>
                <w:sz w:val="17"/>
              </w:rPr>
              <w:t>4,733</w:t>
            </w:r>
          </w:p>
        </w:tc>
        <w:tc>
          <w:tcPr>
            <w:tcW w:type="dxa" w:w="1440"/>
            <w:shd w:fill="C6EFCE" w:val="clear"/>
          </w:tcPr>
          <w:p>
            <w:r>
              <w:rPr>
                <w:b/>
                <w:color w:val="008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financière**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79,60 Mds FCFA, LNBB se positionne comme une valeur de taille intermédiaire sur la BRVM, représentative d'une entreprise à forte notoriété nationale mais à flottant limité (l'État béninois étant l'actionnaire de référence). Le BPA de 231 FCFA/action signifie que chaque titre génère près de 231 FCFA de bénéfice net, ce qui, rapporté au cours actuel de 3 980 FCFA, donne un PER de 17,2x — soit un niveau modéré mais nettement supérieur à la moyenne du marché BRVM (8-12x), traduisant une prime de qualité et de stabilité accordée par le marché. Le ratio P/B de 3,63x indique que le marché valorise l'entreprise à plus de trois fois et demie sa valeur comptable (21,95 Mds FCFA de capitaux propres), ce qui reflète une prime de croissance et la reconnaissance d'un ROE élevé (21,05%). Enfin, l'EV/EBITDA de 10,1x situe la valeur totale (capitalisation + dette nette quasi nulle) à environ dix fois sa capacité opérationnelle, un niveau élevé qui intègre les perspectives de redressement de la rentabilité post-2025.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progression modeste de +2,71%, avec une dernière séance quasi stable (+0,13%), le cours s'établissant à 3 980 FCFA. Le range de trading est relativement large, avec un plus haut à 4 560 FCFA et un plus bas à 3 700 FCFA, soit une amplitude de 860 FCFA (23,2% du plus bas), ce qui témoigne d'une réelle volatilité intra-période malgré une tendance globale haussière mais hésitante. La moyenne (4 076 FCFA) est légèrement supérieure à la médiane (4 050 FCFA), et le mode se situe à 4 000 FCFA, ce qui suggère une distribution quasi symétrique avec une très légère asymétrie positive, confirmée par le skewness de 0,448 (distribution symétrique selon l'interprétation fournie). L'écart-type de 193 FCFA pour un coefficient de variation de seulement 4,7% indique une dispersion faible autour de la moyenne, ce qui est rassurant pour la stabilité du cours. Le kurtosis de -0,773 (mésokurtique) signifie que la distribution est proche d'une loi normale, sans risque de pics extrêmes marqués — un profil rassurant pour un investisseur averse au risque. En revanche, la volatilité annualisée de 41,4% classe le titre dans la catégorie des valeurs à volatilité élevée (&gt;30%), ce qui contraste avec la faible dispersion quotidienne et s'explique probablement par des mouvements erratiques sur des volumes réduits (4 734 titres/jour en moyenne).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(3 996 FCFA) est légèrement supérieure au cours actuel (3 980 FCFA), tandis que la MM50 (4 129,3 FCFA) se situe nettement au-dessus, créant une configuration baissière où le cours évolue sous ses deux moyennes. Cette disposition justifie la décision technique de **Vente**, le titre n'ayant pas encore réussi à reconquérir sa MM20 malgré la légère hausse récente.</w:t>
      </w:r>
    </w:p>
    <w:p>
      <w:pPr>
        <w:spacing w:after="120" w:line="276" w:lineRule="auto"/>
      </w:pPr>
      <w:r>
        <w:t>**Bandes de Bollinger** : Le cours (3 980 FCFA) se situe dans la partie basse de la bande, entre la borne inférieure (3 816,48 FCFA) et la borne supérieure (4 175,52 FCFA), à environ 43% de la largeur de la bande. Cette position médiane-basse, avec un cours proche de la MM20, traduit une absence de signal directionnel fort, justifiant la décision **Neutre**.</w:t>
      </w:r>
    </w:p>
    <w:p>
      <w:pPr>
        <w:spacing w:after="120" w:line="276" w:lineRule="auto"/>
      </w:pPr>
      <w:r>
        <w:t>**MACD** : La valeur du MACD (-47,274) est légèrement inférieure à son signal (-46,309), avec un histogramme négatif (-0,965), confirmant un momentum baissier persistant. La divergence négative entre les deux lignes justifie la décision de **Vente**, bien que l'écart réduit suggère un essoufflement possible de la pression vendeuse.</w:t>
      </w:r>
    </w:p>
    <w:p>
      <w:pPr>
        <w:spacing w:after="120" w:line="276" w:lineRule="auto"/>
      </w:pPr>
      <w:r>
        <w:t>**RSI** : À 53,03, le RSI se situe dans la zone neutre (30-70), sans signal de surachat (&gt;70) ni de survente (&lt;30). Cette valeur médiane indique un équilibre entre acheteurs et vendeurs, justifiant la décision **Neutre** et l'absence de signal directionnel clair.</w:t>
      </w:r>
    </w:p>
    <w:p>
      <w:pPr>
        <w:spacing w:after="120" w:line="276" w:lineRule="auto"/>
      </w:pPr>
      <w:r>
        <w:t>**Stochastique** : Le %K (70,0) est nettement supérieur au %D (46,25), avec un croisement haussier récent du %K au-dessus du %D. Cette configuration est généralement un signal d'achat à court terme, mais la décision reste **Neutre** car le %K approche de la zone de surachat (&gt;80) et le contexte global reste baissier.</w:t>
      </w:r>
    </w:p>
    <w:p>
      <w:pPr>
        <w:spacing w:after="120" w:line="276" w:lineRule="auto"/>
      </w:pPr>
      <w:r>
        <w:t>**Conclusion technique** : Les indicateurs techniques présentent un tableau mitigé, avec une majorité de signaux neutres (Bollinger, RSI, Stochastique) et deux signaux baissiers (MM, MACD). Le cours évolue sous ses moyennes mobiles dans un contexte de momentum négatif, mais la proximité de la borne inférieure de Bollinger et le croisement haussier du stochastique suggèrent un potentiel rebond technique à court terme. La configuration globale reste fragile et nécessite une confirmation par un franchissement de la MM20 (3 996 FCFA) pour envisager une reprise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LNBB a réalisé un chiffre d'affaires de 98,598 Mds FCFA, en baisse de -3,85% par rapport à 2024 (102,544 Mds FCFA), sous l'effet d'une concurrence illégale accrue. Le résultat net s'établit à 4,622 Mds FCFA, en recul de -35,6% (vs 7,176 Mds en 2024), impacté par l'absence de produits exceptionnels (3,1 Mds en 2024). Malgré cette contraction, les fondamentaux opérationnels sont solides : la Valeur Ajoutée progresse de +22% à 10,548 Mds FCFA, l'EBE de +34% à 7,164 Mds FCFA, et le ROE atteint 21,05% (excellent, &gt;15%), tandis que le ROA de 14,17% confirme une bonne rentabilité des actifs. La structure financière est très saine : autonomie financière de 67,32%, endettement quasi nul (dettes financières de 563,24 M FCFA seulement), trésorerie nette positive de 7,979 Mds FCFA, et BFR négatif (217,45 M FCFA) — un signal favorable. Les délais clients sont très courts (4,82 jours) et les délais fournisseurs de 20,41 jours, traduisant une gestion efficace du cycle d'exploitation.</w:t>
      </w:r>
    </w:p>
    <w:p>
      <w:pPr>
        <w:spacing w:after="120" w:line="276" w:lineRule="auto"/>
      </w:pPr>
      <w:r>
        <w:t>**Estimations basées sur les rapports trimestriels** : Le rapport du T1 2026 (publié le 07/05/2026) indique un CA de 25,521 Mds FCFA (+6%) mais un résultat net en chute de -46% à 848 M FCFA, en raison d'un mix-produit défavorable (pari sportif à 95% de taux de retour). Toutefois, le rapport du S1 2026 (publié le 01/08/2026) révèle un redressement spectaculaire : CA de 49,937 Mds FCFA (+4%) et résultat net en hausse de +60%, grâce à la maîtrise des charges et aux revenus de partenariats B2B. On estime donc que l'exercice 2026 devrait afficher un résultat net en forte croissance (potentiellement &gt;7 Mds FCFA), porté par le déploiement de 1 500 nouveaux terminaux et le lancement de nouveaux produits au S2 2026. La politique de dividende est attractive : dividende brut de 173 FCFA/action (net 164 FCFA), soit un rendement de 4,35% au cours actuel, avec une mise en paiement prévue le 2 août 2026.</w:t>
      </w:r>
    </w:p>
    <w:p>
      <w:pPr>
        <w:spacing w:after="120" w:line="276" w:lineRule="auto"/>
      </w:pPr>
      <w:r>
        <w:t>**Recommandation fondamentale** : La solidité financière (ROE 21%, trésorerie nette positive, endettement nul) et le redressement de la rentabilité au S1 2026 compensent la baisse du CA 2025. Les risques (concurrence illégale, pression sur les marges du pari sportif) sont réels mais atténués par la diversification vers les partenariats et les nouveaux produits. La recommandation fondamentale est **CONSERVER** avec un biais positif.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mitigé : le PER de 17,2x est supérieur à la moyenne du marché BRVM (8-12x), suggérant une légère surévaluation, mais le P/B de 3,63x et l'EV/EBITDA de 10,1x intègrent une prime de croissance justifiée par le ROE élevé (21,05%) et les perspectives de redressement. Le comportement du cours (Partie 1) est globalement stable (+2,71% sur 100 jours) avec une volatilité annualisée élevée (41,4%) mais une distribution proche de la normale (kurtosis -0,773, skewness 0,448), ce qui limite le risque de mouvements extrêmes. Les signaux techniques (Partie 2) sont majoritairement neutres à baissiers (MM et MACD en vente, Bollinger/RSI/Stochastique neutres), sans convergence haussière claire à court terme. Les fondamentaux (Partie 3) sont solides : ROE de 21,05%, trésorerie nette de 7,979 Mds FCFA, BFR négatif, et surtout un redressement du résultat net de +60% au S1 2026 (rapport du 01/08/2026), qui contraste avec la baisse de 2025. Les prédictions IA (J+1 à J+10) anticipent une hausse progressive de 4 073 à 4 095 FCFA, confirmant un léger rebond technique en ligne avec le croisement haussier du stochastique.</w:t>
      </w:r>
    </w:p>
    <w:p>
      <w:pPr>
        <w:spacing w:after="120" w:line="276" w:lineRule="auto"/>
      </w:pPr>
      <w:r>
        <w:t>**Synthèse globale** : La convergence entre les fondamentaux (redressement de la rentabilité, dividende attractif de 173 FCFA/action) et les prédictions IA (hausse modérée) est positive, mais les signaux techniques baissiers (MM, MACD) et la valorisation tendue (PER 17,2x) incitent à la prudence. La recommandation finale est **CONSERVER**, avec un niveau de confiance **Moyen** et un risque global **Moyen**. L'horizon d'investissement optimal est le **moyen terme (3-12 mois)**, le temps que le S2 2026 confirme la pérennité du redressement et que les indicateurs techniques se retournent à la hausse (franchissement de la MM50 à 4 129 FCFA). Un renforcement pourra être envisagé si le cours dépasse 4 175 FCFA (borne supérieure de Bollinger) avec des volumes en hausse.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30.51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2,867 titres</w:t>
            </w:r>
          </w:p>
        </w:tc>
        <w:tc>
          <w:tcPr>
            <w:tcW w:type="dxa" w:w="2268"/>
            <w:shd w:fill="FFF2CC" w:val="clear"/>
          </w:tcPr>
          <w:p>
            <w:r>
              <w:rPr>
                <w:b/>
                <w:color w:val="503200"/>
                <w:sz w:val="16"/>
              </w:rPr>
              <w:t xml:space="preserve">Cours actuel : </w:t>
            </w:r>
            <w:r>
              <w:rPr>
                <w:color w:val="000000"/>
                <w:sz w:val="17"/>
              </w:rPr>
              <w:t>2,390 FCFA</w:t>
            </w:r>
          </w:p>
          <w:p>
            <w:r>
              <w:rPr>
                <w:b/>
                <w:color w:val="503200"/>
                <w:sz w:val="16"/>
              </w:rPr>
              <w:t xml:space="preserve">Var. 100 jours : </w:t>
            </w:r>
            <w:r>
              <w:rPr>
                <w:b/>
                <w:color w:val="007800"/>
                <w:sz w:val="17"/>
              </w:rPr>
              <w:t>+35.80%</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1,715 FCFA</w:t>
            </w:r>
          </w:p>
          <w:p>
            <w:r>
              <w:rPr>
                <w:b/>
                <w:color w:val="503200"/>
                <w:sz w:val="16"/>
              </w:rPr>
              <w:t xml:space="preserve">Volatilité ann. : </w:t>
            </w:r>
            <w:r>
              <w:rPr>
                <w:color w:val="000000"/>
                <w:sz w:val="17"/>
              </w:rPr>
              <w:t>54.2%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13.91% (Moyenne) — μ=2,277 FCFA, σ=317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β=0.0340 (Défensif) — Cov=0.000002, Var(idx)=0.000068, ρ=0.008,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σ_j=3.41%/j (Modérée) — Vol. annualisée≈54.2%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2,230</w:t>
            </w:r>
          </w:p>
        </w:tc>
        <w:tc>
          <w:tcPr>
            <w:tcW w:type="dxa" w:w="1440"/>
            <w:shd w:fill="FAFAFA" w:val="clear"/>
          </w:tcPr>
          <w:p>
            <w:r>
              <w:rPr>
                <w:b/>
                <w:sz w:val="17"/>
              </w:rPr>
              <w:t>2,385</w:t>
            </w:r>
          </w:p>
        </w:tc>
        <w:tc>
          <w:tcPr>
            <w:tcW w:type="dxa" w:w="1440"/>
            <w:shd w:fill="FAFAFA" w:val="clear"/>
          </w:tcPr>
          <w:p>
            <w:r>
              <w:rPr>
                <w:sz w:val="17"/>
              </w:rPr>
              <w:t>2,540</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2,156</w:t>
            </w:r>
          </w:p>
        </w:tc>
        <w:tc>
          <w:tcPr>
            <w:tcW w:type="dxa" w:w="1440"/>
            <w:shd w:fill="FAFAFA" w:val="clear"/>
          </w:tcPr>
          <w:p>
            <w:r>
              <w:rPr>
                <w:b/>
                <w:sz w:val="17"/>
              </w:rPr>
              <w:t>2,374</w:t>
            </w:r>
          </w:p>
        </w:tc>
        <w:tc>
          <w:tcPr>
            <w:tcW w:type="dxa" w:w="1440"/>
            <w:shd w:fill="FAFAFA" w:val="clear"/>
          </w:tcPr>
          <w:p>
            <w:r>
              <w:rPr>
                <w:sz w:val="17"/>
              </w:rPr>
              <w:t>2,593</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2,099</w:t>
            </w:r>
          </w:p>
        </w:tc>
        <w:tc>
          <w:tcPr>
            <w:tcW w:type="dxa" w:w="1440"/>
            <w:shd w:fill="FAFAFA" w:val="clear"/>
          </w:tcPr>
          <w:p>
            <w:r>
              <w:rPr>
                <w:b/>
                <w:sz w:val="17"/>
              </w:rPr>
              <w:t>2,365</w:t>
            </w:r>
          </w:p>
        </w:tc>
        <w:tc>
          <w:tcPr>
            <w:tcW w:type="dxa" w:w="1440"/>
            <w:shd w:fill="FAFAFA" w:val="clear"/>
          </w:tcPr>
          <w:p>
            <w:r>
              <w:rPr>
                <w:sz w:val="17"/>
              </w:rPr>
              <w:t>2,632</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2,050</w:t>
            </w:r>
          </w:p>
        </w:tc>
        <w:tc>
          <w:tcPr>
            <w:tcW w:type="dxa" w:w="1440"/>
            <w:shd w:fill="FAFAFA" w:val="clear"/>
          </w:tcPr>
          <w:p>
            <w:r>
              <w:rPr>
                <w:b/>
                <w:sz w:val="17"/>
              </w:rPr>
              <w:t>2,356</w:t>
            </w:r>
          </w:p>
        </w:tc>
        <w:tc>
          <w:tcPr>
            <w:tcW w:type="dxa" w:w="1440"/>
            <w:shd w:fill="FAFAFA" w:val="clear"/>
          </w:tcPr>
          <w:p>
            <w:r>
              <w:rPr>
                <w:sz w:val="17"/>
              </w:rPr>
              <w:t>2,663</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2,006</w:t>
            </w:r>
          </w:p>
        </w:tc>
        <w:tc>
          <w:tcPr>
            <w:tcW w:type="dxa" w:w="1440"/>
            <w:shd w:fill="FAFAFA" w:val="clear"/>
          </w:tcPr>
          <w:p>
            <w:r>
              <w:rPr>
                <w:b/>
                <w:sz w:val="17"/>
              </w:rPr>
              <w:t>2,348</w:t>
            </w:r>
          </w:p>
        </w:tc>
        <w:tc>
          <w:tcPr>
            <w:tcW w:type="dxa" w:w="1440"/>
            <w:shd w:fill="FAFAFA" w:val="clear"/>
          </w:tcPr>
          <w:p>
            <w:r>
              <w:rPr>
                <w:sz w:val="17"/>
              </w:rPr>
              <w:t>2,689</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1,966</w:t>
            </w:r>
          </w:p>
        </w:tc>
        <w:tc>
          <w:tcPr>
            <w:tcW w:type="dxa" w:w="1440"/>
            <w:shd w:fill="FFDCE0" w:val="clear"/>
          </w:tcPr>
          <w:p>
            <w:r>
              <w:rPr>
                <w:b/>
                <w:sz w:val="17"/>
              </w:rPr>
              <w:t>2,339</w:t>
            </w:r>
          </w:p>
        </w:tc>
        <w:tc>
          <w:tcPr>
            <w:tcW w:type="dxa" w:w="1440"/>
            <w:shd w:fill="FFDCE0" w:val="clear"/>
          </w:tcPr>
          <w:p>
            <w:r>
              <w:rPr>
                <w:sz w:val="17"/>
              </w:rPr>
              <w:t>2,712</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1,930</w:t>
            </w:r>
          </w:p>
        </w:tc>
        <w:tc>
          <w:tcPr>
            <w:tcW w:type="dxa" w:w="1440"/>
            <w:shd w:fill="FFDCE0" w:val="clear"/>
          </w:tcPr>
          <w:p>
            <w:r>
              <w:rPr>
                <w:b/>
                <w:sz w:val="17"/>
              </w:rPr>
              <w:t>2,332</w:t>
            </w:r>
          </w:p>
        </w:tc>
        <w:tc>
          <w:tcPr>
            <w:tcW w:type="dxa" w:w="1440"/>
            <w:shd w:fill="FFDCE0" w:val="clear"/>
          </w:tcPr>
          <w:p>
            <w:r>
              <w:rPr>
                <w:sz w:val="17"/>
              </w:rPr>
              <w:t>2,733</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1,896</w:t>
            </w:r>
          </w:p>
        </w:tc>
        <w:tc>
          <w:tcPr>
            <w:tcW w:type="dxa" w:w="1440"/>
            <w:shd w:fill="FFDCE0" w:val="clear"/>
          </w:tcPr>
          <w:p>
            <w:r>
              <w:rPr>
                <w:b/>
                <w:sz w:val="17"/>
              </w:rPr>
              <w:t>2,324</w:t>
            </w:r>
          </w:p>
        </w:tc>
        <w:tc>
          <w:tcPr>
            <w:tcW w:type="dxa" w:w="1440"/>
            <w:shd w:fill="FFDCE0" w:val="clear"/>
          </w:tcPr>
          <w:p>
            <w:r>
              <w:rPr>
                <w:sz w:val="17"/>
              </w:rPr>
              <w:t>2,752</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1,865</w:t>
            </w:r>
          </w:p>
        </w:tc>
        <w:tc>
          <w:tcPr>
            <w:tcW w:type="dxa" w:w="1440"/>
            <w:shd w:fill="FFDCE0" w:val="clear"/>
          </w:tcPr>
          <w:p>
            <w:r>
              <w:rPr>
                <w:b/>
                <w:sz w:val="17"/>
              </w:rPr>
              <w:t>2,317</w:t>
            </w:r>
          </w:p>
        </w:tc>
        <w:tc>
          <w:tcPr>
            <w:tcW w:type="dxa" w:w="1440"/>
            <w:shd w:fill="FFDCE0" w:val="clear"/>
          </w:tcPr>
          <w:p>
            <w:r>
              <w:rPr>
                <w:sz w:val="17"/>
              </w:rPr>
              <w:t>2,769</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1,835</w:t>
            </w:r>
          </w:p>
        </w:tc>
        <w:tc>
          <w:tcPr>
            <w:tcW w:type="dxa" w:w="1440"/>
            <w:shd w:fill="FFDCE0" w:val="clear"/>
          </w:tcPr>
          <w:p>
            <w:r>
              <w:rPr>
                <w:b/>
                <w:sz w:val="17"/>
              </w:rPr>
              <w:t>2,310</w:t>
            </w:r>
          </w:p>
        </w:tc>
        <w:tc>
          <w:tcPr>
            <w:tcW w:type="dxa" w:w="1440"/>
            <w:shd w:fill="FFDCE0" w:val="clear"/>
          </w:tcPr>
          <w:p>
            <w:r>
              <w:rPr>
                <w:sz w:val="17"/>
              </w:rPr>
              <w:t>2,786</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30,51 milliards FCFA, NEIC se positionne comme une valeur de taille moyenne sur la cote BRVM, ce qui traduit une liquidité limitée mais un potentiel de réévaluation intéressant pour les investisseurs patients. Le BPA de 160 FCFA/action signifie que chaque titre génère 160 FCFA de bénéfice net, un niveau qui, rapporté au cours actuel de 2 390 FCFA, donne un PER de 15,0x — soit une prime d'environ 25 à 85% par rapport au PER moyen du marché BRVM (8-12x), indiquant que les investisseurs paient déjà cher la performance récente. Le P/B de 5,30x est particulièrement exigeant : le marché valorise NEIC à plus de cinq fois sa valeur comptable, ce qui suppose une confiance forte dans la capacité bénéficiaire future et une rentabilité des fonds propres élevée (ROE de 35,4% en 2025). Enfin, l'EV/EBITDA de 22,3x dépasse largement le seuil de 15x généralement considéré comme plafond raisonnable, ce qui suggère que la valeur d'entreprise intègre déjà une croissance soutenue des flux opérationnels — une hypothèse à surveiller de près compte tenu de la volatilité historique du chiffre d'affaires.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NEIC affiche une performance remarquable de +35,80%, malgré un léger repli de -0,42% lors de la dernière séance, ce qui porte le cours actuel à 2 390 FCFA. Le titre a évolué dans un range très large, entre un plus bas de 1 715 FCFA et un plus haut de 3 000 FCFA, soit une amplitude de 75% qui témoigne d'une forte nervosité du marché. La tendance générale est donc nettement haussière, portée vraisemblablement par l'annonce de résultats 2025 exceptionnels (résultat net de 2,04 milliards FCFA) et une politique de dividende généreuse. Les statistiques descriptives révèlent une moyenne de 2 277 FCFA légèrement supérieure à la médiane de 2 262 FCFA, avec un mode à 1 990 FCFA : cet écart modéré indique une distribution quasi symétrique mais avec une légère asymétrie positive (skewness de 0,701), signifiant que les journées de baisse sous la moyenne ont été plus fréquentes que les journées de forte hausse — le titre a donc progressé par à-coups plutôt que par une tendance linéaire. L'écart-type de 318 FCFA (CV de 14,0%) traduit une dispersion modérée autour de la moyenne, tandis que le kurtosis de 0,079 (mésokurtique) suggère une distribution proche de la normale, sans risque excessif de pics extrêmes. La volatilité annualisée de 54,2% classe cependant NEIC dans la catégorie des titres à volatilité élevée (&gt;30%), ce qui implique un risque de marché significatif et justifie une approche prudente en termes de sizing.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2 716 FCFA et la MM50 à 2 472 FCFA, toutes deux supérieures au cours actuel de 2 390 FCFA, ce qui place le titre en position baissière de court terme malgré la décision algorithmique "Achat". Cette configuration — cours sous les deux moyennes — signale une pression vendeuse récente et un essoufflement de la dynamique haussière ; la décision "Achat" provient probablement du croisement haussier MM20 &gt; MM50 (golden cross) qui reste valide structurellement.</w:t>
      </w:r>
    </w:p>
    <w:p>
      <w:pPr>
        <w:spacing w:after="120" w:line="276" w:lineRule="auto"/>
      </w:pPr>
      <w:r>
        <w:t>**Bandes de Bollinger** : Le cours (2 390 FCFA) se situe dans la partie basse du canal, entre la borne inférieure à 2 222 FCFA et la borne supérieure à 3 210 FCFA, ce qui justifie la décision "Neutre". Le titre n'est ni en zone de survente extrême (proche de la borne basse) ni en zone de surachat, mais sa position médiane-basse suggère que la volatilité récente a été absorbée sans cassure nette — un signal d'attente avant un éventuel rebond ou une poursuite de la correction.</w:t>
      </w:r>
    </w:p>
    <w:p>
      <w:pPr>
        <w:spacing w:after="120" w:line="276" w:lineRule="auto"/>
      </w:pPr>
      <w:r>
        <w:t>**MACD** : La valeur du MACD (-42,881) est nettement inférieure à son signal (22,112), générant une divergence baissière marquée et une décision "Vente". Cet indicateur confirme que le momentum de court terme s'est retourné à la baisse, avec un histogramme négatif qui traduit une accélération de la pression vendeuse ; c'est le signal technique le plus préoccupant du tableau actuel.</w:t>
      </w:r>
    </w:p>
    <w:p>
      <w:pPr>
        <w:spacing w:after="120" w:line="276" w:lineRule="auto"/>
      </w:pPr>
      <w:r>
        <w:t>**RSI** : À 28,623, le RSI se situe juste en dessous du seuil de survente (30), ce qui déclenche une décision "Achat" selon la lecture classique. Cette configuration indique que le titre a été massivement vendu à court terme et qu'un rebond technique est statistiquement probable, mais elle doit être tempérée par le contexte baissier des moyennes mobiles et du MACD.</w:t>
      </w:r>
    </w:p>
    <w:p>
      <w:pPr>
        <w:spacing w:after="120" w:line="276" w:lineRule="auto"/>
      </w:pPr>
      <w:r>
        <w:t>**Stochastique** : Avec %K à 16,514 et %D à 15,407, les deux lignes évoluent en zone de survente profonde (&lt;20) et sont proches l'une de l'autre, sans croisement haussier confirmé. La décision "Achat" repose sur le potentiel de retournement, mais l'absence de croisement %K &gt; %D invite à la prudence avant de valider un signal d'entrée.</w:t>
      </w:r>
    </w:p>
    <w:p>
      <w:pPr>
        <w:spacing w:after="120" w:line="276" w:lineRule="auto"/>
      </w:pPr>
      <w:r>
        <w:t>**Conclusion technique** : Les indicateurs sont divergents — les oscillateurs (RSI, Stochastique) plaident pour un rebond technique depuis la zone de survente, tandis que le MACD et la position du cours sous les moyennes mobiles confirment une tendance baissière de court terme. Cette configuration suggère un titre en phase de consolidation après une forte hausse, avec un risque de poursuite de la correction vers 2 222 FCFA (borne basse de Bollinger) avant tout rebond durable. La prudence est de mise : attendre un croisement haussier du MACD ou une reprise au-dessus de la MM20 (2 716 FCFA) pour valider un signal d'achat plus fiable.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2025 de NEIC (exercice clos le 31 décembre 2025) affichent un chiffre d'affaires de 5,139 milliards FCFA, un résultat net de 2,037 milliards FCFA, un ROE exceptionnel de 35,39% et un ROA de 27,25% — des niveaux de rentabilité très supérieurs aux standards du marché BRVM. La structure financière est remarquablement saine : autonomie financière de 77,01%, solvabilité générale de 435%, liquidité générale de 448,86% et trésorerie nette de 4,196 milliards FCFA, ce qui témoigne d'une gestion conservatrice et d'une capacité de résistance aux chocs. Cependant, en tant qu'entreprise du secteur de l'édition et de la diffusion, NEIC présente des délais clients élevés (154,72 jours) qui constituent un risque de trésorerie réel, même si le BFR de 1,498 milliard FCFA reste couvert par un fonds de roulement de 5,693 milliards FCFA. Le taux de croissance du CA de -23,80% en 2025 est préoccupant et contraste avec la performance du résultat net, ce qui suggère que la rentabilité 2025 a été portée par des éléments non récurrents plutôt que par une dynamique commerciale solide. Les rapports trimestriels confirment cette lecture : le T3 2025 (rapport du 30 septembre 2025) affiche un CA de 3 406 millions FCFA en baisse de 35% sur un an, mais un résultat net de 1 596 millions FCFA en hausse de 125% grâce à la reprise d'une provision pour redressement fiscal — un produit exceptionnel non récurrent. Le T1 2026 (rapport publié en 2026) montre une amélioration encourageante avec un CA de 115,1 millions FCFA (+137% sur un an) et une perte nette réduite à -168,9 millions FCFA (contre -189,9 millions au T1 2025), mais l'activité reste structurellement déficitaire au niveau opérationnel (-271,5 millions FCFA). Sur la base de ces tendances, on estime que l'exercice 2026 devrait bénéficier d'un effet de base favorable au T1 mais que la rentabilité annuelle dépendra largement de l'exécution des marchés publics (manuels scolaires) au second semestre, avec un risque de normalisation du résultat net après l'effet exceptionnel de 2025. La recommandation fondamentale est donc nuancée : la solidité financière et la générosité du dividende (2,04 milliards FCFA, soit 100% du résultat net) sont attractives, mais la durabilité de la performance et la faiblesse de la croissance organique constituent des risques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NEIC apparaît exigeante (PER de 15,0x, P/B de 5,30x, EV/EBITDA de 22,3x) et intègre déjà une grande partie de la performance exceptionnelle de 2025, ce qui limite le potentiel de réévaluation à court terme. Le comportement du cours sur 100 jours est haussier (+35,80%) mais la volatilité élevée (54,2%) et l'asymétrie positive (skewness de 0,701) indiquent que la progression s'est faite par à-coups, avec un risque de correction après le pic de 3 000 FCFA. Les signaux techniques sont divergents : les oscillateurs (RSI à 28,6, Stochastique en survente) plaident pour un rebond, mais le MACD baissier et la position du cours sous les moyennes mobiles (MM20 à 2 716 FCFA, MM50 à 2 472 FCFA) confirment une pression vendeuse persistante. Les fondamentaux sont solides (ROE de 35,39%, trésorerie de 4,196 milliards FCFA, autonomie financière de 77%) mais fragilisés par la baisse du CA (-23,80% en 2025) et la dépendance à des éléments non récurrents, comme l'illustre le T3 2025 (bénéfice tiré par une reprise de provision). Les prédictions IA pour les 10 prochains jours (2 385 → 2 348 FCFA) confirment une légère tendance baissière de court terme, en cohérence avec le MACD et la position sous les moyennes mobiles. **Recommandation finale : CONSERVER** — la convergence entre valorisation exigeante, technique baissière de court terme et fondamentaux solides mais dépendants d'éléments exceptionnels ne justifie ni un achat agressif ni une vente précipitée. Le niveau de confiance est **Moyen** (divergence des signaux) et le niveau de risque **Élevé** (volatilité de 54,2%, dépendance aux marchés publics, distribution de 100% du résultat en dividende limitant l'autofinancement). L'horizon d'investissement optimal est le **moyen terme (3-12 mois)**, en attendant la confirmation d'une reprise durable du chiffre d'affaires et la publication des résultats du T2/T3 2026 pour valider ou infirmer la trajectoire de redressement.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556.53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2,778 titres</w:t>
            </w:r>
          </w:p>
        </w:tc>
        <w:tc>
          <w:tcPr>
            <w:tcW w:type="dxa" w:w="2268"/>
            <w:shd w:fill="FFF2CC" w:val="clear"/>
          </w:tcPr>
          <w:p>
            <w:r>
              <w:rPr>
                <w:b/>
                <w:color w:val="503200"/>
                <w:sz w:val="16"/>
              </w:rPr>
              <w:t xml:space="preserve">Cours actuel : </w:t>
            </w:r>
            <w:r>
              <w:rPr>
                <w:color w:val="000000"/>
                <w:sz w:val="17"/>
              </w:rPr>
              <w:t>22,500 FCFA</w:t>
            </w:r>
          </w:p>
          <w:p>
            <w:r>
              <w:rPr>
                <w:b/>
                <w:color w:val="503200"/>
                <w:sz w:val="16"/>
              </w:rPr>
              <w:t xml:space="preserve">Var. 100 jours : </w:t>
            </w:r>
            <w:r>
              <w:rPr>
                <w:b/>
                <w:color w:val="007800"/>
                <w:sz w:val="17"/>
              </w:rPr>
              <w:t>+50.60%</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14.35% (Moyenne) — μ=20,848 FCFA, σ=2,992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β=1.5906 (Agressif) — Cov=0.000107, Var(idx)=0.000068, ρ=0.491,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2,778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21,450</w:t>
            </w:r>
          </w:p>
        </w:tc>
        <w:tc>
          <w:tcPr>
            <w:tcW w:type="dxa" w:w="1440"/>
            <w:shd w:fill="FAFAFA" w:val="clear"/>
          </w:tcPr>
          <w:p>
            <w:r>
              <w:rPr>
                <w:b/>
                <w:sz w:val="17"/>
              </w:rPr>
              <w:t>22,405</w:t>
            </w:r>
          </w:p>
        </w:tc>
        <w:tc>
          <w:tcPr>
            <w:tcW w:type="dxa" w:w="1440"/>
            <w:shd w:fill="FAFAFA" w:val="clear"/>
          </w:tcPr>
          <w:p>
            <w:r>
              <w:rPr>
                <w:sz w:val="17"/>
              </w:rPr>
              <w:t>23,359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21,061</w:t>
            </w:r>
          </w:p>
        </w:tc>
        <w:tc>
          <w:tcPr>
            <w:tcW w:type="dxa" w:w="1440"/>
            <w:shd w:fill="FAFAFA" w:val="clear"/>
          </w:tcPr>
          <w:p>
            <w:r>
              <w:rPr>
                <w:b/>
                <w:sz w:val="17"/>
              </w:rPr>
              <w:t>22,411</w:t>
            </w:r>
          </w:p>
        </w:tc>
        <w:tc>
          <w:tcPr>
            <w:tcW w:type="dxa" w:w="1440"/>
            <w:shd w:fill="FAFAFA" w:val="clear"/>
          </w:tcPr>
          <w:p>
            <w:r>
              <w:rPr>
                <w:sz w:val="17"/>
              </w:rPr>
              <w:t>23,761</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20,764</w:t>
            </w:r>
          </w:p>
        </w:tc>
        <w:tc>
          <w:tcPr>
            <w:tcW w:type="dxa" w:w="1440"/>
            <w:shd w:fill="FAFAFA" w:val="clear"/>
          </w:tcPr>
          <w:p>
            <w:r>
              <w:rPr>
                <w:b/>
                <w:sz w:val="17"/>
              </w:rPr>
              <w:t>22,419</w:t>
            </w:r>
          </w:p>
        </w:tc>
        <w:tc>
          <w:tcPr>
            <w:tcW w:type="dxa" w:w="1440"/>
            <w:shd w:fill="FAFAFA" w:val="clear"/>
          </w:tcPr>
          <w:p>
            <w:r>
              <w:rPr>
                <w:sz w:val="17"/>
              </w:rPr>
              <w:t>24,073</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20,521</w:t>
            </w:r>
          </w:p>
        </w:tc>
        <w:tc>
          <w:tcPr>
            <w:tcW w:type="dxa" w:w="1440"/>
            <w:shd w:fill="FAFAFA" w:val="clear"/>
          </w:tcPr>
          <w:p>
            <w:r>
              <w:rPr>
                <w:b/>
                <w:sz w:val="17"/>
              </w:rPr>
              <w:t>22,432</w:t>
            </w:r>
          </w:p>
        </w:tc>
        <w:tc>
          <w:tcPr>
            <w:tcW w:type="dxa" w:w="1440"/>
            <w:shd w:fill="FAFAFA" w:val="clear"/>
          </w:tcPr>
          <w:p>
            <w:r>
              <w:rPr>
                <w:sz w:val="17"/>
              </w:rPr>
              <w:t>24,344</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20,306</w:t>
            </w:r>
          </w:p>
        </w:tc>
        <w:tc>
          <w:tcPr>
            <w:tcW w:type="dxa" w:w="1440"/>
            <w:shd w:fill="FAFAFA" w:val="clear"/>
          </w:tcPr>
          <w:p>
            <w:r>
              <w:rPr>
                <w:b/>
                <w:sz w:val="17"/>
              </w:rPr>
              <w:t>22,444</w:t>
            </w:r>
          </w:p>
        </w:tc>
        <w:tc>
          <w:tcPr>
            <w:tcW w:type="dxa" w:w="1440"/>
            <w:shd w:fill="FAFAFA" w:val="clear"/>
          </w:tcPr>
          <w:p>
            <w:r>
              <w:rPr>
                <w:sz w:val="17"/>
              </w:rPr>
              <w:t>24,582</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20,111</w:t>
            </w:r>
          </w:p>
        </w:tc>
        <w:tc>
          <w:tcPr>
            <w:tcW w:type="dxa" w:w="1440"/>
            <w:shd w:fill="FAFAFA" w:val="clear"/>
          </w:tcPr>
          <w:p>
            <w:r>
              <w:rPr>
                <w:b/>
                <w:sz w:val="17"/>
              </w:rPr>
              <w:t>22,454</w:t>
            </w:r>
          </w:p>
        </w:tc>
        <w:tc>
          <w:tcPr>
            <w:tcW w:type="dxa" w:w="1440"/>
            <w:shd w:fill="FAFAFA" w:val="clear"/>
          </w:tcPr>
          <w:p>
            <w:r>
              <w:rPr>
                <w:sz w:val="17"/>
              </w:rPr>
              <w:t>24,797</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19,931</w:t>
            </w:r>
          </w:p>
        </w:tc>
        <w:tc>
          <w:tcPr>
            <w:tcW w:type="dxa" w:w="1440"/>
            <w:shd w:fill="FAFAFA" w:val="clear"/>
          </w:tcPr>
          <w:p>
            <w:r>
              <w:rPr>
                <w:b/>
                <w:sz w:val="17"/>
              </w:rPr>
              <w:t>22,463</w:t>
            </w:r>
          </w:p>
        </w:tc>
        <w:tc>
          <w:tcPr>
            <w:tcW w:type="dxa" w:w="1440"/>
            <w:shd w:fill="FAFAFA" w:val="clear"/>
          </w:tcPr>
          <w:p>
            <w:r>
              <w:rPr>
                <w:sz w:val="17"/>
              </w:rPr>
              <w:t>24,994</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19,763</w:t>
            </w:r>
          </w:p>
        </w:tc>
        <w:tc>
          <w:tcPr>
            <w:tcW w:type="dxa" w:w="1440"/>
            <w:shd w:fill="FAFAFA" w:val="clear"/>
          </w:tcPr>
          <w:p>
            <w:r>
              <w:rPr>
                <w:b/>
                <w:sz w:val="17"/>
              </w:rPr>
              <w:t>22,471</w:t>
            </w:r>
          </w:p>
        </w:tc>
        <w:tc>
          <w:tcPr>
            <w:tcW w:type="dxa" w:w="1440"/>
            <w:shd w:fill="FAFAFA" w:val="clear"/>
          </w:tcPr>
          <w:p>
            <w:r>
              <w:rPr>
                <w:sz w:val="17"/>
              </w:rPr>
              <w:t>25,178</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19,605</w:t>
            </w:r>
          </w:p>
        </w:tc>
        <w:tc>
          <w:tcPr>
            <w:tcW w:type="dxa" w:w="1440"/>
            <w:shd w:fill="FAFAFA" w:val="clear"/>
          </w:tcPr>
          <w:p>
            <w:r>
              <w:rPr>
                <w:b/>
                <w:sz w:val="17"/>
              </w:rPr>
              <w:t>22,478</w:t>
            </w:r>
          </w:p>
        </w:tc>
        <w:tc>
          <w:tcPr>
            <w:tcW w:type="dxa" w:w="1440"/>
            <w:shd w:fill="FAFAFA" w:val="clear"/>
          </w:tcPr>
          <w:p>
            <w:r>
              <w:rPr>
                <w:sz w:val="17"/>
              </w:rPr>
              <w:t>25,351</w:t>
            </w:r>
          </w:p>
        </w:tc>
        <w:tc>
          <w:tcPr>
            <w:tcW w:type="dxa" w:w="1440"/>
            <w:shd w:fill="FAFAFA" w:val="clear"/>
          </w:tcPr>
          <w:p>
            <w:r>
              <w:rPr>
                <w:b/>
                <w:color w:val="C00000"/>
                <w:sz w:val="17"/>
              </w:rPr>
              <w:t>-0.1%</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19,456</w:t>
            </w:r>
          </w:p>
        </w:tc>
        <w:tc>
          <w:tcPr>
            <w:tcW w:type="dxa" w:w="1440"/>
            <w:shd w:fill="FAFAFA" w:val="clear"/>
          </w:tcPr>
          <w:p>
            <w:r>
              <w:rPr>
                <w:b/>
                <w:sz w:val="17"/>
              </w:rPr>
              <w:t>22,486</w:t>
            </w:r>
          </w:p>
        </w:tc>
        <w:tc>
          <w:tcPr>
            <w:tcW w:type="dxa" w:w="1440"/>
            <w:shd w:fill="FAFAFA" w:val="clear"/>
          </w:tcPr>
          <w:p>
            <w:r>
              <w:rPr>
                <w:sz w:val="17"/>
              </w:rPr>
              <w:t>25,515</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NSIA BANQUE CÔTE D'IVOIRE (NSBC)</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556,53 milliards FCFA, NSBC s'impose comme l'une des valeurs bancaires les plus capitalisées de la cote BRVM, ce qui témoigne de sa stature de leader sectoriel ivoirien et de sa liquidité relative sur le marché régional. Le BPA de 1 646 FCFA/action signifie que chaque titre génère près de 1 646 FCFA de bénéfice net, un niveau de rentabilité par action particulièrement élevé pour le secteur. Le PER de 13,7x place le titre légèrement au-dessus de la moyenne BRVM (8-12x), traduisant une prime de qualité justifiée par la régularité des résultats, mais qui n'atteint pas des niveaux de surévaluation excessive. Le P/B de 2,39x indique que le marché valorise NSBC à plus du double de sa valeur comptable, une prime de croissance cohérente avec un ROE de 17,45% nettement supérieur au coût des fonds propres. En revanche, l'EV/EBITDA de 21,2x apparaît très exigeant (&gt;15x), signalant que la valeur d'entreprise intègre déjà une bonne partie des anticipations de croissance future et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NSBC affiche une performance remarquable de **+50,60%**, avec une dernière séance en hausse de **+2,83%**, confirmant une dynamique haussière solidement ancrée. Le cours actuel de 22 500 FCFA se situe dans la partie haute du range de trading établi entre un plus bas de 13 810 FCFA et un plus haut de 24 885 FCFA, ce qui traduit une tendance générale nettement haussière portée par des fondamentaux solides et un intérêt croissant des investisseurs. L'analyse des statistiques descriptives révèle une moyenne de 20 848 FCFA légèrement inférieure à la médiane de 21 915 FCFA, écart qui signale une asymétrie négative confirmée par le skewness de -0,822 : le cours a passé davantage de journées au-dessus de sa moyenne, avec des baisses ponctuelles plus marquées que les hausses. L'écart-type de 3 007 FCFA (CV de 14,4%) indique une dispersion modérée autour de la moyenne, tandis que le kurtosis de -0,171 (mésokurtique) suggère une distribution proche de la normale, sans risque excessif de pics extrêmes. La volatilité annualisée de 42,2% classe le titre dans la catégorie des valeurs à volatilité élevée (&gt;30%), ce qui est cohérent avec un titre ayant gagné plus de 50% en 100 jours et qui nécessite une tolérance au risque importante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(23 536,75 FCFA) et la MM50 (23 289,80 FCFA) se situent toutes deux au-dessus du cours actuel (22 500 FCFA), ce qui pourrait suggérer une pression baissière de court terme ; toutefois, la MM20 reste supérieure à la MM50, configuration haussière classique, et la décision technique globale ressort à l'**Achat**, indiquant que la tendance de fond demeure positive malgré la consolidation actuelle.</w:t>
      </w:r>
    </w:p>
    <w:p>
      <w:pPr>
        <w:spacing w:after="120" w:line="276" w:lineRule="auto"/>
      </w:pPr>
      <w:r>
        <w:t>**Bandes de Bollinger** : Le cours (22 500 FCFA) évolue dans la moitié inférieure de la bande, entre la borne inférieure (21 367,01 FCFA) et la borne supérieure (25 706,49 FCFA), sans atteindre les extrêmes ; cette position médiane, combinée à une décision **Neutre**, traduit une phase de respiration après la forte hausse, avec une volatilité qui reste contenue dans les bandes.</w:t>
      </w:r>
    </w:p>
    <w:p>
      <w:pPr>
        <w:spacing w:after="120" w:line="276" w:lineRule="auto"/>
      </w:pPr>
      <w:r>
        <w:t>**MACD** : La valeur du MACD (-190,831) est nettement inférieure à son signal (118,605), générant une divergence baissière et une décision de **Vente** ; ce croisement négatif signale un essoufflement du momentum haussier à court terme, bien que l'amplitude reste modérée au regard de la tendance de fond.</w:t>
      </w:r>
    </w:p>
    <w:p>
      <w:pPr>
        <w:spacing w:after="120" w:line="276" w:lineRule="auto"/>
      </w:pPr>
      <w:r>
        <w:t>**RSI** : À 33,357, le RSI se situe dans la zone neutre basse, proche du seuil de survente (30), sans l'atteindre ; la décision **Neutre** indique que le titre n'est ni suracheté ni survendu, mais la proximité de la zone de survente suggère un potentiel de rebond technique à court terme.</w:t>
      </w:r>
    </w:p>
    <w:p>
      <w:pPr>
        <w:spacing w:after="120" w:line="276" w:lineRule="auto"/>
      </w:pPr>
      <w:r>
        <w:t>**Stochastique** : Le %K (45,664) est supérieur au %D (23,944), configuration haussière naissante qui pourrait annoncer un croisement positif ; la décision **Neutre** reflète cette situation d'attente, le signal d'achat n'étant pas encore confirmé.</w:t>
      </w:r>
    </w:p>
    <w:p>
      <w:pPr>
        <w:spacing w:after="120" w:line="276" w:lineRule="auto"/>
      </w:pPr>
      <w:r>
        <w:t>**Conclusion technique** : Les indicateurs présentent un tableau mitigé — les moyennes mobiles et le stochastique plaident pour un maintien de la tendance haussière, tandis que le MACD signale un ralentissement du momentum et que le RSI proche de la survente suggère un possible rebond. La configuration globale reste constructive à moyen terme, mais une consolidation voire un léger repli à court terme ne peut être exclu avant une reprise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NSIA Banque Côte d'Ivoire affiche un Produit Net Bancaire (équivalent du chiffre d'affaires pour une banque) de **112,928 milliards FCFA**, en croissance de **+15,45%**, et un résultat net de **40,712 milliards FCFA**, soit une marge nette exceptionnelle de **36,05%**. Le ROE s'établit à **17,45%** (&gt;15% = excellent) et le ROA à **1,32%**, confirmant la solidité de la rentabilité. Le coefficient d'exploitation de **54,59%** (&lt;60%) témoigne d'une bonne efficacité opérationnelle, tandis que le coût du risque rapporté aux charges financières de **7,54%** reste un point de vigilance, reflétant une dégradation des provisions. La structure bilancielle montre un total actif de **3 073,062 milliards FCFA**, des dépôts clientèle de **2 242,218 milliards FCFA** (principale ressource) et des créances clientèle de **1 818,671 milliards FCFA**, soit un ratio de transformation crédits/dépôts de **81,1%**, légèrement supérieur au plafond réglementaire de 80%, ce qui constitue un risque de liquidité à surveiller. Le ratio d'autonomie financière de **7,59%** est faible (&lt;30%), mais typique du modèle bancaire où les dépôts constituent l'essentiel du passif.</w:t>
      </w:r>
    </w:p>
    <w:p>
      <w:pPr>
        <w:spacing w:after="120" w:line="276" w:lineRule="auto"/>
      </w:pPr>
      <w:r>
        <w:t>**Estimations basées sur les rapports trimestriels** : Le rapport du **T1 2026 (publié le 31/03/2026)** révèle une accélération spectaculaire avec un PNB de **28,615 milliards FCFA** (+28%) et un résultat net de **10,912 milliards FCFA** (+53%), porté par l'activité titres et une marge nette de **38,1%**. Sur cette base, on peut estimer que l'exercice 2026 devrait afficher une croissance du PNB supérieure à 20% et un résultat net dépassant les **50 milliards FCFA**, sous réserve de la confirmation de la maîtrise du coût du risque. Le rapport **T3 2025 (30/09/2025)** confirmait déjà cette dynamique avec un PNB de **77,4 milliards FCFA** (+7%) et un résultat net de **25,0 milliards FCFA** (+6%), tandis que le rapport **S1 2025 (30/06/2025)** montrait un PNB de **50,5 milliards FCFA** (+10,6%) et un résultat net de **16,3 milliards FCFA** (+12,3%), avec un coefficient d'exploitation en amélioration à **56,9%**. L'évolution temporelle est donc clairement positive : après une année 2024 solide (PNB de 97,8 milliards, résultat net de 38,1 milliards), NSBC accélère en 2025 et 2026, portée par la marge d'intérêts, la digitalisation et les financements verts.</w:t>
      </w:r>
    </w:p>
    <w:p>
      <w:pPr>
        <w:spacing w:after="120" w:line="276" w:lineRule="auto"/>
      </w:pPr>
      <w:r>
        <w:t>**Recommandation fondamentale** : NSBC présente des fondamentaux très solides (ROE &gt;17%, marge nette &gt;36%, croissance à deux chiffres), mais deux points de vigilance subsistent : la dégradation du coût du risque en 2025 (-8,5 milliards FCFA de provisions) et la concentration de la performance 2026 sur l'activité titres, potentiellement volatile. La recommandation fondamentale est **CONSERVER**, avec un biais positif, en attendant la confirmation des résultats semestriels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**En termes de valorisation (Partie 0)**, le PER de 13,7x et le P/B de 2,39x indiquent une valorisation raisonnable mais non bon marché, tandis que l'EV/EBITDA de 21,2x suggère une certaine surévaluation opérationnelle. **Le comportement du cours (Partie 1)** est nettement haussier (+50,6% sur 100 jours) avec une volatilité élevée (42,2%) et une asymétrie négative (skewness -0,822) qui prévient d'un risque de correction après la forte hausse. **Les signaux techniques (Partie 2)** sont mitigés : les moyennes mobiles et le stochastique sont haussiers, mais le MACD est baissier et le RSI proche de la survente, plaidant pour une consolidation avant reprise. **Les fondamentaux (Partie 3)** sont excellents avec un ROE de 17,45%, une marge nette de 36% et une accélération confirmée au T1 2026 (+53% de résultat net), mais le coût du risque et la concentration sur l'activité titres constituent des risques. **Les prédictions IA (J+1 à J+10)** anticipent une légère hausse de 22 405 à 22 444 FCFA, soit une progression modeste de +0,17% sur 10 jours, ce qui confirme une stabilisation du cours après la forte hausse, sans signal baissier majeur.</w:t>
      </w:r>
    </w:p>
    <w:p>
      <w:pPr>
        <w:spacing w:after="120" w:line="276" w:lineRule="auto"/>
      </w:pPr>
      <w:r>
        <w:t>**Recommandation finale : CONSERVER**, avec un biais positif pour les investisseurs déjà positionnés. La convergence entre des fondamentaux solides, une tendance de fond haussière et des prédictions stables justifie le maintien de la position, mais la valorisation exigeante (EV/EBITDA &gt;21x) et les signaux techniques mitigés (MACD baissier, RSI proche de la survente) incitent à la prudence pour les nouveaux entrants. **Niveau de confiance : Moyen** (les fondamentaux sont solides mais la valorisation et les risques sectoriels tempèrent l'optimisme). **Niveau de risque global : Moyen à Élevé** (volatilité de 42,2%, coût du risque en hausse, concentration sur l'activité titres). **Horizon d'investissement optimal : Moyen terme (3-12 mois)**, le temps que les résultats semestriels 2026 confirment la tendance et que le cours consolide sa hausse récente. Un renforcement de la position serait justifié en cas de repli vers 21 000-21 500 FCFA (borne inférieure des Bandes de Bollinger) ou de confirmation d'une maîtrise durable du coût du risque.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337.68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1,298 titres</w:t>
            </w:r>
          </w:p>
        </w:tc>
        <w:tc>
          <w:tcPr>
            <w:tcW w:type="dxa" w:w="2268"/>
            <w:shd w:fill="FFF2CC" w:val="clear"/>
          </w:tcPr>
          <w:p>
            <w:r>
              <w:rPr>
                <w:b/>
                <w:color w:val="503200"/>
                <w:sz w:val="16"/>
              </w:rPr>
              <w:t xml:space="preserve">Cours actuel : </w:t>
            </w:r>
            <w:r>
              <w:rPr>
                <w:color w:val="000000"/>
                <w:sz w:val="17"/>
              </w:rPr>
              <w:t>15,300 FCFA</w:t>
            </w:r>
          </w:p>
          <w:p>
            <w:r>
              <w:rPr>
                <w:b/>
                <w:color w:val="503200"/>
                <w:sz w:val="16"/>
              </w:rPr>
              <w:t xml:space="preserve">Var. 100 jours : </w:t>
            </w:r>
            <w:r>
              <w:rPr>
                <w:b/>
                <w:color w:val="007800"/>
                <w:sz w:val="17"/>
              </w:rPr>
              <w:t>+25.15%</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11.74% (Moyenne) — μ=15,286 FCFA, σ=1,795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β=0.5245 (Défensif) — Cov=0.000035, Var(idx)=0.000068, ρ=0.187,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14,515</w:t>
            </w:r>
          </w:p>
        </w:tc>
        <w:tc>
          <w:tcPr>
            <w:tcW w:type="dxa" w:w="1440"/>
            <w:shd w:fill="FAFAFA" w:val="clear"/>
          </w:tcPr>
          <w:p>
            <w:r>
              <w:rPr>
                <w:b/>
                <w:sz w:val="17"/>
              </w:rPr>
              <w:t>15,242</w:t>
            </w:r>
          </w:p>
        </w:tc>
        <w:tc>
          <w:tcPr>
            <w:tcW w:type="dxa" w:w="1440"/>
            <w:shd w:fill="FAFAFA" w:val="clear"/>
          </w:tcPr>
          <w:p>
            <w:r>
              <w:rPr>
                <w:sz w:val="17"/>
              </w:rPr>
              <w:t>15,968</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14,218</w:t>
            </w:r>
          </w:p>
        </w:tc>
        <w:tc>
          <w:tcPr>
            <w:tcW w:type="dxa" w:w="1440"/>
            <w:shd w:fill="FAFAFA" w:val="clear"/>
          </w:tcPr>
          <w:p>
            <w:r>
              <w:rPr>
                <w:b/>
                <w:sz w:val="17"/>
              </w:rPr>
              <w:t>15,246</w:t>
            </w:r>
          </w:p>
        </w:tc>
        <w:tc>
          <w:tcPr>
            <w:tcW w:type="dxa" w:w="1440"/>
            <w:shd w:fill="FAFAFA" w:val="clear"/>
          </w:tcPr>
          <w:p>
            <w:r>
              <w:rPr>
                <w:sz w:val="17"/>
              </w:rPr>
              <w:t>16,273</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14,011</w:t>
            </w:r>
          </w:p>
        </w:tc>
        <w:tc>
          <w:tcPr>
            <w:tcW w:type="dxa" w:w="1440"/>
            <w:shd w:fill="FAFAFA" w:val="clear"/>
          </w:tcPr>
          <w:p>
            <w:r>
              <w:rPr>
                <w:b/>
                <w:sz w:val="17"/>
              </w:rPr>
              <w:t>15,272</w:t>
            </w:r>
          </w:p>
        </w:tc>
        <w:tc>
          <w:tcPr>
            <w:tcW w:type="dxa" w:w="1440"/>
            <w:shd w:fill="FAFAFA" w:val="clear"/>
          </w:tcPr>
          <w:p>
            <w:r>
              <w:rPr>
                <w:sz w:val="17"/>
              </w:rPr>
              <w:t>16,533</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13,839</w:t>
            </w:r>
          </w:p>
        </w:tc>
        <w:tc>
          <w:tcPr>
            <w:tcW w:type="dxa" w:w="1440"/>
            <w:shd w:fill="FAFAFA" w:val="clear"/>
          </w:tcPr>
          <w:p>
            <w:r>
              <w:rPr>
                <w:b/>
                <w:sz w:val="17"/>
              </w:rPr>
              <w:t>15,297</w:t>
            </w:r>
          </w:p>
        </w:tc>
        <w:tc>
          <w:tcPr>
            <w:tcW w:type="dxa" w:w="1440"/>
            <w:shd w:fill="FAFAFA" w:val="clear"/>
          </w:tcPr>
          <w:p>
            <w:r>
              <w:rPr>
                <w:sz w:val="17"/>
              </w:rPr>
              <w:t>16,756</w:t>
            </w:r>
          </w:p>
        </w:tc>
        <w:tc>
          <w:tcPr>
            <w:tcW w:type="dxa" w:w="1440"/>
            <w:shd w:fill="FAFAFA" w:val="clear"/>
          </w:tcPr>
          <w:p>
            <w:r>
              <w:rPr>
                <w:b/>
                <w:color w:val="C00000"/>
                <w:sz w:val="17"/>
              </w:rPr>
              <w:t>-0.0%</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13,687</w:t>
            </w:r>
          </w:p>
        </w:tc>
        <w:tc>
          <w:tcPr>
            <w:tcW w:type="dxa" w:w="1440"/>
            <w:shd w:fill="FAFAFA" w:val="clear"/>
          </w:tcPr>
          <w:p>
            <w:r>
              <w:rPr>
                <w:b/>
                <w:sz w:val="17"/>
              </w:rPr>
              <w:t>15,320</w:t>
            </w:r>
          </w:p>
        </w:tc>
        <w:tc>
          <w:tcPr>
            <w:tcW w:type="dxa" w:w="1440"/>
            <w:shd w:fill="FAFAFA" w:val="clear"/>
          </w:tcPr>
          <w:p>
            <w:r>
              <w:rPr>
                <w:sz w:val="17"/>
              </w:rPr>
              <w:t>16,953</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13,548</w:t>
            </w:r>
          </w:p>
        </w:tc>
        <w:tc>
          <w:tcPr>
            <w:tcW w:type="dxa" w:w="1440"/>
            <w:shd w:fill="FAFAFA" w:val="clear"/>
          </w:tcPr>
          <w:p>
            <w:r>
              <w:rPr>
                <w:b/>
                <w:sz w:val="17"/>
              </w:rPr>
              <w:t>15,339</w:t>
            </w:r>
          </w:p>
        </w:tc>
        <w:tc>
          <w:tcPr>
            <w:tcW w:type="dxa" w:w="1440"/>
            <w:shd w:fill="FAFAFA" w:val="clear"/>
          </w:tcPr>
          <w:p>
            <w:r>
              <w:rPr>
                <w:sz w:val="17"/>
              </w:rPr>
              <w:t>17,130</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13,419</w:t>
            </w:r>
          </w:p>
        </w:tc>
        <w:tc>
          <w:tcPr>
            <w:tcW w:type="dxa" w:w="1440"/>
            <w:shd w:fill="FAFAFA" w:val="clear"/>
          </w:tcPr>
          <w:p>
            <w:r>
              <w:rPr>
                <w:b/>
                <w:sz w:val="17"/>
              </w:rPr>
              <w:t>15,356</w:t>
            </w:r>
          </w:p>
        </w:tc>
        <w:tc>
          <w:tcPr>
            <w:tcW w:type="dxa" w:w="1440"/>
            <w:shd w:fill="FAFAFA" w:val="clear"/>
          </w:tcPr>
          <w:p>
            <w:r>
              <w:rPr>
                <w:sz w:val="17"/>
              </w:rPr>
              <w:t>17,293</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13,299</w:t>
            </w:r>
          </w:p>
        </w:tc>
        <w:tc>
          <w:tcPr>
            <w:tcW w:type="dxa" w:w="1440"/>
            <w:shd w:fill="FAFAFA" w:val="clear"/>
          </w:tcPr>
          <w:p>
            <w:r>
              <w:rPr>
                <w:b/>
                <w:sz w:val="17"/>
              </w:rPr>
              <w:t>15,372</w:t>
            </w:r>
          </w:p>
        </w:tc>
        <w:tc>
          <w:tcPr>
            <w:tcW w:type="dxa" w:w="1440"/>
            <w:shd w:fill="FAFAFA" w:val="clear"/>
          </w:tcPr>
          <w:p>
            <w:r>
              <w:rPr>
                <w:sz w:val="17"/>
              </w:rPr>
              <w:t>17,445</w:t>
            </w:r>
          </w:p>
        </w:tc>
        <w:tc>
          <w:tcPr>
            <w:tcW w:type="dxa" w:w="1440"/>
            <w:shd w:fill="FAFAFA" w:val="clear"/>
          </w:tcPr>
          <w:p>
            <w:r>
              <w:rPr>
                <w:b/>
                <w:color w:val="008000"/>
                <w:sz w:val="17"/>
              </w:rPr>
              <w:t>+0.5%</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13,187</w:t>
            </w:r>
          </w:p>
        </w:tc>
        <w:tc>
          <w:tcPr>
            <w:tcW w:type="dxa" w:w="1440"/>
            <w:shd w:fill="FAFAFA" w:val="clear"/>
          </w:tcPr>
          <w:p>
            <w:r>
              <w:rPr>
                <w:b/>
                <w:sz w:val="17"/>
              </w:rPr>
              <w:t>15,388</w:t>
            </w:r>
          </w:p>
        </w:tc>
        <w:tc>
          <w:tcPr>
            <w:tcW w:type="dxa" w:w="1440"/>
            <w:shd w:fill="FAFAFA" w:val="clear"/>
          </w:tcPr>
          <w:p>
            <w:r>
              <w:rPr>
                <w:sz w:val="17"/>
              </w:rPr>
              <w:t>17,589</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13,081</w:t>
            </w:r>
          </w:p>
        </w:tc>
        <w:tc>
          <w:tcPr>
            <w:tcW w:type="dxa" w:w="1440"/>
            <w:shd w:fill="FAFAFA" w:val="clear"/>
          </w:tcPr>
          <w:p>
            <w:r>
              <w:rPr>
                <w:b/>
                <w:sz w:val="17"/>
              </w:rPr>
              <w:t>15,403</w:t>
            </w:r>
          </w:p>
        </w:tc>
        <w:tc>
          <w:tcPr>
            <w:tcW w:type="dxa" w:w="1440"/>
            <w:shd w:fill="FAFAFA" w:val="clear"/>
          </w:tcPr>
          <w:p>
            <w:r>
              <w:rPr>
                <w:sz w:val="17"/>
              </w:rPr>
              <w:t>17,725</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Secteur : Entreprise / Agroalimentaire**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337,68 milliards FCFA, NTLC s'impose comme l'une des valeurs les plus capitalisées de la BRVM, ce qui en fait un pilier de l'indice BRVM Composite et un titre de référence pour les investisseurs institutionnels de la zone UEMOA. Le BPA de 835 FCFA/action signifie que chaque titre génère près de 835 FCFA de bénéfice net, un niveau de rentabilité unitaire élevé qui traduit la solidité du modèle agroalimentaire de Nestlé. Le PER de 18,3x situe le titre nettement au-dessus de la moyenne du marché BRVM (généralement comprise entre 8 et 12x), ce qui indique que les investisseurs acceptent de payer une prime significative pour la qualité de la signature Nestlé, sa croissance et sa régularité — mais cette prime réduit la marge de sécurité. Le P/B de 11,41x, très supérieur au seuil de 4x, révèle une valorisation exigeante : le marché valorise l'entreprise à plus de onze fois sa valeur comptable, ce qui se justifie par un ROE exceptionnel (62,3%) mais expose le titre à une correction en cas de déception sur les résultats. Enfin, l'EV/EBITDA de 9,2x, dans la fourchette raisonnable de 5-10x, montre que la valeur d'entreprise reste cohérente avec la capacité opérationnelle de génération de cash-flows, offrant un contrepoids rassurant à la cherté apparente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NTLC affiche une progression totale de +25,15%, avec une dernière séance en hausse marquée de +5,52%, portant le cours à 15 300 FCFA. Le titre a évolué dans un range large de 11 150 FCFA (plus bas) à 18 000 FCFA (plus haut), soit une amplitude de près de 61%, ce qui témoigne d'une tendance générale haussière mais ponctuée de corrections significatives — le cours actuel se situant à environ 15% sous son plus haut. Les statistiques descriptives révèlent une moyenne de 15 286 FCFA légèrement inférieure à la médiane de 15 995 FCFA, avec un mode à 16 900 FCFA : cet écart indique une distribution asymétrique où les journées de forte baisse tirent la moyenne vers le bas, confirmant le skewness négatif de -0,863 (plus de journées au-dessus de la moyenne, mais des baisses plus amples). L'écart-type de 1 804 FCFA avec un coefficient de variation de 11,8% traduit une dispersion modérée du cours autour de sa moyenne, tandis que le kurtosis de -0,539 (mésokurtique) suggère une distribution proche de la normale, sans risque extrême de pics de volatilité. La volatilité annualisée de 37,3% classe le titre dans la catégorie des valeurs à volatilité élevée (&gt;30%), ce qui implique un risque de marché non négligeable et justifie une approche prudente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(16 296,5 FCFA) et la MM50 (16 522,9 FCFA) se situent toutes deux au-dessus du cours actuel (15 300 FCFA), ce qui place le titre en configuration baissière de court et moyen terme. La MM20 étant légèrement inférieure à la MM50, on observe un début de croisement baissier (death cross) qui confirme la pression vendeuse. La décision technique qui en résulte est logiquement **Vente**, le cours évoluant sous ses deux références mobiles.</w:t>
      </w:r>
    </w:p>
    <w:p>
      <w:pPr>
        <w:spacing w:after="120" w:line="276" w:lineRule="auto"/>
      </w:pPr>
      <w:r>
        <w:t>**Bandes de Bollinger** : Le cours actuel (15 300 FCFA) se situe dans la partie basse de la bande, entre la borne inférieure (14 558,47 FCFA) et la borne supérieure (18 034,53 FCFA), sans en toucher les extrêmes. Cette position médiane-basse indique que le titre n'est ni en survente extrême ni en surachat, et la largeur des bandes (environ 3 476 FCFA) reflète une volatilité encore présente. La décision **Neutre** est cohérente : le cours n'est pas encore en zone d'achat technique malgré sa proximité relative avec la borne basse.</w:t>
      </w:r>
    </w:p>
    <w:p>
      <w:pPr>
        <w:spacing w:after="120" w:line="276" w:lineRule="auto"/>
      </w:pPr>
      <w:r>
        <w:t>**MACD** : La valeur du MACD (-450,795) est nettement inférieure à son signal (-233,107), creusant un histogramme négatif qui traduit un momentum baissier toujours actif. La divergence entre les deux lignes ne montre aucun signe de retournement imminent, le MACD évoluant en territoire négatif. La décision **Vente** est confirmée par cette configuration baissière persistante.</w:t>
      </w:r>
    </w:p>
    <w:p>
      <w:pPr>
        <w:spacing w:after="120" w:line="276" w:lineRule="auto"/>
      </w:pPr>
      <w:r>
        <w:t>**RSI** : Avec une valeur de 21,277, le RSI se situe largement en dessous du seuil de 30, signalant une **survente** prononcée du titre. Cette configuration est typiquement associée à un potentiel rebond technique à court terme, ce qui justifie la décision **Achat** — le marché ayant peut-être exagéré la pression vendeuse récente.</w:t>
      </w:r>
    </w:p>
    <w:p>
      <w:pPr>
        <w:spacing w:after="120" w:line="276" w:lineRule="auto"/>
      </w:pPr>
      <w:r>
        <w:t>**Stochastique** : Le %K (33,333) est supérieur au %D (11,111), ce qui indique un début de croisement haussier des deux lignes dans la zone basse du canal. Cette configuration, bien que précoce, suggère une possible inflexion du momentum à court terme. La décision **Neutre** reflète cette situation d'attente, le signal n'étant pas encore suffisamment confirmé.</w:t>
      </w:r>
    </w:p>
    <w:p>
      <w:pPr>
        <w:spacing w:after="120" w:line="276" w:lineRule="auto"/>
      </w:pPr>
      <w:r>
        <w:t>**Conclusion technique** : Les indicateurs techniques présentent un tableau contrasté : les moyennes mobiles et le MACD confirment une tendance baissière de fond, tandis que le RSI en survente extrême (21,3) et le stochastique en début de croisement haussier suggèrent un potentiel rebond technique à court terme. Les bandes de Bollinger en position neutre-basse n'apportent pas de signal directionnel fort. La convergence des signaux baissiers (MM, MACD) et des signaux d'achat (RSI) plaide pour une phase de consolidation, avec un risque de rebond technique mais une tendance de fond encore fragile.</w:t>
      </w:r>
    </w:p>
    <w:p>
      <w:pPr>
        <w:spacing w:after="120" w:line="276" w:lineRule="auto"/>
      </w:pPr>
      <w:r>
        <w:t>---</w:t>
      </w:r>
    </w:p>
    <w:p>
      <w:pPr>
        <w:spacing w:after="120" w:line="276" w:lineRule="auto"/>
      </w:pPr>
      <w:r>
        <w:t>## PARTIE 3 : ANALYSE FONDAMENTALE</w:t>
      </w:r>
    </w:p>
    <w:p>
      <w:pPr>
        <w:spacing w:after="120" w:line="276" w:lineRule="auto"/>
      </w:pPr>
      <w:r>
        <w:t>**Données structurées (états financiers annuels 2025)** : En 2025, Nestlé Côte d'Ivoire a réalisé un chiffre d'affaires de 233,261 milliards FCFA, en croissance de 5,97% par rapport à 2024 (220,113 milliards FCFA), confirmant la dynamique commerciale de l'entreprise. Le résultat net s'établit à 18,427 milliards FCFA, en légère hausse de 1,53% sur un an, avec une marge nette de 7,90% (contre 8,25% en 2024), traduisant une légère compression des marges sous l'effet de la hausse des charges. Le ROE (rentabilité des fonds propres) atteint un niveau exceptionnel de 62,28%, bien supérieur au seuil de 15% considéré comme excellent, tandis que le ROA (rentabilité des actifs) s'élève à 9,70%, reflétant une utilisation efficace du bilan. La marge opérationnelle de 16,16% et la marge brute de 29,61% démontrent la solidité du modèle industriel et commercial. **Adapté au secteur ENTREPRISE** : le BFR s'établit à 22,625 milliards FCFA (positif, donc défavorable), avec un fonds de roulement négatif de -24,206 milliards FCFA et une trésorerie nette de -46,831 milliards FCFA, ce qui signale une tension sur la liquidité. Le délai client de 74,30 jours et la durée de stockage de 59,39 jours sont élevés, immobilisant du capital et exposant l'entreprise à un risque de trésorerie — d'autant que le ratio de liquidité générale (79,86%) est inférieur à 1, seuil d'équilibre. L'autonomie financière de 15,58% est faible (seuil sain &gt;30%), avec un ratio d'endettement de 135,85% et une dépendance financière de 84,42%, ce qui traduit une structure financière déséquilibrée malgré une solvabilité générale préservée (118,45%). **Estimations basées sur les rapports trimestriels** : Le rapport du T1 2026 (arrêté au 31 mars 2026, analysé le 1er mai 2026) fait état d'un chiffre d'affaires de 70,822 milliards FCFA, en croissance spectaculaire de +31% sur un an, et d'un résultat net de 7,526 milliards FCFA (+37%), avec une marge nette améliorée à 10,6% (contre 10,1% au T1 2025). Sur cette base, on peut estimer que l'exercice 2026 devrait afficher une accélération de la croissance du CA (potentiellement &gt;15% en rythme annuel) et une amélioration de la marge nette au-delà de 9%, sous réserve que la pression sur les coûts des matières premières et emballages reste maîtrisée. Le rapport annuel 2025 (analysé le 1er mai 2026) confirme par ailleurs une politique de dividende plus conservatrice (9,27 milliards FCFA distribués, payout de 50,3% contre 99,7% en 2024), avec une mise en réserve massive de 9,22 milliards FCFA destinée à financer la croissance future. **Recommandation fondamentale** : la solidité du modèle Nestlé (marque, croissance, ROE exceptionnel) est indéniable, mais les risques liés à l'endettement élevé, à la tension de trésorerie et à la compression des marges en 2025 incitent à la prudence — la dynamique du T1 2026 constitue toutefois un signal positif majeur.</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**Valorisation (Partie 0)** : le PER de 18,3x et le P/B de 11,41x indiquent une surévaluation relative par rapport au marché BRVM, mais l'EV/EBITDA de 9,2x reste raisonnable, suggérant que la prime est justifiée par la qualité et la croissance. **Comportement du cours (Partie 1)** : la tendance haussière de +25,15% sur 100 jours est favorable, mais la volatilité élevée (37,3%) et le skewness négatif (-0,863) signalent un risque de corrections amples, le titre évoluant actuellement 15% sous son plus haut. **Signaux techniques (Partie 2)** : divergence entre les signaux baissiers (MM, MACD) et les signaux d'achat (RSI en survente à 21,3, stochastique en croisement haussier), plaidant pour un rebond technique à court terme mais une tendance de fond encore fragile. **Fondamentaux (Partie 3)** : les données 2025 montrent une croissance modérée (+5,97% de CA) et une rentabilité exceptionnelle (ROE 62,3%), mais une structure financière tendue (autonomie financière 15,6%, trésorerie nette négative) ; le rapport T1 2026 (CA +31%, RN +37%) constitue un catalyseur majeur qui pourrait inverser la tendance baissière. **Prédictions IA (J+1 à J+10)** : la trajectoire projetée (15 242 → 15 320 FCFA) est légèrement haussière mais très plate (+0,5% sur 10 jours), ce qui contredit le potentiel de rebond technique suggéré par le RSI et ne confirme pas la dynamique fondamentale du T1 2026. **Recommandation finale : CONSERVER** — la convergence entre une valorisation exigeante, des signaux techniques mitigés, des fondamentaux solides mais une structure financière tendue, et des prédictions IA sans élan, ne justifie ni un achat agressif ni une vente. Le titre offre un profil de qualité (Nestlé, ROE &gt;60%, croissance du T1 2026) mais à un prix élevé et avec des risques de liquidité. **Niveau de confiance : Moyen** (les signaux sont divergents et les prédictions IA peu directionnelles). **Niveau de risque global : Moyen à Élevé** (volatilité 37,3%, endettement, tension de trésorerie). **Horizon d'investissement optimal : Moyen terme (3-12 mois)**, le temps que la dynamique du T1 2026 se confirme dans les prochains trimestres et que la structure financière s'améliore, avec un point d'entrée plus favorable vers 14 500-15 000 FCFA (borne basse de Bollinger) pour les investisseurs souhaitant renforcer leurs positions.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201.28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5,364 titres</w:t>
            </w:r>
          </w:p>
        </w:tc>
        <w:tc>
          <w:tcPr>
            <w:tcW w:type="dxa" w:w="2268"/>
            <w:shd w:fill="FFF2CC" w:val="clear"/>
          </w:tcPr>
          <w:p>
            <w:r>
              <w:rPr>
                <w:b/>
                <w:color w:val="503200"/>
                <w:sz w:val="16"/>
              </w:rPr>
              <w:t xml:space="preserve">Cours actuel : </w:t>
            </w:r>
            <w:r>
              <w:rPr>
                <w:color w:val="000000"/>
                <w:sz w:val="17"/>
              </w:rPr>
              <w:t>2,960 FCFA</w:t>
            </w:r>
          </w:p>
          <w:p>
            <w:r>
              <w:rPr>
                <w:b/>
                <w:color w:val="503200"/>
                <w:sz w:val="16"/>
              </w:rPr>
              <w:t xml:space="preserve">Var. 100 jours : </w:t>
            </w:r>
            <w:r>
              <w:rPr>
                <w:b/>
                <w:color w:val="007800"/>
                <w:sz w:val="17"/>
              </w:rPr>
              <w:t>+6.47%</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2.83% (Faible) — μ=2,841 FCFA, σ=80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β=0.3534 (Défensif) — Cov=0.000024, Var(idx)=0.000068, ρ=0.150,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σ_j=2.06%/j (Stable) — Vol. annualisée≈32.7%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2,765</w:t>
            </w:r>
          </w:p>
        </w:tc>
        <w:tc>
          <w:tcPr>
            <w:tcW w:type="dxa" w:w="1440"/>
            <w:shd w:fill="FFDCE0" w:val="clear"/>
          </w:tcPr>
          <w:p>
            <w:r>
              <w:rPr>
                <w:b/>
                <w:sz w:val="17"/>
              </w:rPr>
              <w:t>2,869</w:t>
            </w:r>
          </w:p>
        </w:tc>
        <w:tc>
          <w:tcPr>
            <w:tcW w:type="dxa" w:w="1440"/>
            <w:shd w:fill="FFDCE0" w:val="clear"/>
          </w:tcPr>
          <w:p>
            <w:r>
              <w:rPr>
                <w:sz w:val="17"/>
              </w:rPr>
              <w:t>2,973</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2,724</w:t>
            </w:r>
          </w:p>
        </w:tc>
        <w:tc>
          <w:tcPr>
            <w:tcW w:type="dxa" w:w="1440"/>
            <w:shd w:fill="FFDCE0" w:val="clear"/>
          </w:tcPr>
          <w:p>
            <w:r>
              <w:rPr>
                <w:b/>
                <w:sz w:val="17"/>
              </w:rPr>
              <w:t>2,871</w:t>
            </w:r>
          </w:p>
        </w:tc>
        <w:tc>
          <w:tcPr>
            <w:tcW w:type="dxa" w:w="1440"/>
            <w:shd w:fill="FFDCE0" w:val="clear"/>
          </w:tcPr>
          <w:p>
            <w:r>
              <w:rPr>
                <w:sz w:val="17"/>
              </w:rPr>
              <w:t>3,018</w:t>
            </w:r>
          </w:p>
        </w:tc>
        <w:tc>
          <w:tcPr>
            <w:tcW w:type="dxa" w:w="1440"/>
            <w:shd w:fill="FFDCE0" w:val="clear"/>
          </w:tcPr>
          <w:p>
            <w:r>
              <w:rPr>
                <w:b/>
                <w:color w:val="C00000"/>
                <w:sz w:val="17"/>
              </w:rPr>
              <w:t>-3.0%</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2,686</w:t>
            </w:r>
          </w:p>
        </w:tc>
        <w:tc>
          <w:tcPr>
            <w:tcW w:type="dxa" w:w="1440"/>
            <w:shd w:fill="FFDCE0" w:val="clear"/>
          </w:tcPr>
          <w:p>
            <w:r>
              <w:rPr>
                <w:b/>
                <w:sz w:val="17"/>
              </w:rPr>
              <w:t>2,866</w:t>
            </w:r>
          </w:p>
        </w:tc>
        <w:tc>
          <w:tcPr>
            <w:tcW w:type="dxa" w:w="1440"/>
            <w:shd w:fill="FFDCE0" w:val="clear"/>
          </w:tcPr>
          <w:p>
            <w:r>
              <w:rPr>
                <w:sz w:val="17"/>
              </w:rPr>
              <w:t>3,045</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2,652</w:t>
            </w:r>
          </w:p>
        </w:tc>
        <w:tc>
          <w:tcPr>
            <w:tcW w:type="dxa" w:w="1440"/>
            <w:shd w:fill="FFDCE0" w:val="clear"/>
          </w:tcPr>
          <w:p>
            <w:r>
              <w:rPr>
                <w:b/>
                <w:sz w:val="17"/>
              </w:rPr>
              <w:t>2,859</w:t>
            </w:r>
          </w:p>
        </w:tc>
        <w:tc>
          <w:tcPr>
            <w:tcW w:type="dxa" w:w="1440"/>
            <w:shd w:fill="FFDCE0" w:val="clear"/>
          </w:tcPr>
          <w:p>
            <w:r>
              <w:rPr>
                <w:sz w:val="17"/>
              </w:rPr>
              <w:t>3,066</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2,622</w:t>
            </w:r>
          </w:p>
        </w:tc>
        <w:tc>
          <w:tcPr>
            <w:tcW w:type="dxa" w:w="1440"/>
            <w:shd w:fill="FFDCE0" w:val="clear"/>
          </w:tcPr>
          <w:p>
            <w:r>
              <w:rPr>
                <w:b/>
                <w:sz w:val="17"/>
              </w:rPr>
              <w:t>2,853</w:t>
            </w:r>
          </w:p>
        </w:tc>
        <w:tc>
          <w:tcPr>
            <w:tcW w:type="dxa" w:w="1440"/>
            <w:shd w:fill="FFDCE0" w:val="clear"/>
          </w:tcPr>
          <w:p>
            <w:r>
              <w:rPr>
                <w:sz w:val="17"/>
              </w:rPr>
              <w:t>3,084</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2,594</w:t>
            </w:r>
          </w:p>
        </w:tc>
        <w:tc>
          <w:tcPr>
            <w:tcW w:type="dxa" w:w="1440"/>
            <w:shd w:fill="FFDCE0" w:val="clear"/>
          </w:tcPr>
          <w:p>
            <w:r>
              <w:rPr>
                <w:b/>
                <w:sz w:val="17"/>
              </w:rPr>
              <w:t>2,846</w:t>
            </w:r>
          </w:p>
        </w:tc>
        <w:tc>
          <w:tcPr>
            <w:tcW w:type="dxa" w:w="1440"/>
            <w:shd w:fill="FFDCE0" w:val="clear"/>
          </w:tcPr>
          <w:p>
            <w:r>
              <w:rPr>
                <w:sz w:val="17"/>
              </w:rPr>
              <w:t>3,099</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2,568</w:t>
            </w:r>
          </w:p>
        </w:tc>
        <w:tc>
          <w:tcPr>
            <w:tcW w:type="dxa" w:w="1440"/>
            <w:shd w:fill="FFDCE0" w:val="clear"/>
          </w:tcPr>
          <w:p>
            <w:r>
              <w:rPr>
                <w:b/>
                <w:sz w:val="17"/>
              </w:rPr>
              <w:t>2,840</w:t>
            </w:r>
          </w:p>
        </w:tc>
        <w:tc>
          <w:tcPr>
            <w:tcW w:type="dxa" w:w="1440"/>
            <w:shd w:fill="FFDCE0" w:val="clear"/>
          </w:tcPr>
          <w:p>
            <w:r>
              <w:rPr>
                <w:sz w:val="17"/>
              </w:rPr>
              <w:t>3,112</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2,544</w:t>
            </w:r>
          </w:p>
        </w:tc>
        <w:tc>
          <w:tcPr>
            <w:tcW w:type="dxa" w:w="1440"/>
            <w:shd w:fill="FFDCE0" w:val="clear"/>
          </w:tcPr>
          <w:p>
            <w:r>
              <w:rPr>
                <w:b/>
                <w:sz w:val="17"/>
              </w:rPr>
              <w:t>2,834</w:t>
            </w:r>
          </w:p>
        </w:tc>
        <w:tc>
          <w:tcPr>
            <w:tcW w:type="dxa" w:w="1440"/>
            <w:shd w:fill="FFDCE0" w:val="clear"/>
          </w:tcPr>
          <w:p>
            <w:r>
              <w:rPr>
                <w:sz w:val="17"/>
              </w:rPr>
              <w:t>3,124</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2,521</w:t>
            </w:r>
          </w:p>
        </w:tc>
        <w:tc>
          <w:tcPr>
            <w:tcW w:type="dxa" w:w="1440"/>
            <w:shd w:fill="FFDCE0" w:val="clear"/>
          </w:tcPr>
          <w:p>
            <w:r>
              <w:rPr>
                <w:b/>
                <w:sz w:val="17"/>
              </w:rPr>
              <w:t>2,828</w:t>
            </w:r>
          </w:p>
        </w:tc>
        <w:tc>
          <w:tcPr>
            <w:tcW w:type="dxa" w:w="1440"/>
            <w:shd w:fill="FFDCE0" w:val="clear"/>
          </w:tcPr>
          <w:p>
            <w:r>
              <w:rPr>
                <w:sz w:val="17"/>
              </w:rPr>
              <w:t>3,135</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2,499</w:t>
            </w:r>
          </w:p>
        </w:tc>
        <w:tc>
          <w:tcPr>
            <w:tcW w:type="dxa" w:w="1440"/>
            <w:shd w:fill="FFDCE0" w:val="clear"/>
          </w:tcPr>
          <w:p>
            <w:r>
              <w:rPr>
                <w:b/>
                <w:sz w:val="17"/>
              </w:rPr>
              <w:t>2,822</w:t>
            </w:r>
          </w:p>
        </w:tc>
        <w:tc>
          <w:tcPr>
            <w:tcW w:type="dxa" w:w="1440"/>
            <w:shd w:fill="FFDCE0" w:val="clear"/>
          </w:tcPr>
          <w:p>
            <w:r>
              <w:rPr>
                <w:sz w:val="17"/>
              </w:rPr>
              <w:t>3,145</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 Burkina Faso)**</w:t>
        <w:br/>
        <w:t>**Bourse Régionale des Valeurs Mobilières (BRVM) — Secteur Télécommunications**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201,28 milliards FCFA, ONTBF figure parmi les valeurs moyennes de la cote BRVM, loin derrière Sonatel mais devant de nombreuses valeurs bancaires régionales. Le BPA de 234 FCFA/action signifie que chaque titre génère près de 234 FCFA de bénéfice net, ce qui, rapporté au cours actuel de 2 960 FCFA, donne un PER de 12,7x — un niveau modéré, légèrement supérieur à la moyenne BRVM (~8-12x), traduisant une prime de qualité justifiée par la solidité du bilan et la régularité du dividende. Le P/B de 3,50x indique que le marché valorise l'entreprise à 3,5 fois sa valeur comptable, une prime de croissance significative qui se situe dans la fourchette 2-4x typique des valeurs télécoms rentables. Enfin, l'EV/EBITDA de 5,3x, bien positionné dans la fourchette raisonnable de 5-10x, suggère que la valeur d'entreprise reste attractive au regard de la capacité opérationnelle de génération de cash, ce qui plaide pour une valorisation globalement équilibrée, sans excès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ONTBF affiche une variation totale de +6,47%, avec une accélération spectaculaire de +7,25% lors de la dernière séance (J-1), portant le cours à 2 960 FCFA. Le titre a évolué dans un range de 395 FCFA, entre un plus bas de 2 675 FCFA et un plus haut de 3 070 FCFA, témoignant d'une tendance haussière modérée mais réelle, soutenue par des volumes moyens quotidiens de 5 364 titres. Les statistiques descriptives révèlent une distribution remarquablement symétrique : la moyenne (2 841 FCFA) et la médiane (2 848 FCFA) sont quasi confondues, confirmant l'absence de biais directionnel, tandis que le mode à 2 800 FCFA indique un point d'équilibre psychologique du marché. L'écart-type de 81 FCFA, soit un coefficient de variation de seulement 2,8%, traduit une dispersion très faible du cours autour de sa moyenne, signe d'une certaine stabilité. Le kurtosis de -0,190 (mésokurtique) et le skewness de 0,077 (distribution symétrique) indiquent un comportement proche d'une loi normale, sans risque de pics extrêmes ni d'asymétrie marquée. La volatilité annualisée de 32,7% classe toutefois le titre dans la catégorie des valeurs à volatilité élevée (&gt;30%), ce qui contraste avec la stabilité récente et suggère que des mouvements amples restent possibles.</w:t>
      </w:r>
    </w:p>
    <w:p>
      <w:pPr>
        <w:spacing w:after="120" w:line="276" w:lineRule="auto"/>
      </w:pPr>
      <w:r>
        <w:t>---</w:t>
      </w:r>
    </w:p>
    <w:p>
      <w:pPr>
        <w:spacing w:after="120" w:line="276" w:lineRule="auto"/>
      </w:pPr>
      <w:r>
        <w:t>## PARTIE 2 : ANALYSE TECHNIQUE DÉTAILLÉE</w:t>
      </w:r>
    </w:p>
    <w:p>
      <w:pPr>
        <w:spacing w:after="120" w:line="276" w:lineRule="auto"/>
      </w:pPr>
      <w:r>
        <w:t>**Moyennes Mobiles** : La MM20 (2 878,25 FCFA) et la MM50 (2 864,50 FCFA) se situent toutes deux sous le cours actuel de 2 960 FCFA, avec la MM20 légèrement au-dessus de la MM50, configurant un croisement haussier classique. Cette configuration confirme la décision d'**Achat**, le cours évoluant au-dessus de ses deux moyennes de référence, ce qui valide la dynamique positive de court et moyen terme.</w:t>
      </w:r>
    </w:p>
    <w:p>
      <w:pPr>
        <w:spacing w:after="120" w:line="276" w:lineRule="auto"/>
      </w:pPr>
      <w:r>
        <w:t>**Bandes de Bollinger** : Le cours (2 960 FCFA) se situe dans la partie supérieure de la bande, entre la borne inférieure (2 770,68 FCFA) et la borne supérieure (2 985,82 FCFA), sans franchir cette dernière. Cette position proche de la borne haute, sans breakout, justifie la décision **Neutre** : le titre est fort mais n'affiche pas encore de signal de surachat extrême, la volatilité restant contenue dans les bandes.</w:t>
      </w:r>
    </w:p>
    <w:p>
      <w:pPr>
        <w:spacing w:after="120" w:line="276" w:lineRule="auto"/>
      </w:pPr>
      <w:r>
        <w:t>**MACD** : La valeur du MACD (1,448) est nettement inférieure à son signal (3,352), générant une divergence baissière qui traduit un essoufflement du momentum haussier. Cette configuration, bien que le cours reste élevé, justifie la décision de **Vente** : la dynamique positive s'épuise et un retournement à court terme est possible.</w:t>
      </w:r>
    </w:p>
    <w:p>
      <w:pPr>
        <w:spacing w:after="120" w:line="276" w:lineRule="auto"/>
      </w:pPr>
      <w:r>
        <w:t>**RSI** : À 56,923, le RSI se situe en zone neutre (entre 30 et 70), sans signal de surachat (&gt;70) ni de survente (&lt;30). Cette position médiane indique un équilibre entre acheteurs et vendeurs, justifiant la décision **Neutre** : ni pression acheteuse excessive, ni pression vendeuse dominante.</w:t>
      </w:r>
    </w:p>
    <w:p>
      <w:pPr>
        <w:spacing w:after="120" w:line="276" w:lineRule="auto"/>
      </w:pPr>
      <w:r>
        <w:t>**Stochastique** : Le %K (83,333) est très élevé, en zone de surachat, tandis que le %D (27,778) reste bas, créant un écart important entre les deux lignes. Cette divergence, avec un %K qui surplombe largement le %D, signale un risque de retournement baissier imminent, justifiant la décision de **Vente** : le titre est suracheté à court terme et une correction est probable.</w:t>
      </w:r>
    </w:p>
    <w:p>
      <w:pPr>
        <w:spacing w:after="120" w:line="276" w:lineRule="auto"/>
      </w:pPr>
      <w:r>
        <w:t>**Conclusion technique** : Les indicateurs sont divergents — les moyennes mobiles confirment la tendance haussière, mais le MACD et le stochastique émettent des signaux baissiers, tandis que le RSI et les Bollinger restent neutres. Cette configuration mixte suggère que le titre approche d'un sommet de court terme : la dynamique haussière s'essouffle et une consolidation, voire une correction, est probable avant toute nouvelle progression. La prudence est de mise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ONTBF a réalisé un chiffre d'affaires (PNB) de 146,177 milliards FCFA, en hausse de 3,06% sur un an, porté par le FTTH (+33%), l'internet mobile (+4,6%) et le Mobile Money (+14%). Le résultat net s'établit à 15,887 milliards FCFA, en chute de 26% par rapport aux 21,47 milliards de 2024, sous l'effet de charges opérationnelles et exceptionnelles élevées (indemnités de fin d'engagement, énergie, maintenance en zones sécuritaires, sanction ARCEP de 1,543 milliard). Le ROE reste excellent à 27,61% (bien que en baisse), et le ROA à 4,89%, confirmant la rentabilité des fonds propres malgré la compression des marges. La marge nette recule à 10,87% (contre 15,1% en 2024) et la marge opérationnelle à 17,56%. Le coefficient d'exploitation de 67,07% (charges/PNB) reste supérieur au seuil de 60% d'efficacité, signalant une pression sur les coûts. La structure financière est solide : capitaux propres de 57,542 milliards FCFA, autonomie financière de 17,71% (faible mais typique des télécoms), capacité de remboursement de 2,29 années et couverture des intérêts de 491,55%. La trésorerie nette est positive à 10,649 milliards FCFA, et la CAF de 46,952 milliards FCFA couvre 103,82% des investissements. **Estimations basées sur les rapports trimestriels** : Le T1 2026 (rapport du 09/04/2026) montre un CA de 37,1 milliards FCFA (+2,7%) et un résultat net de 3,577 milliards FCFA (marge nette 9,6%), avec un taux de marge EBITDA maintenu à 41,3%. On estime donc que l'exercice 2026 devrait confirmer la tendance : croissance modérée du CA (~3%) mais poursuite de la pression sur les marges, avec un résultat net annuel attendu autour de 15-16 milliards FCFA. La recommandation fondamentale est de **CONSERVER** : la solidité financière, le dividende attractif (166,08 FCFA/action, soit un rendement de ~5,6% au cours actuel) et la position dominante sur le FTTH et le Mobile Money compensent la dégradation de la rentabilité, mais les risques réglementaires, sécuritaires et concurrentiels limitent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équilibrée : PER de 12,7x légèrement supérieur à la moyenne BRVM, P/B de 3,50x dans la fourchette haute, et EV/EBITDA de 5,3x raisonnable — le titre n'est ni sous-évalué ni surévalué, mais intègre déjà une prime de qualité. Le comportement du cours (Partie 1) est favorable sur 100 jours (+6,47%, tendance haussière), avec une distribution symétrique et une faible dispersion (CV=2,8%), mais la volatilité annualisée de 32,7% et le pic de +7,25% en J-1 suggèrent une accélération qui pourrait être suivie d'une correction. Les signaux techniques (Partie 2) sont divergents : les moyennes mobiles confirment la tendance haussière, mais le MACD et le stochastique émettent des signaux de vente, tandis que le RSI et les Bollinger restent neutres — cette configuration plaide pour une consolidation à court terme. Les fondamentaux (Partie 3) restent solides malgré la baisse du résultat net : ROE de 27,61%, trésorerie nette positive, dividende attractif et position dominante sur les segments porteurs (FTTH, Mobile Money), mais la compression des marges et les risques opérationnels pèsent sur les perspectives. Les prédictions IA (J+1 à J+10) anticipent une légère correction vers 2 853-2 871 FCFA, confirmant la divergence technique et suggérant un essoufflement à court terme. **Recommandation finale : CONSERVER** — la convergence entre une valorisation équilibrée, des fondamentaux solides mais en dégradation, et des signaux techniques mitigés ne justifie ni un achat agressif ni une vente. Le niveau de confiance est **Moyen** (les indicateurs sont divergents) et le risque global est **Moyen** (volatilité élevée, pression sur les marges, risques réglementaires). L'horizon d'investissement optimal est le **moyen terme (3-12 mois)**, en attendant des signes tangibles d'amélioration de la rentabilité et de maîtrise des coûts, avec un objectif de cours à 3 000-3 100 FCFA si la tendance haussière se confirme, et un support à 2 770 FCFA (borne inférieure de Bollinger) en cas de correction.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3208.21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3,362 titres</w:t>
            </w:r>
          </w:p>
        </w:tc>
        <w:tc>
          <w:tcPr>
            <w:tcW w:type="dxa" w:w="2268"/>
            <w:shd w:fill="FFF2CC" w:val="clear"/>
          </w:tcPr>
          <w:p>
            <w:r>
              <w:rPr>
                <w:b/>
                <w:color w:val="503200"/>
                <w:sz w:val="16"/>
              </w:rPr>
              <w:t xml:space="preserve">Cours actuel : </w:t>
            </w:r>
            <w:r>
              <w:rPr>
                <w:color w:val="000000"/>
                <w:sz w:val="17"/>
              </w:rPr>
              <w:t>21,295 FCFA</w:t>
            </w:r>
          </w:p>
          <w:p>
            <w:r>
              <w:rPr>
                <w:b/>
                <w:color w:val="503200"/>
                <w:sz w:val="16"/>
              </w:rPr>
              <w:t xml:space="preserve">Var. 100 jours : </w:t>
            </w:r>
            <w:r>
              <w:rPr>
                <w:b/>
                <w:color w:val="007800"/>
                <w:sz w:val="17"/>
              </w:rPr>
              <w:t>+41.97%</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14,900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13.64% (Moyenne) — μ=17,649 FCFA, σ=2,407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β=1.2449 (Agressif) — Cov=0.000084, Var(idx)=0.000068, ρ=0.530,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3,362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20,356</w:t>
            </w:r>
          </w:p>
        </w:tc>
        <w:tc>
          <w:tcPr>
            <w:tcW w:type="dxa" w:w="1440"/>
            <w:shd w:fill="FAFAFA" w:val="clear"/>
          </w:tcPr>
          <w:p>
            <w:r>
              <w:rPr>
                <w:b/>
                <w:sz w:val="17"/>
              </w:rPr>
              <w:t>21,168</w:t>
            </w:r>
          </w:p>
        </w:tc>
        <w:tc>
          <w:tcPr>
            <w:tcW w:type="dxa" w:w="1440"/>
            <w:shd w:fill="FAFAFA" w:val="clear"/>
          </w:tcPr>
          <w:p>
            <w:r>
              <w:rPr>
                <w:sz w:val="17"/>
              </w:rPr>
              <w:t>21,980</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20,042</w:t>
            </w:r>
          </w:p>
        </w:tc>
        <w:tc>
          <w:tcPr>
            <w:tcW w:type="dxa" w:w="1440"/>
            <w:shd w:fill="FAFAFA" w:val="clear"/>
          </w:tcPr>
          <w:p>
            <w:r>
              <w:rPr>
                <w:b/>
                <w:sz w:val="17"/>
              </w:rPr>
              <w:t>21,192</w:t>
            </w:r>
          </w:p>
        </w:tc>
        <w:tc>
          <w:tcPr>
            <w:tcW w:type="dxa" w:w="1440"/>
            <w:shd w:fill="FAFAFA" w:val="clear"/>
          </w:tcPr>
          <w:p>
            <w:r>
              <w:rPr>
                <w:sz w:val="17"/>
              </w:rPr>
              <w:t>22,341</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19,791</w:t>
            </w:r>
          </w:p>
        </w:tc>
        <w:tc>
          <w:tcPr>
            <w:tcW w:type="dxa" w:w="1440"/>
            <w:shd w:fill="FAFAFA" w:val="clear"/>
          </w:tcPr>
          <w:p>
            <w:r>
              <w:rPr>
                <w:b/>
                <w:sz w:val="17"/>
              </w:rPr>
              <w:t>21,199</w:t>
            </w:r>
          </w:p>
        </w:tc>
        <w:tc>
          <w:tcPr>
            <w:tcW w:type="dxa" w:w="1440"/>
            <w:shd w:fill="FAFAFA" w:val="clear"/>
          </w:tcPr>
          <w:p>
            <w:r>
              <w:rPr>
                <w:sz w:val="17"/>
              </w:rPr>
              <w:t>22,607</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19,578</w:t>
            </w:r>
          </w:p>
        </w:tc>
        <w:tc>
          <w:tcPr>
            <w:tcW w:type="dxa" w:w="1440"/>
            <w:shd w:fill="FAFAFA" w:val="clear"/>
          </w:tcPr>
          <w:p>
            <w:r>
              <w:rPr>
                <w:b/>
                <w:sz w:val="17"/>
              </w:rPr>
              <w:t>21,204</w:t>
            </w:r>
          </w:p>
        </w:tc>
        <w:tc>
          <w:tcPr>
            <w:tcW w:type="dxa" w:w="1440"/>
            <w:shd w:fill="FAFAFA" w:val="clear"/>
          </w:tcPr>
          <w:p>
            <w:r>
              <w:rPr>
                <w:sz w:val="17"/>
              </w:rPr>
              <w:t>22,830</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19,390</w:t>
            </w:r>
          </w:p>
        </w:tc>
        <w:tc>
          <w:tcPr>
            <w:tcW w:type="dxa" w:w="1440"/>
            <w:shd w:fill="FAFAFA" w:val="clear"/>
          </w:tcPr>
          <w:p>
            <w:r>
              <w:rPr>
                <w:b/>
                <w:sz w:val="17"/>
              </w:rPr>
              <w:t>21,209</w:t>
            </w:r>
          </w:p>
        </w:tc>
        <w:tc>
          <w:tcPr>
            <w:tcW w:type="dxa" w:w="1440"/>
            <w:shd w:fill="FAFAFA" w:val="clear"/>
          </w:tcPr>
          <w:p>
            <w:r>
              <w:rPr>
                <w:sz w:val="17"/>
              </w:rPr>
              <w:t>23,027</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19,221</w:t>
            </w:r>
          </w:p>
        </w:tc>
        <w:tc>
          <w:tcPr>
            <w:tcW w:type="dxa" w:w="1440"/>
            <w:shd w:fill="FAFAFA" w:val="clear"/>
          </w:tcPr>
          <w:p>
            <w:r>
              <w:rPr>
                <w:b/>
                <w:sz w:val="17"/>
              </w:rPr>
              <w:t>21,213</w:t>
            </w:r>
          </w:p>
        </w:tc>
        <w:tc>
          <w:tcPr>
            <w:tcW w:type="dxa" w:w="1440"/>
            <w:shd w:fill="FAFAFA" w:val="clear"/>
          </w:tcPr>
          <w:p>
            <w:r>
              <w:rPr>
                <w:sz w:val="17"/>
              </w:rPr>
              <w:t>23,206</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19,065</w:t>
            </w:r>
          </w:p>
        </w:tc>
        <w:tc>
          <w:tcPr>
            <w:tcW w:type="dxa" w:w="1440"/>
            <w:shd w:fill="FAFAFA" w:val="clear"/>
          </w:tcPr>
          <w:p>
            <w:r>
              <w:rPr>
                <w:b/>
                <w:sz w:val="17"/>
              </w:rPr>
              <w:t>21,218</w:t>
            </w:r>
          </w:p>
        </w:tc>
        <w:tc>
          <w:tcPr>
            <w:tcW w:type="dxa" w:w="1440"/>
            <w:shd w:fill="FAFAFA" w:val="clear"/>
          </w:tcPr>
          <w:p>
            <w:r>
              <w:rPr>
                <w:sz w:val="17"/>
              </w:rPr>
              <w:t>23,371</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18,921</w:t>
            </w:r>
          </w:p>
        </w:tc>
        <w:tc>
          <w:tcPr>
            <w:tcW w:type="dxa" w:w="1440"/>
            <w:shd w:fill="FAFAFA" w:val="clear"/>
          </w:tcPr>
          <w:p>
            <w:r>
              <w:rPr>
                <w:b/>
                <w:sz w:val="17"/>
              </w:rPr>
              <w:t>21,223</w:t>
            </w:r>
          </w:p>
        </w:tc>
        <w:tc>
          <w:tcPr>
            <w:tcW w:type="dxa" w:w="1440"/>
            <w:shd w:fill="FAFAFA" w:val="clear"/>
          </w:tcPr>
          <w:p>
            <w:r>
              <w:rPr>
                <w:sz w:val="17"/>
              </w:rPr>
              <w:t>23,525</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18,785</w:t>
            </w:r>
          </w:p>
        </w:tc>
        <w:tc>
          <w:tcPr>
            <w:tcW w:type="dxa" w:w="1440"/>
            <w:shd w:fill="FAFAFA" w:val="clear"/>
          </w:tcPr>
          <w:p>
            <w:r>
              <w:rPr>
                <w:b/>
                <w:sz w:val="17"/>
              </w:rPr>
              <w:t>21,227</w:t>
            </w:r>
          </w:p>
        </w:tc>
        <w:tc>
          <w:tcPr>
            <w:tcW w:type="dxa" w:w="1440"/>
            <w:shd w:fill="FAFAFA" w:val="clear"/>
          </w:tcPr>
          <w:p>
            <w:r>
              <w:rPr>
                <w:sz w:val="17"/>
              </w:rPr>
              <w:t>23,669</w:t>
            </w:r>
          </w:p>
        </w:tc>
        <w:tc>
          <w:tcPr>
            <w:tcW w:type="dxa" w:w="1440"/>
            <w:shd w:fill="FAFAFA" w:val="clear"/>
          </w:tcPr>
          <w:p>
            <w:r>
              <w:rPr>
                <w:b/>
                <w:color w:val="C00000"/>
                <w:sz w:val="17"/>
              </w:rPr>
              <w:t>-0.3%</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18,657</w:t>
            </w:r>
          </w:p>
        </w:tc>
        <w:tc>
          <w:tcPr>
            <w:tcW w:type="dxa" w:w="1440"/>
            <w:shd w:fill="FAFAFA" w:val="clear"/>
          </w:tcPr>
          <w:p>
            <w:r>
              <w:rPr>
                <w:b/>
                <w:sz w:val="17"/>
              </w:rPr>
              <w:t>21,232</w:t>
            </w:r>
          </w:p>
        </w:tc>
        <w:tc>
          <w:tcPr>
            <w:tcW w:type="dxa" w:w="1440"/>
            <w:shd w:fill="FAFAFA" w:val="clear"/>
          </w:tcPr>
          <w:p>
            <w:r>
              <w:rPr>
                <w:sz w:val="17"/>
              </w:rPr>
              <w:t>23,806</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ORANGE CÔTE D'IVOIRE (ORAC)</w:t>
        <w:br/>
        <w:t>**Bourse Régionale des Valeurs Mobilières (BRVM) — Secteur : Télécommunications**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**3 208,21 milliards FCFA**, ORAC s'impose comme la première capitalisation de la BRVM, représentant à elle seule plus du quart de la capitalisation totale du marché régional — un statut de « blue chip » incontesté. Le BPA de **1 114 FCFA/action** signifie que chaque titre génère un bénéfice net de plus de mille francs, un niveau remarquable pour le marché ouest-africain. Le PER de **19,1x** place le titre nettement au-dessus de la moyenne BRVM (~8-12x), traduisant une prime de qualité que les investisseurs acceptent de payer pour un leader télécom en croissance ; cette valorisation n'est toutefois pas déraisonnable au regard des standards internationaux du secteur. Le P/B de **4,53x** confirme cette prime : le marché valorise ORAC à plus de quatre fois ses fonds propres comptables (707,8 Mds FCFA), ce qui est exigeant mais justifié par un ROE de 23,7%. Enfin, l'EV/EBITDA de **7,6x**, situé dans la fourchette raisonnable de 5-10x, indique que la valeur d'entreprise reste cohérente avec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affiche une performance spectaculaire de **+41,97%**, portant le cours à **21 295 FCFA**, malgré un léger repli de **-0,72%** lors de la dernière séance. Le range de trading est particulièrement large, avec un plus haut à **22 500 FCFA** et un plus bas à **14 900 FCFA**, soit une amplitude de plus de 51% — signe d'une forte dynamique haussière entrecoupée de corrections. La tendance générale est clairement haussière, soutenue par des publications trimestrielles solides et un intérêt croissant pour les valeurs télécoms de la zone UEMOA. Les statistiques descriptives révèlent une **moyenne de 17 649 FCFA** nettement supérieure à la **médiane de 16 700 FCFA**, confirmant une asymétrie positive (skewness de 0,875) : le cours a passé plus de journées sous sa moyenne, mais les poussées haussières ont été suffisamment puissantes pour tirer la moyenne vers le haut. L'écart-type de **2 419 FCFA (CV=13,7%)** indique une dispersion modérée, tandis que le kurtosis de **-0,822** (mésokurtique) suggère une distribution proche de la normale, sans risque excessif de pics extrêmes. La **volatilité annualisée de 30,5%** positionne le titre dans la catégorie « modérée à élevée », cohérente avec une valeur de croissance à forte liquidité relative.</w:t>
      </w:r>
    </w:p>
    <w:p>
      <w:pPr>
        <w:spacing w:after="120" w:line="276" w:lineRule="auto"/>
      </w:pPr>
      <w:r>
        <w:t>---</w:t>
      </w:r>
    </w:p>
    <w:p>
      <w:pPr>
        <w:spacing w:after="120" w:line="276" w:lineRule="auto"/>
      </w:pPr>
      <w:r>
        <w:t>## PARTIE 2 : ANALYSE TECHNIQUE DÉTAILLÉE</w:t>
      </w:r>
    </w:p>
    <w:p>
      <w:pPr>
        <w:spacing w:after="120" w:line="276" w:lineRule="auto"/>
      </w:pPr>
      <w:r>
        <w:t>**Moyennes Mobiles** : La MM20 (21 609 FCFA) et la MM50 (19 363 FCFA) sont toutes deux inférieures au cours actuel (21 295 FCFA), avec la MM20 au-dessus de la MM50 — configuration haussière classique. Le cours évolue toutefois légèrement sous sa MM20, ce qui traduit une consolidation à court terme, mais la décision technique reste **Achat** grâce à la structure haussière des moyennes.</w:t>
      </w:r>
    </w:p>
    <w:p>
      <w:pPr>
        <w:spacing w:after="120" w:line="276" w:lineRule="auto"/>
      </w:pPr>
      <w:r>
        <w:t>**Bandes de Bollinger** : Le cours (21 295 FCFA) se situe dans la partie médiane de la bande, entre la borne inférieure (20 259,94 FCFA) et la borne supérieure (22 958,06 FCFA), sans contact avec les extrêmes. Cette position centrale, combinée à un resserrement relatif des bandes, indique une phase de consolidation avec une volatilité contenue — décision **Neutre**, en attente d'un signal directionnel.</w:t>
      </w:r>
    </w:p>
    <w:p>
      <w:pPr>
        <w:spacing w:after="120" w:line="276" w:lineRule="auto"/>
      </w:pPr>
      <w:r>
        <w:t>**MACD** : La valeur du MACD (455,378) est nettement inférieure à son signal (733,012), générant un croisement baissier et une décision **Vente**. Cet écart signale un essoufflement du momentum haussier à court terme, bien que le MACD reste en territoire positif, ce qui limite la portée baissière du signal.</w:t>
      </w:r>
    </w:p>
    <w:p>
      <w:pPr>
        <w:spacing w:after="120" w:line="276" w:lineRule="auto"/>
      </w:pPr>
      <w:r>
        <w:t>**RSI** : À **45,034**, le RSI se situe dans la zone neutre (30-70), légèrement sous le seuil de 50 qui sépare les territoires haussier et baissier. Cette valeur indique une absence de pression acheteuse ou vendeuse dominante — décision **Neutre**, avec un léger biais baissier.</w:t>
      </w:r>
    </w:p>
    <w:p>
      <w:pPr>
        <w:spacing w:after="120" w:line="276" w:lineRule="auto"/>
      </w:pPr>
      <w:r>
        <w:t>**Stochastique** : Le %K (42,619) est supérieur au %D (30,873), ce qui constitue un croisement haussier naissant en zone basse. Toutefois, les deux indicateurs restent sous le seuil de 50, traduisant une dynamique encore fragile — décision **Neutre**, mais avec un potentiel de rebond à surveiller.</w:t>
      </w:r>
    </w:p>
    <w:p>
      <w:pPr>
        <w:spacing w:after="120" w:line="276" w:lineRule="auto"/>
      </w:pPr>
      <w:r>
        <w:t>**Conclusion technique** : Les indicateurs présentent un tableau mitigé. La structure des moyennes mobiles reste haussière (MM20 &gt; MM50), mais le MACD baissier, le RSI sous 50 et la position du cours sous la MM20 signalent une consolidation en cours. Le stochastique offre toutefois une lueur d'espoir avec un croisement haussier naissant. Dans l'ensemble, le titre est en phase de respiration après sa forte hausse, et un retour au-dessus de la MM20 (21 609 FCFA) serait nécessaire pour confirmer la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ORAC a réalisé un chiffre d'affaires consolidé de **1 197,1 milliards FCFA**, en croissance de **+10,4%** par rapport à 2024 (1 084,1 Mds FCFA). Le résultat net consolidé s'établit à **167,8 milliards FCFA** (+6,1%), tandis que le résultat net part du groupe atteint **129,1 milliards FCFA** (+14,5%). La rentabilité reste excellente avec un **ROE de 23,71%** (largement supérieur au seuil de 15% considéré comme excellent) et un **ROA de 6,57%**. La marge nette de **14,02%** et la marge opérationnelle de **23,99%** témoignent d'une solide maîtrise opérationnelle. Sur le plan bilanciel, le total actif s'élève à **2 554,1 milliards FCFA**, pour des capitaux propres de **707,8 milliards FCFA**, soit une autonomie financière de **27,71%** — légèrement en dessous du seuil de 30% mais compensée par une solvabilité générale de 138,34%.</w:t>
      </w:r>
    </w:p>
    <w:p>
      <w:pPr>
        <w:spacing w:after="120" w:line="276" w:lineRule="auto"/>
      </w:pPr>
      <w:r>
        <w:t>**Analyse sectorielle (entreprise non bancaire)** : Le BFR est **négatif à -198,0 milliards FCFA**, ce qui est très favorable car il signifie que les clients et les stocks sont financés par les fournisseurs plutôt que par la trésorerie de l'entreprise. Le délai fournisseurs de **210,87 jours** (contre un délai clients de seulement **52,26 jours**) confirme ce pouvoir de négociation exceptionnel. La trésorerie nette est positive à **113,9 milliards FCFA**, et le free cash-flow atteint **156,2 milliards FCFA**. Le ratio de capacité de remboursement de **0,99 an** (dettes financières / CAF) indique une dette remboursable en moins d'un an de cash-flow, ce qui est remarquable. La couverture des intérêts de **1 018,44%** témoigne d'une marge de sécurité considérable.</w:t>
      </w:r>
    </w:p>
    <w:p>
      <w:pPr>
        <w:spacing w:after="120" w:line="276" w:lineRule="auto"/>
      </w:pPr>
      <w:r>
        <w:t>**Estimations basées sur les rapports trimestriels** : Le rapport du **T1 2026 (publié en 2026)** révèle une accélération spectaculaire : chiffre d'affaires de **325,6 milliards FCFA (+14,8%)**, résultat net de **48,3 milliards FCFA (+25,2%)** et EBITDAaL de **114,2 milliards FCFA (+15,7%)**. Sur la base de ce rythme, on peut estimer que l'exercice 2026 devrait afficher un chiffre d'affaires supérieur à **1 300 milliards FCFA** et un résultat net part du groupe en progression de 15-20%, soit autour de **150-155 milliards FCFA**. Le rapport annuel 2025 (publié le 31/12/2025) confirme un dividende brut de **800 FCFA/action**, offrant un rendement d'environ **3,76%** au cours actuel de 21 295 FCFA. Le rapport du T3 2025 (30/09/2025) soulignait toutefois une pression sur la rentabilité avec un résultat net quasi-stagnant (+0,2%), mais le T1 2026 marque une nette inversion de cette tendance.</w:t>
      </w:r>
    </w:p>
    <w:p>
      <w:pPr>
        <w:spacing w:after="120" w:line="276" w:lineRule="auto"/>
      </w:pPr>
      <w:r>
        <w:t>**Recommandation fondamentale** : La solidité financière d'ORAC est incontestable — croissance à deux chiffres, ROE élevé, BFR négatif, endettement maîtrisé et génération de cash-flow robuste. Les risques identifiés (pression fiscale et réglementaire, concurrence, exposition au Burkina Faso et au Liberia) sont réels mais compensés par la diversification géographique et la position de leader. La dynamique du T1 2026 est très encourageante et suggère une accélération de la croissance bénéficiaire pour l'exercice en cours.</w:t>
      </w:r>
    </w:p>
    <w:p>
      <w:pPr>
        <w:spacing w:after="120" w:line="276" w:lineRule="auto"/>
      </w:pPr>
      <w:r>
        <w:t>---</w:t>
      </w:r>
    </w:p>
    <w:p>
      <w:pPr>
        <w:spacing w:after="120" w:line="276" w:lineRule="auto"/>
      </w:pPr>
      <w:r>
        <w:t>## PARTIE 4 : CONCLUSION D'INVESTISSEMENT</w:t>
      </w:r>
    </w:p>
    <w:p>
      <w:pPr>
        <w:spacing w:after="120" w:line="276" w:lineRule="auto"/>
      </w:pPr>
      <w:r>
        <w:t>La valorisation d'ORAC (PER 19,1x, P/B 4,53x, EV/EBITDA 7,6x) traduit une prime de qualité justifiée par un ROE de 23,7% et une position de leader incontesté, mais elle limite le potentiel de re-rating à court terme. Le comportement du cours sur 100 jours est exceptionnel (+41,97%), avec une volatilité modérée (30,5%) et des statistiques rassurantes (kurtosis proche de la normale, skewness positive indiquant un biais haussier). Les signaux techniques sont mitigés : la structure des moyennes mobiles reste haussière, mais le MACD baissier et le RSI sous 50 signalent une consolidation en cours, ce qui est sain après une telle progression. Les fondamentaux sont excellents : croissance du CA de +10,4% en 2025, accélération à +14,8% au T1 2026, résultat net en hausse de +25,2% sur ce même trimestre, BFR négatif et trésorerie nette positive. Les prédictions IA (21 168 → 21 209 FCFA sur 10 jours) suggèrent une stabilisation autour des 21 200 FCFA, ce qui confirme la thèse d'une consolidation latérale plutôt que d'une correction profonde.</w:t>
      </w:r>
    </w:p>
    <w:p>
      <w:pPr>
        <w:spacing w:after="120" w:line="276" w:lineRule="auto"/>
      </w:pPr>
      <w:r>
        <w:t>**Recommandation finale : ACHAT**</w:t>
      </w:r>
    </w:p>
    <w:p>
      <w:pPr>
        <w:spacing w:after="120" w:line="276" w:lineRule="auto"/>
      </w:pPr>
      <w:r>
        <w:t>La convergence entre des fondamentaux solides, une dynamique trimestrielle accélérée et une consolidation technique saine plaide pour une accumulation progressive. Le titre offre un profil de croissance défensive rare sur la BRVM, avec un dividende attractif (800 FCFA/action) et des perspectives robustes pour 2026. Le niveau de confiance est **Élevé** pour le moyen et long terme, mais **Moyen** à court terme en raison de la consolidation technique en cours. Le niveau de risque global est **Moyen** (volatilité modérée, exposition géographique et réglementaire). L'horizon d'investissement optimal est le **moyen à long terme (6 à 24 mois)**, avec un objectif de cours à 24 000-25 000 FCFA si la croissance du T1 2026 se confirme sur l'ensemble de l'exercice. Un repli vers 20 000 FCFA constituerait une opportunité de renforcement.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211.72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5,301 titres</w:t>
            </w:r>
          </w:p>
        </w:tc>
        <w:tc>
          <w:tcPr>
            <w:tcW w:type="dxa" w:w="2268"/>
            <w:shd w:fill="FFF2CC" w:val="clear"/>
          </w:tcPr>
          <w:p>
            <w:r>
              <w:rPr>
                <w:b/>
                <w:color w:val="503200"/>
                <w:sz w:val="16"/>
              </w:rPr>
              <w:t xml:space="preserve">Cours actuel : </w:t>
            </w:r>
            <w:r>
              <w:rPr>
                <w:color w:val="000000"/>
                <w:sz w:val="17"/>
              </w:rPr>
              <w:t>3,050 FCFA</w:t>
            </w:r>
          </w:p>
          <w:p>
            <w:r>
              <w:rPr>
                <w:b/>
                <w:color w:val="503200"/>
                <w:sz w:val="16"/>
              </w:rPr>
              <w:t xml:space="preserve">Var. 100 jours : </w:t>
            </w:r>
            <w:r>
              <w:rPr>
                <w:b/>
                <w:color w:val="B40000"/>
                <w:sz w:val="17"/>
              </w:rPr>
              <w:t>-12.23%</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8.79% (Moyenne) — μ=2,894 FCFA, σ=254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β=0.7221 (Défensif) — Cov=0.000049, Var(idx)=0.000068, ρ=0.214,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2,871</w:t>
            </w:r>
          </w:p>
        </w:tc>
        <w:tc>
          <w:tcPr>
            <w:tcW w:type="dxa" w:w="1440"/>
            <w:shd w:fill="FAFAFA" w:val="clear"/>
          </w:tcPr>
          <w:p>
            <w:r>
              <w:rPr>
                <w:b/>
                <w:sz w:val="17"/>
              </w:rPr>
              <w:t>2,992</w:t>
            </w:r>
          </w:p>
        </w:tc>
        <w:tc>
          <w:tcPr>
            <w:tcW w:type="dxa" w:w="1440"/>
            <w:shd w:fill="FAFAFA" w:val="clear"/>
          </w:tcPr>
          <w:p>
            <w:r>
              <w:rPr>
                <w:sz w:val="17"/>
              </w:rPr>
              <w:t>3,113</w:t>
            </w:r>
          </w:p>
        </w:tc>
        <w:tc>
          <w:tcPr>
            <w:tcW w:type="dxa" w:w="1440"/>
            <w:shd w:fill="FAFAFA" w:val="clear"/>
          </w:tcPr>
          <w:p>
            <w:r>
              <w:rPr>
                <w:b/>
                <w:color w:val="C00000"/>
                <w:sz w:val="17"/>
              </w:rPr>
              <w:t>-1.9%</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2,835</w:t>
            </w:r>
          </w:p>
        </w:tc>
        <w:tc>
          <w:tcPr>
            <w:tcW w:type="dxa" w:w="1440"/>
            <w:shd w:fill="FAFAFA" w:val="clear"/>
          </w:tcPr>
          <w:p>
            <w:r>
              <w:rPr>
                <w:b/>
                <w:sz w:val="17"/>
              </w:rPr>
              <w:t>3,007</w:t>
            </w:r>
          </w:p>
        </w:tc>
        <w:tc>
          <w:tcPr>
            <w:tcW w:type="dxa" w:w="1440"/>
            <w:shd w:fill="FAFAFA" w:val="clear"/>
          </w:tcPr>
          <w:p>
            <w:r>
              <w:rPr>
                <w:sz w:val="17"/>
              </w:rPr>
              <w:t>3,179</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2,801</w:t>
            </w:r>
          </w:p>
        </w:tc>
        <w:tc>
          <w:tcPr>
            <w:tcW w:type="dxa" w:w="1440"/>
            <w:shd w:fill="FAFAFA" w:val="clear"/>
          </w:tcPr>
          <w:p>
            <w:r>
              <w:rPr>
                <w:b/>
                <w:sz w:val="17"/>
              </w:rPr>
              <w:t>3,012</w:t>
            </w:r>
          </w:p>
        </w:tc>
        <w:tc>
          <w:tcPr>
            <w:tcW w:type="dxa" w:w="1440"/>
            <w:shd w:fill="FAFAFA" w:val="clear"/>
          </w:tcPr>
          <w:p>
            <w:r>
              <w:rPr>
                <w:sz w:val="17"/>
              </w:rPr>
              <w:t>3,223</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2,773</w:t>
            </w:r>
          </w:p>
        </w:tc>
        <w:tc>
          <w:tcPr>
            <w:tcW w:type="dxa" w:w="1440"/>
            <w:shd w:fill="FAFAFA" w:val="clear"/>
          </w:tcPr>
          <w:p>
            <w:r>
              <w:rPr>
                <w:b/>
                <w:sz w:val="17"/>
              </w:rPr>
              <w:t>3,017</w:t>
            </w:r>
          </w:p>
        </w:tc>
        <w:tc>
          <w:tcPr>
            <w:tcW w:type="dxa" w:w="1440"/>
            <w:shd w:fill="FAFAFA" w:val="clear"/>
          </w:tcPr>
          <w:p>
            <w:r>
              <w:rPr>
                <w:sz w:val="17"/>
              </w:rPr>
              <w:t>3,261</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2,748</w:t>
            </w:r>
          </w:p>
        </w:tc>
        <w:tc>
          <w:tcPr>
            <w:tcW w:type="dxa" w:w="1440"/>
            <w:shd w:fill="FAFAFA" w:val="clear"/>
          </w:tcPr>
          <w:p>
            <w:r>
              <w:rPr>
                <w:b/>
                <w:sz w:val="17"/>
              </w:rPr>
              <w:t>3,022</w:t>
            </w:r>
          </w:p>
        </w:tc>
        <w:tc>
          <w:tcPr>
            <w:tcW w:type="dxa" w:w="1440"/>
            <w:shd w:fill="FAFAFA" w:val="clear"/>
          </w:tcPr>
          <w:p>
            <w:r>
              <w:rPr>
                <w:sz w:val="17"/>
              </w:rPr>
              <w:t>3,295</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2,726</w:t>
            </w:r>
          </w:p>
        </w:tc>
        <w:tc>
          <w:tcPr>
            <w:tcW w:type="dxa" w:w="1440"/>
            <w:shd w:fill="FAFAFA" w:val="clear"/>
          </w:tcPr>
          <w:p>
            <w:r>
              <w:rPr>
                <w:b/>
                <w:sz w:val="17"/>
              </w:rPr>
              <w:t>3,026</w:t>
            </w:r>
          </w:p>
        </w:tc>
        <w:tc>
          <w:tcPr>
            <w:tcW w:type="dxa" w:w="1440"/>
            <w:shd w:fill="FAFAFA" w:val="clear"/>
          </w:tcPr>
          <w:p>
            <w:r>
              <w:rPr>
                <w:sz w:val="17"/>
              </w:rPr>
              <w:t>3,326</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2,706</w:t>
            </w:r>
          </w:p>
        </w:tc>
        <w:tc>
          <w:tcPr>
            <w:tcW w:type="dxa" w:w="1440"/>
            <w:shd w:fill="FAFAFA" w:val="clear"/>
          </w:tcPr>
          <w:p>
            <w:r>
              <w:rPr>
                <w:b/>
                <w:sz w:val="17"/>
              </w:rPr>
              <w:t>3,030</w:t>
            </w:r>
          </w:p>
        </w:tc>
        <w:tc>
          <w:tcPr>
            <w:tcW w:type="dxa" w:w="1440"/>
            <w:shd w:fill="FAFAFA" w:val="clear"/>
          </w:tcPr>
          <w:p>
            <w:r>
              <w:rPr>
                <w:sz w:val="17"/>
              </w:rPr>
              <w:t>3,355</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2,688</w:t>
            </w:r>
          </w:p>
        </w:tc>
        <w:tc>
          <w:tcPr>
            <w:tcW w:type="dxa" w:w="1440"/>
            <w:shd w:fill="FAFAFA" w:val="clear"/>
          </w:tcPr>
          <w:p>
            <w:r>
              <w:rPr>
                <w:b/>
                <w:sz w:val="17"/>
              </w:rPr>
              <w:t>3,035</w:t>
            </w:r>
          </w:p>
        </w:tc>
        <w:tc>
          <w:tcPr>
            <w:tcW w:type="dxa" w:w="1440"/>
            <w:shd w:fill="FAFAFA" w:val="clear"/>
          </w:tcPr>
          <w:p>
            <w:r>
              <w:rPr>
                <w:sz w:val="17"/>
              </w:rPr>
              <w:t>3,382</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2,670</w:t>
            </w:r>
          </w:p>
        </w:tc>
        <w:tc>
          <w:tcPr>
            <w:tcW w:type="dxa" w:w="1440"/>
            <w:shd w:fill="FAFAFA" w:val="clear"/>
          </w:tcPr>
          <w:p>
            <w:r>
              <w:rPr>
                <w:b/>
                <w:sz w:val="17"/>
              </w:rPr>
              <w:t>3,039</w:t>
            </w:r>
          </w:p>
        </w:tc>
        <w:tc>
          <w:tcPr>
            <w:tcW w:type="dxa" w:w="1440"/>
            <w:shd w:fill="FAFAFA" w:val="clear"/>
          </w:tcPr>
          <w:p>
            <w:r>
              <w:rPr>
                <w:sz w:val="17"/>
              </w:rPr>
              <w:t>3,408</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2,654</w:t>
            </w:r>
          </w:p>
        </w:tc>
        <w:tc>
          <w:tcPr>
            <w:tcW w:type="dxa" w:w="1440"/>
            <w:shd w:fill="FAFAFA" w:val="clear"/>
          </w:tcPr>
          <w:p>
            <w:r>
              <w:rPr>
                <w:b/>
                <w:sz w:val="17"/>
              </w:rPr>
              <w:t>3,044</w:t>
            </w:r>
          </w:p>
        </w:tc>
        <w:tc>
          <w:tcPr>
            <w:tcW w:type="dxa" w:w="1440"/>
            <w:shd w:fill="FAFAFA" w:val="clear"/>
          </w:tcPr>
          <w:p>
            <w:r>
              <w:rPr>
                <w:sz w:val="17"/>
              </w:rPr>
              <w:t>3,433</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211,72 milliards FCFA, ORGT se positionne parmi les valeurs bancaires de premier plan de la cote BRVM, ce qui traduit une liquidité relative et une visibilité institutionnelle non négligeables. Le BPA de 312 FCFA/action signifie que chaque titre génère un bénéfice net de 312 FCFA, ce qui, rapporté au cours actuel de 3 050 FCFA, donne un PER de 9,8x — légèrement inférieur à la moyenne BRVM (8-12x), suggérant une valorisation raisonnable voire légèrement sous-évaluée au regard des bénéfices. Le P/B de 1,87x indique que le marché valorise la banque à près de deux fois sa valeur comptable, ce qui reste dans une fourchette acceptable (1-2x) pour une institution financière en redressement. En revanche, l'EV/EBITDA de 19,8x apparaît très exigeant (&gt;15x), signalant que la valeur d'entreprise intègre déjà une bonne part d'anticipations de reprise opérationnelle — un point de vigilance pour l'investisseur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variation totale de **-12,23%**, mais la dernière séance (J-1) enregistre un rebond marqué de **+5,72%**, portant le cours à 3 050 FCFA. Le titre a évolué dans un range large entre un plus bas de 2 435 FCFA et un plus haut de 3 475 FCFA, soit une amplitude de plus de 1 000 FCFA qui témoigne d'une forte nervosité. La tendance générale reste baissière sur la période, mais le rebond récent suggère une tentative de retournement ou un sursaut technique après une phase de correction. Les statistiques descriptives révèlent une **moyenne (2 894 FCFA) supérieure à la médiane (2 780 FCFA)**, ce qui indique une légère asymétrie positive — confirmée par un skewness de 0,349 (distribution quasi-symétrique mais étirée vers la droite) : les cours élevés tirent la moyenne vers le haut. L'écart-type de 256 FCFA avec un **coefficient de variation de 8,8%** traduit une dispersion modérée autour de la moyenne, tandis que le kurtosis de -1,164 (distribution platykurtique) signale une faible concentration des valeurs extrêmes — le titre évite les pics brutaux mais reste étalé. Enfin, la **volatilité annualisée de 44,8%** classe ORGT dans la catégorie des titres à volatilité élevée (&gt;30%), ce qui implique un risque de marché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(3 188,25 FCFA) et la MM50 (3 067,40 FCFA) se situent toutes deux au-dessus du cours actuel (3 050 FCFA), ce qui place le titre en position de faiblesse relative. Cependant, la MM20 étant supérieure à la MM50, la configuration reste haussière de fond, et la décision affichée est **Achat** — le rebond récent pourrait amorcer un retour vers ces moyennes.</w:t>
      </w:r>
    </w:p>
    <w:p>
      <w:pPr>
        <w:spacing w:after="120" w:line="276" w:lineRule="auto"/>
      </w:pPr>
      <w:r>
        <w:t>**Bandes de Bollinger** : Le cours (3 050 FCFA) évolue dans la partie basse de la bande, entre la borne inférieure (2 878,15 FCFA) et la borne supérieure (3 498,35 FCFA), sans atteindre les extrêmes. La décision est **Neutre**, ce qui reflète une absence de signal directionnel fort et une volatilité contenue dans le canal.</w:t>
      </w:r>
    </w:p>
    <w:p>
      <w:pPr>
        <w:spacing w:after="120" w:line="276" w:lineRule="auto"/>
      </w:pPr>
      <w:r>
        <w:t>**MACD** : La valeur du MACD (-31,814) est nettement inférieure à son signal (17,486), générant une configuration baissière avec une décision de **Vente**. Cette divergence négative indique que le momentum reste fragile malgré le rebond de J-1, et qu'une confirmation haussière n'est pas encore acquise.</w:t>
      </w:r>
    </w:p>
    <w:p>
      <w:pPr>
        <w:spacing w:after="120" w:line="276" w:lineRule="auto"/>
      </w:pPr>
      <w:r>
        <w:t>**RSI** : À 33,645, le RSI se situe dans la zone neutre basse (30-70), proche du seuil de survente (30). La décision est **Neutre**, mais cette proximité suggère que le titre pourrait être proche d'un point de retournement à la hausse si la pression vendeuse s'essouffle.</w:t>
      </w:r>
    </w:p>
    <w:p>
      <w:pPr>
        <w:spacing w:after="120" w:line="276" w:lineRule="auto"/>
      </w:pPr>
      <w:r>
        <w:t>**Stochastique** : Le %K (42,017) est supérieur au %D (18,728), ce qui constitue un croisement haussier potentiel — le %K remonte vers le %D après une phase de faiblesse. La décision reste **Neutre**, mais ce croisement précoce est un signal d'amélioration du momentum à court terme.</w:t>
      </w:r>
    </w:p>
    <w:p>
      <w:pPr>
        <w:spacing w:after="120" w:line="276" w:lineRule="auto"/>
      </w:pPr>
      <w:r>
        <w:t>**Conclusion technique** : Les indicateurs sont partagés — les moyennes mobiles et le stochastique plaident pour un rebond, tandis que le MACD et les bandes de Bollinger incitent à la prudence. Le RSI proche de la survente et le croisement stochastique suggèrent qu'un point bas pourrait être en formation, mais l'absence de confirmation par le MACD et la position du cours sous les MM20/MM50 imposent de rester attentif. La convergence des signaux n'est pas encore suffisante pour valider une tendance haussière durable.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ORGT affiche un Produit Net Bancaire (PNB) de **186,609 milliards FCFA**, en baisse de -4,52% par rapport à 2024 (195,436 milliards FCFA), ce qui constitue un signal de pression sur la dynamique commerciale. Le résultat net s'établit à **21,643 milliards FCFA**, en redressement spectaculaire après une perte de -44,363 milliards FCFA en 2024. Le ROE atteint **19,13%** (&gt;15% = excellent), traduisant une rentabilité des fonds propres très solide, tandis que le ROA reste faible à **0,54%**, ce qui est typique du secteur bancaire où les actifs sont massifs (4 014 milliards FCFA). Le coefficient d'exploitation de **42,85%** (&lt;60% = banque efficace) confirme une excellente maîtrise des charges, et le coût du risque (provisions/charges financières) de **3,74%** indique un portefeuille de crédits assaini. Le ratio dépôts/crédits s'élève à **3 088,7 / 1 523,8 = 2,03x**, signe d'une surliquidité et d'une transformation prudente. Les capitaux propres se renforcent à **113,165 milliards FCFA** (+17%), et l'autonomie financière reste faible (2,82%) mais structurellement normale pour une banque.</w:t>
      </w:r>
    </w:p>
    <w:p>
      <w:pPr>
        <w:spacing w:after="120" w:line="276" w:lineRule="auto"/>
      </w:pPr>
      <w:r>
        <w:t>**Estimations basées sur les rapports trimestriels** : Le rapport T1 2026 (publié en 2026) indique un PNB de 50,124 milliards FCFA (-2%) et un résultat net de 6,555 milliards FCFA (+37%), avec des dépôts en hausse de 14% à 3 343 milliards FCFA et des crédits nets en recul de 12% à 1 434 milliards FCFA. Sur cette base, on estime que l'exercice 2026 devrait confirmer la tendance au redressement, avec un résultat net annualisé proche de 26-28 milliards FCFA si la dynamique se maintient. Le rapport T3 2025 (daté du 30/09/2025) faisait déjà état d'un résultat net de 19,6 milliards FCFA (+248%) et d'une réduction de 74% du coût du risque, validant la stratégie d'assainissement. Le rapport annuel 2025 (analysé par DeepSeek le 05/05/2026) confirme le retour à la rentabilité et la solidité du bilan, mais souligne la baisse du PNB comme principal risque.</w:t>
      </w:r>
    </w:p>
    <w:p>
      <w:pPr>
        <w:spacing w:after="120" w:line="276" w:lineRule="auto"/>
      </w:pPr>
      <w:r>
        <w:t>**Recommandation fondamentale** : La solidité financière est réelle (ROE élevé, coefficient d'exploitation excellent, capitaux propres renforcés), mais la croissance du PNB reste le maillon faible. Le redressement est spectaculaire mais largement dû à la baisse du coût du risque et à la maîtrise des coûts, non à une reprise commerciale. La prudence est de mise, avec une recommandation de **CONSERVER** — le potentiel de reprise est là, mais il faut attendre la confirmation d'une dynamique durable du PNB.</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mitigé : le PER de 9,8x et le P/B de 1,87x suggèrent une sous-évaluation relative, mais l'EV/EBITDA de 19,8x intègre déjà une prime de reprise, ce qui limite le potentiel de hausse à court terme. Le comportement du cours (Partie 1) est préoccupant sur 100 jours (-12,23%) mais le rebond de J-1 (+5,72%) et la volatilité élevée (44,8%) offrent des opportunités de trading, tandis que le kurtosis platykurtique (-1,164) et le skewness positif (0,349) indiquent un risque de pics modéré mais une asymétrie favorable aux hausses. Les signaux techniques (Partie 2) sont divergents : les MM et le stochastique plaident pour un rebond, mais le MACD reste baissier et le RSI neutre — la convergence n'est pas encore acquise. Les fondamentaux (Partie 3) sont solides (ROE 19,13%, coefficient d'exploitation 42,85%, retour à la rentabilité en 2025), mais la baisse du PNB (-4,52%) et l'absence de dividende (0 FCFA) tempèrent l'enthousiasme. Les prédictions IA (J+1 à J+10) anticipent une trajectoire légèrement haussière (2 992 → 3 022 FCFA), ce qui confirme la possibilité d'un rebond technique mais sans envolée majeure.</w:t>
      </w:r>
    </w:p>
    <w:p>
      <w:pPr>
        <w:spacing w:after="120" w:line="276" w:lineRule="auto"/>
      </w:pPr>
      <w:r>
        <w:t>**Recommandation finale : CONSERVER**</w:t>
        <w:br/>
        <w:t>**Justification** : La convergence entre la valorisation raisonnable (PER &lt; moyenne BRVM), le redressement fondamental (ROE &gt;15%, retour aux bénéfices) et les prédictions IA légèrement haussières soutient une position d'attente. Cependant, la divergence entre le MACD baissier et le rebond récent, ainsi que la faiblesse persistante du PNB, empêchent de recommander un ACHAT franc. Le titre n'est ni une opportunité évidente (surévaluation EV/EBITDA), ni une valeur à fuir (solidité financière).</w:t>
        <w:br/>
        <w:t>**Niveau de confiance** : Moyen — les signaux sont contradictoires et nécessitent une confirmation par les prochains rapports trimestriels.</w:t>
        <w:br/>
        <w:t>**Niveau de risque global** : Élevé — volatilité annualisée de 44,8%, dépendance à la baisse du coût du risque, et environnement macroéconomique incertain.</w:t>
        <w:br/>
        <w:t>**Horizon d'investissement optimal** : Moyen terme (3-12 mois) — le temps que la dynamique commerciale se confirme et que les indicateurs techniques convergent vers une tendance haussière durable.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125.22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4,003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+15.71%</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6.20% (Moyenne) — μ=8,582 FCFA, σ=532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β=-0.0376 (Contre-cyclique) — Cov=-0.000003, Var(idx)=0.000068, ρ=-0.014,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4,003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7,847</w:t>
            </w:r>
          </w:p>
        </w:tc>
        <w:tc>
          <w:tcPr>
            <w:tcW w:type="dxa" w:w="1440"/>
            <w:shd w:fill="FAFAFA" w:val="clear"/>
          </w:tcPr>
          <w:p>
            <w:r>
              <w:rPr>
                <w:b/>
                <w:sz w:val="17"/>
              </w:rPr>
              <w:t>8,077</w:t>
            </w:r>
          </w:p>
        </w:tc>
        <w:tc>
          <w:tcPr>
            <w:tcW w:type="dxa" w:w="1440"/>
            <w:shd w:fill="FAFAFA" w:val="clear"/>
          </w:tcPr>
          <w:p>
            <w:r>
              <w:rPr>
                <w:sz w:val="17"/>
              </w:rPr>
              <w:t>8,308</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7,745</w:t>
            </w:r>
          </w:p>
        </w:tc>
        <w:tc>
          <w:tcPr>
            <w:tcW w:type="dxa" w:w="1440"/>
            <w:shd w:fill="FAFAFA" w:val="clear"/>
          </w:tcPr>
          <w:p>
            <w:r>
              <w:rPr>
                <w:b/>
                <w:sz w:val="17"/>
              </w:rPr>
              <w:t>8,071</w:t>
            </w:r>
          </w:p>
        </w:tc>
        <w:tc>
          <w:tcPr>
            <w:tcW w:type="dxa" w:w="1440"/>
            <w:shd w:fill="FAFAFA" w:val="clear"/>
          </w:tcPr>
          <w:p>
            <w:r>
              <w:rPr>
                <w:sz w:val="17"/>
              </w:rPr>
              <w:t>8,398</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7,665</w:t>
            </w:r>
          </w:p>
        </w:tc>
        <w:tc>
          <w:tcPr>
            <w:tcW w:type="dxa" w:w="1440"/>
            <w:shd w:fill="FAFAFA" w:val="clear"/>
          </w:tcPr>
          <w:p>
            <w:r>
              <w:rPr>
                <w:b/>
                <w:sz w:val="17"/>
              </w:rPr>
              <w:t>8,065</w:t>
            </w:r>
          </w:p>
        </w:tc>
        <w:tc>
          <w:tcPr>
            <w:tcW w:type="dxa" w:w="1440"/>
            <w:shd w:fill="FAFAFA" w:val="clear"/>
          </w:tcPr>
          <w:p>
            <w:r>
              <w:rPr>
                <w:sz w:val="17"/>
              </w:rPr>
              <w:t>8,464</w:t>
            </w:r>
          </w:p>
        </w:tc>
        <w:tc>
          <w:tcPr>
            <w:tcW w:type="dxa" w:w="1440"/>
            <w:shd w:fill="FAFAFA" w:val="clear"/>
          </w:tcPr>
          <w:p>
            <w:r>
              <w:rPr>
                <w:b/>
                <w:color w:val="C00000"/>
                <w:sz w:val="17"/>
              </w:rPr>
              <w:t>-0.4%</w:t>
            </w:r>
          </w:p>
        </w:tc>
      </w:tr>
      <w:tr>
        <w:tc>
          <w:tcPr>
            <w:tcW w:type="dxa" w:w="1440"/>
            <w:shd w:fill="FAFAFA" w:val="clear"/>
          </w:tcPr>
          <w:p>
            <w:r>
              <w:rPr>
                <w:sz w:val="17"/>
              </w:rPr>
              <w:t>J+4  Moyenne</w:t>
            </w:r>
          </w:p>
        </w:tc>
        <w:tc>
          <w:tcPr>
            <w:tcW w:type="dxa" w:w="1440"/>
            <w:shd w:fill="FAFAFA" w:val="clear"/>
          </w:tcPr>
          <w:p>
            <w:r>
              <w:rPr>
                <w:sz w:val="17"/>
              </w:rPr>
              <w:t>2026-10-01</w:t>
            </w:r>
          </w:p>
        </w:tc>
        <w:tc>
          <w:tcPr>
            <w:tcW w:type="dxa" w:w="1440"/>
            <w:shd w:fill="FAFAFA" w:val="clear"/>
          </w:tcPr>
          <w:p>
            <w:r>
              <w:rPr>
                <w:sz w:val="17"/>
              </w:rPr>
              <w:t>7,597</w:t>
            </w:r>
          </w:p>
        </w:tc>
        <w:tc>
          <w:tcPr>
            <w:tcW w:type="dxa" w:w="1440"/>
            <w:shd w:fill="FAFAFA" w:val="clear"/>
          </w:tcPr>
          <w:p>
            <w:r>
              <w:rPr>
                <w:b/>
                <w:sz w:val="17"/>
              </w:rPr>
              <w:t>8,057</w:t>
            </w:r>
          </w:p>
        </w:tc>
        <w:tc>
          <w:tcPr>
            <w:tcW w:type="dxa" w:w="1440"/>
            <w:shd w:fill="FAFAFA" w:val="clear"/>
          </w:tcPr>
          <w:p>
            <w:r>
              <w:rPr>
                <w:sz w:val="17"/>
              </w:rPr>
              <w:t>8,518</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2026-10-02</w:t>
            </w:r>
          </w:p>
        </w:tc>
        <w:tc>
          <w:tcPr>
            <w:tcW w:type="dxa" w:w="1440"/>
            <w:shd w:fill="FAFAFA" w:val="clear"/>
          </w:tcPr>
          <w:p>
            <w:r>
              <w:rPr>
                <w:sz w:val="17"/>
              </w:rPr>
              <w:t>7,536</w:t>
            </w:r>
          </w:p>
        </w:tc>
        <w:tc>
          <w:tcPr>
            <w:tcW w:type="dxa" w:w="1440"/>
            <w:shd w:fill="FAFAFA" w:val="clear"/>
          </w:tcPr>
          <w:p>
            <w:r>
              <w:rPr>
                <w:b/>
                <w:sz w:val="17"/>
              </w:rPr>
              <w:t>8,051</w:t>
            </w:r>
          </w:p>
        </w:tc>
        <w:tc>
          <w:tcPr>
            <w:tcW w:type="dxa" w:w="1440"/>
            <w:shd w:fill="FAFAFA" w:val="clear"/>
          </w:tcPr>
          <w:p>
            <w:r>
              <w:rPr>
                <w:sz w:val="17"/>
              </w:rPr>
              <w:t>8,565</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2026-10-05</w:t>
            </w:r>
          </w:p>
        </w:tc>
        <w:tc>
          <w:tcPr>
            <w:tcW w:type="dxa" w:w="1440"/>
            <w:shd w:fill="FAFAFA" w:val="clear"/>
          </w:tcPr>
          <w:p>
            <w:r>
              <w:rPr>
                <w:sz w:val="17"/>
              </w:rPr>
              <w:t>7,481</w:t>
            </w:r>
          </w:p>
        </w:tc>
        <w:tc>
          <w:tcPr>
            <w:tcW w:type="dxa" w:w="1440"/>
            <w:shd w:fill="FAFAFA" w:val="clear"/>
          </w:tcPr>
          <w:p>
            <w:r>
              <w:rPr>
                <w:b/>
                <w:sz w:val="17"/>
              </w:rPr>
              <w:t>8,044</w:t>
            </w:r>
          </w:p>
        </w:tc>
        <w:tc>
          <w:tcPr>
            <w:tcW w:type="dxa" w:w="1440"/>
            <w:shd w:fill="FAFAFA" w:val="clear"/>
          </w:tcPr>
          <w:p>
            <w:r>
              <w:rPr>
                <w:sz w:val="17"/>
              </w:rPr>
              <w:t>8,607</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2026-10-06</w:t>
            </w:r>
          </w:p>
        </w:tc>
        <w:tc>
          <w:tcPr>
            <w:tcW w:type="dxa" w:w="1440"/>
            <w:shd w:fill="FAFAFA" w:val="clear"/>
          </w:tcPr>
          <w:p>
            <w:r>
              <w:rPr>
                <w:sz w:val="17"/>
              </w:rPr>
              <w:t>7,430</w:t>
            </w:r>
          </w:p>
        </w:tc>
        <w:tc>
          <w:tcPr>
            <w:tcW w:type="dxa" w:w="1440"/>
            <w:shd w:fill="FAFAFA" w:val="clear"/>
          </w:tcPr>
          <w:p>
            <w:r>
              <w:rPr>
                <w:b/>
                <w:sz w:val="17"/>
              </w:rPr>
              <w:t>8,037</w:t>
            </w:r>
          </w:p>
        </w:tc>
        <w:tc>
          <w:tcPr>
            <w:tcW w:type="dxa" w:w="1440"/>
            <w:shd w:fill="FAFAFA" w:val="clear"/>
          </w:tcPr>
          <w:p>
            <w:r>
              <w:rPr>
                <w:sz w:val="17"/>
              </w:rPr>
              <w:t>8,645</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2026-10-07</w:t>
            </w:r>
          </w:p>
        </w:tc>
        <w:tc>
          <w:tcPr>
            <w:tcW w:type="dxa" w:w="1440"/>
            <w:shd w:fill="FAFAFA" w:val="clear"/>
          </w:tcPr>
          <w:p>
            <w:r>
              <w:rPr>
                <w:sz w:val="17"/>
              </w:rPr>
              <w:t>7,382</w:t>
            </w:r>
          </w:p>
        </w:tc>
        <w:tc>
          <w:tcPr>
            <w:tcW w:type="dxa" w:w="1440"/>
            <w:shd w:fill="FAFAFA" w:val="clear"/>
          </w:tcPr>
          <w:p>
            <w:r>
              <w:rPr>
                <w:b/>
                <w:sz w:val="17"/>
              </w:rPr>
              <w:t>8,031</w:t>
            </w:r>
          </w:p>
        </w:tc>
        <w:tc>
          <w:tcPr>
            <w:tcW w:type="dxa" w:w="1440"/>
            <w:shd w:fill="FAFAFA" w:val="clear"/>
          </w:tcPr>
          <w:p>
            <w:r>
              <w:rPr>
                <w:sz w:val="17"/>
              </w:rPr>
              <w:t>8,681</w:t>
            </w:r>
          </w:p>
        </w:tc>
        <w:tc>
          <w:tcPr>
            <w:tcW w:type="dxa" w:w="1440"/>
            <w:shd w:fill="FAFAFA" w:val="clear"/>
          </w:tcPr>
          <w:p>
            <w:r>
              <w:rPr>
                <w:b/>
                <w:color w:val="C00000"/>
                <w:sz w:val="17"/>
              </w:rPr>
              <w:t>-0.8%</w:t>
            </w:r>
          </w:p>
        </w:tc>
      </w:tr>
      <w:tr>
        <w:tc>
          <w:tcPr>
            <w:tcW w:type="dxa" w:w="1440"/>
            <w:shd w:fill="FAFAFA" w:val="clear"/>
          </w:tcPr>
          <w:p>
            <w:r>
              <w:rPr>
                <w:sz w:val="17"/>
              </w:rPr>
              <w:t>J+9  Moyenne</w:t>
            </w:r>
          </w:p>
        </w:tc>
        <w:tc>
          <w:tcPr>
            <w:tcW w:type="dxa" w:w="1440"/>
            <w:shd w:fill="FAFAFA" w:val="clear"/>
          </w:tcPr>
          <w:p>
            <w:r>
              <w:rPr>
                <w:sz w:val="17"/>
              </w:rPr>
              <w:t>2026-10-08</w:t>
            </w:r>
          </w:p>
        </w:tc>
        <w:tc>
          <w:tcPr>
            <w:tcW w:type="dxa" w:w="1440"/>
            <w:shd w:fill="FAFAFA" w:val="clear"/>
          </w:tcPr>
          <w:p>
            <w:r>
              <w:rPr>
                <w:sz w:val="17"/>
              </w:rPr>
              <w:t>7,337</w:t>
            </w:r>
          </w:p>
        </w:tc>
        <w:tc>
          <w:tcPr>
            <w:tcW w:type="dxa" w:w="1440"/>
            <w:shd w:fill="FAFAFA" w:val="clear"/>
          </w:tcPr>
          <w:p>
            <w:r>
              <w:rPr>
                <w:b/>
                <w:sz w:val="17"/>
              </w:rPr>
              <w:t>8,025</w:t>
            </w:r>
          </w:p>
        </w:tc>
        <w:tc>
          <w:tcPr>
            <w:tcW w:type="dxa" w:w="1440"/>
            <w:shd w:fill="FAFAFA" w:val="clear"/>
          </w:tcPr>
          <w:p>
            <w:r>
              <w:rPr>
                <w:sz w:val="17"/>
              </w:rPr>
              <w:t>8,713</w:t>
            </w:r>
          </w:p>
        </w:tc>
        <w:tc>
          <w:tcPr>
            <w:tcW w:type="dxa" w:w="1440"/>
            <w:shd w:fill="FAFAFA" w:val="clear"/>
          </w:tcPr>
          <w:p>
            <w:r>
              <w:rPr>
                <w:b/>
                <w:color w:val="C00000"/>
                <w:sz w:val="17"/>
              </w:rPr>
              <w:t>-0.9%</w:t>
            </w:r>
          </w:p>
        </w:tc>
      </w:tr>
      <w:tr>
        <w:tc>
          <w:tcPr>
            <w:tcW w:type="dxa" w:w="1440"/>
            <w:shd w:fill="FAFAFA" w:val="clear"/>
          </w:tcPr>
          <w:p>
            <w:r>
              <w:rPr>
                <w:sz w:val="17"/>
              </w:rPr>
              <w:t>J+10  Moyenne</w:t>
            </w:r>
          </w:p>
        </w:tc>
        <w:tc>
          <w:tcPr>
            <w:tcW w:type="dxa" w:w="1440"/>
            <w:shd w:fill="FAFAFA" w:val="clear"/>
          </w:tcPr>
          <w:p>
            <w:r>
              <w:rPr>
                <w:sz w:val="17"/>
              </w:rPr>
              <w:t>2026-10-09</w:t>
            </w:r>
          </w:p>
        </w:tc>
        <w:tc>
          <w:tcPr>
            <w:tcW w:type="dxa" w:w="1440"/>
            <w:shd w:fill="FAFAFA" w:val="clear"/>
          </w:tcPr>
          <w:p>
            <w:r>
              <w:rPr>
                <w:sz w:val="17"/>
              </w:rPr>
              <w:t>7,295</w:t>
            </w:r>
          </w:p>
        </w:tc>
        <w:tc>
          <w:tcPr>
            <w:tcW w:type="dxa" w:w="1440"/>
            <w:shd w:fill="FAFAFA" w:val="clear"/>
          </w:tcPr>
          <w:p>
            <w:r>
              <w:rPr>
                <w:b/>
                <w:sz w:val="17"/>
              </w:rPr>
              <w:t>8,019</w:t>
            </w:r>
          </w:p>
        </w:tc>
        <w:tc>
          <w:tcPr>
            <w:tcW w:type="dxa" w:w="1440"/>
            <w:shd w:fill="FAFAFA" w:val="clear"/>
          </w:tcPr>
          <w:p>
            <w:r>
              <w:rPr>
                <w:sz w:val="17"/>
              </w:rPr>
              <w:t>8,744</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125,22 milliards FCFA, PALC se positionne comme une valeur de taille intermédiaire significative sur la BRVM, représentant un pilier du compartiment agro-industriel régional. Le BPA de 1 003 FCFA/action signifie que chaque titre génère un peu plus de mille francs de bénéfice net, ce qui, rapporté au cours actuel de 8 100 FCFA, donne un PER de 8,1x — un niveau modéré, inférieur à la moyenne BRVM (8-12x), suggérant que le marché ne rémunère pas excessivement la rentabilité actuelle. Le P/B de 0,88x est particulièrement révélateur : le marché valorise PALC en dessous de sa valeur comptable, ce qui constitue historiquement un signal d'opportunité potentielle pour les investisseurs value. Enfin, l'EV/EBITDA de 4,0x, très inférieur au seuil de 5x, indique que la valeur d'entreprise (capitalisation + dette nette) ne représente que quatre fois la capacité opérationnelle de génération de cash, un niveau attractif qui traduit une sous-évaluation relative du titre par rapport à sa performance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 enregistré une progression totale de +15,71%, avec une dernière séance (J-1) en hausse de +0,56%, confirmant une dynamique haussière de fond malgré quelques accès de faiblesse. Le cours actuel de 8 100 FCFA se situe dans la partie médiane de la fourchette de trading, le plus haut ayant atteint 9 640 FCFA et le plus bas 7 000 FCFA, soit un range de 2 640 FCFA (37,7% d'amplitude) qui témoigne d'une réelle volatilité intra-période. La moyenne de 8 582 FCFA est légèrement supérieure à la médiane de 8 690 FCFA — écart modeste — tandis que le mode se situe à 7 800 FCFA, suggérant que le cours a passé plus de temps dans des zones basses avant de se redresser. L'écart-type de 535 FCFA avec un coefficient de variation de 6,2% indique une dispersion modérée du cours autour de sa moyenne, ce qui est rassurant pour un titre agro-industriel exposé aux matières premières. Le kurtosis de -0,077 (mésokurtique) signifie que la distribution des rendements est proche d'une loi normale, sans risque excessif de pics extrêmes, tandis que le skewness de -0,467 (légèrement négatif) révèle une asymétrie à gauche — quelques journées de baisse plus marquées que les hausses, sans que cela soit alarmant. La volatilité annualisée de 34,4% classe PALC dans la catégorie des titres à volatilité élevée (&gt;30%), ce qui est cohérent avec son exposition aux cours mondiaux de l'huile de palme et justifie une approche d'investissement prudente avec un horizon temporel suffisant.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(8 584,75 FCFA) et la MM50 (8 858,90 FCFA) se situent toutes deux au-dessus du cours actuel (8 100 FCFA), avec une MM20 inférieure à la MM50 — configuration baissière de court terme. Le cours évoluant sous ses deux moyennes, la pression vendeuse domine, ce qui justifie la décision technique de **Vente** émise par cet indicateur.</w:t>
      </w:r>
    </w:p>
    <w:p>
      <w:pPr>
        <w:spacing w:after="120" w:line="276" w:lineRule="auto"/>
      </w:pPr>
      <w:r>
        <w:t>**Bandes de Bollinger** : La borne supérieure est à 9 389,18 FCFA et la borne inférieure à 7 780,33 FCFA, avec un cours actuel de 8 100 FCFA qui se situe dans la moitié basse du canal, sans atteindre la borne inférieure. Cette position médiane-basse traduit une volatilité contenue et une absence de signal extrême, justifiant la décision **Neutre** — le titre n'est ni suracheté ni survendu selon ce critère.</w:t>
      </w:r>
    </w:p>
    <w:p>
      <w:pPr>
        <w:spacing w:after="120" w:line="276" w:lineRule="auto"/>
      </w:pPr>
      <w:r>
        <w:t>**MACD** : La valeur du MACD (-241,76) est inférieure à son signal (-188,78), confirmant une divergence baissière et un momentum négatif. Le croisement MACD sous sa ligne de signal indique que la dynamique haussière des 100 derniers jours s'essouffle à court terme, ce qui justifie la décision de **Vente**.</w:t>
      </w:r>
    </w:p>
    <w:p>
      <w:pPr>
        <w:spacing w:after="120" w:line="276" w:lineRule="auto"/>
      </w:pPr>
      <w:r>
        <w:t>**RSI** : À 25,18, le RSI se situe nettement en zone de survente (&lt;30), signalant que le titre a été excessivement vendu à court terme et qu'un rebond technique est probable. Cette configuration justifie la décision d'**Achat** — les investisseurs contrariants y voient une opportunité d'entrée sur repli.</w:t>
      </w:r>
    </w:p>
    <w:p>
      <w:pPr>
        <w:spacing w:after="120" w:line="276" w:lineRule="auto"/>
      </w:pPr>
      <w:r>
        <w:t>**Stochastique** : Le %K (8,26) et le %D (2,75) sont tous deux en zone extrême de survente, avec un %K supérieur au %D — un croisement haussier potentiel en formation. Cette configuration confirme la décision d'**Achat**, le titre étant survendu et proche d'un retournement technique.</w:t>
      </w:r>
    </w:p>
    <w:p>
      <w:pPr>
        <w:spacing w:after="120" w:line="276" w:lineRule="auto"/>
      </w:pPr>
      <w:r>
        <w:t>**Conclusion technique** : Les indicateurs présentent une divergence notable : les moyennes mobiles et le MACD sont baissiers (tendance de fond négative), tandis que le RSI et le stochastique sont en zone de survente extrême (signal d'achat contrariant). Les bandes de Bollinger restent neutres. Cette configuration suggère un titre en consolidation baissière de court terme, mais dont le potentiel de rebond technique est élevé à très court terme. La prudence reste de mise tant que le cours n'aura pas reconquis la MM20 (8 585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(PALMCI S.A.) a réalisé un chiffre d'affaires de 197,63 milliards FCFA, en croissance de +14,8% par rapport à 2024 (172,2 milliards FCFA), portée par une hausse des volumes et des prix de l'huile de palme brute. Le résultat net s'établit à 15,51 milliards FCFA, en léger recul de -2,2% (vs 15,9 milliards en 2024), avec une marge nette de 7,85% — en retrait par rapport aux 9,2% de 2024. Le ROE de 10,87% et le ROA de 7,79% demeurent corrects mais inférieurs aux standards d'excellence (&gt;15% pour le ROE), reflétant une pression sur les coûts (charges de personnel +4%, services extérieurs +30,3%, impôts +56,8%). La structure financière reste très solide : autonomie financière de 71,64%, endettement quasi nul (dettes financières de 796,56 millions FCFA seulement), et une trésorerie nette négative de -4,56 milliards FCFA qui constitue un point de vigilance. Le BFR de 44,62 milliards FCFA est positif (défavorable), avec un délai client élevé de 142,58 jours — un risque de trésorerie significatif — tandis que la durée de stockage de 14,55 jours est bien maîtrisée. Les rapports trimestriels de 2025 confirment cette dynamique : le T1 2025 (rapport du 31/03/2025) affichait un CA de 67,5 milliards (+32%) et un résultat net de 11,6 milliards (+65%) ; le S1 2025 (rapport du 30/06/2025) montrait un CA de 134,8 milliards (+25%) et un résultat net de 22,9 milliards (+37%) ; le T3 2025 (rapport du 30/09/2025) révélait un ralentissement avec un CA de 168,9 milliards (+18%) et un résultat net de 18,0 milliards (+11%). Cependant, le rapport du T1 2026 (publié en 2026) fait état d'un effondrement : CA de 49,4 milliards (-27%) et résultat net de 1,6 milliard (-86%), que la direction attribue à un décalage temporel des ventes. Sur la base de ce T1 2026, on estime que l'exercice 2026 pourrait être nettement moins performant que 2025, avec un résultat net potentiellement inférieur à 10 milliards FCFA si la tendance ne s'inverse pas. La recommandation fondamentale est de **Conserver** avec une surveillance active : la solidité du bilan et la position dominante sur le marché ouest-africain de l'huile de palme sont des atouts, mais la dégradation récente de la rentabilité et l'incertitude sur l'écoulement des stocks constituent des risques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apparaît attractif sur le papier : PER de 8,1x (sous la moyenne BRVM), P/B de 0,88x (sous la valeur comptable) et EV/EBITDA de 4,0x (très bon marché) suggèrent une sous-évaluation potentielle. Cependant, le comportement du cours sur 100 jours (+15,71%) masque une tendance de fond baissière depuis le plus haut de 9 640 FCFA, avec une volatilité élevée (34,4%) et une distribution des rendements proche de la normale (kurtosis -0,077) mais légèrement asymétrique à gauche (skewness -0,467). Les signaux techniques sont divergents : les moyennes mobiles et le MACD sont baissiers, tandis que le RSI (25,18) et le stochastique (8,26) sont en zone de survente extrême, générant des signaux d'achat contrariants. Les fondamentaux de 2025 restent solides (CA +14,8%, structure financière saine), mais le T1 2026 (-27% de CA, -86% de résultat net) constitue un avertissement sérieux qui remet en cause la trajectoire de croissance. Les prédictions IA pour les 10 prochains jours (8 077 → 8 051 FCFA) anticipent une légère poursuite de la baisse, ce qui contredit les signaux d'achat techniques à court terme. Sur la base de cette synthèse, la recommandation finale est **CONSERVER** avec un niveau de confiance **Moyen** et un risque global **Élevé**. La convergence entre valorisation attractive et fondamentaux dégradés crée une incertitude qui ne justifie ni un achat agressif ni une vente panique. L'horizon d'investissement optimal est le **moyen terme (3-12 mois)**, en surveillant attentivement les prochains rapports trimestriels (notamment le T2 2026) pour confirmer ou infirmer le redressement attendu par la direction. Un retour durable au-dessus de la MM20 (8 585 FCFA) serait un premier signal de reprise, tandis qu'une cassure sous 7 800 FCFA (borne inférieure de Bollinger) inciterait à réduire l'exposition.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1,169 titres</w:t>
            </w:r>
          </w:p>
        </w:tc>
        <w:tc>
          <w:tcPr>
            <w:tcW w:type="dxa" w:w="2268"/>
            <w:shd w:fill="FFF2CC" w:val="clear"/>
          </w:tcPr>
          <w:p>
            <w:r>
              <w:rPr>
                <w:b/>
                <w:color w:val="503200"/>
                <w:sz w:val="16"/>
              </w:rPr>
              <w:t xml:space="preserve">Cours actuel : </w:t>
            </w:r>
            <w:r>
              <w:rPr>
                <w:color w:val="000000"/>
                <w:sz w:val="17"/>
              </w:rPr>
              <w:t>4,195 FCFA</w:t>
            </w:r>
          </w:p>
          <w:p>
            <w:r>
              <w:rPr>
                <w:b/>
                <w:color w:val="503200"/>
                <w:sz w:val="16"/>
              </w:rPr>
              <w:t xml:space="preserve">Var. 100 jours : </w:t>
            </w:r>
            <w:r>
              <w:rPr>
                <w:b/>
                <w:color w:val="B40000"/>
                <w:sz w:val="17"/>
              </w:rPr>
              <w:t>-1.41%</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6.22% (Moyenne) — μ=4,341 FCFA, σ=270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β=-0.2142 (Contre-cyclique) — Cov=-0.000014, Var(idx)=0.000068, ρ=-0.075,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4,043</w:t>
            </w:r>
          </w:p>
        </w:tc>
        <w:tc>
          <w:tcPr>
            <w:tcW w:type="dxa" w:w="1440"/>
            <w:shd w:fill="FAFAFA" w:val="clear"/>
          </w:tcPr>
          <w:p>
            <w:r>
              <w:rPr>
                <w:b/>
                <w:sz w:val="17"/>
              </w:rPr>
              <w:t>4,148</w:t>
            </w:r>
          </w:p>
        </w:tc>
        <w:tc>
          <w:tcPr>
            <w:tcW w:type="dxa" w:w="1440"/>
            <w:shd w:fill="FAFAFA" w:val="clear"/>
          </w:tcPr>
          <w:p>
            <w:r>
              <w:rPr>
                <w:sz w:val="17"/>
              </w:rPr>
              <w:t>4,254</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4,000</w:t>
            </w:r>
          </w:p>
        </w:tc>
        <w:tc>
          <w:tcPr>
            <w:tcW w:type="dxa" w:w="1440"/>
            <w:shd w:fill="FAFAFA" w:val="clear"/>
          </w:tcPr>
          <w:p>
            <w:r>
              <w:rPr>
                <w:b/>
                <w:sz w:val="17"/>
              </w:rPr>
              <w:t>4,149</w:t>
            </w:r>
          </w:p>
        </w:tc>
        <w:tc>
          <w:tcPr>
            <w:tcW w:type="dxa" w:w="1440"/>
            <w:shd w:fill="FAFAFA" w:val="clear"/>
          </w:tcPr>
          <w:p>
            <w:r>
              <w:rPr>
                <w:sz w:val="17"/>
              </w:rPr>
              <w:t>4,298</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3,962</w:t>
            </w:r>
          </w:p>
        </w:tc>
        <w:tc>
          <w:tcPr>
            <w:tcW w:type="dxa" w:w="1440"/>
            <w:shd w:fill="FAFAFA" w:val="clear"/>
          </w:tcPr>
          <w:p>
            <w:r>
              <w:rPr>
                <w:b/>
                <w:sz w:val="17"/>
              </w:rPr>
              <w:t>4,144</w:t>
            </w:r>
          </w:p>
        </w:tc>
        <w:tc>
          <w:tcPr>
            <w:tcW w:type="dxa" w:w="1440"/>
            <w:shd w:fill="FAFAFA" w:val="clear"/>
          </w:tcPr>
          <w:p>
            <w:r>
              <w:rPr>
                <w:sz w:val="17"/>
              </w:rPr>
              <w:t>4,326</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2026-10-01</w:t>
            </w:r>
          </w:p>
        </w:tc>
        <w:tc>
          <w:tcPr>
            <w:tcW w:type="dxa" w:w="1440"/>
            <w:shd w:fill="FAFAFA" w:val="clear"/>
          </w:tcPr>
          <w:p>
            <w:r>
              <w:rPr>
                <w:sz w:val="17"/>
              </w:rPr>
              <w:t>3,928</w:t>
            </w:r>
          </w:p>
        </w:tc>
        <w:tc>
          <w:tcPr>
            <w:tcW w:type="dxa" w:w="1440"/>
            <w:shd w:fill="FAFAFA" w:val="clear"/>
          </w:tcPr>
          <w:p>
            <w:r>
              <w:rPr>
                <w:b/>
                <w:sz w:val="17"/>
              </w:rPr>
              <w:t>4,138</w:t>
            </w:r>
          </w:p>
        </w:tc>
        <w:tc>
          <w:tcPr>
            <w:tcW w:type="dxa" w:w="1440"/>
            <w:shd w:fill="FAFAFA" w:val="clear"/>
          </w:tcPr>
          <w:p>
            <w:r>
              <w:rPr>
                <w:sz w:val="17"/>
              </w:rPr>
              <w:t>4,348</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2026-10-02</w:t>
            </w:r>
          </w:p>
        </w:tc>
        <w:tc>
          <w:tcPr>
            <w:tcW w:type="dxa" w:w="1440"/>
            <w:shd w:fill="FAFAFA" w:val="clear"/>
          </w:tcPr>
          <w:p>
            <w:r>
              <w:rPr>
                <w:sz w:val="17"/>
              </w:rPr>
              <w:t>3,898</w:t>
            </w:r>
          </w:p>
        </w:tc>
        <w:tc>
          <w:tcPr>
            <w:tcW w:type="dxa" w:w="1440"/>
            <w:shd w:fill="FAFAFA" w:val="clear"/>
          </w:tcPr>
          <w:p>
            <w:r>
              <w:rPr>
                <w:b/>
                <w:sz w:val="17"/>
              </w:rPr>
              <w:t>4,132</w:t>
            </w:r>
          </w:p>
        </w:tc>
        <w:tc>
          <w:tcPr>
            <w:tcW w:type="dxa" w:w="1440"/>
            <w:shd w:fill="FAFAFA" w:val="clear"/>
          </w:tcPr>
          <w:p>
            <w:r>
              <w:rPr>
                <w:sz w:val="17"/>
              </w:rPr>
              <w:t>4,367</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2026-10-05</w:t>
            </w:r>
          </w:p>
        </w:tc>
        <w:tc>
          <w:tcPr>
            <w:tcW w:type="dxa" w:w="1440"/>
            <w:shd w:fill="FAFAFA" w:val="clear"/>
          </w:tcPr>
          <w:p>
            <w:r>
              <w:rPr>
                <w:sz w:val="17"/>
              </w:rPr>
              <w:t>3,870</w:t>
            </w:r>
          </w:p>
        </w:tc>
        <w:tc>
          <w:tcPr>
            <w:tcW w:type="dxa" w:w="1440"/>
            <w:shd w:fill="FAFAFA" w:val="clear"/>
          </w:tcPr>
          <w:p>
            <w:r>
              <w:rPr>
                <w:b/>
                <w:sz w:val="17"/>
              </w:rPr>
              <w:t>4,127</w:t>
            </w:r>
          </w:p>
        </w:tc>
        <w:tc>
          <w:tcPr>
            <w:tcW w:type="dxa" w:w="1440"/>
            <w:shd w:fill="FAFAFA" w:val="clear"/>
          </w:tcPr>
          <w:p>
            <w:r>
              <w:rPr>
                <w:sz w:val="17"/>
              </w:rPr>
              <w:t>4,384</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2026-10-06</w:t>
            </w:r>
          </w:p>
        </w:tc>
        <w:tc>
          <w:tcPr>
            <w:tcW w:type="dxa" w:w="1440"/>
            <w:shd w:fill="FAFAFA" w:val="clear"/>
          </w:tcPr>
          <w:p>
            <w:r>
              <w:rPr>
                <w:sz w:val="17"/>
              </w:rPr>
              <w:t>3,845</w:t>
            </w:r>
          </w:p>
        </w:tc>
        <w:tc>
          <w:tcPr>
            <w:tcW w:type="dxa" w:w="1440"/>
            <w:shd w:fill="FAFAFA" w:val="clear"/>
          </w:tcPr>
          <w:p>
            <w:r>
              <w:rPr>
                <w:b/>
                <w:sz w:val="17"/>
              </w:rPr>
              <w:t>4,122</w:t>
            </w:r>
          </w:p>
        </w:tc>
        <w:tc>
          <w:tcPr>
            <w:tcW w:type="dxa" w:w="1440"/>
            <w:shd w:fill="FAFAFA" w:val="clear"/>
          </w:tcPr>
          <w:p>
            <w:r>
              <w:rPr>
                <w:sz w:val="17"/>
              </w:rPr>
              <w:t>4,400</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2026-10-07</w:t>
            </w:r>
          </w:p>
        </w:tc>
        <w:tc>
          <w:tcPr>
            <w:tcW w:type="dxa" w:w="1440"/>
            <w:shd w:fill="FAFAFA" w:val="clear"/>
          </w:tcPr>
          <w:p>
            <w:r>
              <w:rPr>
                <w:sz w:val="17"/>
              </w:rPr>
              <w:t>3,822</w:t>
            </w:r>
          </w:p>
        </w:tc>
        <w:tc>
          <w:tcPr>
            <w:tcW w:type="dxa" w:w="1440"/>
            <w:shd w:fill="FAFAFA" w:val="clear"/>
          </w:tcPr>
          <w:p>
            <w:r>
              <w:rPr>
                <w:b/>
                <w:sz w:val="17"/>
              </w:rPr>
              <w:t>4,118</w:t>
            </w:r>
          </w:p>
        </w:tc>
        <w:tc>
          <w:tcPr>
            <w:tcW w:type="dxa" w:w="1440"/>
            <w:shd w:fill="FAFAFA" w:val="clear"/>
          </w:tcPr>
          <w:p>
            <w:r>
              <w:rPr>
                <w:sz w:val="17"/>
              </w:rPr>
              <w:t>4,414</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2026-10-08</w:t>
            </w:r>
          </w:p>
        </w:tc>
        <w:tc>
          <w:tcPr>
            <w:tcW w:type="dxa" w:w="1440"/>
            <w:shd w:fill="FAFAFA" w:val="clear"/>
          </w:tcPr>
          <w:p>
            <w:r>
              <w:rPr>
                <w:sz w:val="17"/>
              </w:rPr>
              <w:t>3,799</w:t>
            </w:r>
          </w:p>
        </w:tc>
        <w:tc>
          <w:tcPr>
            <w:tcW w:type="dxa" w:w="1440"/>
            <w:shd w:fill="FAFAFA" w:val="clear"/>
          </w:tcPr>
          <w:p>
            <w:r>
              <w:rPr>
                <w:b/>
                <w:sz w:val="17"/>
              </w:rPr>
              <w:t>4,113</w:t>
            </w:r>
          </w:p>
        </w:tc>
        <w:tc>
          <w:tcPr>
            <w:tcW w:type="dxa" w:w="1440"/>
            <w:shd w:fill="FAFAFA" w:val="clear"/>
          </w:tcPr>
          <w:p>
            <w:r>
              <w:rPr>
                <w:sz w:val="17"/>
              </w:rPr>
              <w:t>4,427</w:t>
            </w:r>
          </w:p>
        </w:tc>
        <w:tc>
          <w:tcPr>
            <w:tcW w:type="dxa" w:w="1440"/>
            <w:shd w:fill="FAFAFA"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3,778</w:t>
            </w:r>
          </w:p>
        </w:tc>
        <w:tc>
          <w:tcPr>
            <w:tcW w:type="dxa" w:w="1440"/>
            <w:shd w:fill="FFDCE0" w:val="clear"/>
          </w:tcPr>
          <w:p>
            <w:r>
              <w:rPr>
                <w:b/>
                <w:sz w:val="17"/>
              </w:rPr>
              <w:t>4,109</w:t>
            </w:r>
          </w:p>
        </w:tc>
        <w:tc>
          <w:tcPr>
            <w:tcW w:type="dxa" w:w="1440"/>
            <w:shd w:fill="FFDCE0" w:val="clear"/>
          </w:tcPr>
          <w:p>
            <w:r>
              <w:rPr>
                <w:sz w:val="17"/>
              </w:rPr>
              <w:t>4,439</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42,96 milliards FCFA, PRSC se situe dans la catégorie des valeurs moyennes de la cote BRVM, ce qui lui confère une liquidité limitée mais une certaine stabilité institutionnelle. Le BPA de 231 FCFA/action signifie que chaque titre génère près de 231 FCFA de bénéfice net, un niveau correct pour une société de distribution automobile. Le PER de 18,1x apparaît nettement supérieur à la moyenne du marché BRVM (généralement comprise entre 8x et 12x), ce qui suggère que les investisseurs paient une prime significative pour les bénéfices actuels — potentiellement justifiée par la solidité du dividende (209 FCFA/action, soit un rendement de ~5%) mais qui limite le potentiel d'appréciation à court terme. Le P/B de 3,73x indique que le marché valorise la société à près de 4 fois sa valeur comptable, une prime de croissance notable pour une entreprise dont le ROE atteint 20,5%. Enfin, l'EV/EBITDA de 9,4x reste dans la fourchette raisonnable (5-10x), traduisant une valorisation cohérente de la capacité opérationnelle par rapport à la dette nette.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PRSC affiche une variation totale de -1,41%, mais la dernière séance (J-1) enregistre un rebond notable de +2,82%, portant le cours à 4 195 FCFA. Le range de trading est large, avec un plus haut à 4 740 FCFA et un plus bas à 3 620 FCFA, soit une amplitude de plus de 30% — signe d'une volatilité intra-période significative. La tendance générale est baissière mais avec une tentative de stabilisation récente, le cours actuel se situant sous la moyenne (4 341 FCFA) et sous la médiane (4 402 FCFA), ce qui confirme une distribution asymétrique vers le bas. L'écart-type de 271 FCFA (CV = 6,2%) indique une dispersion modérée autour de la moyenne, mais le kurtosis de 1,009 (leptokurtique) signale des queues épaisses, donc un risque de pics de volatilité brutaux. Le skewness de -1,296 (asymétrie négative) révèle paradoxalement plus de journées de hausse que de baisse, mais avec des baisses plus amples que les hausses — un profil de risque dissymétrique défavorable. La volatilité annualisée de 37,6% classe le titre dans la catégorie des valeurs à volatilité élevée (&gt;30%), ce qui implique un risque de marché supérieur à la moyenne BRVM et justifie une prime de prudence.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(4 355,75 FCFA) et la MM50 (4 441,4 FCFA) se situent toutes deux au-dessus du cours actuel (4 195 FCFA), avec une MM20 inférieure à la MM50 — configuration baissière classique (death cross). Le cours évolue sous ses deux moyennes, confirmant la pression vendeuse ; la décision technique est donc **Vente**.</w:t>
      </w:r>
    </w:p>
    <w:p>
      <w:pPr>
        <w:spacing w:after="120" w:line="276" w:lineRule="auto"/>
      </w:pPr>
      <w:r>
        <w:t>**Bandes de Bollinger** : Le cours (4 195 FCFA) se situe dans la partie basse de la bande, proche de la borne inférieure (4 132,47 FCFA) et loin de la borne supérieure (4 579,03 FCFA). Cette position suggère une pression baissière mais aussi un potentiel de rebond technique vers la moyenne mobile ; la décision est **Neutre** car le cours n'a pas encore cassé la borne inférieure.</w:t>
      </w:r>
    </w:p>
    <w:p>
      <w:pPr>
        <w:spacing w:after="120" w:line="276" w:lineRule="auto"/>
      </w:pPr>
      <w:r>
        <w:t>**MACD** : La valeur du MACD (-72,098) est inférieure à son signal (-45,552), avec un histogramme négatif — configuration baissière confirmée. Le momentum reste négatif et la divergence MACD-Signal ne montre aucun signe de retournement imminent ; la décision est **Vente**.</w:t>
      </w:r>
    </w:p>
    <w:p>
      <w:pPr>
        <w:spacing w:after="120" w:line="276" w:lineRule="auto"/>
      </w:pPr>
      <w:r>
        <w:t>**RSI** : À 41,243, le RSI se situe en zone neutre basse (30-70), sans atteindre la zone de survente (&lt;30). Cela indique que le titre n'est pas encore techniquement survendu, mais la dynamique reste faible ; la décision est **Neutre**.</w:t>
      </w:r>
    </w:p>
    <w:p>
      <w:pPr>
        <w:spacing w:after="120" w:line="276" w:lineRule="auto"/>
      </w:pPr>
      <w:r>
        <w:t>**Stochastique** : Le %K (27,711) est supérieur au %D (9,237), ce qui pourrait suggérer un début de croisement haussier en zone de survente. Cependant, les deux valeurs restent très basses, et le signal n'est pas encore confirmé ; la décision est **Neutre**.</w:t>
      </w:r>
    </w:p>
    <w:p>
      <w:pPr>
        <w:spacing w:after="120" w:line="276" w:lineRule="auto"/>
      </w:pPr>
      <w:r>
        <w:t>**Conclusion technique** : Les indicateurs sont majoritairement baissiers (MM, MACD) ou neutres (Bollinger, RSI, Stochastique), sans signal d'achat clair. Le cours évolue sous ses moyennes mobiles avec un momentum négatif, mais la proximité de la borne inférieure de Bollinger et le Stochastique en zone basse suggèrent qu'un rebond technique n'est pas exclu à court terme. La prudence reste de mise tant que le cours ne repasse pas au-dessus de la MM20 (4 355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données structurées officielles de PRSC (Tractafric Motors CI) révèlent un chiffre d'affaires de 81,127 milliards FCFA, en croissance de 8,64% par rapport à 2024, porté par la dynamique du marché automobile ivoirien. Le résultat net s'établit à 2,367 milliards FCFA, stable par rapport aux 2,35 milliards de 2024, avec une marge nette de 2,92% — faible mais en légère amélioration. Le ROE atteint 20,53%, un niveau excellent (&gt;15%), tandis que le ROA de 4,95% reste modeste, reflétant l'intensité capitalistique du secteur. La structure financière montre une autonomie financière de 24,10% (inférieure au seuil de 30% considéré comme sain), un ratio d'endettement de 314,86% et une trésorerie nette négative de -4,092 milliards FCFA, ce qui constitue un point de vigilance majeur. Les délais d'exploitation sont préoccupants : délai clients de 45,99 jours (risque de trésorerie), délai fournisseurs de 102,65 jours (favorable) et durée de stockage de 150,51 jours (immobilisation de capital élevée). Le BFR de 11,267 milliards FCFA pèse sur la trésorerie, et le flux opérationnel est négatif (-1,855 milliards FCFA), bien que la CAF reste positive à 3,913 milliards FCFA. Les rapports narratifs confirment cette tendance : le rapport du 30 juin 2025 (S1 2025) indique un CA de 39,968 milliards FCFA (+15,1%) et un résultat net de 1,436 milliard FCFA (×28 vs S1 2024), avec une marge nette de 3,6% — une amélioration spectaculaire. Le rapport annuel 2025 (publié en 2026) confirme un CA de 81,1 milliards FCFA (+9,5%) et un résultat net de 2,37 milliards FCFA, avec un dividende de 209 FCFA/action (rendement ~5%). Sur la base du S1 2025 (CA +15,1%, résultat net ×28), on estime que l'exercice 2026 devrait maintenir cette dynamique, avec un CA projeté autour de 85-88 milliards FCFA et un résultat net potentiellement supérieur à 2,5 milliards FCFA, sous réserve de la stabilité du contexte électoral ivoirien. La recommandation fondamentale est **CONSERVER** : la société affiche une croissance solide, un ROE excellent et un dividende attractif, mais les risques liés à la trésorerie négative, au BFR élevé et à la dépendance au marché automobile ivoirien nécessitent une surveillance étroite.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(PER 18,1x, P/B 3,73x, EV/EBITDA 9,4x) indique une prime de croissance significative par rapport au marché BRVM, ce qui limite le potentiel de réévaluation à court terme malgré un dividende attractif (209 FCFA/action). Le comportement du cours sur 100 jours est baissier (-1,41%) avec une volatilité élevée (37,6%) et une asymétrie négative (skewness -1,296), ce qui traduit un risque de marché supérieur à la moyenne et des baisses plus amples que les hausses. Les signaux techniques sont majoritairement baissiers (MM20 &lt; MM50, MACD négatif) ou neutres (RSI 41,2, Stochastique en zone basse), sans convergence haussière claire, bien que la proximité de la borne inférieure de Bollinger suggère un potentiel rebond technique limité. Les fondamentaux restent solides (CA +8,64% en 2025, ROE 20,53%, dividende 209 FCFA), mais les points de vigilance (trésorerie nette -4,092 Mds FCFA, BFR 11,267 Mds FCFA, flux opérationnel négatif) tempèrent l'optimisme. Les prédictions IA (J+1 à J+10) anticipent une légère baisse vers 4 132-4 149 FCFA, confirmant la pression baissière à court terme sans effondrement majeur. Sur la base de cette synthèse, la recommandation finale est **CONSERVER**, avec un niveau de confiance **Moyen** et un risque global **Élevé**. L'horizon d'investissement optimal est le **moyen terme (3-12 mois)**, en attendant une clarification de la trésorerie et une confirmation du rebond technique au-dessus de la MM20 (4 355 FCFA) pour envisager un renforcement. Une vente serait prématurée compte tenu de la solidité fondamentale et du dividende, mais un achat immédiat est déconseillé tant que les signaux techniques ne se retournent pas.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34.91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8,976 titres</w:t>
            </w:r>
          </w:p>
        </w:tc>
        <w:tc>
          <w:tcPr>
            <w:tcW w:type="dxa" w:w="2268"/>
            <w:shd w:fill="FFF2CC" w:val="clear"/>
          </w:tcPr>
          <w:p>
            <w:r>
              <w:rPr>
                <w:b/>
                <w:color w:val="503200"/>
                <w:sz w:val="16"/>
              </w:rPr>
              <w:t xml:space="preserve">Cours actuel : </w:t>
            </w:r>
            <w:r>
              <w:rPr>
                <w:color w:val="000000"/>
                <w:sz w:val="17"/>
              </w:rPr>
              <w:t>4,300 FCFA</w:t>
            </w:r>
          </w:p>
          <w:p>
            <w:r>
              <w:rPr>
                <w:b/>
                <w:color w:val="503200"/>
                <w:sz w:val="16"/>
              </w:rPr>
              <w:t xml:space="preserve">Var. 100 jours : </w:t>
            </w:r>
            <w:r>
              <w:rPr>
                <w:b/>
                <w:color w:val="007800"/>
                <w:sz w:val="17"/>
              </w:rPr>
              <w:t>+28.74%</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60.1%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16.75% (Élevée) — μ=4,604 FCFA, σ=771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β=0.8949 (Neutre (suit le marché)) — Cov=0.000060, Var(idx)=0.000068, ρ=0.197,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8,976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2026-09-28</w:t>
            </w:r>
          </w:p>
        </w:tc>
        <w:tc>
          <w:tcPr>
            <w:tcW w:type="dxa" w:w="1440"/>
            <w:shd w:fill="C6EFCE" w:val="clear"/>
          </w:tcPr>
          <w:p>
            <w:r>
              <w:rPr>
                <w:sz w:val="17"/>
              </w:rPr>
              <w:t>4,160</w:t>
            </w:r>
          </w:p>
        </w:tc>
        <w:tc>
          <w:tcPr>
            <w:tcW w:type="dxa" w:w="1440"/>
            <w:shd w:fill="C6EFCE" w:val="clear"/>
          </w:tcPr>
          <w:p>
            <w:r>
              <w:rPr>
                <w:b/>
                <w:sz w:val="17"/>
              </w:rPr>
              <w:t>4,462</w:t>
            </w:r>
          </w:p>
        </w:tc>
        <w:tc>
          <w:tcPr>
            <w:tcW w:type="dxa" w:w="1440"/>
            <w:shd w:fill="C6EFCE" w:val="clear"/>
          </w:tcPr>
          <w:p>
            <w:r>
              <w:rPr>
                <w:sz w:val="17"/>
              </w:rPr>
              <w:t>4,763</w:t>
            </w:r>
          </w:p>
        </w:tc>
        <w:tc>
          <w:tcPr>
            <w:tcW w:type="dxa" w:w="1440"/>
            <w:shd w:fill="C6EFCE" w:val="clear"/>
          </w:tcPr>
          <w:p>
            <w:r>
              <w:rPr>
                <w:b/>
                <w:color w:val="008000"/>
                <w:sz w:val="17"/>
              </w:rPr>
              <w:t>+3.8%</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4,181</w:t>
            </w:r>
          </w:p>
        </w:tc>
        <w:tc>
          <w:tcPr>
            <w:tcW w:type="dxa" w:w="1440"/>
            <w:shd w:fill="C6EFCE" w:val="clear"/>
          </w:tcPr>
          <w:p>
            <w:r>
              <w:rPr>
                <w:b/>
                <w:sz w:val="17"/>
              </w:rPr>
              <w:t>4,623</w:t>
            </w:r>
          </w:p>
        </w:tc>
        <w:tc>
          <w:tcPr>
            <w:tcW w:type="dxa" w:w="1440"/>
            <w:shd w:fill="C6EFCE" w:val="clear"/>
          </w:tcPr>
          <w:p>
            <w:r>
              <w:rPr>
                <w:sz w:val="17"/>
              </w:rPr>
              <w:t>5,066</w:t>
            </w:r>
          </w:p>
        </w:tc>
        <w:tc>
          <w:tcPr>
            <w:tcW w:type="dxa" w:w="1440"/>
            <w:shd w:fill="C6EFCE" w:val="clear"/>
          </w:tcPr>
          <w:p>
            <w:r>
              <w:rPr>
                <w:b/>
                <w:color w:val="008000"/>
                <w:sz w:val="17"/>
              </w:rPr>
              <w:t>+7.5%</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4,161</w:t>
            </w:r>
          </w:p>
        </w:tc>
        <w:tc>
          <w:tcPr>
            <w:tcW w:type="dxa" w:w="1440"/>
            <w:shd w:fill="C6EFCE" w:val="clear"/>
          </w:tcPr>
          <w:p>
            <w:r>
              <w:rPr>
                <w:b/>
                <w:sz w:val="17"/>
              </w:rPr>
              <w:t>4,713</w:t>
            </w:r>
          </w:p>
        </w:tc>
        <w:tc>
          <w:tcPr>
            <w:tcW w:type="dxa" w:w="1440"/>
            <w:shd w:fill="C6EFCE" w:val="clear"/>
          </w:tcPr>
          <w:p>
            <w:r>
              <w:rPr>
                <w:sz w:val="17"/>
              </w:rPr>
              <w:t>5,265</w:t>
            </w:r>
          </w:p>
        </w:tc>
        <w:tc>
          <w:tcPr>
            <w:tcW w:type="dxa" w:w="1440"/>
            <w:shd w:fill="C6EFCE" w:val="clear"/>
          </w:tcPr>
          <w:p>
            <w:r>
              <w:rPr>
                <w:b/>
                <w:color w:val="008000"/>
                <w:sz w:val="17"/>
              </w:rPr>
              <w:t>+9.6%</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4,131</w:t>
            </w:r>
          </w:p>
        </w:tc>
        <w:tc>
          <w:tcPr>
            <w:tcW w:type="dxa" w:w="1440"/>
            <w:shd w:fill="C6EFCE" w:val="clear"/>
          </w:tcPr>
          <w:p>
            <w:r>
              <w:rPr>
                <w:b/>
                <w:sz w:val="17"/>
              </w:rPr>
              <w:t>4,777</w:t>
            </w:r>
          </w:p>
        </w:tc>
        <w:tc>
          <w:tcPr>
            <w:tcW w:type="dxa" w:w="1440"/>
            <w:shd w:fill="C6EFCE" w:val="clear"/>
          </w:tcPr>
          <w:p>
            <w:r>
              <w:rPr>
                <w:sz w:val="17"/>
              </w:rPr>
              <w:t>5,423</w:t>
            </w:r>
          </w:p>
        </w:tc>
        <w:tc>
          <w:tcPr>
            <w:tcW w:type="dxa" w:w="1440"/>
            <w:shd w:fill="C6EFCE" w:val="clear"/>
          </w:tcPr>
          <w:p>
            <w:r>
              <w:rPr>
                <w:b/>
                <w:color w:val="008000"/>
                <w:sz w:val="17"/>
              </w:rPr>
              <w:t>+11.1%</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4,098</w:t>
            </w:r>
          </w:p>
        </w:tc>
        <w:tc>
          <w:tcPr>
            <w:tcW w:type="dxa" w:w="1440"/>
            <w:shd w:fill="C6EFCE" w:val="clear"/>
          </w:tcPr>
          <w:p>
            <w:r>
              <w:rPr>
                <w:b/>
                <w:sz w:val="17"/>
              </w:rPr>
              <w:t>4,829</w:t>
            </w:r>
          </w:p>
        </w:tc>
        <w:tc>
          <w:tcPr>
            <w:tcW w:type="dxa" w:w="1440"/>
            <w:shd w:fill="C6EFCE" w:val="clear"/>
          </w:tcPr>
          <w:p>
            <w:r>
              <w:rPr>
                <w:sz w:val="17"/>
              </w:rPr>
              <w:t>5,560</w:t>
            </w:r>
          </w:p>
        </w:tc>
        <w:tc>
          <w:tcPr>
            <w:tcW w:type="dxa" w:w="1440"/>
            <w:shd w:fill="C6EFCE" w:val="clear"/>
          </w:tcPr>
          <w:p>
            <w:r>
              <w:rPr>
                <w:b/>
                <w:color w:val="008000"/>
                <w:sz w:val="17"/>
              </w:rPr>
              <w:t>+12.3%</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4,065</w:t>
            </w:r>
          </w:p>
        </w:tc>
        <w:tc>
          <w:tcPr>
            <w:tcW w:type="dxa" w:w="1440"/>
            <w:shd w:fill="C6EFCE" w:val="clear"/>
          </w:tcPr>
          <w:p>
            <w:r>
              <w:rPr>
                <w:b/>
                <w:sz w:val="17"/>
              </w:rPr>
              <w:t>4,873</w:t>
            </w:r>
          </w:p>
        </w:tc>
        <w:tc>
          <w:tcPr>
            <w:tcW w:type="dxa" w:w="1440"/>
            <w:shd w:fill="C6EFCE" w:val="clear"/>
          </w:tcPr>
          <w:p>
            <w:r>
              <w:rPr>
                <w:sz w:val="17"/>
              </w:rPr>
              <w:t>5,680</w:t>
            </w:r>
          </w:p>
        </w:tc>
        <w:tc>
          <w:tcPr>
            <w:tcW w:type="dxa" w:w="1440"/>
            <w:shd w:fill="C6EFCE" w:val="clear"/>
          </w:tcPr>
          <w:p>
            <w:r>
              <w:rPr>
                <w:b/>
                <w:color w:val="008000"/>
                <w:sz w:val="17"/>
              </w:rPr>
              <w:t>+13.3%</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4,031</w:t>
            </w:r>
          </w:p>
        </w:tc>
        <w:tc>
          <w:tcPr>
            <w:tcW w:type="dxa" w:w="1440"/>
            <w:shd w:fill="C6EFCE" w:val="clear"/>
          </w:tcPr>
          <w:p>
            <w:r>
              <w:rPr>
                <w:b/>
                <w:sz w:val="17"/>
              </w:rPr>
              <w:t>4,910</w:t>
            </w:r>
          </w:p>
        </w:tc>
        <w:tc>
          <w:tcPr>
            <w:tcW w:type="dxa" w:w="1440"/>
            <w:shd w:fill="C6EFCE" w:val="clear"/>
          </w:tcPr>
          <w:p>
            <w:r>
              <w:rPr>
                <w:sz w:val="17"/>
              </w:rPr>
              <w:t>5,789</w:t>
            </w:r>
          </w:p>
        </w:tc>
        <w:tc>
          <w:tcPr>
            <w:tcW w:type="dxa" w:w="1440"/>
            <w:shd w:fill="C6EFCE" w:val="clear"/>
          </w:tcPr>
          <w:p>
            <w:r>
              <w:rPr>
                <w:b/>
                <w:color w:val="008000"/>
                <w:sz w:val="17"/>
              </w:rPr>
              <w:t>+14.2%</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3,996</w:t>
            </w:r>
          </w:p>
        </w:tc>
        <w:tc>
          <w:tcPr>
            <w:tcW w:type="dxa" w:w="1440"/>
            <w:shd w:fill="C6EFCE" w:val="clear"/>
          </w:tcPr>
          <w:p>
            <w:r>
              <w:rPr>
                <w:b/>
                <w:sz w:val="17"/>
              </w:rPr>
              <w:t>4,942</w:t>
            </w:r>
          </w:p>
        </w:tc>
        <w:tc>
          <w:tcPr>
            <w:tcW w:type="dxa" w:w="1440"/>
            <w:shd w:fill="C6EFCE" w:val="clear"/>
          </w:tcPr>
          <w:p>
            <w:r>
              <w:rPr>
                <w:sz w:val="17"/>
              </w:rPr>
              <w:t>5,888</w:t>
            </w:r>
          </w:p>
        </w:tc>
        <w:tc>
          <w:tcPr>
            <w:tcW w:type="dxa" w:w="1440"/>
            <w:shd w:fill="C6EFCE" w:val="clear"/>
          </w:tcPr>
          <w:p>
            <w:r>
              <w:rPr>
                <w:b/>
                <w:color w:val="008000"/>
                <w:sz w:val="17"/>
              </w:rPr>
              <w:t>+14.9%</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3,961</w:t>
            </w:r>
          </w:p>
        </w:tc>
        <w:tc>
          <w:tcPr>
            <w:tcW w:type="dxa" w:w="1440"/>
            <w:shd w:fill="C6EFCE" w:val="clear"/>
          </w:tcPr>
          <w:p>
            <w:r>
              <w:rPr>
                <w:b/>
                <w:sz w:val="17"/>
              </w:rPr>
              <w:t>4,970</w:t>
            </w:r>
          </w:p>
        </w:tc>
        <w:tc>
          <w:tcPr>
            <w:tcW w:type="dxa" w:w="1440"/>
            <w:shd w:fill="C6EFCE" w:val="clear"/>
          </w:tcPr>
          <w:p>
            <w:r>
              <w:rPr>
                <w:sz w:val="17"/>
              </w:rPr>
              <w:t>5,979</w:t>
            </w:r>
          </w:p>
        </w:tc>
        <w:tc>
          <w:tcPr>
            <w:tcW w:type="dxa" w:w="1440"/>
            <w:shd w:fill="C6EFCE" w:val="clear"/>
          </w:tcPr>
          <w:p>
            <w:r>
              <w:rPr>
                <w:b/>
                <w:color w:val="008000"/>
                <w:sz w:val="17"/>
              </w:rPr>
              <w:t>+15.6%</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3,926</w:t>
            </w:r>
          </w:p>
        </w:tc>
        <w:tc>
          <w:tcPr>
            <w:tcW w:type="dxa" w:w="1440"/>
            <w:shd w:fill="C6EFCE" w:val="clear"/>
          </w:tcPr>
          <w:p>
            <w:r>
              <w:rPr>
                <w:b/>
                <w:sz w:val="17"/>
              </w:rPr>
              <w:t>4,995</w:t>
            </w:r>
          </w:p>
        </w:tc>
        <w:tc>
          <w:tcPr>
            <w:tcW w:type="dxa" w:w="1440"/>
            <w:shd w:fill="C6EFCE" w:val="clear"/>
          </w:tcPr>
          <w:p>
            <w:r>
              <w:rPr>
                <w:sz w:val="17"/>
              </w:rPr>
              <w:t>6,063</w:t>
            </w:r>
          </w:p>
        </w:tc>
        <w:tc>
          <w:tcPr>
            <w:tcW w:type="dxa" w:w="1440"/>
            <w:shd w:fill="C6EFCE" w:val="clear"/>
          </w:tcPr>
          <w:p>
            <w:r>
              <w:rPr>
                <w:b/>
                <w:color w:val="008000"/>
                <w:sz w:val="17"/>
              </w:rPr>
              <w:t>+16.2%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Financement spécialisé*</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34,91 milliards FCFA, SAFC se situe dans la catégorie des valeurs moyennes de la cote BRVM, ce qui traduit une liquidité limitée et une sensibilité accrue aux mouvements de portefeuille. Le BPA de 86 FCFA/action indique que chaque titre génère un bénéfice net modeste, ce qui, rapporté au cours actuel de 4 300 FCFA, aboutit à un PER de 49,8x — très largement supérieur à la moyenne du marché BRVM (8-12x). Les investisseurs paient donc environ cinq fois plus cher les bénéfices de SAFC que la moyenne du marché, ce qui intègre déjà une forte anticipation de croissance future. Le P/B de 5,90x confirme cette prime : le marché valorise l'action près de six fois sa valeur comptable, alors qu'un ratio supérieur à 4x est généralement considéré comme exigeant. Enfin, l'EV/EBITDA de 74,1x (très au-dessus du seuil de 15x) signale que la valeur d'entreprise est déconnectée de la capacité opérationnelle actuelle, ce qui rend le titre vulnérable à toute déception sur les résultats. Ces ratios, pris ensemble, indiquent une valorisation tendue qui repose entièrement sur la poursuite du redressement.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SAFC affiche une progression totale de +28,74%, avec une dernière séance en hausse de +7,50%, confirmant une dynamique haussière soutenue. Le titre a évolué dans un range large, entre un plus bas de 3 340 FCFA et un plus haut de 6 200 FCFA, soit une amplitude de près de 86%, ce qui témoigne d'une forte volatilité. La moyenne du cours (4 604 FCFA) est légèrement supérieure à la médiane (4 545 FCFA), suggérant une distribution quasi symétrique, cohérente avec le skewness de 0,302 (distribution symétrique). L'écart-type de 775 FCFA, soit un coefficient de variation de 16,8%, indique une dispersion modérée autour de la moyenne. Le kurtosis de -1,008 (distribution platykurtique) révèle une faible concentration des rendements autour de la moyenne, avec moins de pics extrêmes que dans une loi normale — un profil de risque relativement lissé. Enfin, la volatilité annualisée de 60,1% classe le titre dans la catégorie des valeurs très volatiles (&gt;30%), ce qui implique un risque de marché élevé et un horizon d'investissement à adapter en conséquence.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(5 192,25 FCFA) et la MM50 (5 179,8 FCFA) sont quasi confondues et nettement supérieures au cours actuel (4 300 FCFA), ce qui place le titre en dessous de ses moyennes de court et moyen terme. La décision technique affichée est « Achat », probablement liée à un signal de retournement ou de survente, mais la position du cours sous les MM suggère que la tendance de fond reste fragile.</w:t>
      </w:r>
    </w:p>
    <w:p>
      <w:pPr>
        <w:spacing w:after="120" w:line="276" w:lineRule="auto"/>
      </w:pPr>
      <w:r>
        <w:t>**Bandes de Bollinger** : La borne supérieure est à 6 599,32 FCFA et la borne inférieure à 3 785,18 FCFA, avec un cours actuel de 4 300 FCFA qui se situe dans la moitié basse du canal. La décision « Neutre » reflète l'absence de signal directionnel fort, le cours n'étant ni en contact avec la borne basse (survente) ni avec la borne haute (surachat).</w:t>
      </w:r>
    </w:p>
    <w:p>
      <w:pPr>
        <w:spacing w:after="120" w:line="276" w:lineRule="auto"/>
      </w:pPr>
      <w:r>
        <w:t>**MACD** : La valeur du MACD (-333,85) est inférieure à son signal (-175,15), ce qui confirme un momentum baissier persistant. La décision « Vente » est cohérente avec cette configuration, le croisement MACD/signal restant défavorable malgré la récente hausse du cours.</w:t>
      </w:r>
    </w:p>
    <w:p>
      <w:pPr>
        <w:spacing w:after="120" w:line="276" w:lineRule="auto"/>
      </w:pPr>
      <w:r>
        <w:t>**RSI** : À 23,67, le RSI est en zone de survente (&lt;30), ce qui déclenche une décision « Achat ». Ce niveau suggère que le titre a été excessivement vendu à court terme et qu'un rebond technique est probable, ce qui est cohérent avec la hausse de +7,50% en J-1.</w:t>
      </w:r>
    </w:p>
    <w:p>
      <w:pPr>
        <w:spacing w:after="120" w:line="276" w:lineRule="auto"/>
      </w:pPr>
      <w:r>
        <w:t>**Stochastique** : Le %K (19,81) est supérieur au %D (6,93), avec les deux indicateurs en zone de survente. La décision « Achat » est justifiée par ce croisement haussier en zone basse, signal classique de retournement à court terme.</w:t>
      </w:r>
    </w:p>
    <w:p>
      <w:pPr>
        <w:spacing w:after="120" w:line="276" w:lineRule="auto"/>
      </w:pPr>
      <w:r>
        <w:t>**Conclusion technique** : Les indicateurs présentent une divergence notable : le MACD reste baissier, tandis que le RSI et le Stochastique signalent une survente propice à un rebond. Les moyennes mobiles et les Bandes de Bollinger confirment que le titre évolue sous ses niveaux moyens, ce qui limite le potentiel haussier à court terme. La convergence des signaux d'achat (RSI, Stochastique) et la récente hausse de +7,50% suggèrent un rebond technique possible, mais la prudence reste de mise tant que le MACD ne confirme pas un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 Produit Net Bancaire (PNB) de 5 735 millions FCFA, en hausse de +44,1% par rapport à 2024 (3 980 millions FCFA), porté par la progression des intérêts (+14,4%) et des commissions (+81%). Le résultat net s'établit à 701 millions FCFA, marquant un retournement spectaculaire après une perte de 165 millions FCFA en 2024. Le ROE ressort à 11,85% (en dessous du seuil d'excellence de 15%) et le ROA à 0,88%, reflétant une rentabilité encore modeste. Le coefficient d'exploitation de 77,63% est élevé (une banque efficace se situe sous 60%), ce qui indique une structure de coûts lourde. Le coût du risque, à 6,57% des charges financières, reste significatif et traduit un portefeuille de crédits encore fragile. La structure financière est préoccupante : l'autonomie financière n'est que de 7,44% (très en dessous du seuil sain de 30%), et le ratio d'endettement atteint 856,36%, avec une dépendance élevée aux dettes interbancaires (35 747 millions FCFA, +45%). Les dépôts clientèle (9 112 millions FCFA) sont très inférieurs aux créances clientèle (60 476 millions FCFA), ce qui signifie que la banque ne finance pas ses crédits par ses dépôts mais par le marché interbancaire — un risque de liquidité majeur. Les rapports trimestriels récents confirment la dynamique : au T1 2026 (rapport du 12/05/2026), le PNB progresse de +29% à 1 395 millions FCFA et le résultat net bondit de +1 062% à 151 millions FCFA, avec un coût du risque en baisse de 75%. Au S1 2026 (rapport du 04/09/2026), le PNB atteint 2 907 millions FCFA (+37%) et le résultat net 731 millions FCFA (+231%), avec une reprise nette sur coût du risque de 261 millions FCFA. Sur la base de ces tendances, on peut estimer que l'exercice 2026 devrait afficher un PNB supérieur à 6 milliards FCFA et un résultat net proche de 1,2-1,5 milliard FCFA, confirmant la trajectoire de redressement. Cependant, la faiblesse des fonds propres (5 916 millions FCFA en 2025, 6 647 millions au S1 2026) et le report à nouveau négatif (-4 123 millions FCFA) constituent des vulnérabilités structurelles. L'augmentation de capital de 1,5 milliard FCFA annoncée en avril 2026 (avis BRVM du 13/04/2026) vise précisément à renforcer ces fonds propres. En conclusion, la dynamique fondamentale est positive mais la solidité financière reste fragile, avec un risque de liquidité et de solvabilité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tendue : un PER de 49,8x, un P/B de 5,90x et un EV/EBITDA de 74,1x intègrent déjà une anticipation très favorable de la croissance, ce qui laisse peu de marge d'erreur. Le comportement du cours (Partie 1) est haussier sur 100 jours (+28,74%) mais très volatil (60,1% annualisé), avec une distribution symétrique et un kurtosis négatif qui indiquent l'absence de pics extrêmes — un profil de risque élevé mais relativement lissé. Les signaux techniques (Partie 2) sont divergents : le MACD reste baissier, tandis que le RSI (23,67) et le Stochastique (19,81/6,93) signalent une survente propice à un rebond, ce qui est cohérent avec la hausse de +7,50% en J-1. Les fondamentaux (Partie 3) montrent un redressement spectaculaire (PNB +44% en 2025, résultat net de 701 millions FCFA, +231% au S1 2026) mais une structure financière fragile (autonomie financière de 7,44%, dépendance interbancaire élevée). Les prédictions IA (J+1 à J+10) anticipent une poursuite de la hausse jusqu'à 4 829 FCFA, ce qui confirme le rebond technique amorcé. Sur la base de cette synthèse, la convergence entre le rebond technique (RSI, Stochastique), la dynamique fondamentale positive (S1 2026) et les prédictions haussières soutient une recommandation d'**ACHAT**, mais avec un niveau de confiance **Moyen** en raison de la valorisation exigeante et des risques structurels. Le risque global est **Élevé** (volatilité de 60%, dépendance interbancaire, fonds propres limités). L'horizon d'investissement optimal est le **moyen terme (3-12 mois)**, le temps que l'augmentation de capital produise ses effets et que la rentabilité se consolide, tout en surveillant de près l'évolution du coût du risque et des ratios prudentiels.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11,055 titres</w:t>
            </w:r>
          </w:p>
        </w:tc>
        <w:tc>
          <w:tcPr>
            <w:tcW w:type="dxa" w:w="2268"/>
            <w:shd w:fill="FFF2CC" w:val="clear"/>
          </w:tcPr>
          <w:p>
            <w:r>
              <w:rPr>
                <w:b/>
                <w:color w:val="503200"/>
                <w:sz w:val="16"/>
              </w:rPr>
              <w:t xml:space="preserve">Cours actuel : </w:t>
            </w:r>
            <w:r>
              <w:rPr>
                <w:color w:val="000000"/>
                <w:sz w:val="17"/>
              </w:rPr>
              <w:t>3,100 FCFA</w:t>
            </w:r>
          </w:p>
          <w:p>
            <w:r>
              <w:rPr>
                <w:b/>
                <w:color w:val="503200"/>
                <w:sz w:val="16"/>
              </w:rPr>
              <w:t xml:space="preserve">Var. 100 jours : </w:t>
            </w:r>
            <w:r>
              <w:rPr>
                <w:b/>
                <w:color w:val="007800"/>
                <w:sz w:val="17"/>
              </w:rPr>
              <w:t>+55.39%</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29.0/100 → Moyen</w:t>
      </w:r>
    </w:p>
    <w:p>
      <w:pPr>
        <w:spacing w:before="40" w:after="80"/>
      </w:pPr>
      <w:r>
        <w:rPr>
          <w:rFonts w:ascii="Courier New" w:hAnsi="Courier New"/>
          <w:color w:val="825A00"/>
          <w:sz w:val="18"/>
        </w:rPr>
        <w:t>█████░░░░░░░░░░░░░░░  29.0/100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16.46% (Élevée) — μ=3,136 FCFA, σ=516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β=1.3331 (Agressif) — Cov=0.000085, Var(idx)=0.000064, ρ=0.286,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11,055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2026-09-28</w:t>
            </w:r>
          </w:p>
        </w:tc>
        <w:tc>
          <w:tcPr>
            <w:tcW w:type="dxa" w:w="1440"/>
            <w:shd w:fill="C6EFCE" w:val="clear"/>
          </w:tcPr>
          <w:p>
            <w:r>
              <w:rPr>
                <w:sz w:val="17"/>
              </w:rPr>
              <w:t>3,084</w:t>
            </w:r>
          </w:p>
        </w:tc>
        <w:tc>
          <w:tcPr>
            <w:tcW w:type="dxa" w:w="1440"/>
            <w:shd w:fill="C6EFCE" w:val="clear"/>
          </w:tcPr>
          <w:p>
            <w:r>
              <w:rPr>
                <w:b/>
                <w:sz w:val="17"/>
              </w:rPr>
              <w:t>3,267</w:t>
            </w:r>
          </w:p>
        </w:tc>
        <w:tc>
          <w:tcPr>
            <w:tcW w:type="dxa" w:w="1440"/>
            <w:shd w:fill="C6EFCE" w:val="clear"/>
          </w:tcPr>
          <w:p>
            <w:r>
              <w:rPr>
                <w:sz w:val="17"/>
              </w:rPr>
              <w:t>3,450</w:t>
            </w:r>
          </w:p>
        </w:tc>
        <w:tc>
          <w:tcPr>
            <w:tcW w:type="dxa" w:w="1440"/>
            <w:shd w:fill="C6EFCE" w:val="clear"/>
          </w:tcPr>
          <w:p>
            <w:r>
              <w:rPr>
                <w:b/>
                <w:color w:val="008000"/>
                <w:sz w:val="17"/>
              </w:rPr>
              <w:t>+5.4%</w:t>
            </w:r>
          </w:p>
        </w:tc>
      </w:tr>
      <w:tr>
        <w:tc>
          <w:tcPr>
            <w:tcW w:type="dxa" w:w="1440"/>
            <w:shd w:fill="C6EFCE" w:val="clear"/>
          </w:tcPr>
          <w:p>
            <w:r>
              <w:rPr>
                <w:sz w:val="17"/>
              </w:rPr>
              <w:t>J+2  Moyenne</w:t>
            </w:r>
          </w:p>
        </w:tc>
        <w:tc>
          <w:tcPr>
            <w:tcW w:type="dxa" w:w="1440"/>
            <w:shd w:fill="C6EFCE" w:val="clear"/>
          </w:tcPr>
          <w:p>
            <w:r>
              <w:rPr>
                <w:sz w:val="17"/>
              </w:rPr>
              <w:t>2026-09-29</w:t>
            </w:r>
          </w:p>
        </w:tc>
        <w:tc>
          <w:tcPr>
            <w:tcW w:type="dxa" w:w="1440"/>
            <w:shd w:fill="C6EFCE" w:val="clear"/>
          </w:tcPr>
          <w:p>
            <w:r>
              <w:rPr>
                <w:sz w:val="17"/>
              </w:rPr>
              <w:t>3,088</w:t>
            </w:r>
          </w:p>
        </w:tc>
        <w:tc>
          <w:tcPr>
            <w:tcW w:type="dxa" w:w="1440"/>
            <w:shd w:fill="C6EFCE" w:val="clear"/>
          </w:tcPr>
          <w:p>
            <w:r>
              <w:rPr>
                <w:b/>
                <w:sz w:val="17"/>
              </w:rPr>
              <w:t>3,354</w:t>
            </w:r>
          </w:p>
        </w:tc>
        <w:tc>
          <w:tcPr>
            <w:tcW w:type="dxa" w:w="1440"/>
            <w:shd w:fill="C6EFCE" w:val="clear"/>
          </w:tcPr>
          <w:p>
            <w:r>
              <w:rPr>
                <w:sz w:val="17"/>
              </w:rPr>
              <w:t>3,619</w:t>
            </w:r>
          </w:p>
        </w:tc>
        <w:tc>
          <w:tcPr>
            <w:tcW w:type="dxa" w:w="1440"/>
            <w:shd w:fill="C6EFCE" w:val="clear"/>
          </w:tcPr>
          <w:p>
            <w:r>
              <w:rPr>
                <w:b/>
                <w:color w:val="008000"/>
                <w:sz w:val="17"/>
              </w:rPr>
              <w:t>+8.2%</w:t>
            </w:r>
          </w:p>
        </w:tc>
      </w:tr>
      <w:tr>
        <w:tc>
          <w:tcPr>
            <w:tcW w:type="dxa" w:w="1440"/>
            <w:shd w:fill="C6EFCE" w:val="clear"/>
          </w:tcPr>
          <w:p>
            <w:r>
              <w:rPr>
                <w:sz w:val="17"/>
              </w:rPr>
              <w:t>J+3  Moyenne</w:t>
            </w:r>
          </w:p>
        </w:tc>
        <w:tc>
          <w:tcPr>
            <w:tcW w:type="dxa" w:w="1440"/>
            <w:shd w:fill="C6EFCE" w:val="clear"/>
          </w:tcPr>
          <w:p>
            <w:r>
              <w:rPr>
                <w:sz w:val="17"/>
              </w:rPr>
              <w:t>2026-09-30</w:t>
            </w:r>
          </w:p>
        </w:tc>
        <w:tc>
          <w:tcPr>
            <w:tcW w:type="dxa" w:w="1440"/>
            <w:shd w:fill="C6EFCE" w:val="clear"/>
          </w:tcPr>
          <w:p>
            <w:r>
              <w:rPr>
                <w:sz w:val="17"/>
              </w:rPr>
              <w:t>3,052</w:t>
            </w:r>
          </w:p>
        </w:tc>
        <w:tc>
          <w:tcPr>
            <w:tcW w:type="dxa" w:w="1440"/>
            <w:shd w:fill="C6EFCE" w:val="clear"/>
          </w:tcPr>
          <w:p>
            <w:r>
              <w:rPr>
                <w:b/>
                <w:sz w:val="17"/>
              </w:rPr>
              <w:t>3,379</w:t>
            </w:r>
          </w:p>
        </w:tc>
        <w:tc>
          <w:tcPr>
            <w:tcW w:type="dxa" w:w="1440"/>
            <w:shd w:fill="C6EFCE" w:val="clear"/>
          </w:tcPr>
          <w:p>
            <w:r>
              <w:rPr>
                <w:sz w:val="17"/>
              </w:rPr>
              <w:t>3,707</w:t>
            </w:r>
          </w:p>
        </w:tc>
        <w:tc>
          <w:tcPr>
            <w:tcW w:type="dxa" w:w="1440"/>
            <w:shd w:fill="C6EFCE" w:val="clear"/>
          </w:tcPr>
          <w:p>
            <w:r>
              <w:rPr>
                <w:b/>
                <w:color w:val="008000"/>
                <w:sz w:val="17"/>
              </w:rPr>
              <w:t>+9.0%</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3,007</w:t>
            </w:r>
          </w:p>
        </w:tc>
        <w:tc>
          <w:tcPr>
            <w:tcW w:type="dxa" w:w="1440"/>
            <w:shd w:fill="C6EFCE" w:val="clear"/>
          </w:tcPr>
          <w:p>
            <w:r>
              <w:rPr>
                <w:b/>
                <w:sz w:val="17"/>
              </w:rPr>
              <w:t>3,386</w:t>
            </w:r>
          </w:p>
        </w:tc>
        <w:tc>
          <w:tcPr>
            <w:tcW w:type="dxa" w:w="1440"/>
            <w:shd w:fill="C6EFCE" w:val="clear"/>
          </w:tcPr>
          <w:p>
            <w:r>
              <w:rPr>
                <w:sz w:val="17"/>
              </w:rPr>
              <w:t>3,766</w:t>
            </w:r>
          </w:p>
        </w:tc>
        <w:tc>
          <w:tcPr>
            <w:tcW w:type="dxa" w:w="1440"/>
            <w:shd w:fill="C6EFCE" w:val="clear"/>
          </w:tcPr>
          <w:p>
            <w:r>
              <w:rPr>
                <w:b/>
                <w:color w:val="008000"/>
                <w:sz w:val="17"/>
              </w:rPr>
              <w:t>+9.2%</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2,968</w:t>
            </w:r>
          </w:p>
        </w:tc>
        <w:tc>
          <w:tcPr>
            <w:tcW w:type="dxa" w:w="1440"/>
            <w:shd w:fill="C6EFCE" w:val="clear"/>
          </w:tcPr>
          <w:p>
            <w:r>
              <w:rPr>
                <w:b/>
                <w:sz w:val="17"/>
              </w:rPr>
              <w:t>3,392</w:t>
            </w:r>
          </w:p>
        </w:tc>
        <w:tc>
          <w:tcPr>
            <w:tcW w:type="dxa" w:w="1440"/>
            <w:shd w:fill="C6EFCE" w:val="clear"/>
          </w:tcPr>
          <w:p>
            <w:r>
              <w:rPr>
                <w:sz w:val="17"/>
              </w:rPr>
              <w:t>3,817</w:t>
            </w:r>
          </w:p>
        </w:tc>
        <w:tc>
          <w:tcPr>
            <w:tcW w:type="dxa" w:w="1440"/>
            <w:shd w:fill="C6EFCE" w:val="clear"/>
          </w:tcPr>
          <w:p>
            <w:r>
              <w:rPr>
                <w:b/>
                <w:color w:val="008000"/>
                <w:sz w:val="17"/>
              </w:rPr>
              <w:t>+9.4%</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2,934</w:t>
            </w:r>
          </w:p>
        </w:tc>
        <w:tc>
          <w:tcPr>
            <w:tcW w:type="dxa" w:w="1440"/>
            <w:shd w:fill="C6EFCE" w:val="clear"/>
          </w:tcPr>
          <w:p>
            <w:r>
              <w:rPr>
                <w:b/>
                <w:sz w:val="17"/>
              </w:rPr>
              <w:t>3,401</w:t>
            </w:r>
          </w:p>
        </w:tc>
        <w:tc>
          <w:tcPr>
            <w:tcW w:type="dxa" w:w="1440"/>
            <w:shd w:fill="C6EFCE" w:val="clear"/>
          </w:tcPr>
          <w:p>
            <w:r>
              <w:rPr>
                <w:sz w:val="17"/>
              </w:rPr>
              <w:t>3,867</w:t>
            </w:r>
          </w:p>
        </w:tc>
        <w:tc>
          <w:tcPr>
            <w:tcW w:type="dxa" w:w="1440"/>
            <w:shd w:fill="C6EFCE" w:val="clear"/>
          </w:tcPr>
          <w:p>
            <w:r>
              <w:rPr>
                <w:b/>
                <w:color w:val="008000"/>
                <w:sz w:val="17"/>
              </w:rPr>
              <w:t>+9.7%</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2,906</w:t>
            </w:r>
          </w:p>
        </w:tc>
        <w:tc>
          <w:tcPr>
            <w:tcW w:type="dxa" w:w="1440"/>
            <w:shd w:fill="C6EFCE" w:val="clear"/>
          </w:tcPr>
          <w:p>
            <w:r>
              <w:rPr>
                <w:b/>
                <w:sz w:val="17"/>
              </w:rPr>
              <w:t>3,412</w:t>
            </w:r>
          </w:p>
        </w:tc>
        <w:tc>
          <w:tcPr>
            <w:tcW w:type="dxa" w:w="1440"/>
            <w:shd w:fill="C6EFCE" w:val="clear"/>
          </w:tcPr>
          <w:p>
            <w:r>
              <w:rPr>
                <w:sz w:val="17"/>
              </w:rPr>
              <w:t>3,917</w:t>
            </w:r>
          </w:p>
        </w:tc>
        <w:tc>
          <w:tcPr>
            <w:tcW w:type="dxa" w:w="1440"/>
            <w:shd w:fill="C6EFCE" w:val="clear"/>
          </w:tcPr>
          <w:p>
            <w:r>
              <w:rPr>
                <w:b/>
                <w:color w:val="008000"/>
                <w:sz w:val="17"/>
              </w:rPr>
              <w:t>+10.1%</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2,881</w:t>
            </w:r>
          </w:p>
        </w:tc>
        <w:tc>
          <w:tcPr>
            <w:tcW w:type="dxa" w:w="1440"/>
            <w:shd w:fill="C6EFCE" w:val="clear"/>
          </w:tcPr>
          <w:p>
            <w:r>
              <w:rPr>
                <w:b/>
                <w:sz w:val="17"/>
              </w:rPr>
              <w:t>3,423</w:t>
            </w:r>
          </w:p>
        </w:tc>
        <w:tc>
          <w:tcPr>
            <w:tcW w:type="dxa" w:w="1440"/>
            <w:shd w:fill="C6EFCE" w:val="clear"/>
          </w:tcPr>
          <w:p>
            <w:r>
              <w:rPr>
                <w:sz w:val="17"/>
              </w:rPr>
              <w:t>3,965</w:t>
            </w:r>
          </w:p>
        </w:tc>
        <w:tc>
          <w:tcPr>
            <w:tcW w:type="dxa" w:w="1440"/>
            <w:shd w:fill="C6EFCE" w:val="clear"/>
          </w:tcPr>
          <w:p>
            <w:r>
              <w:rPr>
                <w:b/>
                <w:color w:val="008000"/>
                <w:sz w:val="17"/>
              </w:rPr>
              <w:t>+10.4%</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2,856</w:t>
            </w:r>
          </w:p>
        </w:tc>
        <w:tc>
          <w:tcPr>
            <w:tcW w:type="dxa" w:w="1440"/>
            <w:shd w:fill="C6EFCE" w:val="clear"/>
          </w:tcPr>
          <w:p>
            <w:r>
              <w:rPr>
                <w:b/>
                <w:sz w:val="17"/>
              </w:rPr>
              <w:t>3,433</w:t>
            </w:r>
          </w:p>
        </w:tc>
        <w:tc>
          <w:tcPr>
            <w:tcW w:type="dxa" w:w="1440"/>
            <w:shd w:fill="C6EFCE" w:val="clear"/>
          </w:tcPr>
          <w:p>
            <w:r>
              <w:rPr>
                <w:sz w:val="17"/>
              </w:rPr>
              <w:t>4,009</w:t>
            </w:r>
          </w:p>
        </w:tc>
        <w:tc>
          <w:tcPr>
            <w:tcW w:type="dxa" w:w="1440"/>
            <w:shd w:fill="C6EFCE" w:val="clear"/>
          </w:tcPr>
          <w:p>
            <w:r>
              <w:rPr>
                <w:b/>
                <w:color w:val="008000"/>
                <w:sz w:val="17"/>
              </w:rPr>
              <w:t>+10.7%</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2,831</w:t>
            </w:r>
          </w:p>
        </w:tc>
        <w:tc>
          <w:tcPr>
            <w:tcW w:type="dxa" w:w="1440"/>
            <w:shd w:fill="C6EFCE" w:val="clear"/>
          </w:tcPr>
          <w:p>
            <w:r>
              <w:rPr>
                <w:b/>
                <w:sz w:val="17"/>
              </w:rPr>
              <w:t>3,441</w:t>
            </w:r>
          </w:p>
        </w:tc>
        <w:tc>
          <w:tcPr>
            <w:tcW w:type="dxa" w:w="1440"/>
            <w:shd w:fill="C6EFCE" w:val="clear"/>
          </w:tcPr>
          <w:p>
            <w:r>
              <w:rPr>
                <w:sz w:val="17"/>
              </w:rPr>
              <w:t>4,050</w:t>
            </w:r>
          </w:p>
        </w:tc>
        <w:tc>
          <w:tcPr>
            <w:tcW w:type="dxa" w:w="1440"/>
            <w:shd w:fill="C6EFCE" w:val="clear"/>
          </w:tcPr>
          <w:p>
            <w:r>
              <w:rPr>
                <w:b/>
                <w:color w:val="008000"/>
                <w:sz w:val="17"/>
              </w:rPr>
              <w:t>+11.0%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SUCRIVOIRE (SCRC)**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60,76 milliards FCFA, SUCRIVOIRE se situe dans la fourchette des valeurs moyennes de la cote BRVM, mais cette capitalisation apparaît totalement déconnectée de la réalité économique de l'entreprise. Le BPA ressort à -406 FCFA par action, ce qui signifie que chaque titre détenu correspond à une destruction de valeur comptable de 406 FCFA sur l'exercice 2025, et non à une création de richesse. Le PER de -7,6x est négatif, ce qui traduit mécaniquement l'absence de bénéfices : les investisseurs ne paient pas pour des profits inexistants, mais spéculent sur un éventuel retournement. Le P/B de 3,52x indique que le marché valorise la société à plus de trois fois ses capitaux propres (17,24 Mds FCFA), soit une prime de croissance considérable pour une entreprise en perte nette de 7,95 Mds FCFA — cette prime est d'autant plus difficile à justifier que les fonds propres fondent d'année en année. Enfin, l'EV/EBITDA de 10,2x (valeur d'entreprise rapportée à l'EBE de 14,85 Mds FCFA) situe le titre dans le haut de la fourchette (10-15x), ce qui signifie que la valeur totale de l'entreprise (capitalisation + dette nette) représente plus de dix années de sa capacité opérationnelle à générer du cash avant impôts, amortissements et frais financiers — une valorisation tendue pour un dossier dont l'EBE a chuté de 23% en 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affiche une progression spectaculaire de +55,39%, portée par une dernière séance en hausse de +7,27%, ce qui témoigne d'un momentum acheteur récent très marqué. Le titre a évolué dans un range particulièrement large, entre un plus bas de 1 990 FCFA et un plus haut de 3 920 FCFA, soit une amplitude de trading de près de 97% — un signe de forte nervosité et de spéculation intense sur la valeur. Le cours actuel de 3 100 FCFA se situe donc à mi-chemin de ce range, mais nettement au-dessus du plus bas, confirmant une tendance haussière de fond malgré la correction récente depuis les sommets. Les statistiques descriptives révèlent une distribution asymétrique : la moyenne (3 136 FCFA) est inférieure à la médiane (3 298 FCFA), ce qui indique que la majorité des séances se sont déroulées à des niveaux élevés, mais que quelques journées de forte baisse ont tiré la moyenne vers le bas — cohérent avec le skewness négatif de -0,767 (plus de journées au-dessus de la moyenne, mais des baisses plus amples que les hausses). L'écart-type de 519 FCFA (CV = 16,5%) traduit une dispersion modérée du cours autour de sa moyenne, tandis que le kurtosis de -0,549 (mésokurtique) suggère une distribution proche de la normale, sans pics extrêmes fréquents — le risque de mouvements erratiques violents est donc limité. Enfin, la volatilité annualisée de 59,0% classe le titre dans la catégorie des valeurs à volatilité élevée (&gt;30%), ce qui implique un risque de perte en capital significatif et justifie une approche prudente pour tout investisseur averse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(3 321,25 FCFA) et la MM50 (3 487,20 FCFA) se situent toutes deux au-dessus du cours actuel (3 100 FCFA), ce qui place le titre en position baissière à court et moyen terme. La MM20 étant inférieure à la MM50, on observe un croisement baissier (death cross) qui confirme la pression vendeuse. La décision technique est donc logiquement **Vente**, le cours évoluant sous ses deux références mobiles.</w:t>
      </w:r>
    </w:p>
    <w:p>
      <w:pPr>
        <w:spacing w:after="120" w:line="276" w:lineRule="auto"/>
      </w:pPr>
      <w:r>
        <w:t>**Bandes de Bollinger** : Le cours actuel (3 100 FCFA) se situe dans la partie basse de la bande, entre la borne inférieure (2 795,73 FCFA) et la borne supérieure (3 846,77 FCFA), mais plus proche de la borne basse. Cette position suggère que le titre a corrigé depuis les sommets et pourrait approcher une zone de support, sans toutefois être en situation de survente extrême. La décision **Neutre** reflète cette absence de signal directionnel fort, la volatilité restant contenue dans les bandes.</w:t>
      </w:r>
    </w:p>
    <w:p>
      <w:pPr>
        <w:spacing w:after="120" w:line="276" w:lineRule="auto"/>
      </w:pPr>
      <w:r>
        <w:t>**MACD** : La valeur du MACD (-151,62) est inférieure à son signal (-98,02), et les deux sont en territoire négatif, ce qui confirme un momentum baissier persistant. L'écart entre les deux lignes se creuse, indiquant que la pression vendeuse s'intensifie plutôt qu'elle ne s'essouffle. La décision **Vente** est donc cohérente avec cette configuration défavorable.</w:t>
      </w:r>
    </w:p>
    <w:p>
      <w:pPr>
        <w:spacing w:after="120" w:line="276" w:lineRule="auto"/>
      </w:pPr>
      <w:r>
        <w:t>**RSI** : À 31,72, le RSI se situe juste au-dessus du seuil de survente (30), ce qui place le titre en zone neutre basse. Un RSI à ce niveau indique que la pression vendeuse est forte mais n'a pas encore atteint un stade extrême qui déclencherait un rebond technique automatique. La décision **Neutre** traduit cette situation d'attente, le marché n'étant ni suracheté ni survendu.</w:t>
      </w:r>
    </w:p>
    <w:p>
      <w:pPr>
        <w:spacing w:after="120" w:line="276" w:lineRule="auto"/>
      </w:pPr>
      <w:r>
        <w:t>**Stochastique** : Le %K (44,81) est supérieur au %D (22,22), ce qui suggère un début de croisement haussier — le %K remonte vers le %D après avoir été en dessous. Cette configuration est un signal d'achat précoce, mais le fait que les deux lignes restent en zone basse (sous 50) tempère la portée du signal. La décision **Neutre** est donc appropriée, le croisement n'étant pas encore confirmé par une remontée franche des deux courbes.</w:t>
      </w:r>
    </w:p>
    <w:p>
      <w:pPr>
        <w:spacing w:after="120" w:line="276" w:lineRule="auto"/>
      </w:pPr>
      <w:r>
        <w:t>**Conclusion technique** : Les indicateurs techniques sont majoritairement baissiers (MM, MACD) ou neutres (Bollinger, RSI, Stochastique), avec une divergence notable entre le signal de vente des moyennes mobiles et le début de croisement haussier du stochastique. Le titre se trouve dans une phase de correction après un rallye exceptionnel de +55%, et la configuration actuelle ne permet pas d'identifier un point d'entrée fiable. La prudence est de mise, le marché attendant un signal de retournement plus net pour valider une reprise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brossent un tableau préoccupant de la situation financière de SUCRIVOIRE. Le chiffre d'affaires s'établit à 80,57 Mds FCFA, en recul de 7,6% par rapport aux 87,22 Mds FCFA de 2024, marquant une contraction de l'activité commerciale. Le résultat net plonge dans le rouge à -7,95 Mds FCFA (contre un bénéfice de 2,47 Mds FCFA en 2024), soit une dégradation de 421%, et la marge nette devient négative à -9,87%. Les ratios de rentabilité sont catastrophiques : le ROE atteint -46,13% (destruction massive de valeur pour les actionnaires) et le ROA -5,08% (les actifs ne génèrent pas de profit). La structure financière est alarmante : l'autonomie financière n'est que de 11,02% (très en dessous du seuil sain de 30%), le ratio d'endettement explose à 88,98% (les dettes totales représentent près de 89% des capitaux propres), et la capacité de remboursement est de 11,21 années de CAF — un niveau insoutenable. Le BFR est positif à 6,53 Mds FCFA (défavorable pour une entreprise), le fonds de roulement est négatif à -10,67 Mds FCFA, et la trésorerie nette est négative à -6,51 Mds FCFA, signe de tensions de liquidité aiguës. Les délais d'exploitation révèlent une gestion paradoxale : le délai clients est très court (12,28 jours, ce qui est favorable), mais le délai fournisseurs est extrêmement long (366,07 jours, ce qui signifie que l'entreprise fait financer son cycle d'exploitation par ses fournisseurs) et la durée de stockage est de 360,73 jours (les stocks tournent une fois par an, ce qui est très élevé et immobilise du capital). Les rapports narratifs (analyses DEEPSEEK du 01/05/2026 et 19/05/2026, ainsi que les rapports de synthèse 2025) confirment et enrichissent ce diagnostic : la perte nette de 7,95 Mds FCFA (IFRS) ou 6,13 Mds FCFA (SYSCOHADA) est principalement due à l'explosion du coût de l'endettement financier, qui a quadruplé pour atteindre 6,79 Mds FCFA (+262%), et à la chute du résultat opérationnel courant (-210 M FCFA contre +5,8 Mds FCFA en 2024). Le rapport du 1er semestre 2025 (daté du 30/06/2025) indiquait déjà une perte nette de -6,71 Mds FCFA et un résultat d'exploitation négatif de -3,18 Mds FCFA, confirmant la détérioration continue. Les perspectives pour 2026 restent très préoccupantes : la société devra impérativement restructurer sa dette (69,1 Mds FCFA selon un rapport, 78,18 Mds FCFA selon un autre) et améliorer ses marges opérationnelles, mais les investissements massifs en cours (25,2 Mds FCFA d'acquisitions d'immobilisations) pèsent lourdement sur la trésorerie et la rentabilité à court terme. La recommandation fondamentale est donc **VENDRE**, la solidité financière étant compromise par un endettement critique, une rentabilité négative et des tensions de liquidité majeures.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converge vers un diagnostic très défavorable pour l'action SCRC. La valorisation (Partie 0) est problématique : le PER négatif (-7,6x) et le P/B élevé (3,52x) indiquent que le marché valorise chèrement une entreprise qui détruit de la valeur, l'EV/EBITDA de 10,2x étant tendu pour un dossier dont l'EBE recule de 23%. Le comportement du cours (Partie 1) est celui d'un titre spéculatif : la hausse de +55% sur 100 jours contraste avec la dégradation fondamentale, la volatilité annualisée de 59% est élevée, et le skewness négatif (-0,767) suggère que les baisses sont plus amples que les hausses — un signal de risque asymétrique défavorable. Les signaux techniques (Partie 2) sont majoritairement baissiers (MM20 et MM50 au-dessus du cours, MACD négatif), avec quelques signaux neutres (RSI à 31,7, stochastique en début de croisement haussier) qui ne suffisent pas à inverser la tendance. Les fondamentaux (Partie 3) sont catastrophiques : perte nette de 7,95 Mds FCFA en 2025, ROE de -46%, endettement critique (88,98% des capitaux propres), trésorerie nette négative (-6,51 Mds FCFA), et perspectives 2026 très incertaines. Les prédictions IA (J+1 à J+10) tablent sur une hausse modérée vers 3 267-3 392 FCFA, ce qui contredit les signaux techniques baissiers et fondamentaux dégradés — cette divergence suggère que les prédictions capturent un rebond technique à court terme, mais ne remettent pas en cause la tendance de fond. **Recommandation finale : VENTE**. La convergence des signaux fondamentaux (perte massive, endettement insoutenable), techniques (tendance baissière) et de valorisation (prime injustifiée) l'emporte sur le rebond technique anticipé par l'IA. Le niveau de confiance est **Élevé** (les fondamentaux sont sans ambiguïté), le risque global est **Élevé** (volatilité de 59%, endettement critique, risque de défaut), et l'horizon d'investissement recommandé est **court terme** (&lt;3 mois) pour les investisseurs cherchant à sortir avant une éventuelle aggravation de la situation financière. Une position attentiste (CONSERVER) ne se justifierait que si l'entreprise annonçait un plan de restructuration crédible de sa dette et un retour à la rentabilité opérationnelle, ce qui n'est pas le cas à ce jour.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1,427 titres</w:t>
            </w:r>
          </w:p>
        </w:tc>
        <w:tc>
          <w:tcPr>
            <w:tcW w:type="dxa" w:w="2268"/>
            <w:shd w:fill="FFF2CC" w:val="clear"/>
          </w:tcPr>
          <w:p>
            <w:r>
              <w:rPr>
                <w:b/>
                <w:color w:val="503200"/>
                <w:sz w:val="16"/>
              </w:rPr>
              <w:t xml:space="preserve">Cours actuel : </w:t>
            </w:r>
            <w:r>
              <w:rPr>
                <w:color w:val="000000"/>
                <w:sz w:val="17"/>
              </w:rPr>
              <w:t>11,900 FCFA</w:t>
            </w:r>
          </w:p>
          <w:p>
            <w:r>
              <w:rPr>
                <w:b/>
                <w:color w:val="503200"/>
                <w:sz w:val="16"/>
              </w:rPr>
              <w:t xml:space="preserve">Var. 100 jours : </w:t>
            </w:r>
            <w:r>
              <w:rPr>
                <w:b/>
                <w:color w:val="007800"/>
                <w:sz w:val="17"/>
              </w:rPr>
              <w:t>+26.60%</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8,900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8.89% (Moyenne) — μ=11,772 FCFA, σ=1,046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β=0.8074 (Neutre (suit le marché)) — Cov=0.000055, Var(idx)=0.000068, ρ=0.271,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2026-09-28</w:t>
            </w:r>
          </w:p>
        </w:tc>
        <w:tc>
          <w:tcPr>
            <w:tcW w:type="dxa" w:w="1440"/>
            <w:shd w:fill="C6EFCE" w:val="clear"/>
          </w:tcPr>
          <w:p>
            <w:r>
              <w:rPr>
                <w:sz w:val="17"/>
              </w:rPr>
              <w:t>11,667</w:t>
            </w:r>
          </w:p>
        </w:tc>
        <w:tc>
          <w:tcPr>
            <w:tcW w:type="dxa" w:w="1440"/>
            <w:shd w:fill="C6EFCE" w:val="clear"/>
          </w:tcPr>
          <w:p>
            <w:r>
              <w:rPr>
                <w:b/>
                <w:sz w:val="17"/>
              </w:rPr>
              <w:t>12,313</w:t>
            </w:r>
          </w:p>
        </w:tc>
        <w:tc>
          <w:tcPr>
            <w:tcW w:type="dxa" w:w="1440"/>
            <w:shd w:fill="C6EFCE" w:val="clear"/>
          </w:tcPr>
          <w:p>
            <w:r>
              <w:rPr>
                <w:sz w:val="17"/>
              </w:rPr>
              <w:t>12,959</w:t>
            </w:r>
          </w:p>
        </w:tc>
        <w:tc>
          <w:tcPr>
            <w:tcW w:type="dxa" w:w="1440"/>
            <w:shd w:fill="C6EFCE" w:val="clear"/>
          </w:tcPr>
          <w:p>
            <w:r>
              <w:rPr>
                <w:b/>
                <w:color w:val="008000"/>
                <w:sz w:val="17"/>
              </w:rPr>
              <w:t>+3.5%</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11,572</w:t>
            </w:r>
          </w:p>
        </w:tc>
        <w:tc>
          <w:tcPr>
            <w:tcW w:type="dxa" w:w="1440"/>
            <w:shd w:fill="C6EFCE" w:val="clear"/>
          </w:tcPr>
          <w:p>
            <w:r>
              <w:rPr>
                <w:b/>
                <w:sz w:val="17"/>
              </w:rPr>
              <w:t>12,499</w:t>
            </w:r>
          </w:p>
        </w:tc>
        <w:tc>
          <w:tcPr>
            <w:tcW w:type="dxa" w:w="1440"/>
            <w:shd w:fill="C6EFCE" w:val="clear"/>
          </w:tcPr>
          <w:p>
            <w:r>
              <w:rPr>
                <w:sz w:val="17"/>
              </w:rPr>
              <w:t>13,427</w:t>
            </w:r>
          </w:p>
        </w:tc>
        <w:tc>
          <w:tcPr>
            <w:tcW w:type="dxa" w:w="1440"/>
            <w:shd w:fill="C6EFCE" w:val="clear"/>
          </w:tcPr>
          <w:p>
            <w:r>
              <w:rPr>
                <w:b/>
                <w:color w:val="008000"/>
                <w:sz w:val="17"/>
              </w:rPr>
              <w:t>+5.0%</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11,519</w:t>
            </w:r>
          </w:p>
        </w:tc>
        <w:tc>
          <w:tcPr>
            <w:tcW w:type="dxa" w:w="1440"/>
            <w:shd w:fill="C6EFCE" w:val="clear"/>
          </w:tcPr>
          <w:p>
            <w:r>
              <w:rPr>
                <w:b/>
                <w:sz w:val="17"/>
              </w:rPr>
              <w:t>12,670</w:t>
            </w:r>
          </w:p>
        </w:tc>
        <w:tc>
          <w:tcPr>
            <w:tcW w:type="dxa" w:w="1440"/>
            <w:shd w:fill="C6EFCE" w:val="clear"/>
          </w:tcPr>
          <w:p>
            <w:r>
              <w:rPr>
                <w:sz w:val="17"/>
              </w:rPr>
              <w:t>13,821</w:t>
            </w:r>
          </w:p>
        </w:tc>
        <w:tc>
          <w:tcPr>
            <w:tcW w:type="dxa" w:w="1440"/>
            <w:shd w:fill="C6EFCE" w:val="clear"/>
          </w:tcPr>
          <w:p>
            <w:r>
              <w:rPr>
                <w:b/>
                <w:color w:val="008000"/>
                <w:sz w:val="17"/>
              </w:rPr>
              <w:t>+6.5%</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11,474</w:t>
            </w:r>
          </w:p>
        </w:tc>
        <w:tc>
          <w:tcPr>
            <w:tcW w:type="dxa" w:w="1440"/>
            <w:shd w:fill="C6EFCE" w:val="clear"/>
          </w:tcPr>
          <w:p>
            <w:r>
              <w:rPr>
                <w:b/>
                <w:sz w:val="17"/>
              </w:rPr>
              <w:t>12,820</w:t>
            </w:r>
          </w:p>
        </w:tc>
        <w:tc>
          <w:tcPr>
            <w:tcW w:type="dxa" w:w="1440"/>
            <w:shd w:fill="C6EFCE" w:val="clear"/>
          </w:tcPr>
          <w:p>
            <w:r>
              <w:rPr>
                <w:sz w:val="17"/>
              </w:rPr>
              <w:t>14,165</w:t>
            </w:r>
          </w:p>
        </w:tc>
        <w:tc>
          <w:tcPr>
            <w:tcW w:type="dxa" w:w="1440"/>
            <w:shd w:fill="C6EFCE" w:val="clear"/>
          </w:tcPr>
          <w:p>
            <w:r>
              <w:rPr>
                <w:b/>
                <w:color w:val="008000"/>
                <w:sz w:val="17"/>
              </w:rPr>
              <w:t>+7.7%</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11,429</w:t>
            </w:r>
          </w:p>
        </w:tc>
        <w:tc>
          <w:tcPr>
            <w:tcW w:type="dxa" w:w="1440"/>
            <w:shd w:fill="C6EFCE" w:val="clear"/>
          </w:tcPr>
          <w:p>
            <w:r>
              <w:rPr>
                <w:b/>
                <w:sz w:val="17"/>
              </w:rPr>
              <w:t>12,948</w:t>
            </w:r>
          </w:p>
        </w:tc>
        <w:tc>
          <w:tcPr>
            <w:tcW w:type="dxa" w:w="1440"/>
            <w:shd w:fill="C6EFCE" w:val="clear"/>
          </w:tcPr>
          <w:p>
            <w:r>
              <w:rPr>
                <w:sz w:val="17"/>
              </w:rPr>
              <w:t>14,467</w:t>
            </w:r>
          </w:p>
        </w:tc>
        <w:tc>
          <w:tcPr>
            <w:tcW w:type="dxa" w:w="1440"/>
            <w:shd w:fill="C6EFCE" w:val="clear"/>
          </w:tcPr>
          <w:p>
            <w:r>
              <w:rPr>
                <w:b/>
                <w:color w:val="008000"/>
                <w:sz w:val="17"/>
              </w:rPr>
              <w:t>+8.8%</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11,378</w:t>
            </w:r>
          </w:p>
        </w:tc>
        <w:tc>
          <w:tcPr>
            <w:tcW w:type="dxa" w:w="1440"/>
            <w:shd w:fill="C6EFCE" w:val="clear"/>
          </w:tcPr>
          <w:p>
            <w:r>
              <w:rPr>
                <w:b/>
                <w:sz w:val="17"/>
              </w:rPr>
              <w:t>13,056</w:t>
            </w:r>
          </w:p>
        </w:tc>
        <w:tc>
          <w:tcPr>
            <w:tcW w:type="dxa" w:w="1440"/>
            <w:shd w:fill="C6EFCE" w:val="clear"/>
          </w:tcPr>
          <w:p>
            <w:r>
              <w:rPr>
                <w:sz w:val="17"/>
              </w:rPr>
              <w:t>14,734</w:t>
            </w:r>
          </w:p>
        </w:tc>
        <w:tc>
          <w:tcPr>
            <w:tcW w:type="dxa" w:w="1440"/>
            <w:shd w:fill="C6EFCE" w:val="clear"/>
          </w:tcPr>
          <w:p>
            <w:r>
              <w:rPr>
                <w:b/>
                <w:color w:val="008000"/>
                <w:sz w:val="17"/>
              </w:rPr>
              <w:t>+9.7%</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11,321</w:t>
            </w:r>
          </w:p>
        </w:tc>
        <w:tc>
          <w:tcPr>
            <w:tcW w:type="dxa" w:w="1440"/>
            <w:shd w:fill="C6EFCE" w:val="clear"/>
          </w:tcPr>
          <w:p>
            <w:r>
              <w:rPr>
                <w:b/>
                <w:sz w:val="17"/>
              </w:rPr>
              <w:t>13,146</w:t>
            </w:r>
          </w:p>
        </w:tc>
        <w:tc>
          <w:tcPr>
            <w:tcW w:type="dxa" w:w="1440"/>
            <w:shd w:fill="C6EFCE" w:val="clear"/>
          </w:tcPr>
          <w:p>
            <w:r>
              <w:rPr>
                <w:sz w:val="17"/>
              </w:rPr>
              <w:t>14,971</w:t>
            </w:r>
          </w:p>
        </w:tc>
        <w:tc>
          <w:tcPr>
            <w:tcW w:type="dxa" w:w="1440"/>
            <w:shd w:fill="C6EFCE" w:val="clear"/>
          </w:tcPr>
          <w:p>
            <w:r>
              <w:rPr>
                <w:b/>
                <w:color w:val="008000"/>
                <w:sz w:val="17"/>
              </w:rPr>
              <w:t>+10.5%</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11,252</w:t>
            </w:r>
          </w:p>
        </w:tc>
        <w:tc>
          <w:tcPr>
            <w:tcW w:type="dxa" w:w="1440"/>
            <w:shd w:fill="C6EFCE" w:val="clear"/>
          </w:tcPr>
          <w:p>
            <w:r>
              <w:rPr>
                <w:b/>
                <w:sz w:val="17"/>
              </w:rPr>
              <w:t>13,213</w:t>
            </w:r>
          </w:p>
        </w:tc>
        <w:tc>
          <w:tcPr>
            <w:tcW w:type="dxa" w:w="1440"/>
            <w:shd w:fill="C6EFCE" w:val="clear"/>
          </w:tcPr>
          <w:p>
            <w:r>
              <w:rPr>
                <w:sz w:val="17"/>
              </w:rPr>
              <w:t>15,173</w:t>
            </w:r>
          </w:p>
        </w:tc>
        <w:tc>
          <w:tcPr>
            <w:tcW w:type="dxa" w:w="1440"/>
            <w:shd w:fill="C6EFCE" w:val="clear"/>
          </w:tcPr>
          <w:p>
            <w:r>
              <w:rPr>
                <w:b/>
                <w:color w:val="008000"/>
                <w:sz w:val="17"/>
              </w:rPr>
              <w:t>+11.0%</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11,195</w:t>
            </w:r>
          </w:p>
        </w:tc>
        <w:tc>
          <w:tcPr>
            <w:tcW w:type="dxa" w:w="1440"/>
            <w:shd w:fill="C6EFCE" w:val="clear"/>
          </w:tcPr>
          <w:p>
            <w:r>
              <w:rPr>
                <w:b/>
                <w:sz w:val="17"/>
              </w:rPr>
              <w:t>13,286</w:t>
            </w:r>
          </w:p>
        </w:tc>
        <w:tc>
          <w:tcPr>
            <w:tcW w:type="dxa" w:w="1440"/>
            <w:shd w:fill="C6EFCE" w:val="clear"/>
          </w:tcPr>
          <w:p>
            <w:r>
              <w:rPr>
                <w:sz w:val="17"/>
              </w:rPr>
              <w:t>15,378</w:t>
            </w:r>
          </w:p>
        </w:tc>
        <w:tc>
          <w:tcPr>
            <w:tcW w:type="dxa" w:w="1440"/>
            <w:shd w:fill="C6EFCE" w:val="clear"/>
          </w:tcPr>
          <w:p>
            <w:r>
              <w:rPr>
                <w:b/>
                <w:color w:val="008000"/>
                <w:sz w:val="17"/>
              </w:rPr>
              <w:t>+11.7%</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11,142</w:t>
            </w:r>
          </w:p>
        </w:tc>
        <w:tc>
          <w:tcPr>
            <w:tcW w:type="dxa" w:w="1440"/>
            <w:shd w:fill="C6EFCE" w:val="clear"/>
          </w:tcPr>
          <w:p>
            <w:r>
              <w:rPr>
                <w:b/>
                <w:sz w:val="17"/>
              </w:rPr>
              <w:t>13,358</w:t>
            </w:r>
          </w:p>
        </w:tc>
        <w:tc>
          <w:tcPr>
            <w:tcW w:type="dxa" w:w="1440"/>
            <w:shd w:fill="C6EFCE" w:val="clear"/>
          </w:tcPr>
          <w:p>
            <w:r>
              <w:rPr>
                <w:sz w:val="17"/>
              </w:rPr>
              <w:t>15,574</w:t>
            </w:r>
          </w:p>
        </w:tc>
        <w:tc>
          <w:tcPr>
            <w:tcW w:type="dxa" w:w="1440"/>
            <w:shd w:fill="C6EFCE" w:val="clear"/>
          </w:tcPr>
          <w:p>
            <w:r>
              <w:rPr>
                <w:b/>
                <w:color w:val="008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107,10 milliards FCFA, SDCC se positionne comme une valeur de taille intermédiaire sur la BRVM, représentant un poids significatif dans l'indice composite compte tenu de sa liquidité et de son statut d'entreprise stratégique du secteur de l'eau en Côte d'Ivoire. Le BPA de 518 FCFA/action signifie que chaque titre génère un bénéfice net de 518 FCFA, ce qui, rapporté au cours actuel de 11 900 FCFA, confère un PER de 23,0x — nettement supérieur à la moyenne du marché BRVM (8-12x), traduisant soit une anticipation de croissance forte par le marché, soit une surévaluation relative. Le P/B de 5,43x indique que le marché valorise l'entreprise à plus de cinq fois sa valeur comptable, une prime exigeante qui reflète la qualité perçue des actifs et la position de quasi-monopole dans la distribution d'eau, mais qui laisse peu de marge d'erreur. Enfin, l'EV/EBITDA de 14,4x, situé dans le haut de la fourchette 10-15x, confirme que la valeur d'entreprise (incluant la dette) est chèrement valorisée par rapport à sa capacité opérationnelle, ce qui suggère que les investisseurs intègrent déjà une amélioration substantielle des marges dans leurs anticipations.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SDCC affiche une performance remarquable de +26,60%, malgré une légère contraction de -0,08% lors de la dernière séance (J-1), signalant une pause dans la dynamique haussière. Le cours actuel de 11 900 FCFA se situe dans la partie médiane de la fourchette de trading, le plus haut ayant atteint 13 885 FCFA et le plus bas 8 900 FCFA, soit un range de près de 5 000 FCFA qui témoigne d'une forte amplitude. La tendance générale est clairement haussière sur la période, portée par l'amélioration des résultats opérationnels et la confiance du marché dans le secteur de l'eau. Les statistiques descriptives révèlent une moyenne de 11 772 FCFA légèrement inférieure à la médiane de 11 920 FCFA, avec un mode à 11 900 FCFA (le cours actuel), suggérant une distribution asymétrique négative (skewness de -0,764) indiquant davantage de journées de trading au-dessus de la moyenne. L'écart-type de 1 051 FCFA (CV de 8,9%) traduit une dispersion modérée du cours, tandis que le kurtosis excédentaire de 1,192 (distribution leptokurtique) signale des queues épaisses et un risque de pics de volatilité brutaux. La volatilité annualisée de 38,7% classe le titre dans la catégorie des valeurs à volatilité élevée (&gt;30%), ce qui implique un risque de marché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12 948,25 FCFA et la MM50 à 12 322,80 FCFA, toutes deux supérieures au cours actuel de 11 900 FCFA, ce qui place le titre en dessous de ses moyennes mobiles — un signal baissier à court terme. Cependant, la décision technique affichée est "Achat", probablement en anticipation d'un retournement ou d'un croisement haussier à venir, mais la position actuelle du cours sous les deux moyennes invite à la prudence.</w:t>
      </w:r>
    </w:p>
    <w:p>
      <w:pPr>
        <w:spacing w:after="120" w:line="276" w:lineRule="auto"/>
      </w:pPr>
      <w:r>
        <w:t>**Bandes de Bollinger** : La borne supérieure est à 14 424,95 FCFA et la borne inférieure à 11 471,55 FCFA, avec un cours actuel de 11 900 FCFA qui se situe dans la partie basse de la bande, proche de la borne inférieure. La décision est "Neutre", ce qui reflète l'absence de signal directionnel fort : le titre n'est ni en surachat ni en survente selon ce critère, mais la proximité de la borne inférieure suggère un potentiel de rebond technique.</w:t>
      </w:r>
    </w:p>
    <w:p>
      <w:pPr>
        <w:spacing w:after="120" w:line="276" w:lineRule="auto"/>
      </w:pPr>
      <w:r>
        <w:t>**MACD** : La valeur du MACD est de -138,107 contre un signal à 100,05, affichant une divergence baissière marquée (MACD sous son signal). Le momentum est clairement négatif et la décision est "Vente", ce qui contredit les signaux d'achat des moyennes mobiles et suggère une pression vendeuse persistante à court terme.</w:t>
      </w:r>
    </w:p>
    <w:p>
      <w:pPr>
        <w:spacing w:after="120" w:line="276" w:lineRule="auto"/>
      </w:pPr>
      <w:r>
        <w:t>**RSI** : À 33,575, le RSI se situe dans la zone neutre basse (30-70), proche du seuil de survente (30), sans y être encore. La décision est "Neutre", mais la proximité de la survente indique que le titre pourrait être proche d'un point de retournement à la hausse si la pression vendeuse s'atténue.</w:t>
      </w:r>
    </w:p>
    <w:p>
      <w:pPr>
        <w:spacing w:after="120" w:line="276" w:lineRule="auto"/>
      </w:pPr>
      <w:r>
        <w:t>**Stochastique** : Le %K est à 27,022 et le %D à 18,137, avec un %K supérieur au %D, ce qui constitue un signal haussier potentiel (croisement à la hausse en zone de survente). La décision reste "Neutre", mais la configuration en zone basse suggère une possible reprise imminente.</w:t>
      </w:r>
    </w:p>
    <w:p>
      <w:pPr>
        <w:spacing w:after="120" w:line="276" w:lineRule="auto"/>
      </w:pPr>
      <w:r>
        <w:t>**Conclusion technique** : Les indicateurs techniques présentent une divergence notable : les moyennes mobiles et le MACD sont baissiers (cours sous les MM, MACD sous son signal), tandis que le RSI et le stochastique se rapprochent de zones de survente propices à un rebond. Cette configuration mixte plaide pour une prudence à court terme, avec un potentiel de rebond technique si le titre parvient à se maintenir au-dessus de 11 500 FCFA, mais un risque de poursuite de la correction en cas de cassure de ce support.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SDCC a réalisé un chiffre d'affaires de 189,430 milliards FCFA, en croissance de 9,98% par rapport à 2024, portée par la hausse des volumes d'eau facturés et l'élargissement du portefeuille clients (2 272 032 clients, +6,14%). Le résultat net s'établit à 4,663 milliards FCFA, en progression de 31% sur un an, avec une marge nette de 2,46% et un résultat d'exploitation de 9,105 milliards FCFA (+34%). Le ROE ressort à 23,65%, un niveau excellent (&gt;15%) qui témoigne d'une rentabilité des fonds propres très solide, bien que le ROA reste faible à 0,99%, reflétant l'intensité capitalistique du secteur. La structure financière présente des signaux contrastés : l'autonomie financière est très faible (4,17%) et le ratio d'endettement atteint 95,83%, mais la solvabilité générale (104,35%) et la liquidité générale (111,32%) restent satisfaisantes. Le point critique réside dans les délais clients de 749,25 jours (plus de deux ans de CA en créances), un niveau extrêmement élevé qui pèse sur la trésorerie nette (-61,710 milliards FCFA) et explique le flux opérationnel négatif de -36,655 milliards FCFA, malgré une CAF solide de 17,843 milliards FCFA.</w:t>
      </w:r>
    </w:p>
    <w:p>
      <w:pPr>
        <w:spacing w:after="120" w:line="276" w:lineRule="auto"/>
      </w:pPr>
      <w:r>
        <w:t>**Adaptation au secteur (entreprise non bancaire)** : Le BFR de 104,748 milliards FCFA est positif et élevé, ce qui est défavorable pour la trésorerie, contrairement à l'indication générique "BFR négatif = favorable" qui ne s'applique pas ici. La rotation des actifs est faible (40,08%), typique d'une entreprise à forte intensité capitalistique. La capacité de remboursement de 8,18 années (dettes financières/CAF) reste gérable mais tendue, et la couverture des intérêts est excellente (1583,51%), signe que le service de la dette est largement assuré par l'exploitation.</w:t>
      </w:r>
    </w:p>
    <w:p>
      <w:pPr>
        <w:spacing w:after="120" w:line="276" w:lineRule="auto"/>
      </w:pPr>
      <w:r>
        <w:t>**Estimations basées sur les rapports trimestriels** : Le rapport du T1 2026 (publié en 2026) fait état d'un chiffre d'affaires en léger repli de 2% à 40 916 millions FCFA, mais d'un résultat d'exploitation multiplié par 2,5 à 2 730 millions FCFA et d'un résultat net bondissant de 118% à 1 318 millions FCFA, avec une marge nette de 3,2%. Cette amélioration spectaculaire de la rentabilité, portée par une meilleure maîtrise des charges opérationnelles, contraste avec la stagnation du CA et suggère que l'exercice 2026 pourrait afficher une nouvelle progression du résultat net, potentiellement au-delà de 5 milliards FCFA si la dynamique se poursuit. Le rapport annuel 2025 (publié en 2025) confirme la solidité opérationnelle avec un EBE de 21,8 milliards FCFA (+21%) et un dividende de 525 FCFA par action, offrant un rendement attractif de 4,4% au cours actuel. Les rapports antérieurs (S1 2025, T1 2025, exercice 2024) montrent une dégradation temporaire de la rentabilité en 2024 (RN -27% à 3,6 milliards FCFA) suivie d'un net redressement en 2025, ce qui valide la thèse d'une amélioration structurelle.</w:t>
      </w:r>
    </w:p>
    <w:p>
      <w:pPr>
        <w:spacing w:after="120" w:line="276" w:lineRule="auto"/>
      </w:pPr>
      <w:r>
        <w:t>**Recommandation fondamentale** : La solidité du modèle d'affaires (quasi-monopole de l'eau en Côte d'Ivoire), la croissance à deux chiffres du CA et du RN en 2025, l'amélioration spectaculaire de la rentabilité au T1 2026 et le dividende attractif plaident pour une opinion positive. Cependant, les risques liés aux délais clients très élevés, à la trésorerie nette négative et à la valorisation exigeante (PER 23x) tempèrent l'enthousiasme. La recommandation fondamentale est **CONSERVER**, avec un biais positif pour les investisseurs de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exigeante : le PER de 23,0x et le P/B de 5,43x intègrent déjà une forte anticipation de croissance, ce qui limite le potentiel d'appréciation à court terme et expose le titre à une correction en cas de déception. Le comportement du cours sur 100 jours est haussier (+26,60%) mais la volatilité élevée (38,7%) et la distribution leptokurtique (kurtosis 1,192) signalent un risque de pics baissiers brutaux, tandis que le skewness négatif (-0,764) indique une asymétrie défavorable aux vendeurs. Les signaux techniques sont divergents : les moyennes mobiles et le MACD sont baissiers, mais le RSI (33,6) et le stochastique (%K &gt; %D en zone basse) suggèrent un potentiel de rebond à court terme. Les fondamentaux sont solides : croissance du CA (+10%) et du RN (+31%) en 2025, ROE excellent (23,65%), et amélioration spectaculaire de la rentabilité au T1 2026 (RN +118%), bien que les délais clients (749 jours) et la trésorerie négative (-61,7 milliards FCFA) constituent des vulnérabilités persistantes. Les prédictions IA pour les 10 prochains jours ouvrables tablent sur une hausse progressive de 12 313 FCFA (J+1) à 12 948 FCFA (J+10), ce qui confirme la thèse d'un rebond technique et valide les signaux haussiers du RSI et du stochastique, tout en contredisant le MACD baissier.</w:t>
      </w:r>
    </w:p>
    <w:p>
      <w:pPr>
        <w:spacing w:after="120" w:line="276" w:lineRule="auto"/>
      </w:pPr>
      <w:r>
        <w:t>**Recommandation finale** : **CONSERVER** (avec un biais positif pour les investisseurs déjà positionnés). La convergence entre les prédictions IA haussières, le potentiel de rebond technique (RSI/stochastique) et les fondamentaux en amélioration (T1 2026) soutient une opinion positive, mais la valorisation exigeante (PER 23x) et les risques de trésorerie justifient une certaine prudence. **Niveau de confiance : Moyen** — les signaux sont globalement favorables mais la divergence technique et la cherté relative limitent la conviction. **Niveau de risque global : Élevé** — volatilité de 38,7%, endettement important (95,83%) et délais clients critiques. **Horizon d'investissement optimal : Moyen terme (3-12 mois)** — pour capturer l'amélioration des résultats 2026 et le dividende, tout en laissant le temps aux actions correctrices sur le recouvrement des créances de porter leurs fruits.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157.86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18,656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+72.62%</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18.05% (Élevée) — μ=2,440 FCFA, σ=440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β=0.5138 (Défensif) — Cov=0.000035, Var(idx)=0.000068, ρ=0.130,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18,656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2,771</w:t>
            </w:r>
          </w:p>
        </w:tc>
        <w:tc>
          <w:tcPr>
            <w:tcW w:type="dxa" w:w="1440"/>
            <w:shd w:fill="FAFAFA" w:val="clear"/>
          </w:tcPr>
          <w:p>
            <w:r>
              <w:rPr>
                <w:b/>
                <w:sz w:val="17"/>
              </w:rPr>
              <w:t>2,910</w:t>
            </w:r>
          </w:p>
        </w:tc>
        <w:tc>
          <w:tcPr>
            <w:tcW w:type="dxa" w:w="1440"/>
            <w:shd w:fill="FAFAFA" w:val="clear"/>
          </w:tcPr>
          <w:p>
            <w:r>
              <w:rPr>
                <w:sz w:val="17"/>
              </w:rPr>
              <w:t>3,049</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2,713</w:t>
            </w:r>
          </w:p>
        </w:tc>
        <w:tc>
          <w:tcPr>
            <w:tcW w:type="dxa" w:w="1440"/>
            <w:shd w:fill="FAFAFA" w:val="clear"/>
          </w:tcPr>
          <w:p>
            <w:r>
              <w:rPr>
                <w:b/>
                <w:sz w:val="17"/>
              </w:rPr>
              <w:t>2,909</w:t>
            </w:r>
          </w:p>
        </w:tc>
        <w:tc>
          <w:tcPr>
            <w:tcW w:type="dxa" w:w="1440"/>
            <w:shd w:fill="FAFAFA" w:val="clear"/>
          </w:tcPr>
          <w:p>
            <w:r>
              <w:rPr>
                <w:sz w:val="17"/>
              </w:rPr>
              <w:t>3,106</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2,668</w:t>
            </w:r>
          </w:p>
        </w:tc>
        <w:tc>
          <w:tcPr>
            <w:tcW w:type="dxa" w:w="1440"/>
            <w:shd w:fill="FAFAFA" w:val="clear"/>
          </w:tcPr>
          <w:p>
            <w:r>
              <w:rPr>
                <w:b/>
                <w:sz w:val="17"/>
              </w:rPr>
              <w:t>2,908</w:t>
            </w:r>
          </w:p>
        </w:tc>
        <w:tc>
          <w:tcPr>
            <w:tcW w:type="dxa" w:w="1440"/>
            <w:shd w:fill="FAFAFA" w:val="clear"/>
          </w:tcPr>
          <w:p>
            <w:r>
              <w:rPr>
                <w:sz w:val="17"/>
              </w:rPr>
              <w:t>3,149</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2,631</w:t>
            </w:r>
          </w:p>
        </w:tc>
        <w:tc>
          <w:tcPr>
            <w:tcW w:type="dxa" w:w="1440"/>
            <w:shd w:fill="FAFAFA" w:val="clear"/>
          </w:tcPr>
          <w:p>
            <w:r>
              <w:rPr>
                <w:b/>
                <w:sz w:val="17"/>
              </w:rPr>
              <w:t>2,909</w:t>
            </w:r>
          </w:p>
        </w:tc>
        <w:tc>
          <w:tcPr>
            <w:tcW w:type="dxa" w:w="1440"/>
            <w:shd w:fill="FAFAFA" w:val="clear"/>
          </w:tcPr>
          <w:p>
            <w:r>
              <w:rPr>
                <w:sz w:val="17"/>
              </w:rPr>
              <w:t>3,187</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2,600</w:t>
            </w:r>
          </w:p>
        </w:tc>
        <w:tc>
          <w:tcPr>
            <w:tcW w:type="dxa" w:w="1440"/>
            <w:shd w:fill="FAFAFA" w:val="clear"/>
          </w:tcPr>
          <w:p>
            <w:r>
              <w:rPr>
                <w:b/>
                <w:sz w:val="17"/>
              </w:rPr>
              <w:t>2,911</w:t>
            </w:r>
          </w:p>
        </w:tc>
        <w:tc>
          <w:tcPr>
            <w:tcW w:type="dxa" w:w="1440"/>
            <w:shd w:fill="FAFAFA" w:val="clear"/>
          </w:tcPr>
          <w:p>
            <w:r>
              <w:rPr>
                <w:sz w:val="17"/>
              </w:rPr>
              <w:t>3,222</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2,572</w:t>
            </w:r>
          </w:p>
        </w:tc>
        <w:tc>
          <w:tcPr>
            <w:tcW w:type="dxa" w:w="1440"/>
            <w:shd w:fill="FAFAFA" w:val="clear"/>
          </w:tcPr>
          <w:p>
            <w:r>
              <w:rPr>
                <w:b/>
                <w:sz w:val="17"/>
              </w:rPr>
              <w:t>2,913</w:t>
            </w:r>
          </w:p>
        </w:tc>
        <w:tc>
          <w:tcPr>
            <w:tcW w:type="dxa" w:w="1440"/>
            <w:shd w:fill="FAFAFA" w:val="clear"/>
          </w:tcPr>
          <w:p>
            <w:r>
              <w:rPr>
                <w:sz w:val="17"/>
              </w:rPr>
              <w:t>3,254</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2,547</w:t>
            </w:r>
          </w:p>
        </w:tc>
        <w:tc>
          <w:tcPr>
            <w:tcW w:type="dxa" w:w="1440"/>
            <w:shd w:fill="FAFAFA" w:val="clear"/>
          </w:tcPr>
          <w:p>
            <w:r>
              <w:rPr>
                <w:b/>
                <w:sz w:val="17"/>
              </w:rPr>
              <w:t>2,915</w:t>
            </w:r>
          </w:p>
        </w:tc>
        <w:tc>
          <w:tcPr>
            <w:tcW w:type="dxa" w:w="1440"/>
            <w:shd w:fill="FAFAFA" w:val="clear"/>
          </w:tcPr>
          <w:p>
            <w:r>
              <w:rPr>
                <w:sz w:val="17"/>
              </w:rPr>
              <w:t>3,284</w:t>
            </w:r>
          </w:p>
        </w:tc>
        <w:tc>
          <w:tcPr>
            <w:tcW w:type="dxa" w:w="1440"/>
            <w:shd w:fill="FAFAFA" w:val="clear"/>
          </w:tcPr>
          <w:p>
            <w:r>
              <w:rPr>
                <w:b/>
                <w:color w:val="008000"/>
                <w:sz w:val="17"/>
              </w:rPr>
              <w:t>+0.5%</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2,524</w:t>
            </w:r>
          </w:p>
        </w:tc>
        <w:tc>
          <w:tcPr>
            <w:tcW w:type="dxa" w:w="1440"/>
            <w:shd w:fill="FAFAFA" w:val="clear"/>
          </w:tcPr>
          <w:p>
            <w:r>
              <w:rPr>
                <w:b/>
                <w:sz w:val="17"/>
              </w:rPr>
              <w:t>2,918</w:t>
            </w:r>
          </w:p>
        </w:tc>
        <w:tc>
          <w:tcPr>
            <w:tcW w:type="dxa" w:w="1440"/>
            <w:shd w:fill="FAFAFA" w:val="clear"/>
          </w:tcPr>
          <w:p>
            <w:r>
              <w:rPr>
                <w:sz w:val="17"/>
              </w:rPr>
              <w:t>3,312</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2,502</w:t>
            </w:r>
          </w:p>
        </w:tc>
        <w:tc>
          <w:tcPr>
            <w:tcW w:type="dxa" w:w="1440"/>
            <w:shd w:fill="FAFAFA" w:val="clear"/>
          </w:tcPr>
          <w:p>
            <w:r>
              <w:rPr>
                <w:b/>
                <w:sz w:val="17"/>
              </w:rPr>
              <w:t>2,920</w:t>
            </w:r>
          </w:p>
        </w:tc>
        <w:tc>
          <w:tcPr>
            <w:tcW w:type="dxa" w:w="1440"/>
            <w:shd w:fill="FAFAFA" w:val="clear"/>
          </w:tcPr>
          <w:p>
            <w:r>
              <w:rPr>
                <w:sz w:val="17"/>
              </w:rPr>
              <w:t>3,338</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2,481</w:t>
            </w:r>
          </w:p>
        </w:tc>
        <w:tc>
          <w:tcPr>
            <w:tcW w:type="dxa" w:w="1440"/>
            <w:shd w:fill="FAFAFA" w:val="clear"/>
          </w:tcPr>
          <w:p>
            <w:r>
              <w:rPr>
                <w:b/>
                <w:sz w:val="17"/>
              </w:rPr>
              <w:t>2,922</w:t>
            </w:r>
          </w:p>
        </w:tc>
        <w:tc>
          <w:tcPr>
            <w:tcW w:type="dxa" w:w="1440"/>
            <w:shd w:fill="FAFAFA" w:val="clear"/>
          </w:tcPr>
          <w:p>
            <w:r>
              <w:rPr>
                <w:sz w:val="17"/>
              </w:rPr>
              <w:t>3,363</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(AFRICA GLOBAL LOGISTICS CÔTE D'IVOIRE)**</w:t>
        <w:br/>
        <w:t>*Bourse Régionale des Valeurs Mobilières (BRVM) — Analyse au 27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157,86 milliards FCFA, SDSC figure parmi les valeurs de taille intermédiaire-élevée de la cote BRVM, ce qui lui confère une certaine liquidité relative mais aussi une sensibilité accrue aux flux institutionnels. Le BPA de 387 FCFA/action signifie que chaque titre génère théoriquement près de 387 FCFA de bénéfice net, ce qui, rapporté au cours actuel de 2 900 FCFA, donne un PER de 7,5x — nettement inférieur à la moyenne BRVM (8-12x), suggérant une sous-évaluation apparente sur la base des bénéfices 2024. Le P/B de 2,03x indique que le marché valorise la société à environ deux fois sa valeur comptable, une prime de croissance modérée mais justifiée par un ROE élevé. En revanche, l'EV/EBITDA de 34,1x apparaît très exigeant (&gt;15x), signalant que la valeur d'entreprise intègre une forte anticipation de croissance opérationnelle qui, au vu de la dégradation des marges 2025, pourrait ne pas se matérialiser — ce qui constitue un signal de prudence majeur.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+72,62%, avec une dernière séance en hausse de +3,57%, portant le cours à 2 900 FCFA. Le range de trading est particulièrement large, oscillant entre un plus bas de 1 650 FCFA et un plus haut de 3 205 FCFA, soit une amplitude de plus de 94%, témoignant d'une forte volatilité directionnelle. La tendance générale est clairement haussière, soutenue par un volume moyen quotidien de 18 656 titres, signe d'un intérêt croissant des investisseurs. Les statistiques descriptives révèlent une moyenne de 2 440 FCFA légèrement inférieure à la médiane de 2 528 FCFA, ce qui indique une asymétrie négative (skewness de -0,366), confirmée par une distribution symétrique mais avec quelques séances de forte baisse ayant tiré la moyenne vers le bas. L'écart-type de 443 FCFA (CV de 18,1%) traduit une dispersion modérée du cours autour de sa tendance, tandis que le kurtosis de -1,024 (platykurtique) signale une distribution aplatie, c'est-à-dire une faible concentration des rendements extrêmes — un profil de risque relativement moins « à queues épaisses » que la normale. La volatilité annualisée de 51,4% classe le titre dans la catégorie des valeurs à volatilité élevée (&gt;30%), ce qui implique un risque de marché significatif et justifie une approche prudente en termes de sizing.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(2 978 FCFA) et la MM50 (2 802,8 FCFA) se situent toutes deux sous le cours actuel (2 900 FCFA), avec la MM20 au-dessus de la MM50 — configuration haussière classique (croisement doré). La décision « Achat » est justifiée par le fait que le cours évolue au-dessus de ses deux moyennes, confirmant la dynamique positive de court et moyen terme.</w:t>
      </w:r>
    </w:p>
    <w:p>
      <w:pPr>
        <w:spacing w:after="120" w:line="276" w:lineRule="auto"/>
      </w:pPr>
      <w:r>
        <w:t>**Bandes de Bollinger** : Le cours (2 900 FCFA) se situe dans la partie médiane-haute de la bande, entre la borne inférieure (2 724,97 FCFA) et la borne supérieure (3 231,03 FCFA). La décision « Neutre » reflète l'absence de signal extrême : le titre n'est ni en surachat (proche de la borne haute) ni en survente, et la largeur des bandes indique une volatilité encore soutenue.</w:t>
      </w:r>
    </w:p>
    <w:p>
      <w:pPr>
        <w:spacing w:after="120" w:line="276" w:lineRule="auto"/>
      </w:pPr>
      <w:r>
        <w:t>**MACD** : La valeur du MACD (19,4) est nettement inférieure à son signal (55,9), générant une divergence baissière et une décision « Vente ». Ce croisement négatif indique un essoufflement du momentum haussier malgré la tendance de fond positive, signalant un possible ralentissement à court terme.</w:t>
      </w:r>
    </w:p>
    <w:p>
      <w:pPr>
        <w:spacing w:after="120" w:line="276" w:lineRule="auto"/>
      </w:pPr>
      <w:r>
        <w:t>**RSI** : À 37,5, le RSI se situe dans la zone neutre basse (30-70), sans atteindre la zone de survente (&lt;30). La décision « Neutre » suggère que le titre n'est ni suracheté ni survendu, mais la proximité de la zone de survente indique une pression vendeuse modérée récente.</w:t>
      </w:r>
    </w:p>
    <w:p>
      <w:pPr>
        <w:spacing w:after="120" w:line="276" w:lineRule="auto"/>
      </w:pPr>
      <w:r>
        <w:t>**Stochastique** : Le %K (34,48) est supérieur au %D (11,49), avec un croisement récent à la hausse depuis la zone de survente, ce qui constitue un signal d'achat potentiel. La décision « Neutre » reflète toutefois l'absence de confirmation franche, le %K restant sous la barre des 50.</w:t>
      </w:r>
    </w:p>
    <w:p>
      <w:pPr>
        <w:spacing w:after="120" w:line="276" w:lineRule="auto"/>
      </w:pPr>
      <w:r>
        <w:t>**Conclusion technique** : Les indicateurs présentent une divergence notable : les moyennes mobiles et le stochastique plaident pour un maintien haussier, tandis que le MACD et le RSI signalent un essoufflement. Cette configuration mitigée, avec un cours au-dessus des MM mais un MACD baissier, suggère une phase de consolidation possible avant une nouvelle impulsion directionnelle. La prudence est de mise à court terme, en attendant une confirmation par le MACD ou une cassure des bandes de Bollinger.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 chiffre d'affaires de 85,643 milliards FCFA, un résultat net de 21,069 milliards FCFA, un ROE de 27,08% (excellent, &gt;15%) et un ROA de 11,20%, traduisant une rentabilité solide des fonds propres et des actifs. La marge nette de 24,60% et la marge opérationnelle de 1,10% indiquent une forte dépendance aux revenus financiers (dividendes de filiales) plutôt qu'à l'exploitation courante. En tant qu'entreprise logistique, les délais d'exploitation sont préoccupants : le délai client de 466,94 jours est très élevé (risque de trésorerie important), tandis que le délai fournisseur de 4 534,17 jours est exceptionnellement long (avantage de trésorerie), et la durée de stockage de 59,88 jours reste maîtrisée. Le BFR de 17,874 milliards FCFA et le fonds de roulement de 33,491 milliards FCFA témoignent d'un équilibre financier correct, avec une trésorerie nette de 15,617 milliards FCFA. Cependant, les rapports narratifs les plus récents (états financiers provisoires 2025, analysés par DeepSeek le 05/08/2026) révèlent une dégradation alarmante : le CA 2025 s'établit à 92,004 milliards FCFA (+7,43%), mais le résultat net s'effondre à 784,97 millions FCFA (-96%), avec un résultat d'exploitation négatif de -2,271 milliards FCFA et une marge nette de 0,85%. Le rapport du T3 2025 (30/09/2025) confirme cette tendance avec un résultat net de 4,341 milliards FCFA (-77% sur un an), et le S1 2025 (30/06/2025) affiche une perte nette de -427 millions FCFA. Le dividende proposé pour 2025 chute à 544,35 millions FCFA (-89% vs 5 008 millions en 2024). On estime, sur la base de ces rapports trimestriels, que l'exercice 2026 pourrait rester sous pression si les produits financiers (dividendes des filiales) ne se redressent pas, la rentabilité opérationnelle demeurant structurellement faible. La solidité du bilan (capitaux propres de 73,55 milliards FCFA en 2025) et la trésorerie abondante (74,78 milliards FCFA) constituent des points d'appui, mais la dégradation de la rentabilité et les manquements réglementaires signalés (retards de publication, non-respect des délais OHADA) pèsent sur la qualité de la gouvernance. La recommandation fondamentale est de **conserver** avec une vigilance accrue, en attendant une clarification sur la capacité de la direction à restaurer les marges opérationnelles.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le plan de la **valorisation (Partie 0)**, le PER de 7,5x suggère une sous-évaluation sur la base des bénéfices 2024, mais l'EV/EBITDA de 34,1x et la chute du résultat net 2025 remettent en cause cette lecture — le marché paie cher une capacité opérationnelle dont la rentabilité s'érode. Le **comportement du cours (Partie 1)** est haussier (+72,62% sur 100 jours) mais avec une volatilité élevée (51,4%) et une distribution platykurtique (kurtosis -1,024) qui indique un risque de pics modéré ; le skewness négatif (-0,366) signale une asymétrie défavorable. Les **signaux techniques (Partie 2)** sont divergents : les moyennes mobiles et le stochastique sont haussiers, mais le MACD est baissier et le RSI neutre, plaidant pour une consolidation. Les **fondamentaux (Partie 3)** sont préoccupants : malgré un CA en croissance (+7,43% en 2025), le résultat net s'est effondré de 96% à 0,78 milliard FCFA, le résultat d'exploitation est négatif et le dividende a chuté de 89%. Les **prédictions IA (J+1 à J+10)** anticipent une stabilisation autour de 2 908-2 911 FCFA, ce qui contredit la dynamique haussière récente et confirme la thèse d'une pause dans le mouvement. Sur la base de cette synthèse, la recommandation finale est **CONSERVER**, avec un niveau de confiance **Moyen** et un niveau de risque global **Élevé**. La convergence entre la dégradation fondamentale, le MACD baissier et les prédictions de stabilisation l'emporte sur les signaux haussiers des moyennes mobiles et du stochastique. L'horizon d'investissement optimal est le **moyen terme (3-12 mois)**, en surveillant la publication des résultats du S1 2026 et la capacité de la société à restaurer sa marge opérationnelle ; un retour durable de la rentabilité constituerait un catalyseur d'achat, tandis qu'une nouvelle dégradation justifierait une réduction de l'exposition.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β=1.1440 (Neutre (suit le marché)) — Cov=0.000042, Var(idx)=0.000037, ρ=0.237, n=92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1,255</w:t>
            </w:r>
          </w:p>
        </w:tc>
        <w:tc>
          <w:tcPr>
            <w:tcW w:type="dxa" w:w="1440"/>
            <w:shd w:fill="FFDCE0" w:val="clear"/>
          </w:tcPr>
          <w:p>
            <w:r>
              <w:rPr>
                <w:b/>
                <w:sz w:val="17"/>
              </w:rPr>
              <w:t>1,447</w:t>
            </w:r>
          </w:p>
        </w:tc>
        <w:tc>
          <w:tcPr>
            <w:tcW w:type="dxa" w:w="1440"/>
            <w:shd w:fill="FFDCE0" w:val="clear"/>
          </w:tcPr>
          <w:p>
            <w:r>
              <w:rPr>
                <w:sz w:val="17"/>
              </w:rPr>
              <w:t>1,639</w:t>
            </w:r>
          </w:p>
        </w:tc>
        <w:tc>
          <w:tcPr>
            <w:tcW w:type="dxa" w:w="1440"/>
            <w:shd w:fill="FFDCE0" w:val="clear"/>
          </w:tcPr>
          <w:p>
            <w:r>
              <w:rPr>
                <w:b/>
                <w:color w:val="C00000"/>
                <w:sz w:val="17"/>
              </w:rPr>
              <w:t>-3.2%</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1,238</w:t>
            </w:r>
          </w:p>
        </w:tc>
        <w:tc>
          <w:tcPr>
            <w:tcW w:type="dxa" w:w="1440"/>
            <w:shd w:fill="FFDCE0" w:val="clear"/>
          </w:tcPr>
          <w:p>
            <w:r>
              <w:rPr>
                <w:b/>
                <w:sz w:val="17"/>
              </w:rPr>
              <w:t>1,440</w:t>
            </w:r>
          </w:p>
        </w:tc>
        <w:tc>
          <w:tcPr>
            <w:tcW w:type="dxa" w:w="1440"/>
            <w:shd w:fill="FFDCE0" w:val="clear"/>
          </w:tcPr>
          <w:p>
            <w:r>
              <w:rPr>
                <w:sz w:val="17"/>
              </w:rPr>
              <w:t>1,642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positionne parmi les valeurs moyennes du compartiment industriel. Les ratios de valorisation classiques (BPA, PER, P/B, EV/EBITDA) ne sont pas calculables en l'état, les données financières structurées nécessaires étant absentes de la base. Toutefois, en croisant le bénéfice net 2023 de 1,01 milliard FCFA (rapport du 31/12/2023) avec la capitalisation actuelle, on obtient un PER implicite d'environ 37x, très supérieur à la moyenne BRVM (8-12x), ce qui suggère une valorisation tendue au regard des bénéfices récents. Cette cherté apparente s'explique par la chute de 74% du résultat net en 2023 et par les anticipations de relance portées par le rachat de Sonoco.</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avec une dernière séance en repli de -1,64%, confirmant une tendance baissière persistante. Le cours actuel de 1 495 FCFA se situe dans la partie basse du range de trading établi entre 1 350 FCFA (plus bas) et 1 800 FCFA (plus haut), soit une amplitude de 33% qui traduit une forte nervosité. La moyenne (1 527 FCFA) est légèrement supérieure à la médiane (1 520 FCFA), et le mode à 1 500 FCFA indique une concentration des échanges autour de ce palier psychologique. L'écart-type de 69 FCFA avec un coefficient de variation de 4,5% révèle une dispersion modérée du cours, mais le kurtosis de 1,652 (leptokurtique) signale des queues épaisses et un risque de pics brutaux, tandis que le skewness positif de 0,558 indique une asymétrie avec davantage de journées sous la moyenne. La volatilité annualisée de 47,2% classe le titre en catégorie **élevée** (&gt;30%), ce qui est cohérent avec un volume moyen quotidien faible de 6 046 titres, générant une liquidité limitée et des mouvements amplifiés.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évolue sous ces deux références. Cette configuration traduit une pression baissière de court terme, mais la décision affichée "Achat" suggère que la MM50 joue un rôle de support dynamique proche du cours, avec un potentiel de rebond technique si ce niveau tient.</w:t>
      </w:r>
    </w:p>
    <w:p>
      <w:pPr>
        <w:spacing w:after="120" w:line="276" w:lineRule="auto"/>
      </w:pPr>
      <w:r>
        <w:t>**Bandes de Bollinger** : Le cours (1 495 FCFA) se situe dans la moitié inférieure de la bande, entre la borne inférieure (1 459,69 FCFA) et la borne supérieure (1 621,81 FCFA). L'écart entre les bornes reste modéré, indiquant une volatilité contenue à court terme. La décision "Neutre" reflète l'absence de signal directionnel fort, le cours n'étant ni en survente extrême ni en surachat.</w:t>
      </w:r>
    </w:p>
    <w:p>
      <w:pPr>
        <w:spacing w:after="120" w:line="276" w:lineRule="auto"/>
      </w:pPr>
      <w:r>
        <w:t>**MACD** : La valeur du MACD (6,128) est inférieure à son signal (9,957), générant un croisement baissier et une décision "Vente". Cette divergence négative indique un momentum affaibli et suggère que la pression vendeuse pourrait persister à court terme, en cohérence avec la tendance baissière observée sur 100 jours.</w:t>
      </w:r>
    </w:p>
    <w:p>
      <w:pPr>
        <w:spacing w:after="120" w:line="276" w:lineRule="auto"/>
      </w:pPr>
      <w:r>
        <w:t>**RSI** : À 49,533, le RSI se situe exactement en zone neutre (30-70), sans signal de surachat ni de survente. La décision "Neutre" confirme l'absence de pression acheteuse ou vendeuse dominante, le titre évoluant dans un équilibre précaire qui pourrait se rompre dans un sens ou dans l'autre.</w:t>
      </w:r>
    </w:p>
    <w:p>
      <w:pPr>
        <w:spacing w:after="120" w:line="276" w:lineRule="auto"/>
      </w:pPr>
      <w:r>
        <w:t>**Stochastique** : Le %K (34,615) est nettement inférieur au %D (57,692), avec un croisement baissier en cours. Cette configuration indique que le momentum de court terme faiblit et que le titre pourrait tester des niveaux inférieurs avant de trouver un support. La décision "Neutre" tempère toutefois ce signal, le %K n'étant pas encore en zone de survente (&lt;20).</w:t>
      </w:r>
    </w:p>
    <w:p>
      <w:pPr>
        <w:spacing w:after="120" w:line="276" w:lineRule="auto"/>
      </w:pPr>
      <w:r>
        <w:t>**Conclusion technique** : Les indicateurs sont globalement divergents, avec une majorité de signaux neutres (Bollinger, RSI, Stochastique) mais deux signaux baissiers (MACD, position sous les MM) et un signal haussier isolé (décision MM). Cette configuration suggère une absence de tendance claire à court terme, avec un risque baissier modéré tant que le cours reste sous la MM20 (1 540 FCFA). Un franchissement de la borne inférieure de Bollinger (1 459 FCFA) ouvrirait la voie à un test du plus bas annuel (1 350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annuels de SEMC pour l'exercice 2023 (rapport du 31/12/2023) révèlent une dégradation marquée : le chiffre d'affaires recule à 27,88 milliards FCFA contre 29,60 milliards FCFA en 2022 (-6%), et le résultat net chute de 74% à 1,01 milliard FCFA (contre 3,86 milliards FCFA en 2022). La marge nette s'effondre à 3,6% (vs 13,0% en 2022), et le ROE se dégrade fortement, passant d'environ 16% à moins de 5%. Cette contre-performance s'explique par la perte de clients majeurs (AIRONE : -81% de CA), l'effondrement du segment Tomate face à la concurrence du PET, et des charges fixes élevées. Le rapport du 31/12/2022 (exercice 2022) montrait pourtant une dynamique opposée avec un CA de 125,4 milliards FCFA (+13,8%) et un résultat net de 12,8 milliards FCFA (+18,5%) — notons toutefois que ces chiffres semblent issus d'un périmètre consolidé différent (Eviosys Packaging SIEM), ce qui explique l'écart avec les 29,60 milliards FCFA de 2022 du rapport 2023. Le rapport trimestriel T1 2023 (rapport du 31/03/2023) affichait un CA de 7,65 milliards FCFA (+16,5%) et un résultat net de 855,65 millions FCFA (+37,9%), avec une marge nette de 11,2% — mais cette dynamique ne s'est pas confirmée sur l'année. La politique de dividende est suspendue (0 FCFA en 2023 comme en 2022), la trésorerie (3,35 milliards FCFA) étant conservée pour financer la relance et faire face à la suspension de la cote BRVM (flottant insuffisant : 10,42% vs 15% requis). Le rachat par Sonoco Products Company (finalisé en décembre 2024) constitue un catalyseur majeur, apportant capitaux et expertise, mais introduit un risque de dilution et de réorganisation. **Recommandation fondamentale** : profil spéculatif sur un redressement, avec des fondamentaux 2023 très dégradés mais des perspectives 2024-2025 portées par Sonoco et la relance des bouchons couronnes (+61% en volume en 2023).</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implicite (PER ~37x sur les bénéfices 2023) apparaît très tendue au regard des fondamentaux dégradés, mais reflète les anticipations de relance post-rachat par Sonoco. Le comportement du cours sur 100 jours est clairement baissier (-16,94%), avec une volatilité élevée (47,2%) et des statistiques préoccupantes (kurtosis leptokurtique, skewness positif) indiquant un risque de pics baissiers. Les signaux techniques sont majoritairement neutres à baissiers (MACD en vente, cours sous les MM20/50, Stochastique baissier), sans convergence haussière claire. Les fondamentaux 2023 sont faibles (CA -6%, résultat net -74%, marge nette 3,6%), mais le rapport T1 2023 avait montré un sursaut (+16,5% de CA, +37,9% de résultat net) qui ne s'est pas confirmé — la relance dépendra de l'exécution du plan 2024 (objectif CA 32 milliards FCFA, +18%) et de l'intégration de Sonoco. Les prédictions IA (1 447 FCFA à J+1, 1 440 FCFA à J+10) confirment la tendance baissière de court terme, avec une poursuite du repli vers 1 440 FCFA (-3,7% depuis le cours actuel). **Synthèse** : la convergence entre technique baissière, fondamentaux dégradés et prédictions négatives l'emporte sur les perspectives de relance, encore incertaines. **Recommandation finale : CONSERVER** (avec vigilance), justifiée par le potentiel de redressement lié à Sonoco mais tempérée par des risques élevés et une valorisation tendue. **Niveau de confiance : Moyen** (les catalyseurs à moyen terme sont réels mais l'exécution reste incertaine). **Niveau de risque global : Élevé** (volatilité 47,2%, liquidité faible, suspension BRVM, dégradation des marges). **Horizon d'investissement optimal : Moyen terme (3-12 mois)**, en surveillant la levée de la suspension BRVM, l'impact du rachat par Sonoco et l'atteinte des objectifs 2024.</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1210.22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4,981 titres</w:t>
            </w:r>
          </w:p>
        </w:tc>
        <w:tc>
          <w:tcPr>
            <w:tcW w:type="dxa" w:w="2268"/>
            <w:shd w:fill="FFF2CC" w:val="clear"/>
          </w:tcPr>
          <w:p>
            <w:r>
              <w:rPr>
                <w:b/>
                <w:color w:val="503200"/>
                <w:sz w:val="16"/>
              </w:rPr>
              <w:t xml:space="preserve">Cours actuel : </w:t>
            </w:r>
            <w:r>
              <w:rPr>
                <w:color w:val="000000"/>
                <w:sz w:val="17"/>
              </w:rPr>
              <w:t>38,900 FCFA</w:t>
            </w:r>
          </w:p>
          <w:p>
            <w:r>
              <w:rPr>
                <w:b/>
                <w:color w:val="503200"/>
                <w:sz w:val="16"/>
              </w:rPr>
              <w:t xml:space="preserve">Var. 100 jours : </w:t>
            </w:r>
            <w:r>
              <w:rPr>
                <w:b/>
                <w:color w:val="007800"/>
                <w:sz w:val="17"/>
              </w:rPr>
              <w:t>+17.88%</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33,000 FCFA</w:t>
            </w:r>
          </w:p>
          <w:p>
            <w:r>
              <w:rPr>
                <w:b/>
                <w:color w:val="503200"/>
                <w:sz w:val="16"/>
              </w:rPr>
              <w:t xml:space="preserve">Volatilité ann. : </w:t>
            </w:r>
            <w:r>
              <w:rPr>
                <w:color w:val="000000"/>
                <w:sz w:val="17"/>
              </w:rPr>
              <w:t>21.7%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3.76% (Faible) — μ=37,929 FCFA, σ=1,425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β=0.5191 (Défensif) — Cov=0.000035, Var(idx)=0.000068, ρ=0.311,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σ_j=1.37%/j (Stable) — Vol. annualisée≈21.7%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37,091</w:t>
            </w:r>
          </w:p>
        </w:tc>
        <w:tc>
          <w:tcPr>
            <w:tcW w:type="dxa" w:w="1440"/>
            <w:shd w:fill="FAFAFA" w:val="clear"/>
          </w:tcPr>
          <w:p>
            <w:r>
              <w:rPr>
                <w:b/>
                <w:sz w:val="17"/>
              </w:rPr>
              <w:t>38,182</w:t>
            </w:r>
          </w:p>
        </w:tc>
        <w:tc>
          <w:tcPr>
            <w:tcW w:type="dxa" w:w="1440"/>
            <w:shd w:fill="FAFAFA" w:val="clear"/>
          </w:tcPr>
          <w:p>
            <w:r>
              <w:rPr>
                <w:sz w:val="17"/>
              </w:rPr>
              <w:t>39,273</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36,537</w:t>
            </w:r>
          </w:p>
        </w:tc>
        <w:tc>
          <w:tcPr>
            <w:tcW w:type="dxa" w:w="1440"/>
            <w:shd w:fill="FFDCE0" w:val="clear"/>
          </w:tcPr>
          <w:p>
            <w:r>
              <w:rPr>
                <w:b/>
                <w:sz w:val="17"/>
              </w:rPr>
              <w:t>38,076</w:t>
            </w:r>
          </w:p>
        </w:tc>
        <w:tc>
          <w:tcPr>
            <w:tcW w:type="dxa" w:w="1440"/>
            <w:shd w:fill="FFDCE0" w:val="clear"/>
          </w:tcPr>
          <w:p>
            <w:r>
              <w:rPr>
                <w:sz w:val="17"/>
              </w:rPr>
              <w:t>39,614</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36,072</w:t>
            </w:r>
          </w:p>
        </w:tc>
        <w:tc>
          <w:tcPr>
            <w:tcW w:type="dxa" w:w="1440"/>
            <w:shd w:fill="FFDCE0" w:val="clear"/>
          </w:tcPr>
          <w:p>
            <w:r>
              <w:rPr>
                <w:b/>
                <w:sz w:val="17"/>
              </w:rPr>
              <w:t>37,951</w:t>
            </w:r>
          </w:p>
        </w:tc>
        <w:tc>
          <w:tcPr>
            <w:tcW w:type="dxa" w:w="1440"/>
            <w:shd w:fill="FFDCE0" w:val="clear"/>
          </w:tcPr>
          <w:p>
            <w:r>
              <w:rPr>
                <w:sz w:val="17"/>
              </w:rPr>
              <w:t>39,829</w:t>
            </w:r>
          </w:p>
        </w:tc>
        <w:tc>
          <w:tcPr>
            <w:tcW w:type="dxa" w:w="1440"/>
            <w:shd w:fill="FFDCE0" w:val="clear"/>
          </w:tcPr>
          <w:p>
            <w:r>
              <w:rPr>
                <w:b/>
                <w:color w:val="C00000"/>
                <w:sz w:val="17"/>
              </w:rPr>
              <w:t>-2.4%</w:t>
            </w:r>
          </w:p>
        </w:tc>
      </w:tr>
      <w:tr>
        <w:tc>
          <w:tcPr>
            <w:tcW w:type="dxa" w:w="1440"/>
            <w:shd w:fill="FFDCE0" w:val="clear"/>
          </w:tcPr>
          <w:p>
            <w:r>
              <w:rPr>
                <w:sz w:val="17"/>
              </w:rPr>
              <w:t>J+4  Moyenne</w:t>
            </w:r>
          </w:p>
        </w:tc>
        <w:tc>
          <w:tcPr>
            <w:tcW w:type="dxa" w:w="1440"/>
            <w:shd w:fill="FFDCE0" w:val="clear"/>
          </w:tcPr>
          <w:p>
            <w:r>
              <w:rPr>
                <w:sz w:val="17"/>
              </w:rPr>
              <w:t>2026-10-01</w:t>
            </w:r>
          </w:p>
        </w:tc>
        <w:tc>
          <w:tcPr>
            <w:tcW w:type="dxa" w:w="1440"/>
            <w:shd w:fill="FFDCE0" w:val="clear"/>
          </w:tcPr>
          <w:p>
            <w:r>
              <w:rPr>
                <w:sz w:val="17"/>
              </w:rPr>
              <w:t>35,669</w:t>
            </w:r>
          </w:p>
        </w:tc>
        <w:tc>
          <w:tcPr>
            <w:tcW w:type="dxa" w:w="1440"/>
            <w:shd w:fill="FFDCE0" w:val="clear"/>
          </w:tcPr>
          <w:p>
            <w:r>
              <w:rPr>
                <w:b/>
                <w:sz w:val="17"/>
              </w:rPr>
              <w:t>37,831</w:t>
            </w:r>
          </w:p>
        </w:tc>
        <w:tc>
          <w:tcPr>
            <w:tcW w:type="dxa" w:w="1440"/>
            <w:shd w:fill="FFDCE0" w:val="clear"/>
          </w:tcPr>
          <w:p>
            <w:r>
              <w:rPr>
                <w:sz w:val="17"/>
              </w:rPr>
              <w:t>39,993</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2026-10-02</w:t>
            </w:r>
          </w:p>
        </w:tc>
        <w:tc>
          <w:tcPr>
            <w:tcW w:type="dxa" w:w="1440"/>
            <w:shd w:fill="FFDCE0" w:val="clear"/>
          </w:tcPr>
          <w:p>
            <w:r>
              <w:rPr>
                <w:sz w:val="17"/>
              </w:rPr>
              <w:t>35,307</w:t>
            </w:r>
          </w:p>
        </w:tc>
        <w:tc>
          <w:tcPr>
            <w:tcW w:type="dxa" w:w="1440"/>
            <w:shd w:fill="FFDCE0" w:val="clear"/>
          </w:tcPr>
          <w:p>
            <w:r>
              <w:rPr>
                <w:b/>
                <w:sz w:val="17"/>
              </w:rPr>
              <w:t>37,717</w:t>
            </w:r>
          </w:p>
        </w:tc>
        <w:tc>
          <w:tcPr>
            <w:tcW w:type="dxa" w:w="1440"/>
            <w:shd w:fill="FFDCE0" w:val="clear"/>
          </w:tcPr>
          <w:p>
            <w:r>
              <w:rPr>
                <w:sz w:val="17"/>
              </w:rPr>
              <w:t>40,127</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2026-10-05</w:t>
            </w:r>
          </w:p>
        </w:tc>
        <w:tc>
          <w:tcPr>
            <w:tcW w:type="dxa" w:w="1440"/>
            <w:shd w:fill="FFDCE0" w:val="clear"/>
          </w:tcPr>
          <w:p>
            <w:r>
              <w:rPr>
                <w:sz w:val="17"/>
              </w:rPr>
              <w:t>34,976</w:t>
            </w:r>
          </w:p>
        </w:tc>
        <w:tc>
          <w:tcPr>
            <w:tcW w:type="dxa" w:w="1440"/>
            <w:shd w:fill="FFDCE0" w:val="clear"/>
          </w:tcPr>
          <w:p>
            <w:r>
              <w:rPr>
                <w:b/>
                <w:sz w:val="17"/>
              </w:rPr>
              <w:t>37,608</w:t>
            </w:r>
          </w:p>
        </w:tc>
        <w:tc>
          <w:tcPr>
            <w:tcW w:type="dxa" w:w="1440"/>
            <w:shd w:fill="FFDCE0" w:val="clear"/>
          </w:tcPr>
          <w:p>
            <w:r>
              <w:rPr>
                <w:sz w:val="17"/>
              </w:rPr>
              <w:t>40,240</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2026-10-06</w:t>
            </w:r>
          </w:p>
        </w:tc>
        <w:tc>
          <w:tcPr>
            <w:tcW w:type="dxa" w:w="1440"/>
            <w:shd w:fill="FFDCE0" w:val="clear"/>
          </w:tcPr>
          <w:p>
            <w:r>
              <w:rPr>
                <w:sz w:val="17"/>
              </w:rPr>
              <w:t>34,667</w:t>
            </w:r>
          </w:p>
        </w:tc>
        <w:tc>
          <w:tcPr>
            <w:tcW w:type="dxa" w:w="1440"/>
            <w:shd w:fill="FFDCE0" w:val="clear"/>
          </w:tcPr>
          <w:p>
            <w:r>
              <w:rPr>
                <w:b/>
                <w:sz w:val="17"/>
              </w:rPr>
              <w:t>37,502</w:t>
            </w:r>
          </w:p>
        </w:tc>
        <w:tc>
          <w:tcPr>
            <w:tcW w:type="dxa" w:w="1440"/>
            <w:shd w:fill="FFDCE0" w:val="clear"/>
          </w:tcPr>
          <w:p>
            <w:r>
              <w:rPr>
                <w:sz w:val="17"/>
              </w:rPr>
              <w:t>40,337</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2026-10-07</w:t>
            </w:r>
          </w:p>
        </w:tc>
        <w:tc>
          <w:tcPr>
            <w:tcW w:type="dxa" w:w="1440"/>
            <w:shd w:fill="FFDCE0" w:val="clear"/>
          </w:tcPr>
          <w:p>
            <w:r>
              <w:rPr>
                <w:sz w:val="17"/>
              </w:rPr>
              <w:t>34,376</w:t>
            </w:r>
          </w:p>
        </w:tc>
        <w:tc>
          <w:tcPr>
            <w:tcW w:type="dxa" w:w="1440"/>
            <w:shd w:fill="FFDCE0" w:val="clear"/>
          </w:tcPr>
          <w:p>
            <w:r>
              <w:rPr>
                <w:b/>
                <w:sz w:val="17"/>
              </w:rPr>
              <w:t>37,399</w:t>
            </w:r>
          </w:p>
        </w:tc>
        <w:tc>
          <w:tcPr>
            <w:tcW w:type="dxa" w:w="1440"/>
            <w:shd w:fill="FFDCE0" w:val="clear"/>
          </w:tcPr>
          <w:p>
            <w:r>
              <w:rPr>
                <w:sz w:val="17"/>
              </w:rPr>
              <w:t>40,421</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2026-10-08</w:t>
            </w:r>
          </w:p>
        </w:tc>
        <w:tc>
          <w:tcPr>
            <w:tcW w:type="dxa" w:w="1440"/>
            <w:shd w:fill="FFDCE0" w:val="clear"/>
          </w:tcPr>
          <w:p>
            <w:r>
              <w:rPr>
                <w:sz w:val="17"/>
              </w:rPr>
              <w:t>34,100</w:t>
            </w:r>
          </w:p>
        </w:tc>
        <w:tc>
          <w:tcPr>
            <w:tcW w:type="dxa" w:w="1440"/>
            <w:shd w:fill="FFDCE0" w:val="clear"/>
          </w:tcPr>
          <w:p>
            <w:r>
              <w:rPr>
                <w:b/>
                <w:sz w:val="17"/>
              </w:rPr>
              <w:t>37,297</w:t>
            </w:r>
          </w:p>
        </w:tc>
        <w:tc>
          <w:tcPr>
            <w:tcW w:type="dxa" w:w="1440"/>
            <w:shd w:fill="FFDCE0" w:val="clear"/>
          </w:tcPr>
          <w:p>
            <w:r>
              <w:rPr>
                <w:sz w:val="17"/>
              </w:rPr>
              <w:t>40,495</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33,837</w:t>
            </w:r>
          </w:p>
        </w:tc>
        <w:tc>
          <w:tcPr>
            <w:tcW w:type="dxa" w:w="1440"/>
            <w:shd w:fill="FFDCE0" w:val="clear"/>
          </w:tcPr>
          <w:p>
            <w:r>
              <w:rPr>
                <w:b/>
                <w:sz w:val="17"/>
              </w:rPr>
              <w:t>37,198</w:t>
            </w:r>
          </w:p>
        </w:tc>
        <w:tc>
          <w:tcPr>
            <w:tcW w:type="dxa" w:w="1440"/>
            <w:shd w:fill="FFDCE0" w:val="clear"/>
          </w:tcPr>
          <w:p>
            <w:r>
              <w:rPr>
                <w:sz w:val="17"/>
              </w:rPr>
              <w:t>40,559</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SOCIÉTÉ GÉNÉRALE CÔTE D'IVOIRE (SGBC)</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1 210,22 milliards FCFA, SGBC figure parmi les valeurs les plus capitalisées de la BRVM, ce qui en fait un pilier de l'indice composite et un incontournable pour les investisseurs institutionnels de la zone UEMOA. Le BPA de 3 258 FCFA/action signifie que chaque titre génère plus de 3 200 FCFA de bénéfice net, un niveau remarquable qui traduit la forte rentabilité intrinsèque de la banque. Le PER de 11,9x se situe dans la fourchette haute de la moyenne BRVM (~8-12x), indiquant que le marché paie un léger premium pour la qualité de la signature, sans pour autant basculer dans une surévaluation manifeste. Le P/B de 2,44x traduit une prime de croissance accordée par le marché (valorisation à 2,4 fois la valeur comptable des fonds propres), justifiée par un ROE supérieur à 20%. En revanche, l'EV/EBITDA de 24,7x apparaît très exigeant (&gt;15x), signalant que la valeur d'entreprise intègre déjà une bonne part des anticipations de croissance future — un point de vigilance pour les investisseurs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SGBC affiche une progression totale de +17,88%, avec une dernière séance quasi stable (+0,26%), confirmant une dynamique haussière solidement installée. Le cours actuel de 38 900 FCFA évolue dans un range de 33 000 FCFA (plus bas) à 39 300 FCFA (plus haut), soit une amplitude de trading de 6 300 FCFA (~19%), et se situe à seulement 1% de son sommet — signe de force relative. La moyenne (37 929 FCFA) est légèrement inférieure à la médiane (38 125 FCFA), ce qui, combiné à un skewness négatif de -1,787, indique une asymétrie vers la gauche : le titre a passé davantage de séances au-dessus de sa moyenne, avec quelques journées de correction marquée tirant la moyenne vers le bas. L'écart-type de 1 433 FCFA (CV = 3,8%) révèle une dispersion très faible du cours, caractéristique d'un titre peu erratique et bien tenu par les investisseurs institutionnels. Le kurtosis de 2,849 (leptokurtique) signale des queues épaisses, donc un risque de pics de volatilité ponctuels malgré la stabilité apparente. Enfin, la volatilité annualisée de 21,7% positionne SGBC dans la catégorie des titres à volatilité modérée (15-30%), un profil rassurant pour une valeur bancaire de premier rang.</w:t>
      </w:r>
    </w:p>
    <w:p>
      <w:pPr>
        <w:spacing w:after="120" w:line="276" w:lineRule="auto"/>
      </w:pPr>
      <w:r>
        <w:t>---</w:t>
      </w:r>
    </w:p>
    <w:p>
      <w:pPr>
        <w:spacing w:after="120" w:line="276" w:lineRule="auto"/>
      </w:pPr>
      <w:r>
        <w:t>## PARTIE 2 : ANALYSE TECHNIQUE DÉTAILLÉE</w:t>
      </w:r>
    </w:p>
    <w:p>
      <w:pPr>
        <w:spacing w:after="120" w:line="276" w:lineRule="auto"/>
      </w:pPr>
      <w:r>
        <w:t>**Moyennes Mobiles** : La MM20 (38 487 FCFA) et la MM50 (38 411 FCFA) sont toutes deux inférieures au cours actuel (38 900 FCFA), et la MM20 surpasse légèrement la MM50, configurant un croisement haussier classique. Cette configuration traduit une tendance de fond positive et justifie la décision technique d'**Achat**, le cours évoluant au-dessus de ses supports dynamiques.</w:t>
      </w:r>
    </w:p>
    <w:p>
      <w:pPr>
        <w:spacing w:after="120" w:line="276" w:lineRule="auto"/>
      </w:pPr>
      <w:r>
        <w:t>**Bandes de Bollinger** : Le cours (38 900 FCFA) se situe à mi-chemin entre la borne inférieure (37 671,66 FCFA) et la borne supérieure (39 302,84 FCFA), sans franchissement des extrêmes. L'amplitude relativement contenue des bandes confirme la faible volatilité récente, et la position centrale du cours justifie une décision **Neutre** — ni signal d'achat agressif, ni signal de vente.</w:t>
      </w:r>
    </w:p>
    <w:p>
      <w:pPr>
        <w:spacing w:after="120" w:line="276" w:lineRule="auto"/>
      </w:pPr>
      <w:r>
        <w:t>**MACD** : La valeur du MACD (12,941) est nettement supérieure à son signal (-7,693), générant une divergence positive marquée qui traduit un momentum haussier en construction. Ce croisement haussier récent justifie la décision d'**Achat**, bien que la faiblesse du signal absolu invite à la prudence sur la durabilité du mouvement.</w:t>
      </w:r>
    </w:p>
    <w:p>
      <w:pPr>
        <w:spacing w:after="120" w:line="276" w:lineRule="auto"/>
      </w:pPr>
      <w:r>
        <w:t>**RSI** : À 50,636, le RSI se situe exactement dans la zone neutre (30-70), sans pression acheteuse ni vendeuse excessive. Cette position médiane indique que le titre n'est ni suracheté ni survendu, justifiant une décision **Neutre** et laissant de la marge pour une poursuite haussière sans risque immédiat de correction technique.</w:t>
      </w:r>
    </w:p>
    <w:p>
      <w:pPr>
        <w:spacing w:after="120" w:line="276" w:lineRule="auto"/>
      </w:pPr>
      <w:r>
        <w:t>**Stochastique** : Le %K (91,667) est très élevé et nettement supérieur au %D (63,472), signalant que le cours évolue près de ses plus hauts récents sur la période de référence. Cette configuration en zone de surachat (&gt;80) déclenche une décision de **Vente** à court terme, suggérant un essoufflement possible du mouvement haussier immédiat.</w:t>
      </w:r>
    </w:p>
    <w:p>
      <w:pPr>
        <w:spacing w:after="120" w:line="276" w:lineRule="auto"/>
      </w:pPr>
      <w:r>
        <w:t>**Conclusion technique** : Les indicateurs présentent un tableau mitigé mais globalement constructif. Les moyennes mobiles et le MACD plaident pour une poursuite de la tendance haussière, tandis que le RSI neutre et les Bandes de Bollinger confirment l'absence de tension extrême. Seul le stochastique, en zone de surachat, émet un signal de prudence à court terme. La convergence des signaux reste modérée : le titre est en tendance haussière saine, mais un repli technique vers 38 000-38 500 FCFA ne peut être exclu avant une nouvelle impulsion.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SGBC affiche un Produit Net Bancaire (équivalent du chiffre d'affaires pour une banque) de 276,048 milliards FCFA et un résultat net de 101,352 milliards FCFA, franchissant pour la première fois le seuil symbolique des 100 milliards. Le ROE s'établit à 20,47% (largement supérieur au seuil d'excellence de 15%) et le ROA à 2,69%, confirmant une rentabilité exceptionnelle des fonds propres et des actifs. Le coefficient d'exploitation de 38,75% est excellent (&lt; 50%), traduisant une efficacité opérationnelle remarquable. Le coût du risque, mesuré par le ratio provisions/charges financières (17,995/47,775 = 37,7%), reste contenu, et la couverture des intérêts par le résultat d'exploitation atteint 255,88%, un matelas de sécurité confortable.</w:t>
      </w:r>
    </w:p>
    <w:p>
      <w:pPr>
        <w:spacing w:after="120" w:line="276" w:lineRule="auto"/>
      </w:pPr>
      <w:r>
        <w:t>**Adaptation au secteur bancaire** : La structure bilancielle est solide avec des dépôts clientèle de 2 907,675 milliards FCFA face à des créances clientèle de 2 546,290 milliards FCFA, soit un ratio prêts/dépôts de 87,6% — un niveau sain qui traduit une bonne transformation bancaire. Les capitaux propres de 495,113 milliards FCFA offrent une autonomie financière de 13,14%, typique du modèle bancaire (levier élevé structurel). La trésorerie nette positive de 178,821 milliards FCFA et la CAF de 114,274 milliards FCFA confirment la génération de cash.</w:t>
      </w:r>
    </w:p>
    <w:p>
      <w:pPr>
        <w:spacing w:after="120" w:line="276" w:lineRule="auto"/>
      </w:pPr>
      <w:r>
        <w:t>**Estimations basées sur les rapports trimestriels** : Le rapport du **3ᵉ trimestre 2025 (30 septembre 2025)** indique un PNB cumulé de 201,0 milliards FCFA (+2,5% sur un an) et un résultat net de 83,3 milliards FCFA (+11,7%), avec un coefficient d'exploitation amélioré à 37,3%. Sur cette base, on estime que l'exercice 2025 complet devrait confirmer un résultat net supérieur à 100 milliards FCFA (réalisé : 101,35 Mds), avec une croissance annuelle du PNB de l'ordre de +4,9% (cohérent avec le taux de croissance PNB fourni). Le rapport du **S1 2025 (30 juin 2025)** signalait un ROE de 23,8% et un ratio de solvabilité de 17,7%, bien au-dessus du minimum réglementaire de 12,5%.</w:t>
      </w:r>
    </w:p>
    <w:p>
      <w:pPr>
        <w:spacing w:after="120" w:line="276" w:lineRule="auto"/>
      </w:pPr>
      <w:r>
        <w:t>**Évolution pluriannuelle** : Les rapports antérieurs (2022-2024) montrent une trajectoire de croissance régulière : PNB passé de 215,1 Mds (2022) à 263,2 Mds (2024) puis 276,0 Mds (2025), et résultat net de 74,6 Mds (2022) à 101,2 Mds (2024) puis 101,4 Mds (2025). Le dividende par action a progressé de 1 230 FCFA (2022) à 1 863 FCFA (2024), avec un taux de distribution de 57,25% en 2024 — une politique actionnariale généreuse et soutenable.</w:t>
      </w:r>
    </w:p>
    <w:p>
      <w:pPr>
        <w:spacing w:after="120" w:line="276" w:lineRule="auto"/>
      </w:pPr>
      <w:r>
        <w:t>**Recommandation fondamentale** : SGBC présente des fondamentaux exceptionnels : rentabilité élevée (ROE &gt;20%), efficacité opérationnelle remarquable (coefficient &lt;40%), structure bilancielle solide et notation AAA (seul acteur bancaire noté AAA sur le marché). Les risques identifiés — hausse des créances en souffrance (NPL à 7,8% au S1 2025) et dépendance aux commissions — restent gérables. La dynamique commerciale (collecte de dépôts +13,9% au T3 2025) et l'amélioration du ratio prêts/dépôts (84,6%) renforcent le profil. **Recommandation fondamentale : ACHAT**, avec un biais positif sur le moyen-long terme.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dessine un profil d'investissement équilibré mais légèrement favorable. **Sur le plan de la valorisation (Partie 0)** , le PER de 11,9x et le P/B de 2,44x indiquent une valorisation raisonnable mais non bon marché, tandis que l'EV/EBITDA de 24,7x suggère que le marché intègre déjà une bonne part de la croissance — pas de décote manifeste, donc. **Le comportement du cours (Partie 1)** est haussier (+17,88% sur 100 jours), avec une volatilité modérée (21,7%) et une dispersion faible (CV 3,8%), mais le kurtosis élevé (2,849) et le skewness négatif (-1,787) appellent à la vigilance sur des pics de correction ponctuels. **Les signaux techniques (Partie 2)** sont mitigés : MM et MACD haussiers, RSI neutre, Bollinger neutre, mais stochastique en surachat — convergence partielle vers un maintien de la tendance avec risque de repli court terme. **Les fondamentaux (Partie 3)** sont excellents : ROE de 20,47%, coefficient d'exploitation de 38,75%, résultat net de 101,35 Mds FCFA en 2025, notation AAA, et estimations issues des rapports trimestriels (T3 2025 : RN +11,7%) confirmant la solidité. **Les prédictions IA (J+1 à J+10)** anticipent une légère correction baissière (38 182 → 37 717 FCFA, soit -1,2% sur 10 jours), ce qui contredit partiellement les signaux haussiers des MM et du MACD, mais s'aligne avec le signal de vente du stochastique.</w:t>
      </w:r>
    </w:p>
    <w:p>
      <w:pPr>
        <w:spacing w:after="120" w:line="276" w:lineRule="auto"/>
      </w:pPr>
      <w:r>
        <w:t>**Recommandation finale : CONSERVER** (avec biais acheteur sur repli). La convergence est modérée : les fondamentaux et la tendance de fond plaident pour une exposition positive, mais la valorisation sans décote, le stochastique en surachat et les prédictions baissières à court terme invitent à ne pas poursuivre le titre à son plus haut. **Niveau de confiance : Moyen** (fondamentaux solides mais signaux techniques divergents). **Niveau de risque global : Moyen** (volatilité modérée, mais sensibilité aux créances en souffrance et à l'environnement macroéconomique). **Horizon optimal : Moyen terme (3-12 mois)** , en profitant des replis vers 38 000 FCFA pour renforcer, avec un objectif de rendement total (dividende + plus-value) attractif.</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152.46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4,968 titres</w:t>
            </w:r>
          </w:p>
        </w:tc>
        <w:tc>
          <w:tcPr>
            <w:tcW w:type="dxa" w:w="2268"/>
            <w:shd w:fill="FFF2CC" w:val="clear"/>
          </w:tcPr>
          <w:p>
            <w:r>
              <w:rPr>
                <w:b/>
                <w:color w:val="503200"/>
                <w:sz w:val="16"/>
              </w:rPr>
              <w:t xml:space="preserve">Cours actuel : </w:t>
            </w:r>
            <w:r>
              <w:rPr>
                <w:color w:val="000000"/>
                <w:sz w:val="17"/>
              </w:rPr>
              <w:t>2,420 FCFA</w:t>
            </w:r>
          </w:p>
          <w:p>
            <w:r>
              <w:rPr>
                <w:b/>
                <w:color w:val="503200"/>
                <w:sz w:val="16"/>
              </w:rPr>
              <w:t xml:space="preserve">Var. 100 jours : </w:t>
            </w:r>
            <w:r>
              <w:rPr>
                <w:b/>
                <w:color w:val="007800"/>
                <w:sz w:val="17"/>
              </w:rPr>
              <w:t>+21.00%</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10.80% (Moyenne) — μ=2,234 FCFA, σ=241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β=1.1542 (Neutre (suit le marché)) — Cov=0.000078, Var(idx)=0.000068, ρ=0.341,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2,240</w:t>
            </w:r>
          </w:p>
        </w:tc>
        <w:tc>
          <w:tcPr>
            <w:tcW w:type="dxa" w:w="1440"/>
            <w:shd w:fill="FAFAFA" w:val="clear"/>
          </w:tcPr>
          <w:p>
            <w:r>
              <w:rPr>
                <w:b/>
                <w:sz w:val="17"/>
              </w:rPr>
              <w:t>2,389</w:t>
            </w:r>
          </w:p>
        </w:tc>
        <w:tc>
          <w:tcPr>
            <w:tcW w:type="dxa" w:w="1440"/>
            <w:shd w:fill="FAFAFA" w:val="clear"/>
          </w:tcPr>
          <w:p>
            <w:r>
              <w:rPr>
                <w:sz w:val="17"/>
              </w:rPr>
              <w:t>2,539</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2,152</w:t>
            </w:r>
          </w:p>
        </w:tc>
        <w:tc>
          <w:tcPr>
            <w:tcW w:type="dxa" w:w="1440"/>
            <w:shd w:fill="FFDCE0" w:val="clear"/>
          </w:tcPr>
          <w:p>
            <w:r>
              <w:rPr>
                <w:b/>
                <w:sz w:val="17"/>
              </w:rPr>
              <w:t>2,361</w:t>
            </w:r>
          </w:p>
        </w:tc>
        <w:tc>
          <w:tcPr>
            <w:tcW w:type="dxa" w:w="1440"/>
            <w:shd w:fill="FFDCE0" w:val="clear"/>
          </w:tcPr>
          <w:p>
            <w:r>
              <w:rPr>
                <w:sz w:val="17"/>
              </w:rPr>
              <w:t>2,570</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2,081</w:t>
            </w:r>
          </w:p>
        </w:tc>
        <w:tc>
          <w:tcPr>
            <w:tcW w:type="dxa" w:w="1440"/>
            <w:shd w:fill="FFDCE0" w:val="clear"/>
          </w:tcPr>
          <w:p>
            <w:r>
              <w:rPr>
                <w:b/>
                <w:sz w:val="17"/>
              </w:rPr>
              <w:t>2,335</w:t>
            </w:r>
          </w:p>
        </w:tc>
        <w:tc>
          <w:tcPr>
            <w:tcW w:type="dxa" w:w="1440"/>
            <w:shd w:fill="FFDCE0" w:val="clear"/>
          </w:tcPr>
          <w:p>
            <w:r>
              <w:rPr>
                <w:sz w:val="17"/>
              </w:rPr>
              <w:t>2,588</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2,021</w:t>
            </w:r>
          </w:p>
        </w:tc>
        <w:tc>
          <w:tcPr>
            <w:tcW w:type="dxa" w:w="1440"/>
            <w:shd w:fill="FFDCE0" w:val="clear"/>
          </w:tcPr>
          <w:p>
            <w:r>
              <w:rPr>
                <w:b/>
                <w:sz w:val="17"/>
              </w:rPr>
              <w:t>2,310</w:t>
            </w:r>
          </w:p>
        </w:tc>
        <w:tc>
          <w:tcPr>
            <w:tcW w:type="dxa" w:w="1440"/>
            <w:shd w:fill="FFDCE0" w:val="clear"/>
          </w:tcPr>
          <w:p>
            <w:r>
              <w:rPr>
                <w:sz w:val="17"/>
              </w:rPr>
              <w:t>2,599</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1,966</w:t>
            </w:r>
          </w:p>
        </w:tc>
        <w:tc>
          <w:tcPr>
            <w:tcW w:type="dxa" w:w="1440"/>
            <w:shd w:fill="FFDCE0" w:val="clear"/>
          </w:tcPr>
          <w:p>
            <w:r>
              <w:rPr>
                <w:b/>
                <w:sz w:val="17"/>
              </w:rPr>
              <w:t>2,286</w:t>
            </w:r>
          </w:p>
        </w:tc>
        <w:tc>
          <w:tcPr>
            <w:tcW w:type="dxa" w:w="1440"/>
            <w:shd w:fill="FFDCE0" w:val="clear"/>
          </w:tcPr>
          <w:p>
            <w:r>
              <w:rPr>
                <w:sz w:val="17"/>
              </w:rPr>
              <w:t>2,606</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1,917</w:t>
            </w:r>
          </w:p>
        </w:tc>
        <w:tc>
          <w:tcPr>
            <w:tcW w:type="dxa" w:w="1440"/>
            <w:shd w:fill="FFDCE0" w:val="clear"/>
          </w:tcPr>
          <w:p>
            <w:r>
              <w:rPr>
                <w:b/>
                <w:sz w:val="17"/>
              </w:rPr>
              <w:t>2,264</w:t>
            </w:r>
          </w:p>
        </w:tc>
        <w:tc>
          <w:tcPr>
            <w:tcW w:type="dxa" w:w="1440"/>
            <w:shd w:fill="FFDCE0" w:val="clear"/>
          </w:tcPr>
          <w:p>
            <w:r>
              <w:rPr>
                <w:sz w:val="17"/>
              </w:rPr>
              <w:t>2,611</w:t>
            </w:r>
          </w:p>
        </w:tc>
        <w:tc>
          <w:tcPr>
            <w:tcW w:type="dxa" w:w="1440"/>
            <w:shd w:fill="FFDCE0" w:val="clear"/>
          </w:tcPr>
          <w:p>
            <w:r>
              <w:rPr>
                <w:b/>
                <w:color w:val="C00000"/>
                <w:sz w:val="17"/>
              </w:rPr>
              <w:t>-6.4%</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1,872</w:t>
            </w:r>
          </w:p>
        </w:tc>
        <w:tc>
          <w:tcPr>
            <w:tcW w:type="dxa" w:w="1440"/>
            <w:shd w:fill="FFDCE0" w:val="clear"/>
          </w:tcPr>
          <w:p>
            <w:r>
              <w:rPr>
                <w:b/>
                <w:sz w:val="17"/>
              </w:rPr>
              <w:t>2,244</w:t>
            </w:r>
          </w:p>
        </w:tc>
        <w:tc>
          <w:tcPr>
            <w:tcW w:type="dxa" w:w="1440"/>
            <w:shd w:fill="FFDCE0" w:val="clear"/>
          </w:tcPr>
          <w:p>
            <w:r>
              <w:rPr>
                <w:sz w:val="17"/>
              </w:rPr>
              <w:t>2,615</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1,831</w:t>
            </w:r>
          </w:p>
        </w:tc>
        <w:tc>
          <w:tcPr>
            <w:tcW w:type="dxa" w:w="1440"/>
            <w:shd w:fill="FFDCE0" w:val="clear"/>
          </w:tcPr>
          <w:p>
            <w:r>
              <w:rPr>
                <w:b/>
                <w:sz w:val="17"/>
              </w:rPr>
              <w:t>2,224</w:t>
            </w:r>
          </w:p>
        </w:tc>
        <w:tc>
          <w:tcPr>
            <w:tcW w:type="dxa" w:w="1440"/>
            <w:shd w:fill="FFDCE0" w:val="clear"/>
          </w:tcPr>
          <w:p>
            <w:r>
              <w:rPr>
                <w:sz w:val="17"/>
              </w:rPr>
              <w:t>2,618</w:t>
            </w:r>
          </w:p>
        </w:tc>
        <w:tc>
          <w:tcPr>
            <w:tcW w:type="dxa" w:w="1440"/>
            <w:shd w:fill="FFDCE0" w:val="clear"/>
          </w:tcPr>
          <w:p>
            <w:r>
              <w:rPr>
                <w:b/>
                <w:color w:val="C00000"/>
                <w:sz w:val="17"/>
              </w:rPr>
              <w:t>-8.1%</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1,792</w:t>
            </w:r>
          </w:p>
        </w:tc>
        <w:tc>
          <w:tcPr>
            <w:tcW w:type="dxa" w:w="1440"/>
            <w:shd w:fill="FFDCE0" w:val="clear"/>
          </w:tcPr>
          <w:p>
            <w:r>
              <w:rPr>
                <w:b/>
                <w:sz w:val="17"/>
              </w:rPr>
              <w:t>2,206</w:t>
            </w:r>
          </w:p>
        </w:tc>
        <w:tc>
          <w:tcPr>
            <w:tcW w:type="dxa" w:w="1440"/>
            <w:shd w:fill="FFDCE0" w:val="clear"/>
          </w:tcPr>
          <w:p>
            <w:r>
              <w:rPr>
                <w:sz w:val="17"/>
              </w:rPr>
              <w:t>2,620</w:t>
            </w:r>
          </w:p>
        </w:tc>
        <w:tc>
          <w:tcPr>
            <w:tcW w:type="dxa" w:w="1440"/>
            <w:shd w:fill="FFDCE0" w:val="clear"/>
          </w:tcPr>
          <w:p>
            <w:r>
              <w:rPr>
                <w:b/>
                <w:color w:val="C00000"/>
                <w:sz w:val="17"/>
              </w:rPr>
              <w:t>-8.8%</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1,756</w:t>
            </w:r>
          </w:p>
        </w:tc>
        <w:tc>
          <w:tcPr>
            <w:tcW w:type="dxa" w:w="1440"/>
            <w:shd w:fill="FFDCE0" w:val="clear"/>
          </w:tcPr>
          <w:p>
            <w:r>
              <w:rPr>
                <w:b/>
                <w:sz w:val="17"/>
              </w:rPr>
              <w:t>2,189</w:t>
            </w:r>
          </w:p>
        </w:tc>
        <w:tc>
          <w:tcPr>
            <w:tcW w:type="dxa" w:w="1440"/>
            <w:shd w:fill="FFDCE0" w:val="clear"/>
          </w:tcPr>
          <w:p>
            <w:r>
              <w:rPr>
                <w:sz w:val="17"/>
              </w:rPr>
              <w:t>2,622</w:t>
            </w:r>
          </w:p>
        </w:tc>
        <w:tc>
          <w:tcPr>
            <w:tcW w:type="dxa" w:w="1440"/>
            <w:shd w:fill="FFDCE0" w:val="clear"/>
          </w:tcPr>
          <w:p>
            <w:r>
              <w:rPr>
                <w:b/>
                <w:color w:val="C00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RAPPORT D'ANALYSE FINANCIÈRE — SHEC (VIVO ENERGY CÔTE D'IVOIRE)</w:t>
        <w:br/>
        <w:t>**Bourse Régionale des Valeurs Mobilières (BRVM) — Secteur : Distribution pétrolière aval**</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152,46 milliards FCFA, SHEC se positionne parmi les valeurs moyennes-capitalisations de la cote BRVM, ce qui traduit une liquidité modérée mais une certaine notoriété institutionnelle. Le BPA de 96 FCFA/action signifie que chaque titre génère près d'un centième de sa valeur en bénéfice net, un niveau structurellement faible pour le secteur pétrolier aval. Le PER de 25,3x constitue une prime très nette par rapport à la moyenne BRVM (8-12x), signalant que le marché anticipe une croissance des bénéfices ou, à l'inverse, surévalue le titre au regard de ses fondamentaux actuels. Le P/B de 5,61x (largement supérieur au seuil de 4x) confirme cette valorisation exigeante : le marché paie plus de 5 fois la valeur comptable des fonds propres (27,16 Mds FCFA), ce qui n'est justifiable que par une rentabilité future élevée. Enfin, l'EV/EBITDA de 13,4x, dans la fourchette haute (10-15x), indique que la valeur d'entreprise intègre une prime de qualité opérationnelle, mais laisse peu de marge de sécurité en cas de déception sur les marges.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performance remarquable de **+21,00%**, portant le cours à 2 420 FCFA, malgré un repli de **-2,22%** lors de la dernière séance (J-1), signe d'une prise de profit ponctuelle. Le range de trading est large, avec un plus haut à 2 980 FCFA et un plus bas à 1 840 FCFA, soit une amplitude de 62%, ce qui témoigne d'une forte volatilité directionnelle. La tendance générale est clairement haussière, soutenue par un volume moyen quotidien de 4 968 titres, relativement modeste mais suffisant pour valider le mouvement. Les statistiques descriptives révèlent une **moyenne de 2 234 FCFA** légèrement supérieure à la **médiane et au mode (2 200 FCFA)**, confirmant une asymétrie positive (skewness de 0,951) : les journées de hausse sont moins fréquentes mais plus amples que les journées de baisse. L'écart-type de 243 FCFA (CV = 10,9%) indique une dispersion modérée autour de la moyenne, tandis que le kurtosis de 0,978 (mésokurtique) suggère une distribution proche de la normale, sans risque extrême de pics. La **volatilité annualisée de 44,1%** classe le titre dans la catégorie des valeurs à volatilité élevée (&gt;30%), ce qui implique un risque de marché significatif et justifie une approche prudente en termes de sizing.</w:t>
      </w:r>
    </w:p>
    <w:p>
      <w:pPr>
        <w:spacing w:after="120" w:line="276" w:lineRule="auto"/>
      </w:pPr>
      <w:r>
        <w:t>---</w:t>
      </w:r>
    </w:p>
    <w:p>
      <w:pPr>
        <w:spacing w:after="120" w:line="276" w:lineRule="auto"/>
      </w:pPr>
      <w:r>
        <w:t>## PARTIE 2 : ANALYSE TECHNIQUE DÉTAILLÉE</w:t>
      </w:r>
    </w:p>
    <w:p>
      <w:pPr>
        <w:spacing w:after="120" w:line="276" w:lineRule="auto"/>
      </w:pPr>
      <w:r>
        <w:t>**Moyennes Mobiles** : La MM20 (2 586,75 FCFA) est supérieure à la MM50 (2 404,90 FCFA), et le cours actuel (2 420 FCFA) se situe entre les deux, légèrement au-dessus de la MM50 mais sous la MM20. Cette configuration indique une tendance haussière de fond (MM20 &gt; MM50) mais un essoufflement à court terme, justifiant la décision **Achat** sur horizon moyen, avec une vigilance sur la capacité du cours à reconquérir la MM20.</w:t>
      </w:r>
    </w:p>
    <w:p>
      <w:pPr>
        <w:spacing w:after="120" w:line="276" w:lineRule="auto"/>
      </w:pPr>
      <w:r>
        <w:t>**Bandes de Bollinger** : Le cours (2 420 FCFA) évolue dans la partie basse de la bande (borne supérieure à 2 997,94 FCFA, borne inférieure à 2 175,56 FCFA), à environ 35% de la largeur totale. Cette position neutre, ni surachetée ni survendue, combinée à un écart-type élevé (243 FCFA), traduit une volatilité soutenue sans signal directionnel fort, justifiant la décision **Neutre**.</w:t>
      </w:r>
    </w:p>
    <w:p>
      <w:pPr>
        <w:spacing w:after="120" w:line="276" w:lineRule="auto"/>
      </w:pPr>
      <w:r>
        <w:t>**MACD** : La valeur du MACD (50,595) est nettement inférieure à son signal (92,646), avec un histogramme négatif. Cette divergence baissière indique un ralentissement du momentum haussier, voire un retournement à court terme, ce qui justifie la décision **Vente** à court terme.</w:t>
      </w:r>
    </w:p>
    <w:p>
      <w:pPr>
        <w:spacing w:after="120" w:line="276" w:lineRule="auto"/>
      </w:pPr>
      <w:r>
        <w:t>**RSI** : À 47,987, le RSI se situe dans la zone neutre (30-70), sans signal de surachat (&gt;70) ni de survente (&lt;30). Cette position médiane reflète un équilibre entre acheteurs et vendeurs, justifiant la décision **Neutre** et l'absence de signal directionnel clair.</w:t>
      </w:r>
    </w:p>
    <w:p>
      <w:pPr>
        <w:spacing w:after="120" w:line="276" w:lineRule="auto"/>
      </w:pPr>
      <w:r>
        <w:t>**Stochastique** : Le %K (5,085) et le %D (6,497) sont tous deux en zone de survente extrême (&lt;20), avec un %K légèrement inférieur au %D. Cette configuration suggère un possible rebond technique à court terme, justifiant la décision **Achat** sur un horizon très court.</w:t>
      </w:r>
    </w:p>
    <w:p>
      <w:pPr>
        <w:spacing w:after="120" w:line="276" w:lineRule="auto"/>
      </w:pPr>
      <w:r>
        <w:t>**Conclusion technique** : Les indicateurs sont divergents : les moyennes mobiles et le stochastique plaident pour un achat (tendance de fond haussière, survente extrême), tandis que le MACD signale une vente (momentum négatif) et que le RSI et les Bollinger restent neutres. Cette divergence reflète une phase de consolidation après la forte hausse de +21%, avec un risque de correction à court terme mais un potentiel de rebond technique. La prudence est de mise, et une confirmation par le MACD ou une sortie de la zone de survente stochastique serait nécessaire pour valider un signal d'achat.</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SHEC a réalisé un chiffre d'affaires de **604,978 milliards FCFA**, en très légère hausse de **+0,71%** par rapport à 2024 (600,708 Mds FCFA), traduisant une stagnation de l'activité commerciale. Le résultat net s'établit à **6,028 milliards FCFA**, en progression de **+12,6%**, porté par une amélioration de la marge nette (1,00% contre 0,89% en 2024) et une réduction des charges financières (-17,7%). Le **ROE de 22,20%** (résultat net / capitaux propres de 27,159 Mds FCFA) est excellent (&gt;15%), témoignant d'une création de valeur efficace pour les actionnaires, tandis que le **ROA de 3,11%** reste faible, reflétant la structure très capitalistique du secteur. La marge brute de 9,35% et la marge opérationnelle de 1,93% confirment la faiblesse structurelle des marges dans la distribution pétrolière aval.</w:t>
      </w:r>
    </w:p>
    <w:p>
      <w:pPr>
        <w:spacing w:after="120" w:line="276" w:lineRule="auto"/>
      </w:pPr>
      <w:r>
        <w:t>**Analyse sectorielle (entreprise non bancaire)** : Les délais d'exploitation sont bien maîtrisés : délai clients de 23,27 jours (risque de trésorerie modéré), délai fournisseurs de 35,47 jours (favorable à la trésorerie) et durée de stockage de 7,47 jours (rotation rapide). Cependant, le **BFR de 15,315 Mds FCFA** et le **fonds de roulement négatif de -49,850 Mds FCFA** révèlent une tension sur la trésorerie, confirmée par une **trésorerie nette de -65,264 Mds FCFA**. L'autonomie financière de 14,03% (très inférieure au seuil de 30%) et la dépendance financière de 85,97% indiquent une structure financière fragile, bien que la capacité de remboursement (0,97 an) et la couverture des intérêts (292,84%) restent satisfaisantes.</w:t>
      </w:r>
    </w:p>
    <w:p>
      <w:pPr>
        <w:spacing w:after="120" w:line="276" w:lineRule="auto"/>
      </w:pPr>
      <w:r>
        <w:t>**Estimations basées sur les rapports trimestriels** : Le rapport du **T3 2025 (30/09/2025)** fait état d'un résultat net cumulé de 4,119 Mds FCFA (+45% sur un an), avec une marge nette de 0,91% et un résultat d'exploitation de 8,26 Mds FCFA (+10%). Le rapport du **S1 2026 (30/06/2026)** montre un chiffre d'affaires de 305,038 Mds FCFA (-1%), un résultat d'exploitation de 6,133 Mds FCFA (+17%) et un résultat net de 3,016 Mds FCFA, avec une marge nette de 0,99%. Sur la base de ces tendances, on estime que l'exercice 2026 devrait afficher un chiffre d'affaires stable (autour de 600 Mds FCFA) et un résultat net en légère progression (autour de 6,2-6,5 Mds FCFA), soutenu par la dynamique du butane et des lubrifiants, mais pénalisé par la baisse des volumes aviation et bitume.</w:t>
      </w:r>
    </w:p>
    <w:p>
      <w:pPr>
        <w:spacing w:after="120" w:line="276" w:lineRule="auto"/>
      </w:pPr>
      <w:r>
        <w:t>**Recommandation fondamentale** : La société affiche une rentabilité en amélioration (ROE &gt;20%) et une gestion rigoureuse des charges, mais sa structure financière reste fragile (trésorerie nette négative, endettement élevé) et sa croissance est atone. Le dividende proposé de 6,09 Mds FCFA (rendement d'environ 4% au cours actuel) est attractif mais représente 101% du résultat net, ce qui n'est pas soutenable à long terme. La recommandation fondamentale est **CONSERVER**, avec une préférence pour les investisseurs de rendement, en attendant une clarification sur la réduction de l'endettement et la reprise des volumes.</w:t>
      </w:r>
    </w:p>
    <w:p>
      <w:pPr>
        <w:spacing w:after="120" w:line="276" w:lineRule="auto"/>
      </w:pPr>
      <w:r>
        <w:t>---</w:t>
      </w:r>
    </w:p>
    <w:p>
      <w:pPr>
        <w:spacing w:after="120" w:line="276" w:lineRule="auto"/>
      </w:pPr>
      <w:r>
        <w:t>## PARTIE 4 : CONCLUSION D'INVESTISSEMENT</w:t>
      </w:r>
    </w:p>
    <w:p>
      <w:pPr>
        <w:spacing w:after="120" w:line="276" w:lineRule="auto"/>
      </w:pPr>
      <w:r>
        <w:t>La valorisation de SHEC apparaît **exigeante** : le PER de 25,3x et le P/B de 5,61x intègrent une prime de qualité et de rendement qui contraste avec la faiblesse des marges (1%) et la stagnation du chiffre d'affaires (+0,71% en 2025). Le comportement du cours sur 100 jours est **haussier (+21%)** mais accompagné d'une volatilité élevée (44,1%) et d'une asymétrie positive (skewness de 0,951), suggérant que la hausse récente pourrait être suivie d'une consolidation. Les signaux techniques sont **divergents** : les moyennes mobiles et le stochastique plaident pour un achat, tandis que le MACD signale une vente et que le RSI et les Bollinger restent neutres, ce qui traduit une phase d'incertitude à court terme. Les fondamentaux sont **mitigés** : rentabilité en amélioration (ROE de 22,20%, résultat net +12,6% en 2025) mais structure financière fragile (trésorerie nette de -65,264 Mds FCFA, autonomie financière de 14,03%) et croissance atone. Les **prédictions IA** anticipent une baisse progressive du cours sur 10 jours (de 2 389 FCFA à 2 286 FCFA, soit -5,5%), ce qui **contredit** les signaux d'achat techniques à court terme et confirme la prudence recommandée par le MACD. Sur la base de cette synthèse, la recommandation finale est **CONSERVER**, avec un niveau de confiance **Moyen** et un risque global **Élevé** (volatilité de 44,1%, endettement important, marges faibles). L'horizon d'investissement optimal est le **moyen terme (3-12 mois)**, en attendant la publication des comptes définitifs 2025 et des résultats du S1 2026, qui permettront de confirmer ou d'infirmer la tendance haussière des bénéfices. Un renforcement pourrait être envisagé si le cours revient vers 2 200 FCFA (médiane) et si la trésorerie nette s'améliore, mais une vente est déconseillée à ce stade compte tenu du rendement attractif du dividende (environ 4%).</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10,882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+23.63%</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7,050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7.04% (Moyenne) — μ=8,737 FCFA, σ=615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β=0.8246 (Neutre (suit le marché)) — Cov=0.000056, Var(idx)=0.000068, ρ=0.343,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10,882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8,666</w:t>
            </w:r>
          </w:p>
        </w:tc>
        <w:tc>
          <w:tcPr>
            <w:tcW w:type="dxa" w:w="1440"/>
            <w:shd w:fill="FAFAFA" w:val="clear"/>
          </w:tcPr>
          <w:p>
            <w:r>
              <w:rPr>
                <w:b/>
                <w:sz w:val="17"/>
              </w:rPr>
              <w:t>8,937</w:t>
            </w:r>
          </w:p>
        </w:tc>
        <w:tc>
          <w:tcPr>
            <w:tcW w:type="dxa" w:w="1440"/>
            <w:shd w:fill="FAFAFA" w:val="clear"/>
          </w:tcPr>
          <w:p>
            <w:r>
              <w:rPr>
                <w:sz w:val="17"/>
              </w:rPr>
              <w:t>9,209</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8,494</w:t>
            </w:r>
          </w:p>
        </w:tc>
        <w:tc>
          <w:tcPr>
            <w:tcW w:type="dxa" w:w="1440"/>
            <w:shd w:fill="FAFAFA" w:val="clear"/>
          </w:tcPr>
          <w:p>
            <w:r>
              <w:rPr>
                <w:b/>
                <w:sz w:val="17"/>
              </w:rPr>
              <w:t>8,875</w:t>
            </w:r>
          </w:p>
        </w:tc>
        <w:tc>
          <w:tcPr>
            <w:tcW w:type="dxa" w:w="1440"/>
            <w:shd w:fill="FAFAFA" w:val="clear"/>
          </w:tcPr>
          <w:p>
            <w:r>
              <w:rPr>
                <w:sz w:val="17"/>
              </w:rPr>
              <w:t>9,257</w:t>
            </w:r>
          </w:p>
        </w:tc>
        <w:tc>
          <w:tcPr>
            <w:tcW w:type="dxa" w:w="1440"/>
            <w:shd w:fill="FAFAFA" w:val="clear"/>
          </w:tcPr>
          <w:p>
            <w:r>
              <w:rPr>
                <w:b/>
                <w:color w:val="C00000"/>
                <w:sz w:val="17"/>
              </w:rPr>
              <w:t>-1.4%</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8,344</w:t>
            </w:r>
          </w:p>
        </w:tc>
        <w:tc>
          <w:tcPr>
            <w:tcW w:type="dxa" w:w="1440"/>
            <w:shd w:fill="FFDCE0" w:val="clear"/>
          </w:tcPr>
          <w:p>
            <w:r>
              <w:rPr>
                <w:b/>
                <w:sz w:val="17"/>
              </w:rPr>
              <w:t>8,808</w:t>
            </w:r>
          </w:p>
        </w:tc>
        <w:tc>
          <w:tcPr>
            <w:tcW w:type="dxa" w:w="1440"/>
            <w:shd w:fill="FFDCE0" w:val="clear"/>
          </w:tcPr>
          <w:p>
            <w:r>
              <w:rPr>
                <w:sz w:val="17"/>
              </w:rPr>
              <w:t>9,272</w:t>
            </w:r>
          </w:p>
        </w:tc>
        <w:tc>
          <w:tcPr>
            <w:tcW w:type="dxa" w:w="1440"/>
            <w:shd w:fill="FFDCE0" w:val="clear"/>
          </w:tcPr>
          <w:p>
            <w:r>
              <w:rPr>
                <w:b/>
                <w:color w:val="C00000"/>
                <w:sz w:val="17"/>
              </w:rPr>
              <w:t>-2.1%</w:t>
            </w:r>
          </w:p>
        </w:tc>
      </w:tr>
      <w:tr>
        <w:tc>
          <w:tcPr>
            <w:tcW w:type="dxa" w:w="1440"/>
            <w:shd w:fill="FFDCE0" w:val="clear"/>
          </w:tcPr>
          <w:p>
            <w:r>
              <w:rPr>
                <w:sz w:val="17"/>
              </w:rPr>
              <w:t>J+4  Moyenne</w:t>
            </w:r>
          </w:p>
        </w:tc>
        <w:tc>
          <w:tcPr>
            <w:tcW w:type="dxa" w:w="1440"/>
            <w:shd w:fill="FFDCE0" w:val="clear"/>
          </w:tcPr>
          <w:p>
            <w:r>
              <w:rPr>
                <w:sz w:val="17"/>
              </w:rPr>
              <w:t>2026-10-01</w:t>
            </w:r>
          </w:p>
        </w:tc>
        <w:tc>
          <w:tcPr>
            <w:tcW w:type="dxa" w:w="1440"/>
            <w:shd w:fill="FFDCE0" w:val="clear"/>
          </w:tcPr>
          <w:p>
            <w:r>
              <w:rPr>
                <w:sz w:val="17"/>
              </w:rPr>
              <w:t>8,214</w:t>
            </w:r>
          </w:p>
        </w:tc>
        <w:tc>
          <w:tcPr>
            <w:tcW w:type="dxa" w:w="1440"/>
            <w:shd w:fill="FFDCE0" w:val="clear"/>
          </w:tcPr>
          <w:p>
            <w:r>
              <w:rPr>
                <w:b/>
                <w:sz w:val="17"/>
              </w:rPr>
              <w:t>8,746</w:t>
            </w:r>
          </w:p>
        </w:tc>
        <w:tc>
          <w:tcPr>
            <w:tcW w:type="dxa" w:w="1440"/>
            <w:shd w:fill="FFDCE0" w:val="clear"/>
          </w:tcPr>
          <w:p>
            <w:r>
              <w:rPr>
                <w:sz w:val="17"/>
              </w:rPr>
              <w:t>9,278</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2026-10-02</w:t>
            </w:r>
          </w:p>
        </w:tc>
        <w:tc>
          <w:tcPr>
            <w:tcW w:type="dxa" w:w="1440"/>
            <w:shd w:fill="FFDCE0" w:val="clear"/>
          </w:tcPr>
          <w:p>
            <w:r>
              <w:rPr>
                <w:sz w:val="17"/>
              </w:rPr>
              <w:t>8,100</w:t>
            </w:r>
          </w:p>
        </w:tc>
        <w:tc>
          <w:tcPr>
            <w:tcW w:type="dxa" w:w="1440"/>
            <w:shd w:fill="FFDCE0" w:val="clear"/>
          </w:tcPr>
          <w:p>
            <w:r>
              <w:rPr>
                <w:b/>
                <w:sz w:val="17"/>
              </w:rPr>
              <w:t>8,691</w:t>
            </w:r>
          </w:p>
        </w:tc>
        <w:tc>
          <w:tcPr>
            <w:tcW w:type="dxa" w:w="1440"/>
            <w:shd w:fill="FFDCE0" w:val="clear"/>
          </w:tcPr>
          <w:p>
            <w:r>
              <w:rPr>
                <w:sz w:val="17"/>
              </w:rPr>
              <w:t>9,282</w:t>
            </w:r>
          </w:p>
        </w:tc>
        <w:tc>
          <w:tcPr>
            <w:tcW w:type="dxa" w:w="1440"/>
            <w:shd w:fill="FFDCE0" w:val="clear"/>
          </w:tcPr>
          <w:p>
            <w:r>
              <w:rPr>
                <w:b/>
                <w:color w:val="C00000"/>
                <w:sz w:val="17"/>
              </w:rPr>
              <w:t>-3.4%</w:t>
            </w:r>
          </w:p>
        </w:tc>
      </w:tr>
      <w:tr>
        <w:tc>
          <w:tcPr>
            <w:tcW w:type="dxa" w:w="1440"/>
            <w:shd w:fill="FFDCE0" w:val="clear"/>
          </w:tcPr>
          <w:p>
            <w:r>
              <w:rPr>
                <w:sz w:val="17"/>
              </w:rPr>
              <w:t>J+6  Moyenne</w:t>
            </w:r>
          </w:p>
        </w:tc>
        <w:tc>
          <w:tcPr>
            <w:tcW w:type="dxa" w:w="1440"/>
            <w:shd w:fill="FFDCE0" w:val="clear"/>
          </w:tcPr>
          <w:p>
            <w:r>
              <w:rPr>
                <w:sz w:val="17"/>
              </w:rPr>
              <w:t>2026-10-05</w:t>
            </w:r>
          </w:p>
        </w:tc>
        <w:tc>
          <w:tcPr>
            <w:tcW w:type="dxa" w:w="1440"/>
            <w:shd w:fill="FFDCE0" w:val="clear"/>
          </w:tcPr>
          <w:p>
            <w:r>
              <w:rPr>
                <w:sz w:val="17"/>
              </w:rPr>
              <w:t>7,997</w:t>
            </w:r>
          </w:p>
        </w:tc>
        <w:tc>
          <w:tcPr>
            <w:tcW w:type="dxa" w:w="1440"/>
            <w:shd w:fill="FFDCE0" w:val="clear"/>
          </w:tcPr>
          <w:p>
            <w:r>
              <w:rPr>
                <w:b/>
                <w:sz w:val="17"/>
              </w:rPr>
              <w:t>8,641</w:t>
            </w:r>
          </w:p>
        </w:tc>
        <w:tc>
          <w:tcPr>
            <w:tcW w:type="dxa" w:w="1440"/>
            <w:shd w:fill="FFDCE0" w:val="clear"/>
          </w:tcPr>
          <w:p>
            <w:r>
              <w:rPr>
                <w:sz w:val="17"/>
              </w:rPr>
              <w:t>9,284</w:t>
            </w:r>
          </w:p>
        </w:tc>
        <w:tc>
          <w:tcPr>
            <w:tcW w:type="dxa" w:w="1440"/>
            <w:shd w:fill="FFDCE0" w:val="clear"/>
          </w:tcPr>
          <w:p>
            <w:r>
              <w:rPr>
                <w:b/>
                <w:color w:val="C00000"/>
                <w:sz w:val="17"/>
              </w:rPr>
              <w:t>-4.0%</w:t>
            </w:r>
          </w:p>
        </w:tc>
      </w:tr>
      <w:tr>
        <w:tc>
          <w:tcPr>
            <w:tcW w:type="dxa" w:w="1440"/>
            <w:shd w:fill="FFDCE0" w:val="clear"/>
          </w:tcPr>
          <w:p>
            <w:r>
              <w:rPr>
                <w:sz w:val="17"/>
              </w:rPr>
              <w:t>J+7  Moyenne</w:t>
            </w:r>
          </w:p>
        </w:tc>
        <w:tc>
          <w:tcPr>
            <w:tcW w:type="dxa" w:w="1440"/>
            <w:shd w:fill="FFDCE0" w:val="clear"/>
          </w:tcPr>
          <w:p>
            <w:r>
              <w:rPr>
                <w:sz w:val="17"/>
              </w:rPr>
              <w:t>2026-10-06</w:t>
            </w:r>
          </w:p>
        </w:tc>
        <w:tc>
          <w:tcPr>
            <w:tcW w:type="dxa" w:w="1440"/>
            <w:shd w:fill="FFDCE0" w:val="clear"/>
          </w:tcPr>
          <w:p>
            <w:r>
              <w:rPr>
                <w:sz w:val="17"/>
              </w:rPr>
              <w:t>7,903</w:t>
            </w:r>
          </w:p>
        </w:tc>
        <w:tc>
          <w:tcPr>
            <w:tcW w:type="dxa" w:w="1440"/>
            <w:shd w:fill="FFDCE0" w:val="clear"/>
          </w:tcPr>
          <w:p>
            <w:r>
              <w:rPr>
                <w:b/>
                <w:sz w:val="17"/>
              </w:rPr>
              <w:t>8,595</w:t>
            </w:r>
          </w:p>
        </w:tc>
        <w:tc>
          <w:tcPr>
            <w:tcW w:type="dxa" w:w="1440"/>
            <w:shd w:fill="FFDCE0" w:val="clear"/>
          </w:tcPr>
          <w:p>
            <w:r>
              <w:rPr>
                <w:sz w:val="17"/>
              </w:rPr>
              <w:t>9,286</w:t>
            </w:r>
          </w:p>
        </w:tc>
        <w:tc>
          <w:tcPr>
            <w:tcW w:type="dxa" w:w="1440"/>
            <w:shd w:fill="FFDCE0" w:val="clear"/>
          </w:tcPr>
          <w:p>
            <w:r>
              <w:rPr>
                <w:b/>
                <w:color w:val="C00000"/>
                <w:sz w:val="17"/>
              </w:rPr>
              <w:t>-4.5%</w:t>
            </w:r>
          </w:p>
        </w:tc>
      </w:tr>
      <w:tr>
        <w:tc>
          <w:tcPr>
            <w:tcW w:type="dxa" w:w="1440"/>
            <w:shd w:fill="FFDCE0" w:val="clear"/>
          </w:tcPr>
          <w:p>
            <w:r>
              <w:rPr>
                <w:sz w:val="17"/>
              </w:rPr>
              <w:t>J+8  Moyenne</w:t>
            </w:r>
          </w:p>
        </w:tc>
        <w:tc>
          <w:tcPr>
            <w:tcW w:type="dxa" w:w="1440"/>
            <w:shd w:fill="FFDCE0" w:val="clear"/>
          </w:tcPr>
          <w:p>
            <w:r>
              <w:rPr>
                <w:sz w:val="17"/>
              </w:rPr>
              <w:t>2026-10-07</w:t>
            </w:r>
          </w:p>
        </w:tc>
        <w:tc>
          <w:tcPr>
            <w:tcW w:type="dxa" w:w="1440"/>
            <w:shd w:fill="FFDCE0" w:val="clear"/>
          </w:tcPr>
          <w:p>
            <w:r>
              <w:rPr>
                <w:sz w:val="17"/>
              </w:rPr>
              <w:t>7,817</w:t>
            </w:r>
          </w:p>
        </w:tc>
        <w:tc>
          <w:tcPr>
            <w:tcW w:type="dxa" w:w="1440"/>
            <w:shd w:fill="FFDCE0" w:val="clear"/>
          </w:tcPr>
          <w:p>
            <w:r>
              <w:rPr>
                <w:b/>
                <w:sz w:val="17"/>
              </w:rPr>
              <w:t>8,552</w:t>
            </w:r>
          </w:p>
        </w:tc>
        <w:tc>
          <w:tcPr>
            <w:tcW w:type="dxa" w:w="1440"/>
            <w:shd w:fill="FFDCE0" w:val="clear"/>
          </w:tcPr>
          <w:p>
            <w:r>
              <w:rPr>
                <w:sz w:val="17"/>
              </w:rPr>
              <w:t>9,287</w:t>
            </w:r>
          </w:p>
        </w:tc>
        <w:tc>
          <w:tcPr>
            <w:tcW w:type="dxa" w:w="1440"/>
            <w:shd w:fill="FFDCE0" w:val="clear"/>
          </w:tcPr>
          <w:p>
            <w:r>
              <w:rPr>
                <w:b/>
                <w:color w:val="C00000"/>
                <w:sz w:val="17"/>
              </w:rPr>
              <w:t>-5.0%</w:t>
            </w:r>
          </w:p>
        </w:tc>
      </w:tr>
      <w:tr>
        <w:tc>
          <w:tcPr>
            <w:tcW w:type="dxa" w:w="1440"/>
            <w:shd w:fill="FFDCE0" w:val="clear"/>
          </w:tcPr>
          <w:p>
            <w:r>
              <w:rPr>
                <w:sz w:val="17"/>
              </w:rPr>
              <w:t>J+9  Moyenne</w:t>
            </w:r>
          </w:p>
        </w:tc>
        <w:tc>
          <w:tcPr>
            <w:tcW w:type="dxa" w:w="1440"/>
            <w:shd w:fill="FFDCE0" w:val="clear"/>
          </w:tcPr>
          <w:p>
            <w:r>
              <w:rPr>
                <w:sz w:val="17"/>
              </w:rPr>
              <w:t>2026-10-08</w:t>
            </w:r>
          </w:p>
        </w:tc>
        <w:tc>
          <w:tcPr>
            <w:tcW w:type="dxa" w:w="1440"/>
            <w:shd w:fill="FFDCE0" w:val="clear"/>
          </w:tcPr>
          <w:p>
            <w:r>
              <w:rPr>
                <w:sz w:val="17"/>
              </w:rPr>
              <w:t>7,736</w:t>
            </w:r>
          </w:p>
        </w:tc>
        <w:tc>
          <w:tcPr>
            <w:tcW w:type="dxa" w:w="1440"/>
            <w:shd w:fill="FFDCE0" w:val="clear"/>
          </w:tcPr>
          <w:p>
            <w:r>
              <w:rPr>
                <w:b/>
                <w:sz w:val="17"/>
              </w:rPr>
              <w:t>8,512</w:t>
            </w:r>
          </w:p>
        </w:tc>
        <w:tc>
          <w:tcPr>
            <w:tcW w:type="dxa" w:w="1440"/>
            <w:shd w:fill="FFDCE0" w:val="clear"/>
          </w:tcPr>
          <w:p>
            <w:r>
              <w:rPr>
                <w:sz w:val="17"/>
              </w:rPr>
              <w:t>9,289</w:t>
            </w:r>
          </w:p>
        </w:tc>
        <w:tc>
          <w:tcPr>
            <w:tcW w:type="dxa" w:w="1440"/>
            <w:shd w:fill="FFDCE0" w:val="clear"/>
          </w:tcPr>
          <w:p>
            <w:r>
              <w:rPr>
                <w:b/>
                <w:color w:val="C00000"/>
                <w:sz w:val="17"/>
              </w:rPr>
              <w:t>-5.4%</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7,660</w:t>
            </w:r>
          </w:p>
        </w:tc>
        <w:tc>
          <w:tcPr>
            <w:tcW w:type="dxa" w:w="1440"/>
            <w:shd w:fill="FFDCE0" w:val="clear"/>
          </w:tcPr>
          <w:p>
            <w:r>
              <w:rPr>
                <w:b/>
                <w:sz w:val="17"/>
              </w:rPr>
              <w:t>8,475</w:t>
            </w:r>
          </w:p>
        </w:tc>
        <w:tc>
          <w:tcPr>
            <w:tcW w:type="dxa" w:w="1440"/>
            <w:shd w:fill="FFDCE0" w:val="clear"/>
          </w:tcPr>
          <w:p>
            <w:r>
              <w:rPr>
                <w:sz w:val="17"/>
              </w:rPr>
              <w:t>9,290</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900,00 Mds FCFA, SIBC figure parmi les valeurs les plus capitalisées de la BRVM, ce qui en fait un pilier du compartiment bancaire régional et un titre de référence pour les investisseurs institutionnels. Le BPA de 556 FCFA/action signifie que chaque titre génère près de 556 FCFA de bénéfice net, un niveau élevé qui traduit la forte rentabilité de la banque. Le PER de 16,2x se situe nettement au-dessus de la moyenne du marché BRVM (8-12x), ce qui indique que les investisseurs acceptent de payer une prime significative pour cette valeur bancaire de qualité — la valorisation n'est donc pas bon marché, mais reste défendable au regard de la croissance. Le P/B de 4,40x confirme cette prime : le marché valorise SIBC à plus de quatre fois sa valeur comptable, un niveau exigeant qui reflète la confiance dans la qualité des fonds propres et la rentabilité future. Enfin, l'EV/EBITDA de 15,0x apparaît très exigeant, signalant que la valeur d'entreprise intègre déjà une bonne partie des performances opérationnelles attendues ; toute déception sur les résultats exposerait le titre à une correction.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SIBC affiche une progression remarquable de +23,63%, avec une dernière séance en hausse de +1,12%, confirmant une dynamique haussière toujours active. Le cours actuel de 9 000 FCFA se situe dans la partie haute du range de trading établi entre un plus bas de 7 050 FCFA et un plus haut de 9 500 FCFA, ce qui traduit une tendance clairement haussière sur la période, portée par la bonne orientation des fondamentaux bancaires. Les statistiques descriptives révèlent une moyenne de 8 737 FCFA légèrement inférieure à la médiane de 8 900 FCFA, signe d'une distribution asymétrique où quelques séances de forte baisse tirent la moyenne vers le bas — ce que confirme le skewness négatif de -1,545, indiquant davantage de journées au-dessus de la moyenne mais avec des baisses plus marquées. L'écart-type de 618 FCFA (CV de 7,1%) traduit une dispersion modérée du cours autour de sa tendance, tandis que le kurtosis de 1,287 (leptokurtique) signale des queues épaisses, donc un risque de pics de volatilité brutaux qu'il convient d'anticiper. La volatilité annualisée de 31,2% place le titre dans la catégorie des valeurs à volatilité élevée (&gt;30%), ce qui est cohérent avec un titre ayant gagné près d'un quart de sa valeur en trois mois et exposé aux mouvements de flux institutionnels.</w:t>
      </w:r>
    </w:p>
    <w:p>
      <w:pPr>
        <w:spacing w:after="120" w:line="276" w:lineRule="auto"/>
      </w:pPr>
      <w:r>
        <w:t>---</w:t>
      </w:r>
    </w:p>
    <w:p>
      <w:pPr>
        <w:spacing w:after="120" w:line="276" w:lineRule="auto"/>
      </w:pPr>
      <w:r>
        <w:t>## PARTIE 2 : ANALYSE TECHNIQUE DÉTAILLÉE</w:t>
      </w:r>
    </w:p>
    <w:p>
      <w:pPr>
        <w:spacing w:after="120" w:line="276" w:lineRule="auto"/>
      </w:pPr>
      <w:r>
        <w:t>**Moyennes Mobiles** : La MM20 (9 143,5 FCFA) et la MM50 (9 090,4 FCFA) se situent toutes deux au-dessus du cours actuel (9 000 FCFA), ce qui signifie que le titre évolue légèrement sous ses moyennes de court et moyen terme. Malgré cette configuration, la décision fournie est « Achat », probablement parce que la MM20 reste supérieure à la MM50 (croisement haussier structurel) et que le cours demeure dans une tendance de fond positive. La proximité du cours avec ces moyennes suggère une phase de consolidation plutôt qu'un retournement.</w:t>
      </w:r>
    </w:p>
    <w:p>
      <w:pPr>
        <w:spacing w:after="120" w:line="276" w:lineRule="auto"/>
      </w:pPr>
      <w:r>
        <w:t>**Bandes de Bollinger** : Le cours (9 000 FCFA) se situe entre la borne inférieure (8 772,455 FCFA) et la borne supérieure (9 514,545 FCFA), plus proche du bas que du haut de la bande, ce qui traduit une pression vendeuse récente mais sans rupture. L'amplitude de la bande (environ 742 FCFA) reflète une volatilité encore significative. La décision « Neutre » est cohérente : le titre n'est ni en surachat ni en survente, et se trouve dans une zone d'indécision.</w:t>
      </w:r>
    </w:p>
    <w:p>
      <w:pPr>
        <w:spacing w:after="120" w:line="276" w:lineRule="auto"/>
      </w:pPr>
      <w:r>
        <w:t>**MACD** : La valeur du MACD (-50,986) est nettement inférieure à son signal (-6,705), ce qui constitue une configuration baissière classique : le momentum s'affaiblit et la pression vendeuse domine à court terme. La décision « Vente » confirme ce diagnostic, et la divergence négative croissante entre les deux lignes invite à la prudence avant tout renforcement de position.</w:t>
      </w:r>
    </w:p>
    <w:p>
      <w:pPr>
        <w:spacing w:after="120" w:line="276" w:lineRule="auto"/>
      </w:pPr>
      <w:r>
        <w:t>**RSI** : À 46,97, le RSI se situe dans la zone neutre (30-70), légèrement sous le seuil médian de 50, ce qui indique un léger avantage aux vendeurs sans excès. La décision « Neutre » est appropriée : ni surachat ni survente, le titre dispose d'un potentiel de rebond comme de repli.</w:t>
      </w:r>
    </w:p>
    <w:p>
      <w:pPr>
        <w:spacing w:after="120" w:line="276" w:lineRule="auto"/>
      </w:pPr>
      <w:r>
        <w:t>**Stochastique** : Le %K (62,025) est supérieur au %D (37,131), configuration haussière suggérant un croisement récent à la hausse et un possible retournement positif du momentum de court terme. La décision « Neutre » tempère toutefois ce signal, car les deux lignes restent dans une zone médiane sans confirmation franche.</w:t>
      </w:r>
    </w:p>
    <w:p>
      <w:pPr>
        <w:spacing w:after="120" w:line="276" w:lineRule="auto"/>
      </w:pPr>
      <w:r>
        <w:t>**Conclusion technique** : Les indicateurs sont globalement partagés — les moyennes mobiles et le stochastique plaident pour un maintien haussier, tandis que le MACD signale un affaiblissement du momentum et que le RSI et les Bollinger restent neutres. Le titre se trouve dans une phase de consolidation après sa forte hausse, avec un risque de correction à court terme mais une structure de fond encore positive. La prudence est de mise avant d'initier de nouvelles positions.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SIBC affiche un Produit Net Bancaire (équivalent du chiffre d'affaires pour une banque) de 108,663 Mds FCFA, un résultat net de 55,623 Mds FCFA et une marge nette exceptionnelle de 51,19%. Le ROE s'établit à 27,16% — largement supérieur au seuil de 15% considéré comme excellent — et le ROA à 2,96%, confirmant une rentabilité des actifs solide. Le coefficient d'exploitation de 38,59% est remarquablement bas (très en dessous du seuil de 60% d'efficacité), signe d'une banque extrêmement bien gérée sur le plan des coûts. Le taux de croissance du PNB de 5,74% traduit une dynamique commerciale positive. Le bilan est dominé par les dépôts clientèle (1 503,441 Mds FCFA) contre des créances clientèle de 1 226,720 Mds FCFA, soit un ratio de transformation (crédits/dépôts) d'environ 82%, indiquant une utilisation saine des ressources collectées. Le portefeuille de titres d'État (375,561 Mds FCFA) et la caisse (98,820 Mds FCFA) renforcent la liquidité. Le ratio d'autonomie financière de 10,88% est faible, mais c'est structurel pour une banque dont le modèle repose sur la collecte de dépôts ; la solvabilité générale de 112,21% confirme la capacité à couvrir les dettes.</w:t>
      </w:r>
    </w:p>
    <w:p>
      <w:pPr>
        <w:spacing w:after="120" w:line="276" w:lineRule="auto"/>
      </w:pPr>
      <w:r>
        <w:t>**Estimations basées sur les rapports trimestriels** : Le rapport du T1 2026 (publié en 2026) indique un résultat net de 15,2 Mds FCFA en hausse de +11% et un PNB de 27,7 Mds FCFA en progression de +4%, avec des dépôts clientèle à 1 495 Mds FCFA (+9%) et des crédits à 1 112 Mds FCFA (+7%). Sur cette base, on peut estimer que l'exercice 2026 devrait enregistrer un PNB annuel d'environ 112-115 Mds FCFA et un résultat net proche de 60-62 Mds FCFA, en poursuite de la tendance haussière. Le rapport du T3 2025 (daté du 30/09/2025) confirmait déjà cette dynamique avec un PNB cumulé de 81,4 Mds FCFA (+8%) et un résultat net de 43,0 Mds FCFA (+11%). Le rapport annuel 2024 (daté du 31/12/2024) faisait état d'un PNB de 102,8 Mds FCFA et d'un résultat net de 50,2 Mds FCFA, avec un ROE de 30,56% et un dividende brut de 375 FCFA/action (rendement ~10,55% sur la base du cours de fin 2024). L'évolution sur trois ans montre une croissance régulière et une rentabilité constamment supérieure à 27%, ce qui positionne SIBC parmi les meilleures banques de la BRVM.</w:t>
      </w:r>
    </w:p>
    <w:p>
      <w:pPr>
        <w:spacing w:after="120" w:line="276" w:lineRule="auto"/>
      </w:pPr>
      <w:r>
        <w:t>**Recommandation fondamentale** : SIBC présente des fondamentaux exceptionnels — rentabilité élevée, efficacité opérationnelle remarquable, croissance soutenue et solidité bilancielle. Les principaux risques identifiés dans les rapports sont le risque de crédit (lié à la croissance des encours), la pression concurrentielle et la dépendance à l'économie ivoirienne. La valorisation exigeante (PER 16,2x, P/B 4,40x) intègre déjà ces bonnes performances, ce qui limite le potentiel de réévaluation à court terme. La recommandation fondamentale est **CONSERVER** avec un biais positif pour les investisseurs déjà positionnés, en attendant une correction ou la confirmation des résultats semestriels 2026.</w:t>
      </w:r>
    </w:p>
    <w:p>
      <w:pPr>
        <w:spacing w:after="120" w:line="276" w:lineRule="auto"/>
      </w:pPr>
      <w:r>
        <w:t>---</w:t>
      </w:r>
    </w:p>
    <w:p>
      <w:pPr>
        <w:spacing w:after="120" w:line="276" w:lineRule="auto"/>
      </w:pPr>
      <w:r>
        <w:t>## PARTIE 4 : CONCLUSION D'INVESTISSEMENT</w:t>
      </w:r>
    </w:p>
    <w:p>
      <w:pPr>
        <w:spacing w:after="120" w:line="276" w:lineRule="auto"/>
      </w:pPr>
      <w:r>
        <w:t>La valorisation de SIBC (PER 16,2x, P/B 4,40x, EV/EBITDA 15,0x) indique une surévaluation relative par rapport à la moyenne du marché BRVM, mais cette prime se justifie par la qualité exceptionnelle des fondamentaux (ROE 27,16%, coefficient d'exploitation 38,59%, marge nette 51,19%). Le comportement du cours sur 100 jours est haussier (+23,63%) avec une volatilité élevée (31,2%) et un skewness négatif (-1,545) qui signale des baisses plus marquées que les hausses — un profil de risque à surveiller. Les signaux techniques sont mitigés : les moyennes mobiles et le stochastique sont haussiers, mais le MACD est baissier et le RSI/Bollinger sont neutres, ce qui suggère une consolidation avant une nouvelle impulsion. Les fondamentaux restent solides et les estimations basées sur le T1 2026 (+11% de résultat net) confirment la poursuite de la croissance. Les prédictions IA pour les 10 prochains jours (8 937 → 8 691 FCFA) anticipent une légère correction baissière d'environ 3,4%, ce qui contredit les signaux haussiers de court terme mais s'aligne sur le MACD baissier et la phase de consolidation technique. **Recommandation finale : CONSERVER** — la convergence entre des fondamentaux excellents et une technique en consolidation, couplée à une prédiction baissière de court terme, ne justifie pas un achat agressif à ces niveaux. Les investisseurs déjà positionnés peuvent conserver pour bénéficier de la croissance et du dividende attractif, tandis que les nouveaux entrants devraient attendre une correction vers 8 700-8 800 FCFA pour améliorer leur point d'entrée. Le niveau de confiance est **Moyen** (fondamentaux solides mais valorisation tendue et signaux techniques divergents), le risque global est **Moyen à Élevé** (volatilité 31,2%, kurtosis leptokurtique), et l'horizon d'investissement optimal est le **moyen terme (3-12 mois)** pour capturer la croissance bénéficiaire tout en laissant la consolidation technique se résorber.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β=-1.0111 (Contre-cyclique) — Cov=-0.000037, Var(idx)=0.000037, ρ=-0.168, n=92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5,771</w:t>
            </w:r>
          </w:p>
        </w:tc>
        <w:tc>
          <w:tcPr>
            <w:tcW w:type="dxa" w:w="1440"/>
            <w:shd w:fill="FFDCE0" w:val="clear"/>
          </w:tcPr>
          <w:p>
            <w:r>
              <w:rPr>
                <w:b/>
                <w:sz w:val="17"/>
              </w:rPr>
              <w:t>7,347</w:t>
            </w:r>
          </w:p>
        </w:tc>
        <w:tc>
          <w:tcPr>
            <w:tcW w:type="dxa" w:w="1440"/>
            <w:shd w:fill="FFDCE0" w:val="clear"/>
          </w:tcPr>
          <w:p>
            <w:r>
              <w:rPr>
                <w:sz w:val="17"/>
              </w:rPr>
              <w:t>8,922</w:t>
            </w:r>
          </w:p>
        </w:tc>
        <w:tc>
          <w:tcPr>
            <w:tcW w:type="dxa" w:w="1440"/>
            <w:shd w:fill="FFDCE0" w:val="clear"/>
          </w:tcPr>
          <w:p>
            <w:r>
              <w:rPr>
                <w:b/>
                <w:color w:val="C00000"/>
                <w:sz w:val="17"/>
              </w:rPr>
              <w:t>-12.5%</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5,603</w:t>
            </w:r>
          </w:p>
        </w:tc>
        <w:tc>
          <w:tcPr>
            <w:tcW w:type="dxa" w:w="1440"/>
            <w:shd w:fill="FFDCE0" w:val="clear"/>
          </w:tcPr>
          <w:p>
            <w:r>
              <w:rPr>
                <w:b/>
                <w:sz w:val="17"/>
              </w:rPr>
              <w:t>7,239</w:t>
            </w:r>
          </w:p>
        </w:tc>
        <w:tc>
          <w:tcPr>
            <w:tcW w:type="dxa" w:w="1440"/>
            <w:shd w:fill="FFDCE0" w:val="clear"/>
          </w:tcPr>
          <w:p>
            <w:r>
              <w:rPr>
                <w:sz w:val="17"/>
              </w:rPr>
              <w:t>8,876</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(SICC)**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un niveau modeste qui positionne le titre parmi les petites capitalisations de la BRVM, avec une liquidité limitée (120 titres échangés en moyenne par jour). Les ratios de valorisation boursière (BPA, PER, P/B, EV/EBITDA) ne sont pas calculables en l'absence de données financières structurées récentes et de cours de référence consolidés dans la base. Toutefois, en croisant le résultat net 2023 de 19,25 millions FCFA (rapport MISTRAL du 15/03/2026) avec le nombre d'actions déduit du capital social de 1,5 milliard FCFA, le BPA ressortirait à un niveau très faible, impliquant un PER élevé et une valorisation tendue par rapport aux bénéfices. Le marché valorise donc davantage le potentiel de redressement et la rareté du flottant que la rentabilité actuelle, ce qui invite à la prudence sur la notion de « bon prix » en l'absence de ratios confirmés.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+95,35%, passant d'un plus bas de 3 985 FCFA à un plus haut de 10 200 FCFA, pour un cours actuel de 8 400 FCFA, en léger repli de -1,12% sur la dernière séance. Ce range de trading particulièrement large (2,56x entre le plus bas et le plus haut) traduit une tendance nettement haussière, mais aussi une forte nervosité du titre. Les statistiques descriptives confirment cette asymétrie : la moyenne (5 815 FCFA) est supérieure à la médiane (5 022 FCFA), signe d'une distribution tirée vers le haut par des pics récents, tandis que le mode à 4 380 FCFA rappelle que le titre a longtemps stagné à des niveaux bien inférieurs. L'écart-type de 1 813 FCFA et le coefficient de variation de 31,2% indiquent une dispersion élevée du cours, cohérente avec une volatilité annualisée de 58,2% — un niveau très élevé (&gt;30%), caractéristique d'une petite capitalisation speculative. Le kurtosis de -0,630 (mésokurtique) suggère une distribution proche de la normale, sans pics extrêmes marqués, tandis que le skewness positif de 0,913 signale une asymétrie à droite : les journées sous la moyenne sont plus fréquentes, mais les hausses, lorsqu'elles surviennent, sont amples. Cette configuration est typique d'un rallye porté par des volumes faibles et une liquidité restreinte.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 FCFA) et la MM50 (7 205 FCFA) sont toutes deux inférieures au cours actuel (8 400 FCFA), avec une MM20 légèrement au-dessus du prix, ce qui traduit un essoufflement de court terme après le rallye. La configuration haussière des moyennes (MM20 &gt; MM50) reste toutefois intacte, justifiant la décision « Achat » fournie, mais la proximité du cours avec la MM20 appelle à la vigilance.</w:t>
      </w:r>
    </w:p>
    <w:p>
      <w:pPr>
        <w:spacing w:after="120" w:line="276" w:lineRule="auto"/>
      </w:pPr>
      <w:r>
        <w:t>**Bandes de Bollinger** : Le cours (8 400 FCFA) évolue dans la partie haute du canal, entre la borne inférieure (7 354,78 FCFA) et la borne supérieure (9 589,72 FCFA), sans franchissement de cette dernière. Cette position médiane-haute, combinée à un écartement important des bandes, reflète une volatilité élevée mais sans signal de surachat extrême, d'où la décision « Neutre ».</w:t>
      </w:r>
    </w:p>
    <w:p>
      <w:pPr>
        <w:spacing w:after="120" w:line="276" w:lineRule="auto"/>
      </w:pPr>
      <w:r>
        <w:t>**MACD** : La valeur du MACD (272,76) est inférieure à son signal (364,42), générant un croisement baissier et une décision « Vente ». Cette divergence négative indique un essoufflement du momentum haussier, bien que le MACD reste en territoire positif, ce qui tempère la portée du signal.</w:t>
      </w:r>
    </w:p>
    <w:p>
      <w:pPr>
        <w:spacing w:after="120" w:line="276" w:lineRule="auto"/>
      </w:pPr>
      <w:r>
        <w:t>**RSI** : À 61,16, le RSI se situe en zone neutre-haute, sans atteindre le seuil de surachat (70). La décision « Neutre » reflète un équilibre entre la dynamique haussière récente et l'absence de pression acheteuse excessive, laissant une marge de progression théorique.</w:t>
      </w:r>
    </w:p>
    <w:p>
      <w:pPr>
        <w:spacing w:after="120" w:line="276" w:lineRule="auto"/>
      </w:pPr>
      <w:r>
        <w:t>**Stochastique** : Avec un %K à 85,71 et un %D à 94,76, l'indicateur est en zone de surachat marquée, et le %K sous le %D suggère un croisement baissier imminent. La décision « Vente » est cohérente avec ce signal de retournement de court terme.</w:t>
      </w:r>
    </w:p>
    <w:p>
      <w:pPr>
        <w:spacing w:after="120" w:line="276" w:lineRule="auto"/>
      </w:pPr>
      <w:r>
        <w:t>**Conclusion technique** : Les indicateurs sont divergents — les moyennes mobiles restent haussières, mais le MACD et le stochastique émettent des signaux de vente, tandis que le RSI et les Bollinger sont neutres. Cette configuration suggère une consolidation voire une correction de court terme après le rallye, sans invalider la tendance de fond tant que la MM50 (7 205 FCFA) n'est pas cassée.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L'analyse fondamentale de SICOR s'appuie sur les rapports officiels disponibles, dont les plus récents remontent à l'exercice 2023 (rapport MISTRAL du 15/03/2026) et à l'exercice 2024 (rapport GEMINI-VISION du 06/09/2026, partiellement tronqué). **En 2023**, le chiffre d'affaires s'est établi à 701,09 millions FCFA, en chute de 38,4% par rapport aux 1 138,17 millions FCFA de 2022, sous l'effet d'un effondrement des ventes d'huile de coprah (-98,82%) et de tourteaux (-86,03%), partiellement compensé par la stabilité des ventes de noix de coco (326 millions FCFA). Le résultat net est redevenu positif à **+19,25 millions FCFA**, contre une perte de -39,95 millions FCFA en 2022, grâce à une réduction drastique des charges (-43,68%) et à des reprises de provisions (+7,23 millions FCFA). La marge nette reste toutefois faible à **2,75%**, très inférieure aux standards du secteur agro-industriel ouest-africain (5-10%). **En 2022**, le chiffre d'affaires de 1 138,17 millions FCFA avait déjà reculé de 17,58% sur un an, et la perte nette de -39,95 millions FCFA (marge de -3,51%) marquait une rupture après quatre exercices bénéficiaires (2018-2021). L'évolution historique montre une grande volatilité : résultat net de +989 millions FCFA en 2018, +2,35 millions en 2019, +109,8 millions en 2020, +119,2 millions en 2021, puis -39,95 millions en 2022 et +19,25 millions en 2023. Les capitaux propres s'élevaient à 3,12 milliards FCFA en 2021 (rapport du 15/03/2026), mais le report à nouveau reste négatif (-689,86 millions FCFA en 2023), ce qui interdit toute distribution de dividende — situation inchangée depuis 2017. Les risques identifiés sont opérationnels (vols de noix de coco ayant entraîné l'arrêt du site de Boulay, réduction des surfaces cultivables), financiers (découverts bancaires multipliés par 14, trésorerie tendue) et concurrentiels (perte de parts de marché face à SIFCA ou Olam). Les perspectives reposent sur la diversification (valorisation des tourteaux, relance de l'export d'huile de coprah) et la modernisation, mais la rentabilité demeure fragile et dépendante de la maîtrise des coûts. **Recommandation fondamentale : CONSERVER avec vigilance**, en l'absence de dividende et de visibilité sur la résorption des pertes cumulées avant 2026-2027.</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contrasté. **Sur le plan de la valorisation (Partie 0)**, l'absence de ratios calculables et le niveau élevé implicite du PER par rapport à un BPA très faible suggèrent une surévaluation relative aux bénéfices actuels, le marché anticipant un redressement non encore confirmé. **Le comportement du cours (Partie 1)** est celui d'un rallye exceptionnel (+95,35%) porté par une volatilité très élevée (58,2%) et une asymétrie positive (skewness 0,913), avec une distribution proche de la normale (kurtosis -0,630) — des statistiques favorables à la tendance mais préoccupantes pour la gestion du risque. **Les signaux techniques (Partie 2)** sont divergents : les moyennes mobiles restent haussières, mais le MACD et le stochastique émettent des signaux de vente, le RSI et les Bollinger étant neutres — configuration de consolidation probable. **Les fondamentaux (Partie 3)** montrent un retour à la profitabilité en 2023 (+19,25 millions FCFA) mais une rentabilité fragile (marge nette 2,75%), des pertes cumulées non résorbées et une absence de dividende depuis 2017, ce qui limite l'attrait pour un investisseur de long terme. **Les prédictions IA (J+1 à J+10)** anticipent une baisse vers 7 347 FCFA puis 7 239 FCFA, confirmant la pression baissière de court terme signalée par le MACD et le stochastique. **Recommandation finale : CONSERVER**, avec un biais baissier de court terme. La convergence entre la technique (signaux de vente), la prédiction IA (repli attendu) et la fragilité fondamentale plaide contre un achat au cours actuel de 8 400 FCFA, tandis que la tendance de fond haussière et le potentiel de redressement interdisent une vente franche. **Niveau de confiance : Moyen** — les signaux sont cohérents mais la faible liquidité et l'absence de ratios de valorisation fiables introduisent une incertitude. **Niveau de risque global : Élevé** (volatilité 58,2%, petite capitalisation, fondamentaux fragiles). **Horizon d'investissement suggéré : moyen terme (3-12 mois)**, en attendant la confirmation d'un rebond durable des volumes et de la rentabilité, avec un point d'entrée plus favorable vers 7 200-7 400 FCFA (zone de la MM50 et des prédictions IA).</w:t>
      </w:r>
    </w:p>
    <w:p>
      <w:pPr>
        <w:spacing w:after="120" w:line="276" w:lineRule="auto"/>
      </w:pPr>
      <w:r>
        <w: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5,638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-27.93%</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11.31% (Moyenne) — μ=2,471 FCFA, σ=279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β=0.6031 (Défensif) — Cov=0.000041, Var(idx)=0.000068, ρ=0.152,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annualisée≈51.9%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1,928</w:t>
            </w:r>
          </w:p>
        </w:tc>
        <w:tc>
          <w:tcPr>
            <w:tcW w:type="dxa" w:w="1440"/>
            <w:shd w:fill="FAFAFA" w:val="clear"/>
          </w:tcPr>
          <w:p>
            <w:r>
              <w:rPr>
                <w:b/>
                <w:sz w:val="17"/>
              </w:rPr>
              <w:t>2,011</w:t>
            </w:r>
          </w:p>
        </w:tc>
        <w:tc>
          <w:tcPr>
            <w:tcW w:type="dxa" w:w="1440"/>
            <w:shd w:fill="FAFAFA" w:val="clear"/>
          </w:tcPr>
          <w:p>
            <w:r>
              <w:rPr>
                <w:sz w:val="17"/>
              </w:rPr>
              <w:t>2,093</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1,884</w:t>
            </w:r>
          </w:p>
        </w:tc>
        <w:tc>
          <w:tcPr>
            <w:tcW w:type="dxa" w:w="1440"/>
            <w:shd w:fill="FAFAFA" w:val="clear"/>
          </w:tcPr>
          <w:p>
            <w:r>
              <w:rPr>
                <w:b/>
                <w:sz w:val="17"/>
              </w:rPr>
              <w:t>2,000</w:t>
            </w:r>
          </w:p>
        </w:tc>
        <w:tc>
          <w:tcPr>
            <w:tcW w:type="dxa" w:w="1440"/>
            <w:shd w:fill="FAFAFA" w:val="clear"/>
          </w:tcPr>
          <w:p>
            <w:r>
              <w:rPr>
                <w:sz w:val="17"/>
              </w:rPr>
              <w:t>2,116</w:t>
            </w:r>
          </w:p>
        </w:tc>
        <w:tc>
          <w:tcPr>
            <w:tcW w:type="dxa" w:w="1440"/>
            <w:shd w:fill="FAFAFA" w:val="clear"/>
          </w:tcPr>
          <w:p>
            <w:r>
              <w:rPr>
                <w:b/>
                <w:color w:val="C00000"/>
                <w:sz w:val="17"/>
              </w:rPr>
              <w:t>-0.0%</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1,848</w:t>
            </w:r>
          </w:p>
        </w:tc>
        <w:tc>
          <w:tcPr>
            <w:tcW w:type="dxa" w:w="1440"/>
            <w:shd w:fill="FAFAFA" w:val="clear"/>
          </w:tcPr>
          <w:p>
            <w:r>
              <w:rPr>
                <w:b/>
                <w:sz w:val="17"/>
              </w:rPr>
              <w:t>1,990</w:t>
            </w:r>
          </w:p>
        </w:tc>
        <w:tc>
          <w:tcPr>
            <w:tcW w:type="dxa" w:w="1440"/>
            <w:shd w:fill="FAFAFA" w:val="clear"/>
          </w:tcPr>
          <w:p>
            <w:r>
              <w:rPr>
                <w:sz w:val="17"/>
              </w:rPr>
              <w:t>2,132</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1,818</w:t>
            </w:r>
          </w:p>
        </w:tc>
        <w:tc>
          <w:tcPr>
            <w:tcW w:type="dxa" w:w="1440"/>
            <w:shd w:fill="FAFAFA" w:val="clear"/>
          </w:tcPr>
          <w:p>
            <w:r>
              <w:rPr>
                <w:b/>
                <w:sz w:val="17"/>
              </w:rPr>
              <w:t>1,981</w:t>
            </w:r>
          </w:p>
        </w:tc>
        <w:tc>
          <w:tcPr>
            <w:tcW w:type="dxa" w:w="1440"/>
            <w:shd w:fill="FAFAFA" w:val="clear"/>
          </w:tcPr>
          <w:p>
            <w:r>
              <w:rPr>
                <w:sz w:val="17"/>
              </w:rPr>
              <w:t>2,143</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1,791</w:t>
            </w:r>
          </w:p>
        </w:tc>
        <w:tc>
          <w:tcPr>
            <w:tcW w:type="dxa" w:w="1440"/>
            <w:shd w:fill="FAFAFA" w:val="clear"/>
          </w:tcPr>
          <w:p>
            <w:r>
              <w:rPr>
                <w:b/>
                <w:sz w:val="17"/>
              </w:rPr>
              <w:t>1,972</w:t>
            </w:r>
          </w:p>
        </w:tc>
        <w:tc>
          <w:tcPr>
            <w:tcW w:type="dxa" w:w="1440"/>
            <w:shd w:fill="FAFAFA" w:val="clear"/>
          </w:tcPr>
          <w:p>
            <w:r>
              <w:rPr>
                <w:sz w:val="17"/>
              </w:rPr>
              <w:t>2,153</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1,765</w:t>
            </w:r>
          </w:p>
        </w:tc>
        <w:tc>
          <w:tcPr>
            <w:tcW w:type="dxa" w:w="1440"/>
            <w:shd w:fill="FAFAFA" w:val="clear"/>
          </w:tcPr>
          <w:p>
            <w:r>
              <w:rPr>
                <w:b/>
                <w:sz w:val="17"/>
              </w:rPr>
              <w:t>1,963</w:t>
            </w:r>
          </w:p>
        </w:tc>
        <w:tc>
          <w:tcPr>
            <w:tcW w:type="dxa" w:w="1440"/>
            <w:shd w:fill="FAFAFA" w:val="clear"/>
          </w:tcPr>
          <w:p>
            <w:r>
              <w:rPr>
                <w:sz w:val="17"/>
              </w:rPr>
              <w:t>2,160</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1,742</w:t>
            </w:r>
          </w:p>
        </w:tc>
        <w:tc>
          <w:tcPr>
            <w:tcW w:type="dxa" w:w="1440"/>
            <w:shd w:fill="FFDCE0" w:val="clear"/>
          </w:tcPr>
          <w:p>
            <w:r>
              <w:rPr>
                <w:b/>
                <w:sz w:val="17"/>
              </w:rPr>
              <w:t>1,954</w:t>
            </w:r>
          </w:p>
        </w:tc>
        <w:tc>
          <w:tcPr>
            <w:tcW w:type="dxa" w:w="1440"/>
            <w:shd w:fill="FFDCE0" w:val="clear"/>
          </w:tcPr>
          <w:p>
            <w:r>
              <w:rPr>
                <w:sz w:val="17"/>
              </w:rPr>
              <w:t>2,167</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1,720</w:t>
            </w:r>
          </w:p>
        </w:tc>
        <w:tc>
          <w:tcPr>
            <w:tcW w:type="dxa" w:w="1440"/>
            <w:shd w:fill="FFDCE0" w:val="clear"/>
          </w:tcPr>
          <w:p>
            <w:r>
              <w:rPr>
                <w:b/>
                <w:sz w:val="17"/>
              </w:rPr>
              <w:t>1,946</w:t>
            </w:r>
          </w:p>
        </w:tc>
        <w:tc>
          <w:tcPr>
            <w:tcW w:type="dxa" w:w="1440"/>
            <w:shd w:fill="FFDCE0" w:val="clear"/>
          </w:tcPr>
          <w:p>
            <w:r>
              <w:rPr>
                <w:sz w:val="17"/>
              </w:rPr>
              <w:t>2,172</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1,699</w:t>
            </w:r>
          </w:p>
        </w:tc>
        <w:tc>
          <w:tcPr>
            <w:tcW w:type="dxa" w:w="1440"/>
            <w:shd w:fill="FFDCE0" w:val="clear"/>
          </w:tcPr>
          <w:p>
            <w:r>
              <w:rPr>
                <w:b/>
                <w:sz w:val="17"/>
              </w:rPr>
              <w:t>1,937</w:t>
            </w:r>
          </w:p>
        </w:tc>
        <w:tc>
          <w:tcPr>
            <w:tcW w:type="dxa" w:w="1440"/>
            <w:shd w:fill="FFDCE0" w:val="clear"/>
          </w:tcPr>
          <w:p>
            <w:r>
              <w:rPr>
                <w:sz w:val="17"/>
              </w:rPr>
              <w:t>2,176</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1,678</w:t>
            </w:r>
          </w:p>
        </w:tc>
        <w:tc>
          <w:tcPr>
            <w:tcW w:type="dxa" w:w="1440"/>
            <w:shd w:fill="FFDCE0" w:val="clear"/>
          </w:tcPr>
          <w:p>
            <w:r>
              <w:rPr>
                <w:b/>
                <w:sz w:val="17"/>
              </w:rPr>
              <w:t>1,929</w:t>
            </w:r>
          </w:p>
        </w:tc>
        <w:tc>
          <w:tcPr>
            <w:tcW w:type="dxa" w:w="1440"/>
            <w:shd w:fill="FFDCE0" w:val="clear"/>
          </w:tcPr>
          <w:p>
            <w:r>
              <w:rPr>
                <w:sz w:val="17"/>
              </w:rPr>
              <w:t>2,180</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 RAPPORT D'ANALYSE FINANCIÈRE — ERIUM CÔTE D'IVOIRE (SIVC)</w:t>
        <w:br/>
        <w:t>**Bourse Régionale des Valeurs Mobilières (BRVM) — Secteur : Gaz Industriels / Services**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17,47 milliards FCFA, ERIUM CI (ex-SIVC) se situe dans la catégorie des valeurs moyennes de la BRVM, ce qui la rend relativement liquide mais sensible aux mouvements de portefeuille. Le BPA de 43 FCFA/action signifie que chaque titre génère 43 FCFA de bénéfice net, un niveau modeste au regard du cours actuel de 2 000 FCFA. Le PER de 46,3x traduit une valorisation très exigeante : les investisseurs paient plus de 46 fois les bénéfices, soit près de quatre fois la moyenne du marché BRVM (8-12x), ce qui intègre déjà une forte anticipation de croissance. Le P/B de 5,34x confirme cette prime spéculative, le marché valorisant la société à plus de cinq fois ses fonds propres comptables, tandis que l'EV/EBITDA de 15,1x indique que la valeur d'entreprise représente 15 fois la capacité opérationnelle, un seuil qui exige une exécution parfaite pour être justifié. L'ensemble de ces ratios signale une action **chèrement valorisée**, avec un risque de correction si les bénéfices ne suivent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ERIUM CI affiche une **chute spectaculaire de -27,93%**, avec une dernière séance particulièrement violente (-4,31%), portant le cours à 2 000 FCFA. Le range de trading s'étend de 1 920 FCFA (plus bas) à 2 875 FCFA (plus haut), soit une amplitude de près de 50%, révélant une tendance clairement **baissière** et une pression vendeuse persistante. Les statistiques descriptives confirment cette instabilité : la moyenne (2 471 FCFA) est supérieure à la médiane (2 400 FCFA), signe d'une asymétrie positive légère mais surtout d'une distribution tirée vers le haut par les niveaux antérieurs, tandis que le mode à 2 000 FCFA coïncide avec le cours actuel, suggérant un palier psychologique. L'écart-type de 281 FCFA (CV = 11,4%) indique une dispersion modérée autour de la moyenne, mais le kurtosis négatif (-1,242, platykurtique) révèle une distribution aplatie avec une faible concentration des rendements, donc **moins de pics extrêmes** mais une volatilité diffuse. Le skewness quasi nul (0,116) confirme une symétrie globale, sans biais directionnel marqué. Enfin, la **volatilité annualisée de 51,9%** classe le titre dans la catégorie **très volatile** (&gt;30%), ce qui implique un risque de perte en capital élevé et un horizon d'investissement nécessairement long pour lisser les fluctuations.</w:t>
      </w:r>
    </w:p>
    <w:p>
      <w:pPr>
        <w:spacing w:after="120" w:line="276" w:lineRule="auto"/>
      </w:pPr>
      <w:r>
        <w:t>---</w:t>
      </w:r>
    </w:p>
    <w:p>
      <w:pPr>
        <w:spacing w:after="120" w:line="276" w:lineRule="auto"/>
      </w:pPr>
      <w:r>
        <w:t>## PARTIE 2 : ANALYSE TECHNIQUE DÉTAILLÉE</w:t>
      </w:r>
    </w:p>
    <w:p>
      <w:pPr>
        <w:spacing w:after="120" w:line="276" w:lineRule="auto"/>
      </w:pPr>
      <w:r>
        <w:t>**Moyennes Mobiles** : La MM20 (2 247,5 FCFA) et la MM50 (2 274,9 FCFA) sont toutes deux nettement supérieures au cours actuel (2 000 FCFA), avec une MM20 légèrement en dessous de la MM50, configurant un croisement baissier (death cross) confirmé. Le cours évolue sous ses deux moyennes, ce qui valide une **tendance baissière de court et moyen terme** et justifie la décision technique de **Vente**.</w:t>
      </w:r>
    </w:p>
    <w:p>
      <w:pPr>
        <w:spacing w:after="120" w:line="276" w:lineRule="auto"/>
      </w:pPr>
      <w:r>
        <w:t>**Bandes de Bollinger** : Le cours (2 000 FCFA) se situe dans la partie basse de la bande, proche de la borne inférieure (1 953,07 FCFA) et loin de la borne supérieure (2 541,93 FCFA). Cet écartement des bandes (amplitude de 588 FCFA) traduit une **volatilité élevée**, mais la position du cours près de la borne basse suggère une possible zone de survente technique. La décision est **Neutre**, car le cours n'a pas encore cassé la borne inférieure, laissant place à un rebond potentiel ou à une poursuite de la baisse.</w:t>
      </w:r>
    </w:p>
    <w:p>
      <w:pPr>
        <w:spacing w:after="120" w:line="276" w:lineRule="auto"/>
      </w:pPr>
      <w:r>
        <w:t>**MACD** : La valeur du MACD (-82,215) est très en dessous de son signal (-49,579), avec un histogramme négatif et creusé. Cette divergence baissière prononcée indique un **momentum négatif fort** et une accélération de la tendance baissière. La décision de **Vente** est clairement justifiée par cette configuration.</w:t>
      </w:r>
    </w:p>
    <w:p>
      <w:pPr>
        <w:spacing w:after="120" w:line="276" w:lineRule="auto"/>
      </w:pPr>
      <w:r>
        <w:t>**RSI** : À 26,627, le RSI est en zone de **survente** (&lt;30), ce qui signale que le titre a été massivement vendu et pourrait être sujet à un rebond technique à court terme. La décision technique est **Achat**, en anticipation d'un retournement ou d'un essoufflement des vendeurs.</w:t>
      </w:r>
    </w:p>
    <w:p>
      <w:pPr>
        <w:spacing w:after="120" w:line="276" w:lineRule="auto"/>
      </w:pPr>
      <w:r>
        <w:t>**Stochastique** : Le %K (0,0) et le %D (7,5) sont tous deux en zone extrême de survente, avec un %K au plancher absolu. Cette configuration est typique d'une **pression vendeuse épuisée** et précède souvent un rebond. La décision est **Achat**, en cohérence avec le RSI.</w:t>
      </w:r>
    </w:p>
    <w:p>
      <w:pPr>
        <w:spacing w:after="120" w:line="276" w:lineRule="auto"/>
      </w:pPr>
      <w:r>
        <w:t>**Conclusion technique** : Les indicateurs sont **divergents** : les moyennes mobiles et le MACD confirment une tendance baissière structurelle, tandis que le RSI et le stochastique signalent une survente extrême propice à un rebond technique. Les Bandes de Bollinger restent neutres. Cette configuration suggère une **phase de consolidation ou de rebond à court terme**, mais la tendance de fond reste baissière tant que le cours ne repasse pas au-dessus de la MM20 (2 247 FCFA). La prudence est de mise.</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**2024** (secteur Banque, bien que la société soit historiquement un industriel des gaz) indiquent un PNB/CA de 9,283 milliards FCFA, un résultat net de 376,96 millions FCFA, un ROE de 11,52% et un ROA de 2,69%. Le coefficient d'exploitation ressort à 95,83%, un niveau très élevé qui traduit une **efficacité opérationnelle médiocre** (une banque efficace se situe sous 60%). Le coût du risque (3,10%) est significatif, et la marge nette de 4,06% est faible. Les délais clients (60,94 jours) et fournisseurs (213,76 jours) sont élevés, et la trésorerie nette est négative (-2,143 milliards FCFA), signe de tensions de liquidité. Le rapport annuel **2025** (analysé par DEEPSEEK le 29/06/2026) révèle une **dégradation alarmante** : le CA progresse de +8,53% à 10,074 milliards FCFA, mais le résultat net **chute de -52,4% à 179,29 millions FCFA**, avec une marge nette divisée par deux (1,78% contre 4,06%). Le résultat financier passe d'un gain de 316 M FCFA à une perte de -114 M FCFA, et la trésorerie nette reste négative (-1,660 milliard FCFA). Les capitaux propres diminuent à 2,526 milliards FCFA. Les rapports trimestriels **2025** (S1 et T3) fournissent des estimations plus encourageantes : au S1 2025, le CA atteint 4,897 milliards FCFA (+8,8%) et le résultat net 512,9 millions FCFA (+4,6%), avec une marge nette de 10,5% ; au T3 2025, le CA cumulé s'élève à 7,584 milliards FCFA (+13%) et le résultat net à 832,5 millions FCFA (+58%), avec une marge nette de 11,0%. **On estime donc que l'exercice 2025 pourrait afficher un résultat net annuel supérieur à 1 milliard FCFA**, en nette amélioration par rapport aux 179 millions FCFA du rapport annuel 2025 (qui semble refléter des éléments exceptionnels ou une fin d'année difficile). La recommandation fondamentale est **CONSERVER avec surveillance**, la croissance du CA étant réelle mais la rentabilité et la structure financière restant fragiles.</w:t>
      </w:r>
    </w:p>
    <w:p>
      <w:pPr>
        <w:spacing w:after="120" w:line="276" w:lineRule="auto"/>
      </w:pPr>
      <w:r>
        <w:t>---</w:t>
      </w:r>
    </w:p>
    <w:p>
      <w:pPr>
        <w:spacing w:after="120" w:line="276" w:lineRule="auto"/>
      </w:pPr>
      <w:r>
        <w:t>## PARTIE 4 : CONCLUSION D'INVESTISSEMENT</w:t>
      </w:r>
    </w:p>
    <w:p>
      <w:pPr>
        <w:spacing w:after="120" w:line="276" w:lineRule="auto"/>
      </w:pPr>
      <w:r>
        <w:t>La valorisation (Partie 0) est **très tendue** : PER de 46,3x, P/B de 5,34x et EV/EBITDA de 15,1x intègrent une croissance future que les derniers résultats annuels (2025) ne confirment pas encore, malgré les signaux positifs des trimestres 2025. Le comportement du cours (Partie 1) est **préoccupant** : chute de -27,93% sur 100 jours, volatilité annualisée de 51,9%, et distribution platykurtique (kurtosis -1,242) qui indique une volatilité diffuse sans pics extrêmes, mais une tendance baissière bien installée. Les signaux techniques (Partie 2) sont **divergents** : baissiers pour les MM et le MACD, mais haussiers pour le RSI (26,6) et le stochastique (0,0), ce qui suggère un rebond technique imminent sans inversion de tendance. Les fondamentaux (Partie 3) sont **mitigés** : croissance du CA (+8,5% en 2025), mais effondrement du résultat net annuel (-52,4%) et trésorerie négative, bien que les rapports trimestriels 2025 laissent entrevoir une amélioration significative de la rentabilité. Les prédictions IA (J+1 à J+10) anticipent une **poursuite de la baisse** jusqu'à 1 972 FCFA, confirmant la pression baissière de court terme. **Synthèse** : la convergence entre valorisation exigeante, tendance baissière, et prédictions négatives l'emporte sur les signaux de survente technique et les perspectives trimestrielles encourageantes. **Recommandation finale : CONSERVER** (avec surveillance rapprochée), justifiée par la divergence entre un potentiel de rebond technique et une valorisation qui ne laisse aucune marge d'erreur. Le niveau de confiance est **Moyen** (les rapports trimestriels 2025 sont prometteurs mais le rapport annuel 2025 est décevant), et le risque global est **Élevé** (volatilité, endettement, trésorerie négative). L'horizon optimal est **moyen terme (3-12 mois)**, le temps que la société démontre sa capacité à transformer sa croissance en bénéfices durables et à assainir sa structure financière.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1,358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+1.60%</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2.23% (Faible) — μ=38,272 FCFA, σ=855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β=0.0745 (Défensif) — Cov=0.000005, Var(idx)=0.000068, ρ=0.040,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37,854</w:t>
            </w:r>
          </w:p>
        </w:tc>
        <w:tc>
          <w:tcPr>
            <w:tcW w:type="dxa" w:w="1440"/>
            <w:shd w:fill="FAFAFA" w:val="clear"/>
          </w:tcPr>
          <w:p>
            <w:r>
              <w:rPr>
                <w:b/>
                <w:sz w:val="17"/>
              </w:rPr>
              <w:t>38,534</w:t>
            </w:r>
          </w:p>
        </w:tc>
        <w:tc>
          <w:tcPr>
            <w:tcW w:type="dxa" w:w="1440"/>
            <w:shd w:fill="FAFAFA" w:val="clear"/>
          </w:tcPr>
          <w:p>
            <w:r>
              <w:rPr>
                <w:sz w:val="17"/>
              </w:rPr>
              <w:t>39,213</w:t>
            </w:r>
          </w:p>
        </w:tc>
        <w:tc>
          <w:tcPr>
            <w:tcW w:type="dxa" w:w="1440"/>
            <w:shd w:fill="FAFAFA" w:val="clear"/>
          </w:tcPr>
          <w:p>
            <w:r>
              <w:rPr>
                <w:b/>
                <w:color w:val="008000"/>
                <w:sz w:val="17"/>
              </w:rPr>
              <w:t>+1.4%</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37,851</w:t>
            </w:r>
          </w:p>
        </w:tc>
        <w:tc>
          <w:tcPr>
            <w:tcW w:type="dxa" w:w="1440"/>
            <w:shd w:fill="C6EFCE" w:val="clear"/>
          </w:tcPr>
          <w:p>
            <w:r>
              <w:rPr>
                <w:b/>
                <w:sz w:val="17"/>
              </w:rPr>
              <w:t>38,819</w:t>
            </w:r>
          </w:p>
        </w:tc>
        <w:tc>
          <w:tcPr>
            <w:tcW w:type="dxa" w:w="1440"/>
            <w:shd w:fill="C6EFCE" w:val="clear"/>
          </w:tcPr>
          <w:p>
            <w:r>
              <w:rPr>
                <w:sz w:val="17"/>
              </w:rPr>
              <w:t>39,787</w:t>
            </w:r>
          </w:p>
        </w:tc>
        <w:tc>
          <w:tcPr>
            <w:tcW w:type="dxa" w:w="1440"/>
            <w:shd w:fill="C6EFCE" w:val="clear"/>
          </w:tcPr>
          <w:p>
            <w:r>
              <w:rPr>
                <w:b/>
                <w:color w:val="008000"/>
                <w:sz w:val="17"/>
              </w:rPr>
              <w:t>+2.2%</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37,961</w:t>
            </w:r>
          </w:p>
        </w:tc>
        <w:tc>
          <w:tcPr>
            <w:tcW w:type="dxa" w:w="1440"/>
            <w:shd w:fill="C6EFCE" w:val="clear"/>
          </w:tcPr>
          <w:p>
            <w:r>
              <w:rPr>
                <w:b/>
                <w:sz w:val="17"/>
              </w:rPr>
              <w:t>39,157</w:t>
            </w:r>
          </w:p>
        </w:tc>
        <w:tc>
          <w:tcPr>
            <w:tcW w:type="dxa" w:w="1440"/>
            <w:shd w:fill="C6EFCE" w:val="clear"/>
          </w:tcPr>
          <w:p>
            <w:r>
              <w:rPr>
                <w:sz w:val="17"/>
              </w:rPr>
              <w:t>40,353</w:t>
            </w:r>
          </w:p>
        </w:tc>
        <w:tc>
          <w:tcPr>
            <w:tcW w:type="dxa" w:w="1440"/>
            <w:shd w:fill="C6EFCE" w:val="clear"/>
          </w:tcPr>
          <w:p>
            <w:r>
              <w:rPr>
                <w:b/>
                <w:color w:val="008000"/>
                <w:sz w:val="17"/>
              </w:rPr>
              <w:t>+3.0%</w:t>
            </w:r>
          </w:p>
        </w:tc>
      </w:tr>
      <w:tr>
        <w:tc>
          <w:tcPr>
            <w:tcW w:type="dxa" w:w="1440"/>
            <w:shd w:fill="C6EFCE" w:val="clear"/>
          </w:tcPr>
          <w:p>
            <w:r>
              <w:rPr>
                <w:sz w:val="17"/>
              </w:rPr>
              <w:t>J+4  Moyenne</w:t>
            </w:r>
          </w:p>
        </w:tc>
        <w:tc>
          <w:tcPr>
            <w:tcW w:type="dxa" w:w="1440"/>
            <w:shd w:fill="C6EFCE" w:val="clear"/>
          </w:tcPr>
          <w:p>
            <w:r>
              <w:rPr>
                <w:sz w:val="17"/>
              </w:rPr>
              <w:t>2026-10-01</w:t>
            </w:r>
          </w:p>
        </w:tc>
        <w:tc>
          <w:tcPr>
            <w:tcW w:type="dxa" w:w="1440"/>
            <w:shd w:fill="C6EFCE" w:val="clear"/>
          </w:tcPr>
          <w:p>
            <w:r>
              <w:rPr>
                <w:sz w:val="17"/>
              </w:rPr>
              <w:t>38,104</w:t>
            </w:r>
          </w:p>
        </w:tc>
        <w:tc>
          <w:tcPr>
            <w:tcW w:type="dxa" w:w="1440"/>
            <w:shd w:fill="C6EFCE" w:val="clear"/>
          </w:tcPr>
          <w:p>
            <w:r>
              <w:rPr>
                <w:b/>
                <w:sz w:val="17"/>
              </w:rPr>
              <w:t>39,497</w:t>
            </w:r>
          </w:p>
        </w:tc>
        <w:tc>
          <w:tcPr>
            <w:tcW w:type="dxa" w:w="1440"/>
            <w:shd w:fill="C6EFCE" w:val="clear"/>
          </w:tcPr>
          <w:p>
            <w:r>
              <w:rPr>
                <w:sz w:val="17"/>
              </w:rPr>
              <w:t>40,890</w:t>
            </w:r>
          </w:p>
        </w:tc>
        <w:tc>
          <w:tcPr>
            <w:tcW w:type="dxa" w:w="1440"/>
            <w:shd w:fill="C6EFCE" w:val="clear"/>
          </w:tcPr>
          <w:p>
            <w:r>
              <w:rPr>
                <w:b/>
                <w:color w:val="008000"/>
                <w:sz w:val="17"/>
              </w:rPr>
              <w:t>+3.9%</w:t>
            </w:r>
          </w:p>
        </w:tc>
      </w:tr>
      <w:tr>
        <w:tc>
          <w:tcPr>
            <w:tcW w:type="dxa" w:w="1440"/>
            <w:shd w:fill="C6EFCE" w:val="clear"/>
          </w:tcPr>
          <w:p>
            <w:r>
              <w:rPr>
                <w:sz w:val="17"/>
              </w:rPr>
              <w:t>J+5  Moyenne</w:t>
            </w:r>
          </w:p>
        </w:tc>
        <w:tc>
          <w:tcPr>
            <w:tcW w:type="dxa" w:w="1440"/>
            <w:shd w:fill="C6EFCE" w:val="clear"/>
          </w:tcPr>
          <w:p>
            <w:r>
              <w:rPr>
                <w:sz w:val="17"/>
              </w:rPr>
              <w:t>2026-10-02</w:t>
            </w:r>
          </w:p>
        </w:tc>
        <w:tc>
          <w:tcPr>
            <w:tcW w:type="dxa" w:w="1440"/>
            <w:shd w:fill="C6EFCE" w:val="clear"/>
          </w:tcPr>
          <w:p>
            <w:r>
              <w:rPr>
                <w:sz w:val="17"/>
              </w:rPr>
              <w:t>38,259</w:t>
            </w:r>
          </w:p>
        </w:tc>
        <w:tc>
          <w:tcPr>
            <w:tcW w:type="dxa" w:w="1440"/>
            <w:shd w:fill="C6EFCE" w:val="clear"/>
          </w:tcPr>
          <w:p>
            <w:r>
              <w:rPr>
                <w:b/>
                <w:sz w:val="17"/>
              </w:rPr>
              <w:t>39,830</w:t>
            </w:r>
          </w:p>
        </w:tc>
        <w:tc>
          <w:tcPr>
            <w:tcW w:type="dxa" w:w="1440"/>
            <w:shd w:fill="C6EFCE" w:val="clear"/>
          </w:tcPr>
          <w:p>
            <w:r>
              <w:rPr>
                <w:sz w:val="17"/>
              </w:rPr>
              <w:t>41,400</w:t>
            </w:r>
          </w:p>
        </w:tc>
        <w:tc>
          <w:tcPr>
            <w:tcW w:type="dxa" w:w="1440"/>
            <w:shd w:fill="C6EFCE" w:val="clear"/>
          </w:tcPr>
          <w:p>
            <w:r>
              <w:rPr>
                <w:b/>
                <w:color w:val="008000"/>
                <w:sz w:val="17"/>
              </w:rPr>
              <w:t>+4.8%</w:t>
            </w:r>
          </w:p>
        </w:tc>
      </w:tr>
      <w:tr>
        <w:tc>
          <w:tcPr>
            <w:tcW w:type="dxa" w:w="1440"/>
            <w:shd w:fill="C6EFCE" w:val="clear"/>
          </w:tcPr>
          <w:p>
            <w:r>
              <w:rPr>
                <w:sz w:val="17"/>
              </w:rPr>
              <w:t>J+6  Moyenne</w:t>
            </w:r>
          </w:p>
        </w:tc>
        <w:tc>
          <w:tcPr>
            <w:tcW w:type="dxa" w:w="1440"/>
            <w:shd w:fill="C6EFCE" w:val="clear"/>
          </w:tcPr>
          <w:p>
            <w:r>
              <w:rPr>
                <w:sz w:val="17"/>
              </w:rPr>
              <w:t>2026-10-05</w:t>
            </w:r>
          </w:p>
        </w:tc>
        <w:tc>
          <w:tcPr>
            <w:tcW w:type="dxa" w:w="1440"/>
            <w:shd w:fill="C6EFCE" w:val="clear"/>
          </w:tcPr>
          <w:p>
            <w:r>
              <w:rPr>
                <w:sz w:val="17"/>
              </w:rPr>
              <w:t>38,420</w:t>
            </w:r>
          </w:p>
        </w:tc>
        <w:tc>
          <w:tcPr>
            <w:tcW w:type="dxa" w:w="1440"/>
            <w:shd w:fill="C6EFCE" w:val="clear"/>
          </w:tcPr>
          <w:p>
            <w:r>
              <w:rPr>
                <w:b/>
                <w:sz w:val="17"/>
              </w:rPr>
              <w:t>40,154</w:t>
            </w:r>
          </w:p>
        </w:tc>
        <w:tc>
          <w:tcPr>
            <w:tcW w:type="dxa" w:w="1440"/>
            <w:shd w:fill="C6EFCE" w:val="clear"/>
          </w:tcPr>
          <w:p>
            <w:r>
              <w:rPr>
                <w:sz w:val="17"/>
              </w:rPr>
              <w:t>41,888</w:t>
            </w:r>
          </w:p>
        </w:tc>
        <w:tc>
          <w:tcPr>
            <w:tcW w:type="dxa" w:w="1440"/>
            <w:shd w:fill="C6EFCE" w:val="clear"/>
          </w:tcPr>
          <w:p>
            <w:r>
              <w:rPr>
                <w:b/>
                <w:color w:val="008000"/>
                <w:sz w:val="17"/>
              </w:rPr>
              <w:t>+5.7%</w:t>
            </w:r>
          </w:p>
        </w:tc>
      </w:tr>
      <w:tr>
        <w:tc>
          <w:tcPr>
            <w:tcW w:type="dxa" w:w="1440"/>
            <w:shd w:fill="C6EFCE" w:val="clear"/>
          </w:tcPr>
          <w:p>
            <w:r>
              <w:rPr>
                <w:sz w:val="17"/>
              </w:rPr>
              <w:t>J+7  Moyenne</w:t>
            </w:r>
          </w:p>
        </w:tc>
        <w:tc>
          <w:tcPr>
            <w:tcW w:type="dxa" w:w="1440"/>
            <w:shd w:fill="C6EFCE" w:val="clear"/>
          </w:tcPr>
          <w:p>
            <w:r>
              <w:rPr>
                <w:sz w:val="17"/>
              </w:rPr>
              <w:t>2026-10-06</w:t>
            </w:r>
          </w:p>
        </w:tc>
        <w:tc>
          <w:tcPr>
            <w:tcW w:type="dxa" w:w="1440"/>
            <w:shd w:fill="C6EFCE" w:val="clear"/>
          </w:tcPr>
          <w:p>
            <w:r>
              <w:rPr>
                <w:sz w:val="17"/>
              </w:rPr>
              <w:t>38,584</w:t>
            </w:r>
          </w:p>
        </w:tc>
        <w:tc>
          <w:tcPr>
            <w:tcW w:type="dxa" w:w="1440"/>
            <w:shd w:fill="C6EFCE" w:val="clear"/>
          </w:tcPr>
          <w:p>
            <w:r>
              <w:rPr>
                <w:b/>
                <w:sz w:val="17"/>
              </w:rPr>
              <w:t>40,472</w:t>
            </w:r>
          </w:p>
        </w:tc>
        <w:tc>
          <w:tcPr>
            <w:tcW w:type="dxa" w:w="1440"/>
            <w:shd w:fill="C6EFCE" w:val="clear"/>
          </w:tcPr>
          <w:p>
            <w:r>
              <w:rPr>
                <w:sz w:val="17"/>
              </w:rPr>
              <w:t>42,360</w:t>
            </w:r>
          </w:p>
        </w:tc>
        <w:tc>
          <w:tcPr>
            <w:tcW w:type="dxa" w:w="1440"/>
            <w:shd w:fill="C6EFCE" w:val="clear"/>
          </w:tcPr>
          <w:p>
            <w:r>
              <w:rPr>
                <w:b/>
                <w:color w:val="008000"/>
                <w:sz w:val="17"/>
              </w:rPr>
              <w:t>+6.5%</w:t>
            </w:r>
          </w:p>
        </w:tc>
      </w:tr>
      <w:tr>
        <w:tc>
          <w:tcPr>
            <w:tcW w:type="dxa" w:w="1440"/>
            <w:shd w:fill="C6EFCE" w:val="clear"/>
          </w:tcPr>
          <w:p>
            <w:r>
              <w:rPr>
                <w:sz w:val="17"/>
              </w:rPr>
              <w:t>J+8  Moyenne</w:t>
            </w:r>
          </w:p>
        </w:tc>
        <w:tc>
          <w:tcPr>
            <w:tcW w:type="dxa" w:w="1440"/>
            <w:shd w:fill="C6EFCE" w:val="clear"/>
          </w:tcPr>
          <w:p>
            <w:r>
              <w:rPr>
                <w:sz w:val="17"/>
              </w:rPr>
              <w:t>2026-10-07</w:t>
            </w:r>
          </w:p>
        </w:tc>
        <w:tc>
          <w:tcPr>
            <w:tcW w:type="dxa" w:w="1440"/>
            <w:shd w:fill="C6EFCE" w:val="clear"/>
          </w:tcPr>
          <w:p>
            <w:r>
              <w:rPr>
                <w:sz w:val="17"/>
              </w:rPr>
              <w:t>38,750</w:t>
            </w:r>
          </w:p>
        </w:tc>
        <w:tc>
          <w:tcPr>
            <w:tcW w:type="dxa" w:w="1440"/>
            <w:shd w:fill="C6EFCE" w:val="clear"/>
          </w:tcPr>
          <w:p>
            <w:r>
              <w:rPr>
                <w:b/>
                <w:sz w:val="17"/>
              </w:rPr>
              <w:t>40,784</w:t>
            </w:r>
          </w:p>
        </w:tc>
        <w:tc>
          <w:tcPr>
            <w:tcW w:type="dxa" w:w="1440"/>
            <w:shd w:fill="C6EFCE" w:val="clear"/>
          </w:tcPr>
          <w:p>
            <w:r>
              <w:rPr>
                <w:sz w:val="17"/>
              </w:rPr>
              <w:t>42,818</w:t>
            </w:r>
          </w:p>
        </w:tc>
        <w:tc>
          <w:tcPr>
            <w:tcW w:type="dxa" w:w="1440"/>
            <w:shd w:fill="C6EFCE" w:val="clear"/>
          </w:tcPr>
          <w:p>
            <w:r>
              <w:rPr>
                <w:b/>
                <w:color w:val="008000"/>
                <w:sz w:val="17"/>
              </w:rPr>
              <w:t>+7.3%</w:t>
            </w:r>
          </w:p>
        </w:tc>
      </w:tr>
      <w:tr>
        <w:tc>
          <w:tcPr>
            <w:tcW w:type="dxa" w:w="1440"/>
            <w:shd w:fill="C6EFCE" w:val="clear"/>
          </w:tcPr>
          <w:p>
            <w:r>
              <w:rPr>
                <w:sz w:val="17"/>
              </w:rPr>
              <w:t>J+9  Moyenne</w:t>
            </w:r>
          </w:p>
        </w:tc>
        <w:tc>
          <w:tcPr>
            <w:tcW w:type="dxa" w:w="1440"/>
            <w:shd w:fill="C6EFCE" w:val="clear"/>
          </w:tcPr>
          <w:p>
            <w:r>
              <w:rPr>
                <w:sz w:val="17"/>
              </w:rPr>
              <w:t>2026-10-08</w:t>
            </w:r>
          </w:p>
        </w:tc>
        <w:tc>
          <w:tcPr>
            <w:tcW w:type="dxa" w:w="1440"/>
            <w:shd w:fill="C6EFCE" w:val="clear"/>
          </w:tcPr>
          <w:p>
            <w:r>
              <w:rPr>
                <w:sz w:val="17"/>
              </w:rPr>
              <w:t>38,918</w:t>
            </w:r>
          </w:p>
        </w:tc>
        <w:tc>
          <w:tcPr>
            <w:tcW w:type="dxa" w:w="1440"/>
            <w:shd w:fill="C6EFCE" w:val="clear"/>
          </w:tcPr>
          <w:p>
            <w:r>
              <w:rPr>
                <w:b/>
                <w:sz w:val="17"/>
              </w:rPr>
              <w:t>41,091</w:t>
            </w:r>
          </w:p>
        </w:tc>
        <w:tc>
          <w:tcPr>
            <w:tcW w:type="dxa" w:w="1440"/>
            <w:shd w:fill="C6EFCE" w:val="clear"/>
          </w:tcPr>
          <w:p>
            <w:r>
              <w:rPr>
                <w:sz w:val="17"/>
              </w:rPr>
              <w:t>43,265</w:t>
            </w:r>
          </w:p>
        </w:tc>
        <w:tc>
          <w:tcPr>
            <w:tcW w:type="dxa" w:w="1440"/>
            <w:shd w:fill="C6EFCE" w:val="clear"/>
          </w:tcPr>
          <w:p>
            <w:r>
              <w:rPr>
                <w:b/>
                <w:color w:val="008000"/>
                <w:sz w:val="17"/>
              </w:rPr>
              <w:t>+8.1%</w:t>
            </w:r>
          </w:p>
        </w:tc>
      </w:tr>
      <w:tr>
        <w:tc>
          <w:tcPr>
            <w:tcW w:type="dxa" w:w="1440"/>
            <w:shd w:fill="C6EFCE" w:val="clear"/>
          </w:tcPr>
          <w:p>
            <w:r>
              <w:rPr>
                <w:sz w:val="17"/>
              </w:rPr>
              <w:t>J+10  Moyenne</w:t>
            </w:r>
          </w:p>
        </w:tc>
        <w:tc>
          <w:tcPr>
            <w:tcW w:type="dxa" w:w="1440"/>
            <w:shd w:fill="C6EFCE" w:val="clear"/>
          </w:tcPr>
          <w:p>
            <w:r>
              <w:rPr>
                <w:sz w:val="17"/>
              </w:rPr>
              <w:t>2026-10-09</w:t>
            </w:r>
          </w:p>
        </w:tc>
        <w:tc>
          <w:tcPr>
            <w:tcW w:type="dxa" w:w="1440"/>
            <w:shd w:fill="C6EFCE" w:val="clear"/>
          </w:tcPr>
          <w:p>
            <w:r>
              <w:rPr>
                <w:sz w:val="17"/>
              </w:rPr>
              <w:t>39,086</w:t>
            </w:r>
          </w:p>
        </w:tc>
        <w:tc>
          <w:tcPr>
            <w:tcW w:type="dxa" w:w="1440"/>
            <w:shd w:fill="C6EFCE" w:val="clear"/>
          </w:tcPr>
          <w:p>
            <w:r>
              <w:rPr>
                <w:b/>
                <w:sz w:val="17"/>
              </w:rPr>
              <w:t>41,395</w:t>
            </w:r>
          </w:p>
        </w:tc>
        <w:tc>
          <w:tcPr>
            <w:tcW w:type="dxa" w:w="1440"/>
            <w:shd w:fill="C6EFCE" w:val="clear"/>
          </w:tcPr>
          <w:p>
            <w:r>
              <w:rPr>
                <w:sz w:val="17"/>
              </w:rPr>
              <w:t>43,703</w:t>
            </w:r>
          </w:p>
        </w:tc>
        <w:tc>
          <w:tcPr>
            <w:tcW w:type="dxa" w:w="1440"/>
            <w:shd w:fill="C6EFCE" w:val="clear"/>
          </w:tcPr>
          <w:p>
            <w:r>
              <w:rPr>
                <w:b/>
                <w:color w:val="008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**Bourse Régionale des Valeurs Mobilières (BRVM) — Secteur : Entreprise non bancaire (Boissons/Limonaderies)**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625,51 milliards FCFA, SLBC s'impose comme l'une des plus importantes capitalisations de la BRVM, ce qui témoigne de sa stature de leader régional dans le secteur des boissons. Le BPA de 2 781 FCFA/action signifie que chaque titre génère près de 2 800 FCFA de bénéfice net, un niveau remarquable qui traduit la forte rentabilité de l'entreprise. Le PER de 13,7x se situe légèrement au-dessus de la moyenne du marché BRVM (8-12x), mais reste modéré au regard de la croissance exceptionnelle des bénéfices (+113% en 2025), ce qui suggère que les investisseurs paient une prime raisonnable pour cette dynamique. Le P/B de 3,21x indique que le marché valorise l'action à plus de trois fois sa valeur comptable, une prime de croissance justifiée par un ROE exceptionnel de 23,46%. Enfin, l'EV/EBITDA de 7,4x, dans la fourchette raisonnable de 5-10x, montre que la valeur totale de l'entreprise (incluant la dette) reste cohérente avec sa capacité opérationnelle à générer des liquidités, ce qui conforte l'idée d'une valorisation équilibrée.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 enregistré une variation totale de +1,60%, avec une progression de +0,53% lors de la dernière séance (J-1), s'établissant à 38 000 FCFA. Le titre a évolué dans un range relativement étroit, entre un plus haut de 41 500 FCFA et un plus bas de 36 900 FCFA, soit une amplitude de trading de seulement 12,5%, ce qui traduit une certaine stabilité. La tendance générale est donc légèrement haussière mais surtout latérale, le cours oscillant autour de 38 000 FCFA sans direction marquée. Les statistiques descriptives révèlent une moyenne de 38 272 FCFA légèrement supérieure à la médiane et au mode (tous deux à 38 000 FCFA), ce qui indique une distribution asymétrique avec quelques journées de hausse plus marquées. L'écart-type de 859 FCFA et le coefficient de variation de 2,2% confirment une dispersion très faible du cours, signe d'une grande stabilité. Le kurtosis de 0,781 (mésokurtique) suggère une distribution proche de la normale, sans risque excessif de pics extrêmes, tandis que le skewness de 0,831 (asymétrie positive) indique que les journées sous la moyenne ont été plus fréquentes, mais compensées par des hausses plus amples. Enfin, la volatilité annualisée de 24,4% positionne SLBC dans la catégorie des titres à volatilité modérée (15-30%), ce qui est rassurant pour un investisseur cherchant à limiter le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(37 881 FCFA) et la MM50 (37 975,5 FCFA) sont toutes deux inférieures au cours actuel (38 000 FCFA), mais la MM20 est légèrement en dessous de la MM50, ce qui crée un croisement baissier potentiel. Le cours évoluant juste au-dessus de ces moyennes, la décision technique est à la vente, car la dynamique de court terme semble s'essouffler et le titre pourrait revenir tester ses supports mobiles.</w:t>
      </w:r>
    </w:p>
    <w:p>
      <w:pPr>
        <w:spacing w:after="120" w:line="276" w:lineRule="auto"/>
      </w:pPr>
      <w:r>
        <w:t>**Bandes de Bollinger** : Le cours actuel (38 000 FCFA) se situe à l'intérieur des bandes, entre la borne inférieure (37 403,79 FCFA) et la borne supérieure (38 358,21 FCFA), mais plus proche de la borne haute. Cette position médiane, avec des bandes relativement resserrées, indique une faible volatilité et une absence de signal directionnel fort. La décision est donc neutre, le marché attendant un catalyseur pour sortir de cette zone de consolidation.</w:t>
      </w:r>
    </w:p>
    <w:p>
      <w:pPr>
        <w:spacing w:after="120" w:line="276" w:lineRule="auto"/>
      </w:pPr>
      <w:r>
        <w:t>**MACD** : La valeur du MACD (18,516) est nettement supérieure à son signal (-6,157), ce qui génère un croisement haussier et une divergence positive. Ce momentum positif indique que la dynamique de fond reste acheteuse, malgré la récente stagnation du cours. La décision technique qui en découle est donc à l'achat, le MACD suggérant une reprise potentielle à court terme.</w:t>
      </w:r>
    </w:p>
    <w:p>
      <w:pPr>
        <w:spacing w:after="120" w:line="276" w:lineRule="auto"/>
      </w:pPr>
      <w:r>
        <w:t>**RSI** : Avec une valeur de 78,571, le RSI se situe largement au-dessus du seuil de surachat (70), ce qui signale que le titre a été fortement acheté récemment et pourrait être sujet à une correction. Cette configuration extrême justifie une décision de vente, les investisseurs cherchant à prendre leurs profits après la récente progression.</w:t>
      </w:r>
    </w:p>
    <w:p>
      <w:pPr>
        <w:spacing w:after="120" w:line="276" w:lineRule="auto"/>
      </w:pPr>
      <w:r>
        <w:t>**Stochastique** : Le %K (100,0) est au plus haut et croise le %D (86,875) à la baisse, ce qui constitue un signal de retournement baissier. Le stochastique étant en zone de surachat, la décision est à la vente, confirmant la pression vendeuse à court terme.</w:t>
      </w:r>
    </w:p>
    <w:p>
      <w:pPr>
        <w:spacing w:after="120" w:line="276" w:lineRule="auto"/>
      </w:pPr>
      <w:r>
        <w:t>**Conclusion technique** : Les indicateurs techniques présentent une divergence notable. D'un côté, le MACD est haussier et les Bandes de Bollinger sont neutres, suggérant un potentiel de rebond. De l'autre, les Moyennes Mobiles, le RSI et le Stochastique sont baissiers, indiquant une pression vendeuse à court terme. Cette configuration mitigée plaide pour une prudence, le titre pouvant connaître une consolidation avant de reprendre sa tendance de fond.</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pour l'exercice 2025 (exercice clos le 31 décembre 2025) révèlent une performance exceptionnelle de SLBC. Le chiffre d'affaires s'établit à 378,123 milliards FCFA, en croissance de +22,08% par rapport à 2024, porté par une forte demande et une stratégie commerciale efficace. Le résultat net atteint 45,781 milliards FCFA, plus que doublant (+113%) par rapport aux 21,472 milliards de 2024, grâce à une amélioration spectaculaire de la marge nette (12,11% contre 6,93% en 2024) et à une réduction des charges financières (-55%). Le ROE de 23,46% et le ROA de 13,48% témoignent d'une rentabilité exceptionnelle des fonds propres et des actifs, bien au-dessus des standards du marché. La structure financière est très saine, avec une autonomie financière de 57,48%, un ratio d'endettement maîtrisé (42,52%) et une trésorerie nette positive de 22,117 milliards FCFA. Les délais d'exploitation montrent un délai client de 64,27 jours (risque de trésorerie modéré) et un délai fournisseur de 76,82 jours (favorable à la trésorerie), tandis que la durée de stockage de 117,32 jours reste élevée et immobilise du capital. Le BFR de 61,587 milliards FCFA est positif, ce qui est normal pour une entreprise en forte croissance, mais nécessite une surveillance. Les rapports narratifs confirment cette dynamique : le rapport du T1 2026 (publié en 2026) indique une poursuite de la croissance avec un CA de 93,46 milliards FCFA (+7,6%) et un résultat net de 16,26 milliards FCFA (+4,8%), tandis que le rapport annuel 2025 (analysé par DeepSeek le 20/05/2026) souligne la solidité du bilan et une politique de dividende très généreuse (taux de distribution de 76,5%, dividende de 2 127 FCFA/action proposé). Sur la base de ces éléments, on estime que l'exercice 2026 devrait confirmer cette tendance haussière, avec une croissance attendue du CA autour de 8-10% et une marge nette maintenue au-dessus de 12%. La principale recommandation fondamentale est donc à l'achat, portée par des fondamentaux solides, une croissance rentable et une politique de dividende attractive, bien que les risques liés à la volatilité des matières premières et à la concentration géographique doivent être surveillés.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permet de dégager une vision globale contrastée mais globalement positive. Sur le plan de la **valorisation (Partie 0)**, les ratios PER (13,7x), P/B (3,21x) et EV/EBITDA (7,4x) indiquent une valorisation raisonnable, voire légèrement sous-évaluée au regard de la croissance exceptionnelle des bénéfices, ce qui constitue un point d'entrée attractif. Le **comportement du cours (Partie 1)** est marqué par une stabilité remarquable (CV de 2,2%) et une volatilité modérée (24,4%), avec une asymétrie positive et une distribution proche de la normale, ce qui est rassurant pour un investisseur prudent. Les **signaux techniques (Partie 2)** sont divergents : le MACD est haussier, mais le RSI et le Stochastique sont en zone de surachat et baissiers, suggérant une consolidation à court terme avant une reprise. Les **fondamentaux (Partie 3)** sont exceptionnels, avec une croissance du CA de +22%, un doublement du résultat net, un ROE de 23,46% et une structure financière solide, confirmés par les rapports trimestriels de 2026 qui montrent une poursuite de la dynamique. Les **prédictions IA (J+1 à J+10)** anticipent une hausse progressive du cours, de 38 534 FCFA à 39 830 FCFA, ce qui confirme la tendance haussière de fond et contredit les signaux baissiers à court terme. Sur la base de cette synthèse, la recommandation finale est **ACHAT**, avec un niveau de confiance **Élevé** et un risque global **Moyen**. La convergence entre des fondamentaux solides, une valorisation raisonnable et des prédictions haussières l'emporte sur les signaux techniques baissiers à court terme, qui semblent être une simple consolidation. L'horizon d'investissement optimal est le **moyen terme (3-12 mois)**, afin de profiter de la croissance bénéficiaire et de la politique de dividende attractive, tout en laissant le temps aux indicateurs techniques de se retourner à la hausse.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1,630 titres</w:t>
            </w:r>
          </w:p>
        </w:tc>
        <w:tc>
          <w:tcPr>
            <w:tcW w:type="dxa" w:w="2268"/>
            <w:shd w:fill="FFF2CC" w:val="clear"/>
          </w:tcPr>
          <w:p>
            <w:r>
              <w:rPr>
                <w:b/>
                <w:color w:val="503200"/>
                <w:sz w:val="16"/>
              </w:rPr>
              <w:t xml:space="preserve">Cours actuel : </w:t>
            </w:r>
            <w:r>
              <w:rPr>
                <w:color w:val="000000"/>
                <w:sz w:val="17"/>
              </w:rPr>
              <w:t>15,810 FCFA</w:t>
            </w:r>
          </w:p>
          <w:p>
            <w:r>
              <w:rPr>
                <w:b/>
                <w:color w:val="503200"/>
                <w:sz w:val="16"/>
              </w:rPr>
              <w:t xml:space="preserve">Var. 100 jours : </w:t>
            </w:r>
            <w:r>
              <w:rPr>
                <w:b/>
                <w:color w:val="007800"/>
                <w:sz w:val="17"/>
              </w:rPr>
              <w:t>+36.35%</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11,500 FCFA</w:t>
            </w:r>
          </w:p>
          <w:p>
            <w:r>
              <w:rPr>
                <w:b/>
                <w:color w:val="503200"/>
                <w:sz w:val="16"/>
              </w:rPr>
              <w:t xml:space="preserve">Volatilité ann. : </w:t>
            </w:r>
            <w:r>
              <w:rPr>
                <w:color w:val="000000"/>
                <w:sz w:val="17"/>
              </w:rPr>
              <w:t>41.7%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11.56% (Moyenne) — μ=15,742 FCFA, σ=1,820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β=0.3510 (Défensif) — Cov=0.000024, Var(idx)=0.000068, ρ=0.114,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σ_j=2.63%/j (Stable) — Vol. annualisée≈41.7%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14,757</w:t>
            </w:r>
          </w:p>
        </w:tc>
        <w:tc>
          <w:tcPr>
            <w:tcW w:type="dxa" w:w="1440"/>
            <w:shd w:fill="FFDCE0" w:val="clear"/>
          </w:tcPr>
          <w:p>
            <w:r>
              <w:rPr>
                <w:b/>
                <w:sz w:val="17"/>
              </w:rPr>
              <w:t>15,414</w:t>
            </w:r>
          </w:p>
        </w:tc>
        <w:tc>
          <w:tcPr>
            <w:tcW w:type="dxa" w:w="1440"/>
            <w:shd w:fill="FFDCE0" w:val="clear"/>
          </w:tcPr>
          <w:p>
            <w:r>
              <w:rPr>
                <w:sz w:val="17"/>
              </w:rPr>
              <w:t>16,071</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14,539</w:t>
            </w:r>
          </w:p>
        </w:tc>
        <w:tc>
          <w:tcPr>
            <w:tcW w:type="dxa" w:w="1440"/>
            <w:shd w:fill="FFDCE0" w:val="clear"/>
          </w:tcPr>
          <w:p>
            <w:r>
              <w:rPr>
                <w:b/>
                <w:sz w:val="17"/>
              </w:rPr>
              <w:t>15,472</w:t>
            </w:r>
          </w:p>
        </w:tc>
        <w:tc>
          <w:tcPr>
            <w:tcW w:type="dxa" w:w="1440"/>
            <w:shd w:fill="FFDCE0" w:val="clear"/>
          </w:tcPr>
          <w:p>
            <w:r>
              <w:rPr>
                <w:sz w:val="17"/>
              </w:rPr>
              <w:t>16,405</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14,325</w:t>
            </w:r>
          </w:p>
        </w:tc>
        <w:tc>
          <w:tcPr>
            <w:tcW w:type="dxa" w:w="1440"/>
            <w:shd w:fill="FFDCE0" w:val="clear"/>
          </w:tcPr>
          <w:p>
            <w:r>
              <w:rPr>
                <w:b/>
                <w:sz w:val="17"/>
              </w:rPr>
              <w:t>15,467</w:t>
            </w:r>
          </w:p>
        </w:tc>
        <w:tc>
          <w:tcPr>
            <w:tcW w:type="dxa" w:w="1440"/>
            <w:shd w:fill="FFDCE0" w:val="clear"/>
          </w:tcPr>
          <w:p>
            <w:r>
              <w:rPr>
                <w:sz w:val="17"/>
              </w:rPr>
              <w:t>16,610</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14,143</w:t>
            </w:r>
          </w:p>
        </w:tc>
        <w:tc>
          <w:tcPr>
            <w:tcW w:type="dxa" w:w="1440"/>
            <w:shd w:fill="FFDCE0" w:val="clear"/>
          </w:tcPr>
          <w:p>
            <w:r>
              <w:rPr>
                <w:b/>
                <w:sz w:val="17"/>
              </w:rPr>
              <w:t>15,462</w:t>
            </w:r>
          </w:p>
        </w:tc>
        <w:tc>
          <w:tcPr>
            <w:tcW w:type="dxa" w:w="1440"/>
            <w:shd w:fill="FFDCE0" w:val="clear"/>
          </w:tcPr>
          <w:p>
            <w:r>
              <w:rPr>
                <w:sz w:val="17"/>
              </w:rPr>
              <w:t>16,781</w:t>
            </w:r>
          </w:p>
        </w:tc>
        <w:tc>
          <w:tcPr>
            <w:tcW w:type="dxa" w:w="1440"/>
            <w:shd w:fill="FFDCE0" w:val="clear"/>
          </w:tcPr>
          <w:p>
            <w:r>
              <w:rPr>
                <w:b/>
                <w:color w:val="C00000"/>
                <w:sz w:val="17"/>
              </w:rPr>
              <w:t>-2.2%</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13,985</w:t>
            </w:r>
          </w:p>
        </w:tc>
        <w:tc>
          <w:tcPr>
            <w:tcW w:type="dxa" w:w="1440"/>
            <w:shd w:fill="FFDCE0" w:val="clear"/>
          </w:tcPr>
          <w:p>
            <w:r>
              <w:rPr>
                <w:b/>
                <w:sz w:val="17"/>
              </w:rPr>
              <w:t>15,459</w:t>
            </w:r>
          </w:p>
        </w:tc>
        <w:tc>
          <w:tcPr>
            <w:tcW w:type="dxa" w:w="1440"/>
            <w:shd w:fill="FFDCE0" w:val="clear"/>
          </w:tcPr>
          <w:p>
            <w:r>
              <w:rPr>
                <w:sz w:val="17"/>
              </w:rPr>
              <w:t>16,933</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13,842</w:t>
            </w:r>
          </w:p>
        </w:tc>
        <w:tc>
          <w:tcPr>
            <w:tcW w:type="dxa" w:w="1440"/>
            <w:shd w:fill="FFDCE0" w:val="clear"/>
          </w:tcPr>
          <w:p>
            <w:r>
              <w:rPr>
                <w:b/>
                <w:sz w:val="17"/>
              </w:rPr>
              <w:t>15,457</w:t>
            </w:r>
          </w:p>
        </w:tc>
        <w:tc>
          <w:tcPr>
            <w:tcW w:type="dxa" w:w="1440"/>
            <w:shd w:fill="FFDCE0" w:val="clear"/>
          </w:tcPr>
          <w:p>
            <w:r>
              <w:rPr>
                <w:sz w:val="17"/>
              </w:rPr>
              <w:t>17,071</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13,710</w:t>
            </w:r>
          </w:p>
        </w:tc>
        <w:tc>
          <w:tcPr>
            <w:tcW w:type="dxa" w:w="1440"/>
            <w:shd w:fill="FFDCE0" w:val="clear"/>
          </w:tcPr>
          <w:p>
            <w:r>
              <w:rPr>
                <w:b/>
                <w:sz w:val="17"/>
              </w:rPr>
              <w:t>15,454</w:t>
            </w:r>
          </w:p>
        </w:tc>
        <w:tc>
          <w:tcPr>
            <w:tcW w:type="dxa" w:w="1440"/>
            <w:shd w:fill="FFDCE0" w:val="clear"/>
          </w:tcPr>
          <w:p>
            <w:r>
              <w:rPr>
                <w:sz w:val="17"/>
              </w:rPr>
              <w:t>17,197</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13,588</w:t>
            </w:r>
          </w:p>
        </w:tc>
        <w:tc>
          <w:tcPr>
            <w:tcW w:type="dxa" w:w="1440"/>
            <w:shd w:fill="FFDCE0" w:val="clear"/>
          </w:tcPr>
          <w:p>
            <w:r>
              <w:rPr>
                <w:b/>
                <w:sz w:val="17"/>
              </w:rPr>
              <w:t>15,451</w:t>
            </w:r>
          </w:p>
        </w:tc>
        <w:tc>
          <w:tcPr>
            <w:tcW w:type="dxa" w:w="1440"/>
            <w:shd w:fill="FFDCE0" w:val="clear"/>
          </w:tcPr>
          <w:p>
            <w:r>
              <w:rPr>
                <w:sz w:val="17"/>
              </w:rPr>
              <w:t>17,315</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13,472</w:t>
            </w:r>
          </w:p>
        </w:tc>
        <w:tc>
          <w:tcPr>
            <w:tcW w:type="dxa" w:w="1440"/>
            <w:shd w:fill="FFDCE0" w:val="clear"/>
          </w:tcPr>
          <w:p>
            <w:r>
              <w:rPr>
                <w:b/>
                <w:sz w:val="17"/>
              </w:rPr>
              <w:t>15,449</w:t>
            </w:r>
          </w:p>
        </w:tc>
        <w:tc>
          <w:tcPr>
            <w:tcW w:type="dxa" w:w="1440"/>
            <w:shd w:fill="FFDCE0" w:val="clear"/>
          </w:tcPr>
          <w:p>
            <w:r>
              <w:rPr>
                <w:sz w:val="17"/>
              </w:rPr>
              <w:t>17,425</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13,363</w:t>
            </w:r>
          </w:p>
        </w:tc>
        <w:tc>
          <w:tcPr>
            <w:tcW w:type="dxa" w:w="1440"/>
            <w:shd w:fill="FFDCE0" w:val="clear"/>
          </w:tcPr>
          <w:p>
            <w:r>
              <w:rPr>
                <w:b/>
                <w:sz w:val="17"/>
              </w:rPr>
              <w:t>15,446</w:t>
            </w:r>
          </w:p>
        </w:tc>
        <w:tc>
          <w:tcPr>
            <w:tcW w:type="dxa" w:w="1440"/>
            <w:shd w:fill="FFDCE0" w:val="clear"/>
          </w:tcPr>
          <w:p>
            <w:r>
              <w:rPr>
                <w:sz w:val="17"/>
              </w:rPr>
              <w:t>17,529</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Secteur : Entreprise industrielle (bitumes/pétrole)*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123,24 Mds FCFA, SMBC se situe dans la catégorie des valeurs moyennes de la BRVM, ce qui lui confère une liquidité limitée mais un potentiel de revalorisation intéressant. Le BPA de 1 677 FCFA/action signifie que chaque titre génère près de 1 677 FCFA de bénéfice net, un niveau confortable au regard du cours actuel de 15 810 FCFA. Le PER de 9,4x place le titre légèrement sous la moyenne du marché BRVM (8-12x), suggérant une valorisation raisonnable voire légèrement sous-évaluée au vu de la qualité des résultats 2025. Le P/B de 2,87x indique que le marché valorise SMBC à près de trois fois ses fonds propres comptables (42,9 Mds FCFA), soit une prime de croissance justifiée par un ROE exceptionnel de 30,5%. Enfin, l'EV/EBITDA de 5,9x (fourchette raisonnable 5-10x) montre que la valeur d'entreprise reste modérée par rapport à la capacité opérationnelle de génération de cash (EBE de 18,48 Mds FCFA), ce qui renforce le caractère attractif du dossier.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progression remarquable de +36,35%, avec une dernière séance particulièrement dynamique (+7,48% en J-1), signe d'un regain d'intérêt marqué des investisseurs. Le range de trading s'étend de 11 500 FCFA (plus bas) à 18 500 FCFA (plus haut), soit une amplitude de 61%, traduisant une forte volatilité directionnelle. La tendance générale est nettement haussière, portée par la publication de résultats 2025 exceptionnels (résultat net +50,3%). Les statistiques descriptives révèlent une moyenne de 15 742 FCFA légèrement inférieure à la médiane de 16 272 FCFA, avec un mode à 16 000 FCFA : cet écart indique une asymétrie négative confirmée par le skewness de -0,854, signifiant que le cours a passé plus de journées au-dessus de sa moyenne, avec quelques corrections ponctuelles tirant la moyenne vers le bas. L'écart-type de 1 829 FCFA et le coefficient de variation de 11,6% traduisent une dispersion modérée du cours autour de sa tendance. Le kurtosis de -0,334 (mésokurtique) indique une distribution proche de la normale, donc un risque de pics extrêmes relativement contenu. La volatilité annualisée de 41,7% classe le titre dans la catégorie **élevée** (&gt;30%), ce qui est cohérent avec une valeur de croissance à faible flottant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(17 130 FCFA) et la MM50 (16 624 FCFA) se situent toutes deux au-dessus du cours actuel (15 810 FCFA), ce qui traduit une pression baissière de court terme après le récent repli. Toutefois, la MM20 reste supérieure à la MM50, signalant que la tendance de fond demeure haussière. La décision fournie est **Achat**, cohérente avec la configuration positive des moyennes mobiles malgré la correction actuelle.</w:t>
      </w:r>
    </w:p>
    <w:p>
      <w:pPr>
        <w:spacing w:after="120" w:line="276" w:lineRule="auto"/>
      </w:pPr>
      <w:r>
        <w:t>**Bandes de Bollinger** : Le cours (15 810 FCFA) évolue dans la partie basse du canal, entre la borne inférieure (14 903,63 FCFA) et la borne supérieure (19 356,88 FCFA). Cette position proche de la borne basse suggère que le titre est survendu à court terme et pourrait rebondir vers la moyenne mobile. La décision **Neutre** reflète l'absence de signal directionnel fort, le cours n'ayant pas cassé les bornes.</w:t>
      </w:r>
    </w:p>
    <w:p>
      <w:pPr>
        <w:spacing w:after="120" w:line="276" w:lineRule="auto"/>
      </w:pPr>
      <w:r>
        <w:t>**MACD** : La valeur du MACD (-363,29) est nettement inférieure à son signal (-17,09), confirmant un momentum baissier de court terme. La décision **Vente** est cohérente avec cette divergence négative, bien que l'écart important entre les deux lignes puisse annoncer un prochain retournement si le cours se stabilise.</w:t>
      </w:r>
    </w:p>
    <w:p>
      <w:pPr>
        <w:spacing w:after="120" w:line="276" w:lineRule="auto"/>
      </w:pPr>
      <w:r>
        <w:t>**RSI** : À 35,66, le RSI se situe dans la zone neutre basse (30-70), sans atteindre la zone de survente (&lt;30). La décision **Neutre** indique que le titre n'est ni suracheté ni survendu, laissant la porte ouverte à une reprise comme à une poursuite de la correction.</w:t>
      </w:r>
    </w:p>
    <w:p>
      <w:pPr>
        <w:spacing w:after="120" w:line="276" w:lineRule="auto"/>
      </w:pPr>
      <w:r>
        <w:t>**Stochastique** : Le %K (29,02) est supérieur au %D (9,68), avec un croisement haussier en zone basse (proche de la survente). Cette configuration est généralement un signal d'achat précoce, mais la décision fournie reste **Neutre**, probablement en raison de la faiblesse globale du momentum.</w:t>
      </w:r>
    </w:p>
    <w:p>
      <w:pPr>
        <w:spacing w:after="120" w:line="276" w:lineRule="auto"/>
      </w:pPr>
      <w:r>
        <w:t>**Conclusion technique** : Les indicateurs sont partagés : les moyennes mobiles et le stochastique suggèrent un potentiel rebond, tandis que le MACD et la position du cours dans les bandes de Bollinger plaident pour la prudence. Le RSI neutre confirme l'absence de signal fort. Dans l'ensemble, le titre semble en phase de consolidation après sa forte hausse, avec un biais haussier de fond mais un momentum court terme encore fragile.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SMBC affiche un chiffre d'affaires de 206,74 Mds FCFA, en baisse de 9,74% par rapport à 2024 (229,06 Mds FCFA), dans un contexte de repli des cours pétroliers. Malgré cette contraction, le résultat net progresse spectaculairement de +50,3% à 13,075 Mds FCFA, porté par une amélioration de la marge brute (18,11%) et une marge nette de 6,32% (contre 3,8% en 2024). Le ROE atteint 30,47% (excellent, &gt;15%) et le ROA 7,26%, confirmant une rentabilité capitalistique de premier ordre. La structure financière est saine : capitaux propres de 42,91 Mds FCFA (+21,6%), autonomie financière de 23,84%, et trésorerie nette positive de 23,99 Mds FCFA. Le BFR est maîtrisé à 1,69 Md FCFA (favorable), bien que le délai client élevé (193,75 jours) constitue un point de vigilance pour la trésorerie. Le ratio de couverture des intérêts (483,4%) et la capacité de remboursement (0,68 an) témoignent d'une faible dépendance à la dette.</w:t>
      </w:r>
    </w:p>
    <w:p>
      <w:pPr>
        <w:spacing w:after="120" w:line="276" w:lineRule="auto"/>
      </w:pPr>
      <w:r>
        <w:t>**Adaptation au secteur (entreprise industrielle)** : Les délais fournisseurs (207,07 jours) supérieurs aux délais clients (193,75 jours) constituent un avantage de trésorerie, tandis que la rotation des stocks (38,09 jours) reste correcte pour le secteur. Le taux d'endettement de 76,16% (dettes totales/capitaux propres) est modéré, et la solvabilité générale (131,3%) confirme la solidité du bilan.</w:t>
      </w:r>
    </w:p>
    <w:p>
      <w:pPr>
        <w:spacing w:after="120" w:line="276" w:lineRule="auto"/>
      </w:pPr>
      <w:r>
        <w:t>**Estimations basées sur les rapports trimestriels** : Le rapport T3 2025 (publié le 30/09/2025) indique un CA cumulé de 155,2 Mds FCFA (-14% sur 9 mois) et un résultat net de 5,7 Mds FCFA (+6%), avec une marge opérationnelle en hausse à 5,4%. Le rapport S1 2025 (30/06/2025) faisait état d'un CA de 101,9 Mds FCFA (-23%) et d'un résultat net de 3,9 Mds FCFA (-7%), avec un EBE en hausse de +38%. Sur la base de ces tendances, on estime que l'exercice 2025 devrait confirmer un résultat net annuel autour de 13 Mds FCFA (réalisé), et que 2026 pourrait bénéficier d'un effet de base favorable si les volumes export reprennent, notamment vers le Nigeria, le Ghana et le Burkina Faso. Les rapports 2024 (publiés le 31/12/2024) soulignaient déjà la résilience opérationnelle malgré la baisse du CA.</w:t>
      </w:r>
    </w:p>
    <w:p>
      <w:pPr>
        <w:spacing w:after="120" w:line="276" w:lineRule="auto"/>
      </w:pPr>
      <w:r>
        <w:t>**Recommandation fondamentale** : SMBC présente une solidité financière remarquable, une rentabilité en forte amélioration et une trésorerie abondante. Le principal risque reste la dépendance aux cycles d'investissement public et à la volatilité des prix pétroliers. La recommandation fondamentale est **ACHAT** sur moyen/long terme, avec un potentiel de revalorisation lié à la poursuite de l'amélioration des marges.</w:t>
      </w:r>
    </w:p>
    <w:p>
      <w:pPr>
        <w:spacing w:after="120" w:line="276" w:lineRule="auto"/>
      </w:pPr>
      <w:r>
        <w:t>---</w:t>
      </w:r>
    </w:p>
    <w:p>
      <w:pPr>
        <w:spacing w:after="120" w:line="276" w:lineRule="auto"/>
      </w:pPr>
      <w:r>
        <w:t>## PARTIE 4 : CONCLUSION D'INVESTISSEMENT</w:t>
      </w:r>
    </w:p>
    <w:p>
      <w:pPr>
        <w:spacing w:after="120" w:line="276" w:lineRule="auto"/>
      </w:pPr>
      <w:r>
        <w:t>La valorisation (Partie 0) apparaît attractive : PER de 9,4x légèrement sous la moyenne du marché, P/B de 2,87x justifié par un ROE de 30,5%, et EV/EBITDA de 5,9x raisonnable. Le comportement du cours (Partie 1) est haussier sur 100 jours (+36,35%) mais avec une volatilité élevée (41,7%) et une asymétrie négative (skewness -0,854) qui suggère des corrections ponctuelles dans une tendance de fond positive. Les signaux techniques (Partie 2) sont mitigés : les moyennes mobiles et le stochastique plaident pour un rebond, tandis que le MACD et les bandes de Bollinger incitent à la prudence à court terme. Les fondamentaux (Partie 3) sont excellents : résultat net en hausse de 50,3% en 2025, ROE de 30,5%, trésorerie nette de 24 Mds FCFA, et perspectives favorables pour 2026 selon les rapports trimestriels. Les prédictions IA (J+1 à J+10) anticipent une légère baisse vers 15 414-15 472 FCFA, ce qui contredit le potentiel de rebond technique mais reste cohérent avec la consolidation en cours. **Synthèse globale** : la convergence entre valorisation attractive, fondamentaux solides et tendance de fond haussière l'emporte sur les signaux techniques court terme et les prédictions baissières de court terme. **Recommandation finale : ACHAT**, avec un niveau de confiance **Moyen** (en raison de la volatilité et des prédictions IA baissières à court terme) et un risque global **Moyen**. L'horizon d'investissement optimal est le **moyen terme (3-12 mois)**, le temps que la consolidation technique s'achève et que les fondamentaux 2026 se confirment.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4250.00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11,813 titres</w:t>
            </w:r>
          </w:p>
        </w:tc>
        <w:tc>
          <w:tcPr>
            <w:tcW w:type="dxa" w:w="2268"/>
            <w:shd w:fill="FFF2CC" w:val="clear"/>
          </w:tcPr>
          <w:p>
            <w:r>
              <w:rPr>
                <w:b/>
                <w:color w:val="503200"/>
                <w:sz w:val="16"/>
              </w:rPr>
              <w:t xml:space="preserve">Cours actuel : </w:t>
            </w:r>
            <w:r>
              <w:rPr>
                <w:color w:val="000000"/>
                <w:sz w:val="17"/>
              </w:rPr>
              <w:t>42,500 FCFA</w:t>
            </w:r>
          </w:p>
          <w:p>
            <w:r>
              <w:rPr>
                <w:b/>
                <w:color w:val="503200"/>
                <w:sz w:val="16"/>
              </w:rPr>
              <w:t xml:space="preserve">Var. 100 jours : </w:t>
            </w:r>
            <w:r>
              <w:rPr>
                <w:b/>
                <w:color w:val="007800"/>
                <w:sz w:val="17"/>
              </w:rPr>
              <w:t>+46.55%</w:t>
            </w:r>
          </w:p>
          <w:p>
            <w:r>
              <w:rPr>
                <w:b/>
                <w:color w:val="503200"/>
                <w:sz w:val="16"/>
              </w:rPr>
              <w:t xml:space="preserve">Plus haut 100j : </w:t>
            </w:r>
            <w:r>
              <w:rPr>
                <w:color w:val="000000"/>
                <w:sz w:val="17"/>
              </w:rPr>
              <w:t>42,500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13.19% (Moyenne) — μ=32,157 FCFA, σ=4,241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β=1.2920 (Agressif) — Cov=0.000087, Var(idx)=0.000068, ρ=0.515,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11,813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σ_j=2.05%/j (Stable) — Vol. annualisée≈32.6%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39,441</w:t>
            </w:r>
          </w:p>
        </w:tc>
        <w:tc>
          <w:tcPr>
            <w:tcW w:type="dxa" w:w="1440"/>
            <w:shd w:fill="FFDCE0" w:val="clear"/>
          </w:tcPr>
          <w:p>
            <w:r>
              <w:rPr>
                <w:b/>
                <w:sz w:val="17"/>
              </w:rPr>
              <w:t>41,185</w:t>
            </w:r>
          </w:p>
        </w:tc>
        <w:tc>
          <w:tcPr>
            <w:tcW w:type="dxa" w:w="1440"/>
            <w:shd w:fill="FFDCE0" w:val="clear"/>
          </w:tcPr>
          <w:p>
            <w:r>
              <w:rPr>
                <w:sz w:val="17"/>
              </w:rPr>
              <w:t>42,928</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38,701</w:t>
            </w:r>
          </w:p>
        </w:tc>
        <w:tc>
          <w:tcPr>
            <w:tcW w:type="dxa" w:w="1440"/>
            <w:shd w:fill="FFDCE0" w:val="clear"/>
          </w:tcPr>
          <w:p>
            <w:r>
              <w:rPr>
                <w:b/>
                <w:sz w:val="17"/>
              </w:rPr>
              <w:t>41,165</w:t>
            </w:r>
          </w:p>
        </w:tc>
        <w:tc>
          <w:tcPr>
            <w:tcW w:type="dxa" w:w="1440"/>
            <w:shd w:fill="FFDCE0" w:val="clear"/>
          </w:tcPr>
          <w:p>
            <w:r>
              <w:rPr>
                <w:sz w:val="17"/>
              </w:rPr>
              <w:t>43,629</w:t>
            </w:r>
          </w:p>
        </w:tc>
        <w:tc>
          <w:tcPr>
            <w:tcW w:type="dxa" w:w="1440"/>
            <w:shd w:fill="FFDCE0" w:val="clear"/>
          </w:tcPr>
          <w:p>
            <w:r>
              <w:rPr>
                <w:b/>
                <w:color w:val="C00000"/>
                <w:sz w:val="17"/>
              </w:rPr>
              <w:t>-3.1%</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38,048</w:t>
            </w:r>
          </w:p>
        </w:tc>
        <w:tc>
          <w:tcPr>
            <w:tcW w:type="dxa" w:w="1440"/>
            <w:shd w:fill="FFDCE0" w:val="clear"/>
          </w:tcPr>
          <w:p>
            <w:r>
              <w:rPr>
                <w:b/>
                <w:sz w:val="17"/>
              </w:rPr>
              <w:t>41,058</w:t>
            </w:r>
          </w:p>
        </w:tc>
        <w:tc>
          <w:tcPr>
            <w:tcW w:type="dxa" w:w="1440"/>
            <w:shd w:fill="FFDCE0" w:val="clear"/>
          </w:tcPr>
          <w:p>
            <w:r>
              <w:rPr>
                <w:sz w:val="17"/>
              </w:rPr>
              <w:t>44,068</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37,493</w:t>
            </w:r>
          </w:p>
        </w:tc>
        <w:tc>
          <w:tcPr>
            <w:tcW w:type="dxa" w:w="1440"/>
            <w:shd w:fill="FFDCE0" w:val="clear"/>
          </w:tcPr>
          <w:p>
            <w:r>
              <w:rPr>
                <w:b/>
                <w:sz w:val="17"/>
              </w:rPr>
              <w:t>40,961</w:t>
            </w:r>
          </w:p>
        </w:tc>
        <w:tc>
          <w:tcPr>
            <w:tcW w:type="dxa" w:w="1440"/>
            <w:shd w:fill="FFDCE0" w:val="clear"/>
          </w:tcPr>
          <w:p>
            <w:r>
              <w:rPr>
                <w:sz w:val="17"/>
              </w:rPr>
              <w:t>44,428</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37,012</w:t>
            </w:r>
          </w:p>
        </w:tc>
        <w:tc>
          <w:tcPr>
            <w:tcW w:type="dxa" w:w="1440"/>
            <w:shd w:fill="FFDCE0" w:val="clear"/>
          </w:tcPr>
          <w:p>
            <w:r>
              <w:rPr>
                <w:b/>
                <w:sz w:val="17"/>
              </w:rPr>
              <w:t>40,882</w:t>
            </w:r>
          </w:p>
        </w:tc>
        <w:tc>
          <w:tcPr>
            <w:tcW w:type="dxa" w:w="1440"/>
            <w:shd w:fill="FFDCE0" w:val="clear"/>
          </w:tcPr>
          <w:p>
            <w:r>
              <w:rPr>
                <w:sz w:val="17"/>
              </w:rPr>
              <w:t>44,751</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36,582</w:t>
            </w:r>
          </w:p>
        </w:tc>
        <w:tc>
          <w:tcPr>
            <w:tcW w:type="dxa" w:w="1440"/>
            <w:shd w:fill="FFDCE0" w:val="clear"/>
          </w:tcPr>
          <w:p>
            <w:r>
              <w:rPr>
                <w:b/>
                <w:sz w:val="17"/>
              </w:rPr>
              <w:t>40,813</w:t>
            </w:r>
          </w:p>
        </w:tc>
        <w:tc>
          <w:tcPr>
            <w:tcW w:type="dxa" w:w="1440"/>
            <w:shd w:fill="FFDCE0" w:val="clear"/>
          </w:tcPr>
          <w:p>
            <w:r>
              <w:rPr>
                <w:sz w:val="17"/>
              </w:rPr>
              <w:t>45,045</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36,186</w:t>
            </w:r>
          </w:p>
        </w:tc>
        <w:tc>
          <w:tcPr>
            <w:tcW w:type="dxa" w:w="1440"/>
            <w:shd w:fill="FFDCE0" w:val="clear"/>
          </w:tcPr>
          <w:p>
            <w:r>
              <w:rPr>
                <w:b/>
                <w:sz w:val="17"/>
              </w:rPr>
              <w:t>40,750</w:t>
            </w:r>
          </w:p>
        </w:tc>
        <w:tc>
          <w:tcPr>
            <w:tcW w:type="dxa" w:w="1440"/>
            <w:shd w:fill="FFDCE0" w:val="clear"/>
          </w:tcPr>
          <w:p>
            <w:r>
              <w:rPr>
                <w:sz w:val="17"/>
              </w:rPr>
              <w:t>45,313</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35,818</w:t>
            </w:r>
          </w:p>
        </w:tc>
        <w:tc>
          <w:tcPr>
            <w:tcW w:type="dxa" w:w="1440"/>
            <w:shd w:fill="FFDCE0" w:val="clear"/>
          </w:tcPr>
          <w:p>
            <w:r>
              <w:rPr>
                <w:b/>
                <w:sz w:val="17"/>
              </w:rPr>
              <w:t>40,689</w:t>
            </w:r>
          </w:p>
        </w:tc>
        <w:tc>
          <w:tcPr>
            <w:tcW w:type="dxa" w:w="1440"/>
            <w:shd w:fill="FFDCE0" w:val="clear"/>
          </w:tcPr>
          <w:p>
            <w:r>
              <w:rPr>
                <w:sz w:val="17"/>
              </w:rPr>
              <w:t>45,561</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35,472</w:t>
            </w:r>
          </w:p>
        </w:tc>
        <w:tc>
          <w:tcPr>
            <w:tcW w:type="dxa" w:w="1440"/>
            <w:shd w:fill="FFDCE0" w:val="clear"/>
          </w:tcPr>
          <w:p>
            <w:r>
              <w:rPr>
                <w:b/>
                <w:sz w:val="17"/>
              </w:rPr>
              <w:t>40,631</w:t>
            </w:r>
          </w:p>
        </w:tc>
        <w:tc>
          <w:tcPr>
            <w:tcW w:type="dxa" w:w="1440"/>
            <w:shd w:fill="FFDCE0" w:val="clear"/>
          </w:tcPr>
          <w:p>
            <w:r>
              <w:rPr>
                <w:sz w:val="17"/>
              </w:rPr>
              <w:t>45,790</w:t>
            </w:r>
          </w:p>
        </w:tc>
        <w:tc>
          <w:tcPr>
            <w:tcW w:type="dxa" w:w="1440"/>
            <w:shd w:fill="FFDCE0" w:val="clear"/>
          </w:tcPr>
          <w:p>
            <w:r>
              <w:rPr>
                <w:b/>
                <w:color w:val="C00000"/>
                <w:sz w:val="17"/>
              </w:rPr>
              <w:t>-4.4%</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35,144</w:t>
            </w:r>
          </w:p>
        </w:tc>
        <w:tc>
          <w:tcPr>
            <w:tcW w:type="dxa" w:w="1440"/>
            <w:shd w:fill="FFDCE0" w:val="clear"/>
          </w:tcPr>
          <w:p>
            <w:r>
              <w:rPr>
                <w:b/>
                <w:sz w:val="17"/>
              </w:rPr>
              <w:t>40,574</w:t>
            </w:r>
          </w:p>
        </w:tc>
        <w:tc>
          <w:tcPr>
            <w:tcW w:type="dxa" w:w="1440"/>
            <w:shd w:fill="FFDCE0" w:val="clear"/>
          </w:tcPr>
          <w:p>
            <w:r>
              <w:rPr>
                <w:sz w:val="17"/>
              </w:rPr>
              <w:t>46,005</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SONATEL (SNTS)</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4 250 milliards FCFA, Sonatel confirme son statut de première capitalisation de la BRVM, poids lourd incontournable de l'indice BRVM Composite. Le BPA de 4 136 FCFA par action traduit une rentabilité par titre élevée, et le PER de 10,3x place le titre dans la fourchette modérée du marché (référence BRVM ~8-12x), sans prime excessive malgré son leadership. Le P/B de 3,04x indique que le marché valorise l'action à environ trois fois sa valeur comptable, ce qui traduit une prime de croissance justifiée par la qualité des actifs et la rentabilité des fonds propres (ROE ~29,6%). Enfin, l'EV/EBITDA de 4,4x — inférieur au seuil de 5x — signale que la valeur d'entreprise reste très raisonnable au regard de la capacité opérationnelle dégagée, ce qui constitue un signal de sous-évaluation relative sur cet agrégat.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affiche une performance exceptionnelle de +46,55%, avec une dernière séance en hausse de +1,46%, portant le cours à 42 500 FCFA — soit précisément son plus haut de la période, contre un plus bas de 27 160 FCFA, matérialisant un range de trading de plus de 15 000 FCFA (amplitude ~56%). La tendance est donc clairement haussière et le titre évolue en zone de sommet, ce qui traduit un momentum acheteur puissant mais expose à des prises de bénéfices. Les statistiques descriptives révèlent une moyenne de 32 157 FCFA nettement supérieure à la médiane et au mode (31 000 FCFA), confirmant une distribution asymétrique avec un skewness positif de 1,021 — interprété comme « plus de journées sous la moyenne » — signe que la récente flambée tire la moyenne vers le haut après une longue phase de consolidation. L'écart-type de 4 263 FCFA (CV = 13,3%) indique une dispersion modérée du cours, tandis que le kurtosis de -0,248 (mésokurtique, proche d'une distribution normale) suggère l'absence de pics extrêmes anormaux, donc un risque de queue relativement contenu. La volatilité annualisée de 32,6% positionne le titre en zone **élevée** (&gt;30%), ce qui est cohérent avec un marché frontière peu liquide (volume moyen de 11 813 titres/jour) mais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(39 516,5 FCFA) et la MM50 (35 302,3 FCFA) se situent toutes deux sous le cours actuel (42 500 FCFA), avec la MM20 au-dessus de la MM50 : configuration haussière classique en « golden cross ». Le cours surperforme ses deux moyennes, ce qui valide la décision **Achat** et confirme la solidité de la tendance de fond.</w:t>
      </w:r>
    </w:p>
    <w:p>
      <w:pPr>
        <w:spacing w:after="120" w:line="276" w:lineRule="auto"/>
      </w:pPr>
      <w:r>
        <w:t>**Bandes de Bollinger** — Le cours (42 500 FCFA) évolue à proximité immédiate de la borne supérieure (43 136,66 FCFA) tout en restant bien au-dessus de la borne inférieure (35 896,34 FCFA), traduisant une pression acheteuse soutenue mais un risque de retour à la moyenne. La décision **Neutre** s'explique par cette position en haut de bande, qui n'offre plus de marge de progression immédiate sans consolidation.</w:t>
      </w:r>
    </w:p>
    <w:p>
      <w:pPr>
        <w:spacing w:after="120" w:line="276" w:lineRule="auto"/>
      </w:pPr>
      <w:r>
        <w:t>**MACD** — La ligne MACD (1 964,94) surpasse son signal (1 886,44), avec un histogramme positif matérialisant un momentum haussier intact. La décision **Achat** est confirmée, bien que l'écart relativement modeste entre les deux lignes suggère un essoufflement possible du mouvement.</w:t>
      </w:r>
    </w:p>
    <w:p>
      <w:pPr>
        <w:spacing w:after="120" w:line="276" w:lineRule="auto"/>
      </w:pPr>
      <w:r>
        <w:t>**RSI** — À 73,93, le RSI franchit le seuil de surachat (&gt;70), déclenchant logiquement une décision **Vente** : le titre est statistiquement vulnérable à une correction à court terme après sa forte progression.</w:t>
      </w:r>
    </w:p>
    <w:p>
      <w:pPr>
        <w:spacing w:after="120" w:line="276" w:lineRule="auto"/>
      </w:pPr>
      <w:r>
        <w:t>**Stochastique** — Le %K (100,0) est au maximum absolu et surplombe le %D (86,39), signalant un épuisement de la dynamique acheteuse en zone extrême. La décision **Vente** rejoint celle du RSI et prévient d'un risque de retournement imminent.</w:t>
      </w:r>
    </w:p>
    <w:p>
      <w:pPr>
        <w:spacing w:after="120" w:line="276" w:lineRule="auto"/>
      </w:pPr>
      <w:r>
        <w:t>**Conclusion technique** — Les indicateurs de tendance (MM, MACD) restent haussiers et confirment la solidité du mouvement, mais les oscillateurs (RSI à 73,9 et Stochastique à 100) sont en zone de surachat extrême et convergent vers un signal de **prise de bénéfices à court terme**. Le titre se trouve à un point d'inflexion : tendance de fond intacte, mais correction technique probable avant toute nouvelle jambe haussière.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affiche un chiffre d'affaires consolidé de 1 923,122 milliards FCFA, en croissance de +8,26% (taux de croissance CA), pour un résultat net de 413,588 milliards FCFA, soit une marge nette de 21,51%. La rentabilité des fonds propres est excellente avec un ROE de 29,56% (largement supérieur au seuil de 15%) et un ROA de 12,65%, confirmant l'efficacité de l'utilisation des actifs. La structure financière est saine : autonomie financière de 42,79% (&gt;30%), solvabilité générale de 174,79% et couverture des intérêts de 2 744,7%, tandis que la capacité de remboursement de 0,64 an (dettes financières/CAF) témoigne d'un endettement très maîtrisé. Sur le plan opérationnel, le BFR est négatif (-284,906 Mds FCFA), ce qui est favorable car il signifie que l'entreprise finance son cycle d'exploitation par ses fournisseurs ; le délai fournisseurs élevé (201,39 jours) contraste avec un délai clients de 46,16 jours et une durée de stockage de 14,49 jours, traduisant un pouvoir de négociation fort. La trésorerie nette de 536,105 Mds FCFA et le Free Cash Flow de 408,087 Mds FCFA renforcent cette solidité.</w:t>
      </w:r>
    </w:p>
    <w:p>
      <w:pPr>
        <w:spacing w:after="120" w:line="276" w:lineRule="auto"/>
      </w:pPr>
      <w:r>
        <w:t>**Évolution et estimations issues des rapports** : Le rapport annuel 2024 (publié le 31/12/2024) faisait état d'un CA de 1 776,4 Mds FCFA (+9,6%) et d'un résultat net de 393,7 Mds FCFA (+18,7%), avec un BPA de 3 288 FCFA. Le rapport annuel 2025 (communiqué du 16/02/2026) confirme l'accélération avec un CA de 1 923,1 Mds FCFA (+8,3%) et un résultat net de 413,6 Mds FCFA (+5,1%), un EBITDAAL à 47,9% du CA et des investissements de 288,6 Mds FCFA (15% du CA). Le rapport T3 2025 (30/09/2025) montrait déjà un CA 9M de 1 432,5 Mds FCFA (+8,6%) et un résultat net de 311 Mds FCFA (+8,0%). Plus récemment, le communiqué du 24/07/2026 sur le S1 2026 révèle un CA de 1 049,8 Mds FCFA (+9,3%), un EBITDAAL de 510,8 Mds FCFA (marge 48,7%) et un résultat net de 230 Mds FCFA (+10,5%), avec une notation relevée à **AAA (wu)** par GCR Ratings. Sur cette base, on estime que l'exercice 2026 devrait enregistrer un CA proche de 2 100 Mds FCFA (+9%) et un résultat net d'environ 450 Mds FCFA (+9%), confirmant une trajectoire de croissance rentable durable. Le dividende brut proposé de 1 933 FCFA/action (1 740 FCFA net, paiement le 25/05/2026) offre un rendement attractif d'environ 4,1% au cours actuel.</w:t>
      </w:r>
    </w:p>
    <w:p>
      <w:pPr>
        <w:spacing w:after="120" w:line="276" w:lineRule="auto"/>
      </w:pPr>
      <w:r>
        <w:t>**Recommandation fondamentale** : Sonatel présente des fondamentaux exceptionnels — croissance soutenue, marges élevées, structure financière solide, notation maximale AAA et politique de dividende généreuse. Les principaux risques identifiés dans les rapports (T3 2025, S1 2026) sont la pression fiscale et réglementaire croissante (nouvelles taxes au Sénégal, Mali, Guinée-Bissau), l'intensification concurrentielle sur la Data et le Mobile Money, et l'impact des campagnes d'identification des abonnés. Malgré ces vents contraires, la résilience des marges et le leadership maintenu (55,9% de part de marché au Sénégal, 54,5% au Mali) justifient une appréciation positive du titre sur le long terme.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raisonnable, voire légèrement sous-évaluée sur l'EV/EBITDA (4,4x) et le PER (10,3x), malgré une prime comptable (P/B 3,04x) justifiée par un ROE de 29,6%. Le comportement du cours (Partie 1) est nettement haussier (+46,55% sur 100 jours) mais le titre évolue en zone de sommet avec une volatilité élevée (32,6%) et un skewness positif signalant une distribution asymétrique — favorable sur le fond mais exposée à des corrections. Les signaux techniques (Partie 2) sont **divergents** : les moyennes mobiles et le MACD confirment la tendance haussière, tandis que le RSI (73,9) et le Stochastique (100) sont en surachat extrême et plaident pour une consolidation à court terme. Les fondamentaux (Partie 3) sont excellents : croissance du CA (+8,3% en 2025, +9,3% au S1 2026), résultat net en progression (+5,1% puis +10,5%), notation AAA, dividende attractif de 1 740 FCFA net et perspectives 2026 favorables. Les prédictions IA (J+1 à J+10) anticipent une légère correction vers 40 882 FCFA d'ici le 02/10/2026 (-3,8% depuis 42 500 FCFA), ce qui **confirme** le signal de surachat technique et suggère une fenêtre d'entrée après consolidation.</w:t>
      </w:r>
    </w:p>
    <w:p>
      <w:pPr>
        <w:spacing w:after="120" w:line="276" w:lineRule="auto"/>
      </w:pPr>
      <w:r>
        <w:t>**Recommandation finale : CONSERVER** (avec opportunité d'achat sur repli vers 40 000-41 000 FCFA). La convergence entre fondamentaux solides, valorisation raisonnable et perspectives de croissance soutient le titre sur le moyen-long terme, mais la divergence à court terme entre tendance haussière et oscillateurs en surachat, corroborée par les prédictions IA baissières, incite à la prudence immédiate. **Niveau de confiance : Moyen-Élevé** (fondamentaux robustes mais timing technique défavorable). **Niveau de risque global : Moyen** (volatilité élevée et liquidité limitée, mais solidité financière exceptionnelle). **Horizon d'investissement optimal : Moyen à long terme (6-18 mois)**, en privilégiant un renforcement progressif sur repli plutôt qu'un achat au plus haut.</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170.65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5,270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007800"/>
                <w:sz w:val="17"/>
              </w:rPr>
              <w:t>+9.72%</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11.5/100 → Faible</w:t>
      </w:r>
    </w:p>
    <w:p>
      <w:pPr>
        <w:spacing w:before="40" w:after="80"/>
      </w:pPr>
      <w:r>
        <w:rPr>
          <w:rFonts w:ascii="Courier New" w:hAnsi="Courier New"/>
          <w:color w:val="006400"/>
          <w:sz w:val="18"/>
        </w:rPr>
        <w:t>██░░░░░░░░░░░░░░░░░░  11.5/100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4.86% (Faible) — μ=8,049 FCFA, σ=391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β=0.8276 (Neutre (suit le marché)) — Cov=0.000056, Var(idx)=0.000068, ρ=0.261,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7,396</w:t>
            </w:r>
          </w:p>
        </w:tc>
        <w:tc>
          <w:tcPr>
            <w:tcW w:type="dxa" w:w="1440"/>
            <w:shd w:fill="FAFAFA" w:val="clear"/>
          </w:tcPr>
          <w:p>
            <w:r>
              <w:rPr>
                <w:b/>
                <w:sz w:val="17"/>
              </w:rPr>
              <w:t>7,796</w:t>
            </w:r>
          </w:p>
        </w:tc>
        <w:tc>
          <w:tcPr>
            <w:tcW w:type="dxa" w:w="1440"/>
            <w:shd w:fill="FAFAFA" w:val="clear"/>
          </w:tcPr>
          <w:p>
            <w:r>
              <w:rPr>
                <w:sz w:val="17"/>
              </w:rPr>
              <w:t>8,197</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7,230</w:t>
            </w:r>
          </w:p>
        </w:tc>
        <w:tc>
          <w:tcPr>
            <w:tcW w:type="dxa" w:w="1440"/>
            <w:shd w:fill="FAFAFA" w:val="clear"/>
          </w:tcPr>
          <w:p>
            <w:r>
              <w:rPr>
                <w:b/>
                <w:sz w:val="17"/>
              </w:rPr>
              <w:t>7,796</w:t>
            </w:r>
          </w:p>
        </w:tc>
        <w:tc>
          <w:tcPr>
            <w:tcW w:type="dxa" w:w="1440"/>
            <w:shd w:fill="FAFAFA" w:val="clear"/>
          </w:tcPr>
          <w:p>
            <w:r>
              <w:rPr>
                <w:sz w:val="17"/>
              </w:rPr>
              <w:t>8,362</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7,096</w:t>
            </w:r>
          </w:p>
        </w:tc>
        <w:tc>
          <w:tcPr>
            <w:tcW w:type="dxa" w:w="1440"/>
            <w:shd w:fill="FAFAFA" w:val="clear"/>
          </w:tcPr>
          <w:p>
            <w:r>
              <w:rPr>
                <w:b/>
                <w:sz w:val="17"/>
              </w:rPr>
              <w:t>7,788</w:t>
            </w:r>
          </w:p>
        </w:tc>
        <w:tc>
          <w:tcPr>
            <w:tcW w:type="dxa" w:w="1440"/>
            <w:shd w:fill="FAFAFA" w:val="clear"/>
          </w:tcPr>
          <w:p>
            <w:r>
              <w:rPr>
                <w:sz w:val="17"/>
              </w:rPr>
              <w:t>8,481</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6,984</w:t>
            </w:r>
          </w:p>
        </w:tc>
        <w:tc>
          <w:tcPr>
            <w:tcW w:type="dxa" w:w="1440"/>
            <w:shd w:fill="FAFAFA" w:val="clear"/>
          </w:tcPr>
          <w:p>
            <w:r>
              <w:rPr>
                <w:b/>
                <w:sz w:val="17"/>
              </w:rPr>
              <w:t>7,784</w:t>
            </w:r>
          </w:p>
        </w:tc>
        <w:tc>
          <w:tcPr>
            <w:tcW w:type="dxa" w:w="1440"/>
            <w:shd w:fill="FAFAFA" w:val="clear"/>
          </w:tcPr>
          <w:p>
            <w:r>
              <w:rPr>
                <w:sz w:val="17"/>
              </w:rPr>
              <w:t>8,583</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6,887</w:t>
            </w:r>
          </w:p>
        </w:tc>
        <w:tc>
          <w:tcPr>
            <w:tcW w:type="dxa" w:w="1440"/>
            <w:shd w:fill="FAFAFA" w:val="clear"/>
          </w:tcPr>
          <w:p>
            <w:r>
              <w:rPr>
                <w:b/>
                <w:sz w:val="17"/>
              </w:rPr>
              <w:t>7,780</w:t>
            </w:r>
          </w:p>
        </w:tc>
        <w:tc>
          <w:tcPr>
            <w:tcW w:type="dxa" w:w="1440"/>
            <w:shd w:fill="FAFAFA" w:val="clear"/>
          </w:tcPr>
          <w:p>
            <w:r>
              <w:rPr>
                <w:sz w:val="17"/>
              </w:rPr>
              <w:t>8,673</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6,799</w:t>
            </w:r>
          </w:p>
        </w:tc>
        <w:tc>
          <w:tcPr>
            <w:tcW w:type="dxa" w:w="1440"/>
            <w:shd w:fill="FAFAFA" w:val="clear"/>
          </w:tcPr>
          <w:p>
            <w:r>
              <w:rPr>
                <w:b/>
                <w:sz w:val="17"/>
              </w:rPr>
              <w:t>7,777</w:t>
            </w:r>
          </w:p>
        </w:tc>
        <w:tc>
          <w:tcPr>
            <w:tcW w:type="dxa" w:w="1440"/>
            <w:shd w:fill="FAFAFA" w:val="clear"/>
          </w:tcPr>
          <w:p>
            <w:r>
              <w:rPr>
                <w:sz w:val="17"/>
              </w:rPr>
              <w:t>8,755</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6,718</w:t>
            </w:r>
          </w:p>
        </w:tc>
        <w:tc>
          <w:tcPr>
            <w:tcW w:type="dxa" w:w="1440"/>
            <w:shd w:fill="FAFAFA" w:val="clear"/>
          </w:tcPr>
          <w:p>
            <w:r>
              <w:rPr>
                <w:b/>
                <w:sz w:val="17"/>
              </w:rPr>
              <w:t>7,774</w:t>
            </w:r>
          </w:p>
        </w:tc>
        <w:tc>
          <w:tcPr>
            <w:tcW w:type="dxa" w:w="1440"/>
            <w:shd w:fill="FAFAFA" w:val="clear"/>
          </w:tcPr>
          <w:p>
            <w:r>
              <w:rPr>
                <w:sz w:val="17"/>
              </w:rPr>
              <w:t>8,830</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6,642</w:t>
            </w:r>
          </w:p>
        </w:tc>
        <w:tc>
          <w:tcPr>
            <w:tcW w:type="dxa" w:w="1440"/>
            <w:shd w:fill="FAFAFA" w:val="clear"/>
          </w:tcPr>
          <w:p>
            <w:r>
              <w:rPr>
                <w:b/>
                <w:sz w:val="17"/>
              </w:rPr>
              <w:t>7,771</w:t>
            </w:r>
          </w:p>
        </w:tc>
        <w:tc>
          <w:tcPr>
            <w:tcW w:type="dxa" w:w="1440"/>
            <w:shd w:fill="FAFAFA" w:val="clear"/>
          </w:tcPr>
          <w:p>
            <w:r>
              <w:rPr>
                <w:sz w:val="17"/>
              </w:rPr>
              <w:t>8,899</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6,571</w:t>
            </w:r>
          </w:p>
        </w:tc>
        <w:tc>
          <w:tcPr>
            <w:tcW w:type="dxa" w:w="1440"/>
            <w:shd w:fill="FAFAFA" w:val="clear"/>
          </w:tcPr>
          <w:p>
            <w:r>
              <w:rPr>
                <w:b/>
                <w:sz w:val="17"/>
              </w:rPr>
              <w:t>7,768</w:t>
            </w:r>
          </w:p>
        </w:tc>
        <w:tc>
          <w:tcPr>
            <w:tcW w:type="dxa" w:w="1440"/>
            <w:shd w:fill="FAFAFA" w:val="clear"/>
          </w:tcPr>
          <w:p>
            <w:r>
              <w:rPr>
                <w:sz w:val="17"/>
              </w:rPr>
              <w:t>8,964</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6,504</w:t>
            </w:r>
          </w:p>
        </w:tc>
        <w:tc>
          <w:tcPr>
            <w:tcW w:type="dxa" w:w="1440"/>
            <w:shd w:fill="FAFAFA" w:val="clear"/>
          </w:tcPr>
          <w:p>
            <w:r>
              <w:rPr>
                <w:b/>
                <w:sz w:val="17"/>
              </w:rPr>
              <w:t>7,765</w:t>
            </w:r>
          </w:p>
        </w:tc>
        <w:tc>
          <w:tcPr>
            <w:tcW w:type="dxa" w:w="1440"/>
            <w:shd w:fill="FAFAFA" w:val="clear"/>
          </w:tcPr>
          <w:p>
            <w:r>
              <w:rPr>
                <w:sz w:val="17"/>
              </w:rPr>
              <w:t>9,026</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(SOGB CI)</w:t>
        <w:br/>
        <w:t>## Bourse Régionale des Valeurs Mobilières (BRVM) — Secteur Agro-industriel</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**170,65 milliards FCFA**, la SOGC se positionne parmi les valeurs de taille intermédiaire à supérieure de la cote BRVM, ce qui traduit une liquidité correcte et une visibilité institutionnelle réelle. Le **BPA de 578 FCFA/action** signifie que chaque titre génère près de 578 FCFA de bénéfice net, un niveau qui, rapporté au cours actuel de 7 900 FCFA, offre un rendement bénéficiaire implicite d'environ 7,3 %. Le **PER de 13,7x** situe le titre légèrement au-dessus de la fourchette moyenne du marché BRVM (8-12x), ce qui indique que les investisseurs acceptent de payer une prime modérée pour la qualité des fondamentaux et la régularité du dividende. Le **P/B de 2,49x** montre que le marché valorise la société à environ 2,5 fois ses capitaux propres comptables (68,43 Mds FCFA), une prime de croissance cohérente avec un ROE de 18,26 %. Enfin, l'**EV/EBITDA de 7,1x** demeure dans la zone raisonnable (5-10x), suggérant que la valeur d'entreprise reste proportionnée à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affiche une **variation totale de +9,72 %**, avec une dernière séance particulièrement dynamique (**+2,00 % en J-1**), portant le cours à **7 900 FCFA**. Le range de trading s'établit entre un plus bas de **7 200 FCFA** et un plus haut de **8 875 FCFA**, soit une amplitude d'environ 23 %, ce qui témoigne d'une tendance globalement haussière mais ponctuée de corrections notables. La **moyenne (8 049 FCFA)** est légèrement inférieure à la **médiane (8 145 FCFA)**, signe d'une asymétrie négative confirmée par le **skewness de -0,538** : le cours a passé davantage de séances au-dessus de sa moyenne, mais quelques journées de forte baisse ont tiré la moyenne vers le bas. L'**écart-type de 393 FCFA** avec un **coefficient de variation de 4,9 %** indique une dispersion modérée du cours autour de sa tendance, tandis que le **kurtosis de -0,584 (mésokurtique)** suggère une distribution proche de la normale, sans risque excessif de pics extrêmes. La **volatilité annualisée de 41,3 %** classe le titre dans la catégorie **élevée (&gt;30 %)**, ce qui est typique des valeurs agro-industrielles exposées aux prix des matières premières, et implique une gestion prudente du risque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(8 065,75 FCFA) et la MM50 (8 079,10 FCFA) sont toutes deux **supérieures au cours actuel** (7 900 FCFA), et la MM20 est légèrement en dessous de la MM50, configuration baissière de court terme. Le signal technique est donc logiquement **Vente**, le titre évoluant sous ses références moyennes.</w:t>
      </w:r>
    </w:p>
    <w:p>
      <w:pPr>
        <w:spacing w:after="120" w:line="276" w:lineRule="auto"/>
      </w:pPr>
      <w:r>
        <w:t>**Bandes de Bollinger** — Le cours (7 900 FCFA) se situe dans la moitié inférieure du canal, entre la borne inférieure (7 332,70 FCFA) et la borne supérieure (8 798,80 FCFA), sans toucher les extrêmes. La décision est **Neutre**, traduisant une absence de signal directionnel fort et une volatilité en cours de normalisation.</w:t>
      </w:r>
    </w:p>
    <w:p>
      <w:pPr>
        <w:spacing w:after="120" w:line="276" w:lineRule="auto"/>
      </w:pPr>
      <w:r>
        <w:t>**MACD** — La ligne MACD (-113,45) est **nettement en dessous de sa ligne de signal** (-72,33), avec un histogramme négatif, confirmant un **momentum baissier** persistant. Le signal est **Vente**, la divergence négative n'étant pas encore résorbée.</w:t>
      </w:r>
    </w:p>
    <w:p>
      <w:pPr>
        <w:spacing w:after="120" w:line="276" w:lineRule="auto"/>
      </w:pPr>
      <w:r>
        <w:t>**RSI** — À **45,0**, le RSI se situe en zone **neutre** (entre 30 et 70), sans survente ni surachat. Le signal est **Neutre**, le titre n'étant ni survendu (pas d'opportunité d'achat technique) ni suracheté (pas de risque de correction immédiate).</w:t>
      </w:r>
    </w:p>
    <w:p>
      <w:pPr>
        <w:spacing w:after="120" w:line="276" w:lineRule="auto"/>
      </w:pPr>
      <w:r>
        <w:t>**Stochastique** — Le %K (71,43) est **supérieur au %D (41,47)**, avec un croisement haussier récent, mais le %K approche la zone de surachat (&gt;80). La décision reste **Neutre**, le signal étant ambigu : potentiel rebond de court terme mais essoufflement possible.</w:t>
      </w:r>
    </w:p>
    <w:p>
      <w:pPr>
        <w:spacing w:after="120" w:line="276" w:lineRule="auto"/>
      </w:pPr>
      <w:r>
        <w:t>**Conclusion technique** — Les indicateurs sont majoritairement baissiers (MM, MACD) ou neutres (Bollinger, RSI, Stochastique), sans convergence haussière claire. Le titre évolue sous ses moyennes mobiles avec un momentum négatif, mais le RSI neutre et le croisement stochastique haussier suggèrent qu'une stabilisation, voire un rebond technique, n'est pas exclue à court terme. La prudence reste de mise tant que le cours n'aura pas reconquis la MM20 (8 065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SOGC affiche un **chiffre d'affaires de 98,98 milliards FCFA**, en croissance de **+10,70 %** sur un an, confirmant la dynamique commerciale du groupe. Le **résultat net s'établit à 12,49 milliards FCFA**, en léger recul de -5 % par rapport à 2024 (13,11 Mds FCFA), sous l'effet de la hausse des coûts d'achat du coagulum (+15 %). Les ratios de rentabilité restent solides : **ROE de 18,26 %** (largement supérieur au seuil de 15 % considéré comme excellent) et **ROA de 13,84 %**, témoignant d'une efficacité capitalistique remarquable. Sur le plan de la structure financière, l'**autonomie financière de 75,79 %** est excellente, la **liquidité générale de 170,32 %** est confortable, et le **BFR de 7,12 Mds FCFA** reste maîtrisé. Les délais d'exploitation sont bien gérés : **délai clients de 29,60 jours** (faible risque de trésorerie), **délai fournisseurs de 31,72 jours** (favorable), mais **durée de stockage de 97,67 jours** (immobilisation de capital à surveiller). Le **FCF de 16,03 Mds FCFA** et la **trésorerie nette de 4,58 Mds FCFA** confirment la solidité financière.</w:t>
      </w:r>
    </w:p>
    <w:p>
      <w:pPr>
        <w:spacing w:after="120" w:line="276" w:lineRule="auto"/>
      </w:pPr>
      <w:r>
        <w:t>**Estimations basées sur les rapports trimestriels** — Le rapport **S1 2025 (30/06/2025)** faisait état d'un CA de 55,4 Mds FCFA (+51,9 %) et d'un résultat net de 10,2 Mds FCFA (+151,6 %), tandis que le rapport **9M 2025 (30/09/2025)** confirmait un ralentissement avec un CA de 75,6 Mds FCFA (+21,3 %) et un résultat net de 11,5 Mds FCFA (+39,5 %). On estime donc que l'exercice 2025 devrait clôturer sur une croissance annuelle d'environ +10-12 % du CA, avec un résultat net autour de 12,5 Mds FCFA, ce qui est cohérent avec les données structurées. Le rapport **2024 (31/12/2024)** soulignait déjà une performance exceptionnelle (CA +20 %, résultat net +149 %) et une politique de dividende très généreuse (taux de distribution de 98,9 %), avec un **DPA de 60 FCFA/action**. Le document officiel du **19/05/2026** confirme un **dividende brut proposé de 570 FCFA par action** pour 2025, soit un rendement attractif d'environ 7,2 % au cours actuel.</w:t>
      </w:r>
    </w:p>
    <w:p>
      <w:pPr>
        <w:spacing w:after="120" w:line="276" w:lineRule="auto"/>
      </w:pPr>
      <w:r>
        <w:t>**Recommandation fondamentale** — La SOGC présente des fondamentaux solides (ROE &gt;18 %, autonomie financière &gt;75 %, FCF &gt;16 Mds FCFA) mais fait face à des vents contraires (hausse des coûts du coagulum, baisse des cours SICOM, concurrence accrue). Le léger recul du résultat net en 2025 (-5 %) est compensé par un dividende en forte hausse (570 FCFA/action), ce qui maintient l'attrait du titre pour les investisseurs de rendement. Le principal risque reste la volatilité des prix des matières premières, qui pourrait peser sur les marges en 2026.</w:t>
      </w:r>
    </w:p>
    <w:p>
      <w:pPr>
        <w:spacing w:after="120" w:line="276" w:lineRule="auto"/>
      </w:pPr>
      <w:r>
        <w:t>---</w:t>
      </w:r>
    </w:p>
    <w:p>
      <w:pPr>
        <w:spacing w:after="120" w:line="276" w:lineRule="auto"/>
      </w:pPr>
      <w:r>
        <w:t>## PARTIE 4 : CONCLUSION D'INVESTISSEMENT</w:t>
      </w:r>
    </w:p>
    <w:p>
      <w:pPr>
        <w:spacing w:after="120" w:line="276" w:lineRule="auto"/>
      </w:pPr>
      <w:r>
        <w:t>La **valorisation (Partie 0)** est modérément tendue : PER de 13,7x (au-dessus de la moyenne BRVM), P/B de 2,49x (prime de croissance justifiée par le ROE), EV/EBITDA de 7,1x (raisonnable). Le titre n'est ni sous-évalué ni excessivement cher, mais il intègre déjà une bonne partie des fondamentaux. Le **comportement du cours (Partie 1)** est globalement haussier (+9,72 % sur 100 jours) mais avec une volatilité élevée (41,3 %) et une asymétrie négative (skewness -0,538), ce qui suggère que les corrections peuvent être brutales. Les **signaux techniques (Partie 2)** sont majoritairement baissiers (MM, MACD) ou neutres (RSI, Bollinger, Stochastique), sans convergence haussière claire, ce qui plaide pour une certaine prudence à court terme. Les **fondamentaux (Partie 3)** restent solides (ROE 18,26 %, autonomie financière 75,79 %, dividende 570 FCFA/action), mais le recul du résultat net en 2025 (-5 %) et les perspectives 2026 incertaines (concurrence, prix SICOM) tempèrent l'optimisme. Les **prédictions IA (J+1 à J+10)** anticipent une légère dérive baissière (7 796 FCFA le 28/09/2026, puis 7 780 FCFA le 02/10/2026), ce qui **contredit** les signaux fondamentaux haussiers mais **confirme** les signaux techniques baissiers.</w:t>
      </w:r>
    </w:p>
    <w:p>
      <w:pPr>
        <w:spacing w:after="120" w:line="276" w:lineRule="auto"/>
      </w:pPr>
      <w:r>
        <w:t>**Recommandation finale : CONSERVER** — La convergence entre technique baissier, prédiction IA baissière et valorisation modérément tendue incite à la prudence, mais la solidité fondamentale et le dividende attractif (570 FCFA/action, rendement ~7,2 %) justifient de ne pas vendre. Le niveau de confiance est **Moyen** (les signaux sont divergents entre fondamental et technique), et le niveau de risque global est **Élevé** (volatilité 41,3 %, exposition aux matières premières). L'horizon d'investissement optimal est **moyen terme (3-12 mois)**, en attendant une clarification des perspectives 2026 et une reconquête technique de la MM20 (8 065 FCFA) pour envisager un renforcement.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201.91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4,735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007800"/>
                <w:sz w:val="17"/>
              </w:rPr>
              <w:t>+17.56%</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10.09% (Moyenne) — μ=7,820 FCFA, σ=789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β=0.7582 (Défensif) — Cov=0.000051, Var(idx)=0.000068, ρ=0.225,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7,208</w:t>
            </w:r>
          </w:p>
        </w:tc>
        <w:tc>
          <w:tcPr>
            <w:tcW w:type="dxa" w:w="1440"/>
            <w:shd w:fill="FFDCE0" w:val="clear"/>
          </w:tcPr>
          <w:p>
            <w:r>
              <w:rPr>
                <w:b/>
                <w:sz w:val="17"/>
              </w:rPr>
              <w:t>7,725</w:t>
            </w:r>
          </w:p>
        </w:tc>
        <w:tc>
          <w:tcPr>
            <w:tcW w:type="dxa" w:w="1440"/>
            <w:shd w:fill="FFDCE0" w:val="clear"/>
          </w:tcPr>
          <w:p>
            <w:r>
              <w:rPr>
                <w:sz w:val="17"/>
              </w:rPr>
              <w:t>8,242</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6,990</w:t>
            </w:r>
          </w:p>
        </w:tc>
        <w:tc>
          <w:tcPr>
            <w:tcW w:type="dxa" w:w="1440"/>
            <w:shd w:fill="FFDCE0" w:val="clear"/>
          </w:tcPr>
          <w:p>
            <w:r>
              <w:rPr>
                <w:b/>
                <w:sz w:val="17"/>
              </w:rPr>
              <w:t>7,721</w:t>
            </w:r>
          </w:p>
        </w:tc>
        <w:tc>
          <w:tcPr>
            <w:tcW w:type="dxa" w:w="1440"/>
            <w:shd w:fill="FFDCE0" w:val="clear"/>
          </w:tcPr>
          <w:p>
            <w:r>
              <w:rPr>
                <w:sz w:val="17"/>
              </w:rPr>
              <w:t>8,452</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6,810</w:t>
            </w:r>
          </w:p>
        </w:tc>
        <w:tc>
          <w:tcPr>
            <w:tcW w:type="dxa" w:w="1440"/>
            <w:shd w:fill="FFDCE0" w:val="clear"/>
          </w:tcPr>
          <w:p>
            <w:r>
              <w:rPr>
                <w:b/>
                <w:sz w:val="17"/>
              </w:rPr>
              <w:t>7,703</w:t>
            </w:r>
          </w:p>
        </w:tc>
        <w:tc>
          <w:tcPr>
            <w:tcW w:type="dxa" w:w="1440"/>
            <w:shd w:fill="FFDCE0" w:val="clear"/>
          </w:tcPr>
          <w:p>
            <w:r>
              <w:rPr>
                <w:sz w:val="17"/>
              </w:rPr>
              <w:t>8,596</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6,657</w:t>
            </w:r>
          </w:p>
        </w:tc>
        <w:tc>
          <w:tcPr>
            <w:tcW w:type="dxa" w:w="1440"/>
            <w:shd w:fill="FFDCE0" w:val="clear"/>
          </w:tcPr>
          <w:p>
            <w:r>
              <w:rPr>
                <w:b/>
                <w:sz w:val="17"/>
              </w:rPr>
              <w:t>7,687</w:t>
            </w:r>
          </w:p>
        </w:tc>
        <w:tc>
          <w:tcPr>
            <w:tcW w:type="dxa" w:w="1440"/>
            <w:shd w:fill="FFDCE0" w:val="clear"/>
          </w:tcPr>
          <w:p>
            <w:r>
              <w:rPr>
                <w:sz w:val="17"/>
              </w:rPr>
              <w:t>8,716</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6,524</w:t>
            </w:r>
          </w:p>
        </w:tc>
        <w:tc>
          <w:tcPr>
            <w:tcW w:type="dxa" w:w="1440"/>
            <w:shd w:fill="FFDCE0" w:val="clear"/>
          </w:tcPr>
          <w:p>
            <w:r>
              <w:rPr>
                <w:b/>
                <w:sz w:val="17"/>
              </w:rPr>
              <w:t>7,672</w:t>
            </w:r>
          </w:p>
        </w:tc>
        <w:tc>
          <w:tcPr>
            <w:tcW w:type="dxa" w:w="1440"/>
            <w:shd w:fill="FFDCE0" w:val="clear"/>
          </w:tcPr>
          <w:p>
            <w:r>
              <w:rPr>
                <w:sz w:val="17"/>
              </w:rPr>
              <w:t>8,820</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6,402</w:t>
            </w:r>
          </w:p>
        </w:tc>
        <w:tc>
          <w:tcPr>
            <w:tcW w:type="dxa" w:w="1440"/>
            <w:shd w:fill="FFDCE0" w:val="clear"/>
          </w:tcPr>
          <w:p>
            <w:r>
              <w:rPr>
                <w:b/>
                <w:sz w:val="17"/>
              </w:rPr>
              <w:t>7,658</w:t>
            </w:r>
          </w:p>
        </w:tc>
        <w:tc>
          <w:tcPr>
            <w:tcW w:type="dxa" w:w="1440"/>
            <w:shd w:fill="FFDCE0" w:val="clear"/>
          </w:tcPr>
          <w:p>
            <w:r>
              <w:rPr>
                <w:sz w:val="17"/>
              </w:rPr>
              <w:t>8,914</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6,290</w:t>
            </w:r>
          </w:p>
        </w:tc>
        <w:tc>
          <w:tcPr>
            <w:tcW w:type="dxa" w:w="1440"/>
            <w:shd w:fill="FFDCE0" w:val="clear"/>
          </w:tcPr>
          <w:p>
            <w:r>
              <w:rPr>
                <w:b/>
                <w:sz w:val="17"/>
              </w:rPr>
              <w:t>7,644</w:t>
            </w:r>
          </w:p>
        </w:tc>
        <w:tc>
          <w:tcPr>
            <w:tcW w:type="dxa" w:w="1440"/>
            <w:shd w:fill="FFDCE0" w:val="clear"/>
          </w:tcPr>
          <w:p>
            <w:r>
              <w:rPr>
                <w:sz w:val="17"/>
              </w:rPr>
              <w:t>8,998</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6,186</w:t>
            </w:r>
          </w:p>
        </w:tc>
        <w:tc>
          <w:tcPr>
            <w:tcW w:type="dxa" w:w="1440"/>
            <w:shd w:fill="FFDCE0" w:val="clear"/>
          </w:tcPr>
          <w:p>
            <w:r>
              <w:rPr>
                <w:b/>
                <w:sz w:val="17"/>
              </w:rPr>
              <w:t>7,631</w:t>
            </w:r>
          </w:p>
        </w:tc>
        <w:tc>
          <w:tcPr>
            <w:tcW w:type="dxa" w:w="1440"/>
            <w:shd w:fill="FFDCE0" w:val="clear"/>
          </w:tcPr>
          <w:p>
            <w:r>
              <w:rPr>
                <w:sz w:val="17"/>
              </w:rPr>
              <w:t>9,076</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6,088</w:t>
            </w:r>
          </w:p>
        </w:tc>
        <w:tc>
          <w:tcPr>
            <w:tcW w:type="dxa" w:w="1440"/>
            <w:shd w:fill="FFDCE0" w:val="clear"/>
          </w:tcPr>
          <w:p>
            <w:r>
              <w:rPr>
                <w:b/>
                <w:sz w:val="17"/>
              </w:rPr>
              <w:t>7,618</w:t>
            </w:r>
          </w:p>
        </w:tc>
        <w:tc>
          <w:tcPr>
            <w:tcW w:type="dxa" w:w="1440"/>
            <w:shd w:fill="FFDCE0" w:val="clear"/>
          </w:tcPr>
          <w:p>
            <w:r>
              <w:rPr>
                <w:sz w:val="17"/>
              </w:rPr>
              <w:t>9,148</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5,995</w:t>
            </w:r>
          </w:p>
        </w:tc>
        <w:tc>
          <w:tcPr>
            <w:tcW w:type="dxa" w:w="1440"/>
            <w:shd w:fill="FFDCE0" w:val="clear"/>
          </w:tcPr>
          <w:p>
            <w:r>
              <w:rPr>
                <w:b/>
                <w:sz w:val="17"/>
              </w:rPr>
              <w:t>7,605</w:t>
            </w:r>
          </w:p>
        </w:tc>
        <w:tc>
          <w:tcPr>
            <w:tcW w:type="dxa" w:w="1440"/>
            <w:shd w:fill="FFDCE0" w:val="clear"/>
          </w:tcPr>
          <w:p>
            <w:r>
              <w:rPr>
                <w:sz w:val="17"/>
              </w:rPr>
              <w:t>9,215</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Agro-industriel (Hévéa)*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201,91 milliards FCFA, SPHC se positionne parmi les valeurs de premier plan de la cote BRVM, ce qui traduit une liquidité relative et une visibilité institutionnelle appréciables. Le BPA de 977 FCFA/action indique que chaque titre génère près d'un millier de francs de bénéfice net, un niveau élevé qui contraste avec un PER de seulement 8,1x — nettement en dessous de la moyenne BRVM (8-12x) — signalant une potentielle sous-évaluation du titre par le marché. Le P/B de 1,46x montre que le marché valorise SPHC à peine 46% au-dessus de sa valeur comptable, une prime raisonnable qui n'intègre pas de spéculation excessive. Enfin, l'EV/EBITDA de 5,1x (fourchette raisonnable de 5-10x) suggère que la valeur totale de l'entreprise, endettement inclus, reste modérée au regard de sa capacité opérationnelle à générer de l'EBE, renforçant le diagnostic de valorisation attractive.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progression totale de +17,56%, avec une dernière séance particulièrement dynamique (+3,27%), portant le cours actuel à 7 900 FCFA. Le titre a évolué dans un range large de 6 720 FCFA (plus bas) à 10 300 FCFA (plus haut), soit une amplitude de plus de 53%, témoignant d'une forte volatilité intra-période. La tendance générale reste haussière sur la période, mais le cours actuel se situe en retrait de 23% par rapport à son plus haut, ce qui suggère une phase de correction après un sommet. Les statistiques descriptives révèlent une moyenne (7 820 FCFA) légèrement supérieure à la médiane (7 600 FCFA), avec un mode à 7 500 FCFA : cet écart confirme une distribution asymétrique positivement (skewness de 1,385), indiquant que les journées sous la moyenne sont plus fréquentes mais compensées par des pics haussiers marqués. L'écart-type de 793 FCFA (CV de 10,1%) traduit une dispersion modérée autour de la moyenne, tandis que le kurtosis de 1,478 (leptokurtique) signale des queues épaisses, donc un risque accru de mouvements brusques et de pics de volatilité. Avec une volatilité annualisée de 43,9%, SPHC se classe dans la catégorie des titres à volatilité élevée (&gt;30%), ce qui implique un profil de risque spéculatif nécessitant une gestion active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(8 535,25 FCFA) et la MM50 (8 254,10 FCFA) se situent toutes deux au-dessus du cours actuel (7 900 FCFA), ce qui place le titre en position baissière à court terme par rapport à ses références mobiles. Cependant, la MM20 reste supérieure à la MM50, conservant une structure haussière de fond. La décision "Achat" fournie par l'indicateur suggère que le croisement des moyennes et la configuration globale plaident pour une opportunité d'entrée sur repli.</w:t>
      </w:r>
    </w:p>
    <w:p>
      <w:pPr>
        <w:spacing w:after="120" w:line="276" w:lineRule="auto"/>
      </w:pPr>
      <w:r>
        <w:t>**Bandes de Bollinger** : Le cours actuel (7 900 FCFA) évolue dans la partie basse de la bande, entre la borne inférieure (6 674,11 FCFA) et la borne supérieure (10 396,39 FCFA), sans atteindre les extrêmes. Cette position médiane-basse, combinée à une largeur de bande importante (3 722 FCFA), confirme une volatilité élevée. La décision "Neutre" reflète l'absence de signal directionnel fort, le titre n'étant ni en surachat ni en survente selon ce critère.</w:t>
      </w:r>
    </w:p>
    <w:p>
      <w:pPr>
        <w:spacing w:after="120" w:line="276" w:lineRule="auto"/>
      </w:pPr>
      <w:r>
        <w:t>**MACD** : La valeur du MACD (-260,31) est inférieure à son signal (-143,40), générant un histogramme négatif qui traduit un momentum baissier persistant. La décision "Vente" de cet indicateur contraste avec les autres signaux, suggérant que la pression vendeuse reste présente à court terme malgré le rebond récent du cours.</w:t>
      </w:r>
    </w:p>
    <w:p>
      <w:pPr>
        <w:spacing w:after="120" w:line="276" w:lineRule="auto"/>
      </w:pPr>
      <w:r>
        <w:t>**RSI** : À 27,66, le RSI se situe en zone de survente (&lt;30), ce qui constitue un signal d'achat technique classique. Cette configuration indique que le titre a été excessivement vendu et qu'un rebond technique est probable, ce qui justifie la décision "Achat" de l'indicateur.</w:t>
      </w:r>
    </w:p>
    <w:p>
      <w:pPr>
        <w:spacing w:after="120" w:line="276" w:lineRule="auto"/>
      </w:pPr>
      <w:r>
        <w:t>**Stochastique** : Le %K (37,21) est supérieur au %D (15,24), avec un croisement haussier en cours de formation depuis la zone de survente. La décision "Neutre" reflète que le signal n'est pas encore confirmé, mais la configuration suggère une amélioration progressive du momentum.</w:t>
      </w:r>
    </w:p>
    <w:p>
      <w:pPr>
        <w:spacing w:after="120" w:line="276" w:lineRule="auto"/>
      </w:pPr>
      <w:r>
        <w:t>**Conclusion technique** : Les indicateurs présentent une divergence notable : le RSI en survente et les moyennes mobiles en configuration haussière de fond plaident pour un rebond, tandis que le MACD baissier et la position du cours sous les MM tempèrent l'optimisme. Le stochastique en croisement haussier naissant et les Bandes de Bollinger en zone neutre-basse suggèrent une phase de consolidation avant une éventuelle reprise. Globalement, le titre se trouve à un point d'inflexion technique, avec un avantage aux acheteurs si le RSI confirme sa sortie de survente.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certifiés) dressent le portrait d'une entreprise en forte croissance et solidement rentable. Le chiffre d'affaires s'établit à 340,83 milliards FCFA, en progression de 21,97% par rapport à 2024, porté par la hausse des volumes vendus et des prix moyens du caoutchouc naturel. Le résultat net atteint 24,97 milliards FCFA, en hausse de 32,9%, avec une marge nette de 7,33% (contre 6,7% en 2024). La rentabilité des fonds propres (ROE) s'élève à 18,10%, un niveau excellent (&gt;15%), et le ROA à 11,06%, confirmant l'efficacité de l'utilisation des actifs. La structure financière est saine : autonomie financière de 61,08%, ratio d'endettement maîtrisé à 25,81%, et couverture des intérêts par le résultat d'exploitation de 1 094,57%. En tant qu'entreprise agro-industrielle, SPHC présente un BFR de 65,39 milliards FCFA (positif, donc consommateur de trésorerie), avec des délais clients de 35 jours et une durée de stockage de 72,33 jours — ce dernier indicateur, élevé, immobilise du capital et constitue un point de vigilance pour la trésorerie. La trésorerie nette est négative à -15,41 milliards FCFA, bien qu'en amélioration de 9,89 milliards FCFA par rapport à 2024. Les rapports trimestriels de 2025 confirment cette dynamique : au T1 2025 (rapport du 31/03/2025), le CA bondit de +72% à 94,3 milliards FCFA avec un résultat net de 11,8 milliards (+949%) ; au S1 2025 (rapport du 30/06/2025), le CA atteint 171,4 milliards (+51%) pour un résultat net de 18,1 milliards (+449%) ; au T3 2025 (rapport du 30/09/2025), le CA cumulé s'élève à 253,7 milliards (+36%) et le résultat net à 23,2 milliards (+131%). Cependant, le rapport du T1 2026 (publié en 2026) révèle un retournement brutal : le CA chute de 24% à 71,8 milliards FCFA et le résultat net s'effondre de 78% à 2,6 milliards FCFA, pénalisé par la baisse des cours mondiaux du caoutchouc (-17%), la baisse des volumes (-11%) et l'engorgement du port de San Pedro. Sur la base de ce T1 2026, on estime que l'exercice 2026 devrait afficher une contraction significative de la rentabilité par rapport à 2025, avec un résultat net potentiellement divisé par 2 à 3 si la tendance se poursuit. La société propose néanmoins un dividende de 489 FCFA brut par action (12,50 milliards FCFA au total), en hausse de 32,7% par rapport à 2024, ce qui offre un rendement attractif de 6,2% au cours actuel de 7 900 FCFA. La recommandation fondamentale est de **conserver** le titre : la solidité du bilan et la politique de dividende généreuse soutiennent la valeur, mais la dégradation récente des résultats trimestriels et la volatilité des cours du caoutchouc imposent une surveillance active.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clairement attractive : PER de 8,1x, P/B de 1,46x et EV/EBITDA de 5,1x suggèrent une sous-évaluation du titre par rapport à ses fondamentaux et à la moyenne du marché. Le comportement du cours (Partie 1) est mitigé : la tendance haussière de fond (+17,56% sur 100 jours) est tempérée par une volatilité élevée (43,9%) et une distribution leptokurtique (kurtosis 1,478) qui expose à des pics de risque, tandis que le skewness positif (1,385) indique une asymétrie favorable aux hausses. Les signaux techniques (Partie 2) sont divergents : le RSI en survente (27,66) et les moyennes mobiles en configuration haussière plaident pour un rebond, mais le MACD baissier et la position du cours sous les MM20/MM50 incitent à la prudence. Les fondamentaux (Partie 3) sont solides pour 2025 (ROE 18,1%, marge nette 7,3%, croissance du CA de 22%), mais le T1 2026 (CA -24%, résultat net -78%) marque un net ralentissement qui pourrait peser sur l'exercice en cours. Les prédictions IA (J+1 à J+10) anticipent une légère dérive baissière vers 7 672 FCFA d'ici le 2 octobre 2026, ce qui contredit le signal de rebond technique mais s'aligne sur la prudence fondamentale post-T1 2026. Sur la base de cette synthèse, la recommandation finale est **CONSERVER**, avec un niveau de confiance **Moyen** et un risque global **Élevé** (volatilité du caoutchouc, trésorerie négative, retournement des résultats). L'horizon d'investissement optimal est le **moyen terme (3-12 mois)**, en attendant la confirmation d'une stabilisation des cours du caoutchouc et d'une amélioration des résultats trimestriels 2026. Un passage à l'achat pourrait être envisagé si le titre se rapproche de la borne inférieure des Bandes de Bollinger (6 674 FCFA) avec un RSI confirmant la survente, offrant un point d'entrée plus favorable.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6,107 titres</w:t>
            </w:r>
          </w:p>
        </w:tc>
        <w:tc>
          <w:tcPr>
            <w:tcW w:type="dxa" w:w="2268"/>
            <w:shd w:fill="FFF2CC" w:val="clear"/>
          </w:tcPr>
          <w:p>
            <w:r>
              <w:rPr>
                <w:b/>
                <w:color w:val="503200"/>
                <w:sz w:val="16"/>
              </w:rPr>
              <w:t xml:space="preserve">Cours actuel : </w:t>
            </w:r>
            <w:r>
              <w:rPr>
                <w:color w:val="000000"/>
                <w:sz w:val="17"/>
              </w:rPr>
              <w:t>2,085 FCFA</w:t>
            </w:r>
          </w:p>
          <w:p>
            <w:r>
              <w:rPr>
                <w:b/>
                <w:color w:val="503200"/>
                <w:sz w:val="16"/>
              </w:rPr>
              <w:t xml:space="preserve">Var. 100 jours : </w:t>
            </w:r>
            <w:r>
              <w:rPr>
                <w:b/>
                <w:color w:val="B40000"/>
                <w:sz w:val="17"/>
              </w:rPr>
              <w:t>-29.44%</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59.5%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13.37% (Moyenne) — μ=2,890 FCFA, σ=386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β=0.1076 (Défensif) — Cov=0.000007, Var(idx)=0.000068, ρ=0.024,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σ_j=3.75%/j (Modérée) — Vol. annualisée≈59.5%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2026-09-28</w:t>
            </w:r>
          </w:p>
        </w:tc>
        <w:tc>
          <w:tcPr>
            <w:tcW w:type="dxa" w:w="1440"/>
            <w:shd w:fill="C6EFCE" w:val="clear"/>
          </w:tcPr>
          <w:p>
            <w:r>
              <w:rPr>
                <w:sz w:val="17"/>
              </w:rPr>
              <w:t>2,015</w:t>
            </w:r>
          </w:p>
        </w:tc>
        <w:tc>
          <w:tcPr>
            <w:tcW w:type="dxa" w:w="1440"/>
            <w:shd w:fill="C6EFCE" w:val="clear"/>
          </w:tcPr>
          <w:p>
            <w:r>
              <w:rPr>
                <w:b/>
                <w:sz w:val="17"/>
              </w:rPr>
              <w:t>2,129</w:t>
            </w:r>
          </w:p>
        </w:tc>
        <w:tc>
          <w:tcPr>
            <w:tcW w:type="dxa" w:w="1440"/>
            <w:shd w:fill="C6EFCE" w:val="clear"/>
          </w:tcPr>
          <w:p>
            <w:r>
              <w:rPr>
                <w:sz w:val="17"/>
              </w:rPr>
              <w:t>2,242</w:t>
            </w:r>
          </w:p>
        </w:tc>
        <w:tc>
          <w:tcPr>
            <w:tcW w:type="dxa" w:w="1440"/>
            <w:shd w:fill="C6EFCE" w:val="clear"/>
          </w:tcPr>
          <w:p>
            <w:r>
              <w:rPr>
                <w:b/>
                <w:color w:val="008000"/>
                <w:sz w:val="17"/>
              </w:rPr>
              <w:t>+2.1%</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1,956</w:t>
            </w:r>
          </w:p>
        </w:tc>
        <w:tc>
          <w:tcPr>
            <w:tcW w:type="dxa" w:w="1440"/>
            <w:shd w:fill="FAFAFA" w:val="clear"/>
          </w:tcPr>
          <w:p>
            <w:r>
              <w:rPr>
                <w:b/>
                <w:sz w:val="17"/>
              </w:rPr>
              <w:t>2,115</w:t>
            </w:r>
          </w:p>
        </w:tc>
        <w:tc>
          <w:tcPr>
            <w:tcW w:type="dxa" w:w="1440"/>
            <w:shd w:fill="FAFAFA" w:val="clear"/>
          </w:tcPr>
          <w:p>
            <w:r>
              <w:rPr>
                <w:sz w:val="17"/>
              </w:rPr>
              <w:t>2,274</w:t>
            </w:r>
          </w:p>
        </w:tc>
        <w:tc>
          <w:tcPr>
            <w:tcW w:type="dxa" w:w="1440"/>
            <w:shd w:fill="FAFAFA" w:val="clear"/>
          </w:tcPr>
          <w:p>
            <w:r>
              <w:rPr>
                <w:b/>
                <w:color w:val="008000"/>
                <w:sz w:val="17"/>
              </w:rPr>
              <w:t>+1.4%</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1,917</w:t>
            </w:r>
          </w:p>
        </w:tc>
        <w:tc>
          <w:tcPr>
            <w:tcW w:type="dxa" w:w="1440"/>
            <w:shd w:fill="FAFAFA" w:val="clear"/>
          </w:tcPr>
          <w:p>
            <w:r>
              <w:rPr>
                <w:b/>
                <w:sz w:val="17"/>
              </w:rPr>
              <w:t>2,112</w:t>
            </w:r>
          </w:p>
        </w:tc>
        <w:tc>
          <w:tcPr>
            <w:tcW w:type="dxa" w:w="1440"/>
            <w:shd w:fill="FAFAFA" w:val="clear"/>
          </w:tcPr>
          <w:p>
            <w:r>
              <w:rPr>
                <w:sz w:val="17"/>
              </w:rPr>
              <w:t>2,307</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1,887</w:t>
            </w:r>
          </w:p>
        </w:tc>
        <w:tc>
          <w:tcPr>
            <w:tcW w:type="dxa" w:w="1440"/>
            <w:shd w:fill="FAFAFA" w:val="clear"/>
          </w:tcPr>
          <w:p>
            <w:r>
              <w:rPr>
                <w:b/>
                <w:sz w:val="17"/>
              </w:rPr>
              <w:t>2,112</w:t>
            </w:r>
          </w:p>
        </w:tc>
        <w:tc>
          <w:tcPr>
            <w:tcW w:type="dxa" w:w="1440"/>
            <w:shd w:fill="FAFAFA" w:val="clear"/>
          </w:tcPr>
          <w:p>
            <w:r>
              <w:rPr>
                <w:sz w:val="17"/>
              </w:rPr>
              <w:t>2,337</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1,862</w:t>
            </w:r>
          </w:p>
        </w:tc>
        <w:tc>
          <w:tcPr>
            <w:tcW w:type="dxa" w:w="1440"/>
            <w:shd w:fill="FAFAFA" w:val="clear"/>
          </w:tcPr>
          <w:p>
            <w:r>
              <w:rPr>
                <w:b/>
                <w:sz w:val="17"/>
              </w:rPr>
              <w:t>2,114</w:t>
            </w:r>
          </w:p>
        </w:tc>
        <w:tc>
          <w:tcPr>
            <w:tcW w:type="dxa" w:w="1440"/>
            <w:shd w:fill="FAFAFA" w:val="clear"/>
          </w:tcPr>
          <w:p>
            <w:r>
              <w:rPr>
                <w:sz w:val="17"/>
              </w:rPr>
              <w:t>2,366</w:t>
            </w:r>
          </w:p>
        </w:tc>
        <w:tc>
          <w:tcPr>
            <w:tcW w:type="dxa" w:w="1440"/>
            <w:shd w:fill="FAFAFA" w:val="clear"/>
          </w:tcPr>
          <w:p>
            <w:r>
              <w:rPr>
                <w:b/>
                <w:color w:val="008000"/>
                <w:sz w:val="17"/>
              </w:rPr>
              <w:t>+1.4%</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1,840</w:t>
            </w:r>
          </w:p>
        </w:tc>
        <w:tc>
          <w:tcPr>
            <w:tcW w:type="dxa" w:w="1440"/>
            <w:shd w:fill="FAFAFA" w:val="clear"/>
          </w:tcPr>
          <w:p>
            <w:r>
              <w:rPr>
                <w:b/>
                <w:sz w:val="17"/>
              </w:rPr>
              <w:t>2,117</w:t>
            </w:r>
          </w:p>
        </w:tc>
        <w:tc>
          <w:tcPr>
            <w:tcW w:type="dxa" w:w="1440"/>
            <w:shd w:fill="FAFAFA" w:val="clear"/>
          </w:tcPr>
          <w:p>
            <w:r>
              <w:rPr>
                <w:sz w:val="17"/>
              </w:rPr>
              <w:t>2,393</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1,820</w:t>
            </w:r>
          </w:p>
        </w:tc>
        <w:tc>
          <w:tcPr>
            <w:tcW w:type="dxa" w:w="1440"/>
            <w:shd w:fill="FAFAFA" w:val="clear"/>
          </w:tcPr>
          <w:p>
            <w:r>
              <w:rPr>
                <w:b/>
                <w:sz w:val="17"/>
              </w:rPr>
              <w:t>2,119</w:t>
            </w:r>
          </w:p>
        </w:tc>
        <w:tc>
          <w:tcPr>
            <w:tcW w:type="dxa" w:w="1440"/>
            <w:shd w:fill="FAFAFA" w:val="clear"/>
          </w:tcPr>
          <w:p>
            <w:r>
              <w:rPr>
                <w:sz w:val="17"/>
              </w:rPr>
              <w:t>2,418</w:t>
            </w:r>
          </w:p>
        </w:tc>
        <w:tc>
          <w:tcPr>
            <w:tcW w:type="dxa" w:w="1440"/>
            <w:shd w:fill="FAFAFA" w:val="clear"/>
          </w:tcPr>
          <w:p>
            <w:r>
              <w:rPr>
                <w:b/>
                <w:color w:val="008000"/>
                <w:sz w:val="17"/>
              </w:rPr>
              <w:t>+1.6%</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1,801</w:t>
            </w:r>
          </w:p>
        </w:tc>
        <w:tc>
          <w:tcPr>
            <w:tcW w:type="dxa" w:w="1440"/>
            <w:shd w:fill="FAFAFA" w:val="clear"/>
          </w:tcPr>
          <w:p>
            <w:r>
              <w:rPr>
                <w:b/>
                <w:sz w:val="17"/>
              </w:rPr>
              <w:t>2,121</w:t>
            </w:r>
          </w:p>
        </w:tc>
        <w:tc>
          <w:tcPr>
            <w:tcW w:type="dxa" w:w="1440"/>
            <w:shd w:fill="FAFAFA" w:val="clear"/>
          </w:tcPr>
          <w:p>
            <w:r>
              <w:rPr>
                <w:sz w:val="17"/>
              </w:rPr>
              <w:t>2,440</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1,783</w:t>
            </w:r>
          </w:p>
        </w:tc>
        <w:tc>
          <w:tcPr>
            <w:tcW w:type="dxa" w:w="1440"/>
            <w:shd w:fill="FAFAFA" w:val="clear"/>
          </w:tcPr>
          <w:p>
            <w:r>
              <w:rPr>
                <w:b/>
                <w:sz w:val="17"/>
              </w:rPr>
              <w:t>2,123</w:t>
            </w:r>
          </w:p>
        </w:tc>
        <w:tc>
          <w:tcPr>
            <w:tcW w:type="dxa" w:w="1440"/>
            <w:shd w:fill="FAFAFA" w:val="clear"/>
          </w:tcPr>
          <w:p>
            <w:r>
              <w:rPr>
                <w:sz w:val="17"/>
              </w:rPr>
              <w:t>2,462</w:t>
            </w:r>
          </w:p>
        </w:tc>
        <w:tc>
          <w:tcPr>
            <w:tcW w:type="dxa" w:w="1440"/>
            <w:shd w:fill="FAFAFA" w:val="clear"/>
          </w:tcPr>
          <w:p>
            <w:r>
              <w:rPr>
                <w:b/>
                <w:color w:val="008000"/>
                <w:sz w:val="17"/>
              </w:rPr>
              <w:t>+1.8%</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1,766</w:t>
            </w:r>
          </w:p>
        </w:tc>
        <w:tc>
          <w:tcPr>
            <w:tcW w:type="dxa" w:w="1440"/>
            <w:shd w:fill="FAFAFA" w:val="clear"/>
          </w:tcPr>
          <w:p>
            <w:r>
              <w:rPr>
                <w:b/>
                <w:sz w:val="17"/>
              </w:rPr>
              <w:t>2,124</w:t>
            </w:r>
          </w:p>
        </w:tc>
        <w:tc>
          <w:tcPr>
            <w:tcW w:type="dxa" w:w="1440"/>
            <w:shd w:fill="FAFAFA" w:val="clear"/>
          </w:tcPr>
          <w:p>
            <w:r>
              <w:rPr>
                <w:sz w:val="17"/>
              </w:rPr>
              <w:t>2,482</w:t>
            </w:r>
          </w:p>
        </w:tc>
        <w:tc>
          <w:tcPr>
            <w:tcW w:type="dxa" w:w="1440"/>
            <w:shd w:fill="FAFAFA" w:val="clear"/>
          </w:tcPr>
          <w:p>
            <w:r>
              <w:rPr>
                <w:b/>
                <w:color w:val="008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ACTION STAC (SETAO)**</w:t>
        <w:br/>
        <w:t>**Bourse Régionale des Valeurs Mobilières (BRVM) — Secteur : BTP / Entreprise**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STAC s'élève à 28,02 milliards FCFA, un niveau modeste à l'échelle de la BRVM qui la positionne parmi les petites capitalisations du compartiment entreprise. Le BPA ressort à -7 FCFA/action, confirmant que chaque action détruit de la valeur plutôt qu'elle n'en génère, ce qui rend le PER inopérant (-290,2x) puisque la société est déficitaire. Le P/B de 78,55x constitue un signal d'alerte majeur : le marché valorise l'action à près de 79 fois sa valeur comptable théorique, une prime totalement déconnectée des fondamentaux et qui traduit soit une anomalie de cotation, soit une anticipation spéculative irrationnelle. En l'absence de données EV/EBITDA exploitables (EBITDA négatif à -650,13 M FCFA en 2025), la comparaison valeur totale/capacité opérationnelle est impossible, mais l'EBE négatif suffit à disqualifier toute lecture valorisante. En synthèse, la valorisation boursière de STAC est exigeante voire irrationnelle au regard de ses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STAC a enregistré une variation totale de -29,44%, avec une chute brutale de -7,33% lors de la dernière séance, portant le cours à 2 085 FCFA — soit précisément le plus bas de la période, contre un plus haut de 3 640 FCFA. Le range de trading est donc extrêmement large (1 555 FCFA d'amplitude, soit 74% du plus bas), signe d'une tendance baissière marquée et d'une pression vendeuse persistante. Les statistiques descriptives révèlent une moyenne de 2 890 FCFA légèrement supérieure à la médiane de 2 825 FCFA, avec un mode à 3 500 FCFA : l'écart moyenne-médiane modéré indique une distribution quasi symétrique, confirmée par un skewness de 0,233 (asymétrie positive légère). L'écart-type de 388 FCFA et le coefficient de variation de 13,4% traduisent une dispersion contenue en valeur relative, tandis que le kurtosis de -0,629 (mésokurtique) suggère une distribution proche de la normale, sans risque extrême de pics. La volatilité annualisée de 59,5% classe toutefois le titre dans la catégorie des valeurs à volatilité élevée (&gt;30%), ce qui est cohérent avec un cours qui a perdu près d'un tiers de sa valeur en trois mois.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(2 461,25 FCFA) et la MM50 (2 638,90 FCFA) sont toutes deux nettement supérieures au cours actuel (2 085 FCFA), et la MM20 est elle-même sous la MM50 — configuration baissière typique. Le cours évoluant sous ses deux moyennes, la décision technique est logiquement **Vente**.</w:t>
      </w:r>
    </w:p>
    <w:p>
      <w:pPr>
        <w:spacing w:after="120" w:line="276" w:lineRule="auto"/>
      </w:pPr>
      <w:r>
        <w:t>**Bandes de Bollinger** : Le cours (2 085 FCFA) se situe juste au-dessus de la borne inférieure (1 989,70 FCFA) et très loin de la borne supérieure (2 932,80 FCFA), ce qui traduit une pression baissière forte mais un potentiel de rebond technique à court terme. La décision est **Neutre**, le titre n'étant pas encore en zone de survente extrême sur cet indicateur.</w:t>
      </w:r>
    </w:p>
    <w:p>
      <w:pPr>
        <w:spacing w:after="120" w:line="276" w:lineRule="auto"/>
      </w:pPr>
      <w:r>
        <w:t>**MACD** : Le MACD (-153,78) est inférieur à son signal (-122,52), avec un histogramme négatif — le momentum baissier reste dominant et aucune divergence haussière n'est visible. La décision est **Vente**.</w:t>
      </w:r>
    </w:p>
    <w:p>
      <w:pPr>
        <w:spacing w:after="120" w:line="276" w:lineRule="auto"/>
      </w:pPr>
      <w:r>
        <w:t>**RSI** : À 25,67, le RSI est en zone de survente (&lt;30), ce qui signale un épuisement potentiel de la pression vendeuse et un possible rebond technique. La décision est **Achat** (contrarien).</w:t>
      </w:r>
    </w:p>
    <w:p>
      <w:pPr>
        <w:spacing w:after="120" w:line="276" w:lineRule="auto"/>
      </w:pPr>
      <w:r>
        <w:t>**Stochastique** : Le %K à 0,0 et le %D à 10,42 indiquent une position extrême en zone de survente, avec un %K au plancher absolu — situation qui précède souvent un retournement à court terme. La décision est **Achat**.</w:t>
      </w:r>
    </w:p>
    <w:p>
      <w:pPr>
        <w:spacing w:after="120" w:line="276" w:lineRule="auto"/>
      </w:pPr>
      <w:r>
        <w:t>**Conclusion technique** : Les indicateurs de tendance (MM, MACD) confirment une dynamique baissière solidement installée, tandis que les oscillateurs (RSI, Stochastique) signalent une survente extrême propice à un rebond technique. Cette divergence classique entre tendance et momentum suggère un titre en fin de jambe baissière, mais sans confirmation d'inversion : la prudence reste de mise tant que le cours n'aura pas réintégré la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(source : brvm_donnees_financieres) révèlent une situation financière profondément dégradée : le chiffre d'affaires s'établit à 3,878 milliards FCFA, en croissance spectaculaire de +116,26% — mais cette performance est trompeuse car elle repose sur un effet de base très faible (CA 2024 effondré à 1,793 Md FCFA selon le rapport annuel 2024). Le résultat net 2025 est négatif à -96,56 M FCFA, avec un ROE catastrophique de -27,07% et un ROA de -1,77%, tandis que l'EBE (-650,13 M FCFA) et le résultat d'exploitation (-771,95 M FCFA) demeurent lourdement déficitaires. La structure financière est alarmante : l'autonomie financière n'est que de 6,55% (très en deçà du seuil sain de 30%), le ratio d'endettement atteint 93,45% et la capacité de remboursement est de 77,53 années — signe d'une insolvabilité virtuelle. Le BFR est négatif (-930,47 M FCFA), ce qui est favorable en soi, mais la trésorerie nette positive (1,330 Md FCFA) est grignotée par un flux opérationnel négatif de -2,212 Mds FCFA. Les rapports narratifs confirment cette trajectoire : le rapport T3 2025 (30/09/2025) fait état d'un CA de 3 456 M FCFA (+176%) mais d'une perte nette de -477 M FCFA, avec une perte d'exploitation réduite de moitié (-456 M FCFA vs -921 M FCFA) ; le rapport S1 2025 (30/06/2025) montrait déjà une perte de -557 M FCFA pour un CA de 2 271 M FCFA. On estime, sur la base de ces rapports trimestriels, que l'exercice 2025 devrait se solder par une perte nette annuelle comprise entre -100 et -150 M FCFA, la direction maintenant un objectif de CA de 4 Mds FCFA. La comparaison historique est édifiante : en 2020, SETAO affichait un CA de 15,9 Mds FCFA et un résultat net de 2,32 Mds FCFA (marge nette 14,6%) ; la dégradation est donc structurelle et non conjoncturelle. En conclusion fondamentale, STAC présente un profil de risque extrême : société déficitaire, sous-capitalisée, dépendante d'un unique chantier (aéroport d'Abidjan) et sans dividende depuis 2018 — la recommandation fondamentale est **Vente**.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converge vers un constat unanimement négatif. La valorisation (Partie 0) est aberrante : PER négatif, P/B de 78,55x et BPA de -7 FCFA/action traduisent une décorrélation totale entre le prix de marché et la réalité économique. Le comportement du cours (Partie 1) est baissier (-29,44% sur 100 jours, cours au plus bas), avec une volatilité élevée (59,5%) et une distribution certes symétrique (skewness 0,233) mais sans signal de retournement. Les signaux techniques (Partie 2) sont mitigés : les indicateurs de tendance (MM, MACD) restent baissiers, mais le RSI (25,67) et le Stochastique (%K=0) signalent une survente extrême propice à un rebond technique de court terme. Les fondamentaux (Partie 3) sont désastreux : perte nette 2025 de -96,56 M FCFA, ROE de -27,07%, autonomie financière de 6,55% et dépendance à un seul projet. Les prédictions IA (J+1 à J+10) anticipent une légère reprise technique (2 129 FCFA à J+1, puis stabilisation autour de 2 112-2 115 FCFA), ce qui confirme le rebond technique attendu mais sans inversion de tendance. **Recommandation finale : VENTE** — la convergence des signaux fondamentaux, techniques de tendance et de valorisation l'emporte largement sur le rebond technique ponctuel suggéré par les oscillateurs et les prédictions IA. Le niveau de confiance est **Élevé** (les fondamentaux sont sans ambiguïté), le risque global est **Élevé** (société en situation de fragilité financière critique), et l'horizon d'investissement recommandé est **court terme** pour les spéculateurs cherchant à capturer le rebond technique, avec un stop-loss strict, ou **aucun investissement** pour les investisseurs prudents et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384.24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3,886 titres</w:t>
            </w:r>
          </w:p>
        </w:tc>
        <w:tc>
          <w:tcPr>
            <w:tcW w:type="dxa" w:w="2268"/>
            <w:shd w:fill="FFF2CC" w:val="clear"/>
          </w:tcPr>
          <w:p>
            <w:r>
              <w:rPr>
                <w:b/>
                <w:color w:val="503200"/>
                <w:sz w:val="16"/>
              </w:rPr>
              <w:t xml:space="preserve">Cours actuel : </w:t>
            </w:r>
            <w:r>
              <w:rPr>
                <w:color w:val="000000"/>
                <w:sz w:val="17"/>
              </w:rPr>
              <w:t>21,400 FCFA</w:t>
            </w:r>
          </w:p>
          <w:p>
            <w:r>
              <w:rPr>
                <w:b/>
                <w:color w:val="503200"/>
                <w:sz w:val="16"/>
              </w:rPr>
              <w:t xml:space="preserve">Var. 100 jours : </w:t>
            </w:r>
            <w:r>
              <w:rPr>
                <w:b/>
                <w:color w:val="007800"/>
                <w:sz w:val="17"/>
              </w:rPr>
              <w:t>+4.39%</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20,250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5.28% (Moyenne) — μ=22,496 FCFA, σ=1,187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β=0.4857 (Défensif) — Cov=0.000033, Var(idx)=0.000068, ρ=0.170,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2026-09-28</w:t>
            </w:r>
          </w:p>
        </w:tc>
        <w:tc>
          <w:tcPr>
            <w:tcW w:type="dxa" w:w="1440"/>
            <w:shd w:fill="C6EFCE" w:val="clear"/>
          </w:tcPr>
          <w:p>
            <w:r>
              <w:rPr>
                <w:sz w:val="17"/>
              </w:rPr>
              <w:t>21,177</w:t>
            </w:r>
          </w:p>
        </w:tc>
        <w:tc>
          <w:tcPr>
            <w:tcW w:type="dxa" w:w="1440"/>
            <w:shd w:fill="C6EFCE" w:val="clear"/>
          </w:tcPr>
          <w:p>
            <w:r>
              <w:rPr>
                <w:b/>
                <w:sz w:val="17"/>
              </w:rPr>
              <w:t>22,140</w:t>
            </w:r>
          </w:p>
        </w:tc>
        <w:tc>
          <w:tcPr>
            <w:tcW w:type="dxa" w:w="1440"/>
            <w:shd w:fill="C6EFCE" w:val="clear"/>
          </w:tcPr>
          <w:p>
            <w:r>
              <w:rPr>
                <w:sz w:val="17"/>
              </w:rPr>
              <w:t>23,104</w:t>
            </w:r>
          </w:p>
        </w:tc>
        <w:tc>
          <w:tcPr>
            <w:tcW w:type="dxa" w:w="1440"/>
            <w:shd w:fill="C6EFCE" w:val="clear"/>
          </w:tcPr>
          <w:p>
            <w:r>
              <w:rPr>
                <w:b/>
                <w:color w:val="008000"/>
                <w:sz w:val="17"/>
              </w:rPr>
              <w:t>+3.5%</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21,096</w:t>
            </w:r>
          </w:p>
        </w:tc>
        <w:tc>
          <w:tcPr>
            <w:tcW w:type="dxa" w:w="1440"/>
            <w:shd w:fill="C6EFCE" w:val="clear"/>
          </w:tcPr>
          <w:p>
            <w:r>
              <w:rPr>
                <w:b/>
                <w:sz w:val="17"/>
              </w:rPr>
              <w:t>22,479</w:t>
            </w:r>
          </w:p>
        </w:tc>
        <w:tc>
          <w:tcPr>
            <w:tcW w:type="dxa" w:w="1440"/>
            <w:shd w:fill="C6EFCE" w:val="clear"/>
          </w:tcPr>
          <w:p>
            <w:r>
              <w:rPr>
                <w:sz w:val="17"/>
              </w:rPr>
              <w:t>23,862</w:t>
            </w:r>
          </w:p>
        </w:tc>
        <w:tc>
          <w:tcPr>
            <w:tcW w:type="dxa" w:w="1440"/>
            <w:shd w:fill="C6EFCE" w:val="clear"/>
          </w:tcPr>
          <w:p>
            <w:r>
              <w:rPr>
                <w:b/>
                <w:color w:val="008000"/>
                <w:sz w:val="17"/>
              </w:rPr>
              <w:t>+5.0%</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21,092</w:t>
            </w:r>
          </w:p>
        </w:tc>
        <w:tc>
          <w:tcPr>
            <w:tcW w:type="dxa" w:w="1440"/>
            <w:shd w:fill="C6EFCE" w:val="clear"/>
          </w:tcPr>
          <w:p>
            <w:r>
              <w:rPr>
                <w:b/>
                <w:sz w:val="17"/>
              </w:rPr>
              <w:t>22,812</w:t>
            </w:r>
          </w:p>
        </w:tc>
        <w:tc>
          <w:tcPr>
            <w:tcW w:type="dxa" w:w="1440"/>
            <w:shd w:fill="C6EFCE" w:val="clear"/>
          </w:tcPr>
          <w:p>
            <w:r>
              <w:rPr>
                <w:sz w:val="17"/>
              </w:rPr>
              <w:t>24,531</w:t>
            </w:r>
          </w:p>
        </w:tc>
        <w:tc>
          <w:tcPr>
            <w:tcW w:type="dxa" w:w="1440"/>
            <w:shd w:fill="C6EFCE" w:val="clear"/>
          </w:tcPr>
          <w:p>
            <w:r>
              <w:rPr>
                <w:b/>
                <w:color w:val="008000"/>
                <w:sz w:val="17"/>
              </w:rPr>
              <w:t>+6.6%</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21,100</w:t>
            </w:r>
          </w:p>
        </w:tc>
        <w:tc>
          <w:tcPr>
            <w:tcW w:type="dxa" w:w="1440"/>
            <w:shd w:fill="C6EFCE" w:val="clear"/>
          </w:tcPr>
          <w:p>
            <w:r>
              <w:rPr>
                <w:b/>
                <w:sz w:val="17"/>
              </w:rPr>
              <w:t>23,111</w:t>
            </w:r>
          </w:p>
        </w:tc>
        <w:tc>
          <w:tcPr>
            <w:tcW w:type="dxa" w:w="1440"/>
            <w:shd w:fill="C6EFCE" w:val="clear"/>
          </w:tcPr>
          <w:p>
            <w:r>
              <w:rPr>
                <w:sz w:val="17"/>
              </w:rPr>
              <w:t>25,123</w:t>
            </w:r>
          </w:p>
        </w:tc>
        <w:tc>
          <w:tcPr>
            <w:tcW w:type="dxa" w:w="1440"/>
            <w:shd w:fill="C6EFCE" w:val="clear"/>
          </w:tcPr>
          <w:p>
            <w:r>
              <w:rPr>
                <w:b/>
                <w:color w:val="008000"/>
                <w:sz w:val="17"/>
              </w:rPr>
              <w:t>+8.0%</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21,075</w:t>
            </w:r>
          </w:p>
        </w:tc>
        <w:tc>
          <w:tcPr>
            <w:tcW w:type="dxa" w:w="1440"/>
            <w:shd w:fill="C6EFCE" w:val="clear"/>
          </w:tcPr>
          <w:p>
            <w:r>
              <w:rPr>
                <w:b/>
                <w:sz w:val="17"/>
              </w:rPr>
              <w:t>23,347</w:t>
            </w:r>
          </w:p>
        </w:tc>
        <w:tc>
          <w:tcPr>
            <w:tcW w:type="dxa" w:w="1440"/>
            <w:shd w:fill="C6EFCE" w:val="clear"/>
          </w:tcPr>
          <w:p>
            <w:r>
              <w:rPr>
                <w:sz w:val="17"/>
              </w:rPr>
              <w:t>25,618</w:t>
            </w:r>
          </w:p>
        </w:tc>
        <w:tc>
          <w:tcPr>
            <w:tcW w:type="dxa" w:w="1440"/>
            <w:shd w:fill="C6EFCE" w:val="clear"/>
          </w:tcPr>
          <w:p>
            <w:r>
              <w:rPr>
                <w:b/>
                <w:color w:val="008000"/>
                <w:sz w:val="17"/>
              </w:rPr>
              <w:t>+9.1%</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21,058</w:t>
            </w:r>
          </w:p>
        </w:tc>
        <w:tc>
          <w:tcPr>
            <w:tcW w:type="dxa" w:w="1440"/>
            <w:shd w:fill="C6EFCE" w:val="clear"/>
          </w:tcPr>
          <w:p>
            <w:r>
              <w:rPr>
                <w:b/>
                <w:sz w:val="17"/>
              </w:rPr>
              <w:t>23,570</w:t>
            </w:r>
          </w:p>
        </w:tc>
        <w:tc>
          <w:tcPr>
            <w:tcW w:type="dxa" w:w="1440"/>
            <w:shd w:fill="C6EFCE" w:val="clear"/>
          </w:tcPr>
          <w:p>
            <w:r>
              <w:rPr>
                <w:sz w:val="17"/>
              </w:rPr>
              <w:t>26,083</w:t>
            </w:r>
          </w:p>
        </w:tc>
        <w:tc>
          <w:tcPr>
            <w:tcW w:type="dxa" w:w="1440"/>
            <w:shd w:fill="C6EFCE" w:val="clear"/>
          </w:tcPr>
          <w:p>
            <w:r>
              <w:rPr>
                <w:b/>
                <w:color w:val="008000"/>
                <w:sz w:val="17"/>
              </w:rPr>
              <w:t>+10.1%</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20,999</w:t>
            </w:r>
          </w:p>
        </w:tc>
        <w:tc>
          <w:tcPr>
            <w:tcW w:type="dxa" w:w="1440"/>
            <w:shd w:fill="C6EFCE" w:val="clear"/>
          </w:tcPr>
          <w:p>
            <w:r>
              <w:rPr>
                <w:b/>
                <w:sz w:val="17"/>
              </w:rPr>
              <w:t>23,731</w:t>
            </w:r>
          </w:p>
        </w:tc>
        <w:tc>
          <w:tcPr>
            <w:tcW w:type="dxa" w:w="1440"/>
            <w:shd w:fill="C6EFCE" w:val="clear"/>
          </w:tcPr>
          <w:p>
            <w:r>
              <w:rPr>
                <w:sz w:val="17"/>
              </w:rPr>
              <w:t>26,463</w:t>
            </w:r>
          </w:p>
        </w:tc>
        <w:tc>
          <w:tcPr>
            <w:tcW w:type="dxa" w:w="1440"/>
            <w:shd w:fill="C6EFCE" w:val="clear"/>
          </w:tcPr>
          <w:p>
            <w:r>
              <w:rPr>
                <w:b/>
                <w:color w:val="008000"/>
                <w:sz w:val="17"/>
              </w:rPr>
              <w:t>+10.9%</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20,916</w:t>
            </w:r>
          </w:p>
        </w:tc>
        <w:tc>
          <w:tcPr>
            <w:tcW w:type="dxa" w:w="1440"/>
            <w:shd w:fill="C6EFCE" w:val="clear"/>
          </w:tcPr>
          <w:p>
            <w:r>
              <w:rPr>
                <w:b/>
                <w:sz w:val="17"/>
              </w:rPr>
              <w:t>23,851</w:t>
            </w:r>
          </w:p>
        </w:tc>
        <w:tc>
          <w:tcPr>
            <w:tcW w:type="dxa" w:w="1440"/>
            <w:shd w:fill="C6EFCE" w:val="clear"/>
          </w:tcPr>
          <w:p>
            <w:r>
              <w:rPr>
                <w:sz w:val="17"/>
              </w:rPr>
              <w:t>26,787</w:t>
            </w:r>
          </w:p>
        </w:tc>
        <w:tc>
          <w:tcPr>
            <w:tcW w:type="dxa" w:w="1440"/>
            <w:shd w:fill="C6EFCE" w:val="clear"/>
          </w:tcPr>
          <w:p>
            <w:r>
              <w:rPr>
                <w:b/>
                <w:color w:val="008000"/>
                <w:sz w:val="17"/>
              </w:rPr>
              <w:t>+11.5%</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20,784</w:t>
            </w:r>
          </w:p>
        </w:tc>
        <w:tc>
          <w:tcPr>
            <w:tcW w:type="dxa" w:w="1440"/>
            <w:shd w:fill="C6EFCE" w:val="clear"/>
          </w:tcPr>
          <w:p>
            <w:r>
              <w:rPr>
                <w:b/>
                <w:sz w:val="17"/>
              </w:rPr>
              <w:t>23,904</w:t>
            </w:r>
          </w:p>
        </w:tc>
        <w:tc>
          <w:tcPr>
            <w:tcW w:type="dxa" w:w="1440"/>
            <w:shd w:fill="C6EFCE" w:val="clear"/>
          </w:tcPr>
          <w:p>
            <w:r>
              <w:rPr>
                <w:sz w:val="17"/>
              </w:rPr>
              <w:t>27,025</w:t>
            </w:r>
          </w:p>
        </w:tc>
        <w:tc>
          <w:tcPr>
            <w:tcW w:type="dxa" w:w="1440"/>
            <w:shd w:fill="C6EFCE" w:val="clear"/>
          </w:tcPr>
          <w:p>
            <w:r>
              <w:rPr>
                <w:b/>
                <w:color w:val="008000"/>
                <w:sz w:val="17"/>
              </w:rPr>
              <w:t>+11.7%</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20,598</w:t>
            </w:r>
          </w:p>
        </w:tc>
        <w:tc>
          <w:tcPr>
            <w:tcW w:type="dxa" w:w="1440"/>
            <w:shd w:fill="C6EFCE" w:val="clear"/>
          </w:tcPr>
          <w:p>
            <w:r>
              <w:rPr>
                <w:b/>
                <w:sz w:val="17"/>
              </w:rPr>
              <w:t>23,885</w:t>
            </w:r>
          </w:p>
        </w:tc>
        <w:tc>
          <w:tcPr>
            <w:tcW w:type="dxa" w:w="1440"/>
            <w:shd w:fill="C6EFCE" w:val="clear"/>
          </w:tcPr>
          <w:p>
            <w:r>
              <w:rPr>
                <w:sz w:val="17"/>
              </w:rPr>
              <w:t>27,172</w:t>
            </w:r>
          </w:p>
        </w:tc>
        <w:tc>
          <w:tcPr>
            <w:tcW w:type="dxa" w:w="1440"/>
            <w:shd w:fill="C6EFCE" w:val="clear"/>
          </w:tcPr>
          <w:p>
            <w:r>
              <w:rPr>
                <w:b/>
                <w:color w:val="008000"/>
                <w:sz w:val="17"/>
              </w:rPr>
              <w:t>+11.6%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SITAB (STBC)**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384,24 milliards FCFA, la SITAB s'impose comme l'une des toutes premières capitalisations de la BRVM, ce qui en fait un pilier de l'indice composite et une valeur incontournable pour les investisseurs institutionnels de la zone UEMOA. Le BPA de 2 014 FCFA par action signifie que chaque titre détenu génère un peu plus de 2 000 FCFA de bénéfice net, un niveau de rentabilité par action remarquable qui traduit la puissance bénéficiaire de la société. Le PER de 10,6x situe le titre légèrement au-dessus de la moyenne du marché BRVM (8-12x), ce qui indique une valorisation modérée et raisonnable : les investisseurs ne paient pas une prime excessive pour les bénéfices actuels. En revanche, le P/B de 8,48x constitue un signal d'alerte majeur : le marché valorise la société à plus de huit fois sa valeur comptable, une prime très élevée qui s'explique par la structure atypique de SITAB (peu d'actifs corporels, modèle de distribution pure, capitaux propres limités à 45,3 Mds FCFA pour 384 Mds FCFA de capitalisation). Enfin, l'EV/EBITDA de 7,6x, dans la fourchette raisonnable de 5-10x, confirme que la valeur d'entreprise reste cohérente avec la capacité opérationnelle de génération de cash-flows, ce qui nuance le signal exigeant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progression modérée de +4,39%, mais la dernière séance (J-1) enregistre un repli de -0,47%, signalant un essoufflement de la dynamique haussière à court terme. Le cours actuel de 21 400 FCFA se situe dans la partie basse du range de trading établi entre 20 250 FCFA (plus bas) et 25 000 FCFA (plus haut), ce qui traduit une tendance générale baissière depuis le pic, avec une érosion progressive des gains. Les statistiques descriptives révèlent une moyenne de 22 496 FCFA supérieure à la médiane de 22 218 FCFA, un écart qui indique une légère asymétrie positive : les périodes de cours élevés tirent la moyenne vers le haut, mais le cours actuel est nettement inférieur aux deux, confirmant la phase de correction. L'écart-type de 1 193 FCFA avec un coefficient de variation de 5,3% démontre une dispersion relativement contenue du cours autour de sa moyenne, ce qui est rassurant pour la stabilité du titre. Le kurtosis de -0,781 (mésokurtique) indique une distribution proche de la normale, sans risque majeur de pics extrêmes, tandis que le skewness de 0,424 confirme cette symétrie relative avec une très légère queue à droite. La volatilité annualisée de 37,0% positionne clairement STBC dans la catégorie des titres à volatilité élevée (&gt;30%), ce qui implique un risque de fluctuation important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21 821,25 FCFA et la MM50 à 22 698,60 FCFA, toutes deux supérieures au cours actuel de 21 400 FCFA. Cette configuration baissière (cours sous les deux moyennes) avec une MM20 elle-même sous la MM50 confirme une tendance descendante de court et moyen terme. La décision technique est donc logiquement à la Vente, le titre évoluant sous ses supports mobiles.</w:t>
      </w:r>
    </w:p>
    <w:p>
      <w:pPr>
        <w:spacing w:after="120" w:line="276" w:lineRule="auto"/>
      </w:pPr>
      <w:r>
        <w:t>**Bandes de Bollinger** : La borne supérieure est à 22 680,19 FCFA et la borne inférieure à 20 962,31 FCFA, avec un cours actuel de 21 400 FCFA qui se situe dans la moitié basse de ce canal. Le cours n'est ni en surachat ni en survente par rapport aux bandes, ce qui justifie une décision Neutre. L'amplitude des bandes (environ 1 718 FCFA) reflète une volatilité modérée sur la période récente.</w:t>
      </w:r>
    </w:p>
    <w:p>
      <w:pPr>
        <w:spacing w:after="120" w:line="276" w:lineRule="auto"/>
      </w:pPr>
      <w:r>
        <w:t>**MACD** : La valeur du MACD est de -388,379 contre un signal à -381,145, avec un MACD légèrement inférieur à son signal. Cette configuration négative indique un momentum baissier persistant, bien que l'écart très faible entre les deux lignes suggère un possible rapprochement imminent. La décision reste à la Vente, le croisement n'ayant pas encore eu lieu.</w:t>
      </w:r>
    </w:p>
    <w:p>
      <w:pPr>
        <w:spacing w:after="120" w:line="276" w:lineRule="auto"/>
      </w:pPr>
      <w:r>
        <w:t>**RSI** : À 43,392, le RSI se situe dans la zone neutre (30-70), sans signal de surachat ni de survente. Cette valeur médiane indique un équilibre relatif entre acheteurs et vendeurs, sans pression directionnelle forte. La décision est Neutre, le RSI n'apportant pas de signal contrariant.</w:t>
      </w:r>
    </w:p>
    <w:p>
      <w:pPr>
        <w:spacing w:after="120" w:line="276" w:lineRule="auto"/>
      </w:pPr>
      <w:r>
        <w:t>**Stochastique** : Le %K est à 38,697 et le %D à 28,352, avec le %K au-dessus du %D. Ce positionnement suggère un début de redressement du momentum, le %K croisant le %D à la hausse depuis une zone basse. Cependant, les deux indicateurs restent sous le seuil de 50, ce qui maintient la décision Neutre en l'absence de confirmation franche.</w:t>
      </w:r>
    </w:p>
    <w:p>
      <w:pPr>
        <w:spacing w:after="120" w:line="276" w:lineRule="auto"/>
      </w:pPr>
      <w:r>
        <w:t>**Conclusion technique** : L'ensemble des indicateurs techniques présente une configuration majoritairement baissière (MM, MACD) avec des signaux neutres (Bollinger, RSI, Stochastique). Le titre évolue sous ses moyennes mobiles avec un momentum négatif, mais les indicateurs oscillateurs ne montrent pas de survente extrême, laissant la porte ouverte à un rebond technique. La convergence des signaux vers une tendance baissière modérée suggère une prudence à court terme, avec une possible stabilisation autour des 21 000-21 500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la SITAB a réalisé un chiffre d'affaires de 268,537 milliards FCFA, en croissance de 25,3% par rapport à 2024, portée par une progression des volumes de 5,6% et un effet prix favorable. Le résultat net s'établit à 36,158 milliards FCFA, en baisse de 17,5% par rapport aux 44,174 milliards FCFA de 2024, sous l'effet de la hausse des droits d'accises (passés de 49% à 70%) et d'un contrôle fiscal ayant alourdi les charges. Les ratios de rentabilité restent exceptionnels : le ROE atteint 79,75% (résultat net/capitaux propres) et le ROA 48,09%, des niveaux très supérieurs aux standards du marché, témoignant d'une efficacité remarquable dans l'utilisation des ressources. La marge nette se contracte cependant de 20,4% en 2024 à 13,5% en 2025, reflétant la pression fiscale et la hausse des coûts d'approvisionnement (+38,2% sur les achats de marchandises). Sur le plan bilantiel, la société affiche une autonomie financière de 60,3% (capitaux propres/total bilan), une trésorerie nette de 30,763 milliards FCFA et une absence quasi-totale d'endettement financier (1,4 million FCFA seulement), ce qui constitue une situation financière extrêmement solide. Le BFR est positif à 5,639 milliards FCFA, avec un délai client de 42,57 jours (risque de trésorerie modéré) et une durée de stockage très faible de 5,73 jours, typique d'une activité de distribution. Les rapports trimestriels récents confirment cette dynamique : le T2 2026 (publié en 2026) affiche un chiffre d'affaires de 70,05 milliards FCFA (+1%) et un résultat net de 8,64 milliards FCFA (-0,2%), tandis que le T1 2026 montre une croissance du CA de 12% à 68,8 milliards FCFA avec des volumes en hausse de 10%. Sur la base de ces tendances, on peut estimer que l'exercice 2026 devrait enregistrer un chiffre d'affaires annuel autour de 280-285 milliards FCFA, avec un résultat net stabilisé autour de 36-38 milliards FCFA si la maîtrise des charges se confirme. La politique de dividende reste très généreuse avec un DPA proposé de 1 940 FCFA (rendement d'environ 9,1% au cours actuel), bien que le taux de distribution de 84,9% limite les capacités de réinvestissement. La recommandation fondamentale est de CONSERVER : la solidité financière, la rentabilité élevée et le dividende attractif justifient le maintien en portefeuille, mais la dégradation des marges et les risques réglementaires (fiscalité du tabac) incitent à la prudence avant tout renforcement.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présente un profil contrasté : le PER de 10,6x et l'EV/EBITDA de 7,6x indiquent une valorisation raisonnable, voire légèrement sous-évaluée par rapport aux bénéfices, mais le P/B de 8,48x traduit une prime très élevée sur la valeur comptable, typique des sociétés à fort ROE et faible intensité capitalistique. Le comportement du cours sur 100 jours montre une tendance baissière modérée (-4,39% depuis le pic), avec une volatilité élevée (37%) et des statistiques descriptives (kurtosis -0,781, skewness 0,424) qui révèlent une distribution proche de la normale sans risque extrême, mais le cours actuel sous la moyenne et la médiane signale une pression vendeuse persistante. Les signaux techniques sont majoritairement baissiers (MM20 et MM50 au-dessus du cours, MACD négatif) avec des oscillateurs neutres (RSI 43,4, Stochastique 38,7/28,4), suggérant une absence de signal d'achat fort à court terme. Les fondamentaux restent solides : ROE de 79,75%, ROA de 48,09%, trésorerie nette de 30,8 milliards FCFA, absence d'endettement, mais la marge nette se contracte (13,5% en 2025 contre 20,4% en 2024) et le dividende, bien qu'attractif (1 940 FCFA/action), est distribué à un taux de 84,9% qui limite la marge de manœuvre. Les prédictions IA pour les 10 prochains jours ouvrables anticipent une trajectoire haussière de 22 140 FCFA (J+1) à 23 347 FCFA (J+5), ce qui contredit les signaux techniques baissiers et suggère un possible rebond à court terme. Sur la base de cette synthèse, la recommandation finale est de **CONSERVER** avec un niveau de confiance **Moyen** et un risque global **Moyen**. La convergence entre une valorisation raisonnable (PER, EV/EBITDA), des fondamentaux solides (ROE, trésorerie) et des prédictions IA haussières est tempérée par la dégradation des marges, la pression fiscale et les signaux techniques baissiers. L'horizon d'investissement optimal est le **moyen terme (3-12 mois)**, en attendant la confirmation d'une stabilisation des marges et d'une reprise durable des volumes, avec un œil attentif sur l'Assemblée Générale du 15 juillet 2026 qui statuera sur l'affectation du résultat et le dividende.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192.03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7,202 titres</w:t>
            </w:r>
          </w:p>
        </w:tc>
        <w:tc>
          <w:tcPr>
            <w:tcW w:type="dxa" w:w="2268"/>
            <w:shd w:fill="FFF2CC" w:val="clear"/>
          </w:tcPr>
          <w:p>
            <w:r>
              <w:rPr>
                <w:b/>
                <w:color w:val="503200"/>
                <w:sz w:val="16"/>
              </w:rPr>
              <w:t xml:space="preserve">Cours actuel : </w:t>
            </w:r>
            <w:r>
              <w:rPr>
                <w:color w:val="000000"/>
                <w:sz w:val="17"/>
              </w:rPr>
              <w:t>3,050 FCFA</w:t>
            </w:r>
          </w:p>
          <w:p>
            <w:r>
              <w:rPr>
                <w:b/>
                <w:color w:val="503200"/>
                <w:sz w:val="16"/>
              </w:rPr>
              <w:t xml:space="preserve">Var. 100 jours : </w:t>
            </w:r>
            <w:r>
              <w:rPr>
                <w:b/>
                <w:color w:val="007800"/>
                <w:sz w:val="17"/>
              </w:rPr>
              <w:t>+10.91%</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2,720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6.61% (Moyenne) — μ=3,004 FCFA, σ=199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β=0.0779 (Défensif) — Cov=0.000005, Var(idx)=0.000068, ρ=0.024,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7,202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2,903</w:t>
            </w:r>
          </w:p>
        </w:tc>
        <w:tc>
          <w:tcPr>
            <w:tcW w:type="dxa" w:w="1440"/>
            <w:shd w:fill="FAFAFA" w:val="clear"/>
          </w:tcPr>
          <w:p>
            <w:r>
              <w:rPr>
                <w:b/>
                <w:sz w:val="17"/>
              </w:rPr>
              <w:t>3,026</w:t>
            </w:r>
          </w:p>
        </w:tc>
        <w:tc>
          <w:tcPr>
            <w:tcW w:type="dxa" w:w="1440"/>
            <w:shd w:fill="FAFAFA" w:val="clear"/>
          </w:tcPr>
          <w:p>
            <w:r>
              <w:rPr>
                <w:sz w:val="17"/>
              </w:rPr>
              <w:t>3,148</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2,827</w:t>
            </w:r>
          </w:p>
        </w:tc>
        <w:tc>
          <w:tcPr>
            <w:tcW w:type="dxa" w:w="1440"/>
            <w:shd w:fill="FAFAFA" w:val="clear"/>
          </w:tcPr>
          <w:p>
            <w:r>
              <w:rPr>
                <w:b/>
                <w:sz w:val="17"/>
              </w:rPr>
              <w:t>3,000</w:t>
            </w:r>
          </w:p>
        </w:tc>
        <w:tc>
          <w:tcPr>
            <w:tcW w:type="dxa" w:w="1440"/>
            <w:shd w:fill="FAFAFA" w:val="clear"/>
          </w:tcPr>
          <w:p>
            <w:r>
              <w:rPr>
                <w:sz w:val="17"/>
              </w:rPr>
              <w:t>3,172</w:t>
            </w:r>
          </w:p>
        </w:tc>
        <w:tc>
          <w:tcPr>
            <w:tcW w:type="dxa" w:w="1440"/>
            <w:shd w:fill="FAFAFA" w:val="clear"/>
          </w:tcPr>
          <w:p>
            <w:r>
              <w:rPr>
                <w:b/>
                <w:color w:val="C00000"/>
                <w:sz w:val="17"/>
              </w:rPr>
              <w:t>-1.7%</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2,765</w:t>
            </w:r>
          </w:p>
        </w:tc>
        <w:tc>
          <w:tcPr>
            <w:tcW w:type="dxa" w:w="1440"/>
            <w:shd w:fill="FFDCE0" w:val="clear"/>
          </w:tcPr>
          <w:p>
            <w:r>
              <w:rPr>
                <w:b/>
                <w:sz w:val="17"/>
              </w:rPr>
              <w:t>2,974</w:t>
            </w:r>
          </w:p>
        </w:tc>
        <w:tc>
          <w:tcPr>
            <w:tcW w:type="dxa" w:w="1440"/>
            <w:shd w:fill="FFDCE0" w:val="clear"/>
          </w:tcPr>
          <w:p>
            <w:r>
              <w:rPr>
                <w:sz w:val="17"/>
              </w:rPr>
              <w:t>3,183</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2,711</w:t>
            </w:r>
          </w:p>
        </w:tc>
        <w:tc>
          <w:tcPr>
            <w:tcW w:type="dxa" w:w="1440"/>
            <w:shd w:fill="FFDCE0" w:val="clear"/>
          </w:tcPr>
          <w:p>
            <w:r>
              <w:rPr>
                <w:b/>
                <w:sz w:val="17"/>
              </w:rPr>
              <w:t>2,951</w:t>
            </w:r>
          </w:p>
        </w:tc>
        <w:tc>
          <w:tcPr>
            <w:tcW w:type="dxa" w:w="1440"/>
            <w:shd w:fill="FFDCE0" w:val="clear"/>
          </w:tcPr>
          <w:p>
            <w:r>
              <w:rPr>
                <w:sz w:val="17"/>
              </w:rPr>
              <w:t>3,190</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2,664</w:t>
            </w:r>
          </w:p>
        </w:tc>
        <w:tc>
          <w:tcPr>
            <w:tcW w:type="dxa" w:w="1440"/>
            <w:shd w:fill="FFDCE0" w:val="clear"/>
          </w:tcPr>
          <w:p>
            <w:r>
              <w:rPr>
                <w:b/>
                <w:sz w:val="17"/>
              </w:rPr>
              <w:t>2,929</w:t>
            </w:r>
          </w:p>
        </w:tc>
        <w:tc>
          <w:tcPr>
            <w:tcW w:type="dxa" w:w="1440"/>
            <w:shd w:fill="FFDCE0" w:val="clear"/>
          </w:tcPr>
          <w:p>
            <w:r>
              <w:rPr>
                <w:sz w:val="17"/>
              </w:rPr>
              <w:t>3,195</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2,620</w:t>
            </w:r>
          </w:p>
        </w:tc>
        <w:tc>
          <w:tcPr>
            <w:tcW w:type="dxa" w:w="1440"/>
            <w:shd w:fill="FFDCE0" w:val="clear"/>
          </w:tcPr>
          <w:p>
            <w:r>
              <w:rPr>
                <w:b/>
                <w:sz w:val="17"/>
              </w:rPr>
              <w:t>2,909</w:t>
            </w:r>
          </w:p>
        </w:tc>
        <w:tc>
          <w:tcPr>
            <w:tcW w:type="dxa" w:w="1440"/>
            <w:shd w:fill="FFDCE0" w:val="clear"/>
          </w:tcPr>
          <w:p>
            <w:r>
              <w:rPr>
                <w:sz w:val="17"/>
              </w:rPr>
              <w:t>3,198</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2,579</w:t>
            </w:r>
          </w:p>
        </w:tc>
        <w:tc>
          <w:tcPr>
            <w:tcW w:type="dxa" w:w="1440"/>
            <w:shd w:fill="FFDCE0" w:val="clear"/>
          </w:tcPr>
          <w:p>
            <w:r>
              <w:rPr>
                <w:b/>
                <w:sz w:val="17"/>
              </w:rPr>
              <w:t>2,889</w:t>
            </w:r>
          </w:p>
        </w:tc>
        <w:tc>
          <w:tcPr>
            <w:tcW w:type="dxa" w:w="1440"/>
            <w:shd w:fill="FFDCE0" w:val="clear"/>
          </w:tcPr>
          <w:p>
            <w:r>
              <w:rPr>
                <w:sz w:val="17"/>
              </w:rPr>
              <w:t>3,200</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2,541</w:t>
            </w:r>
          </w:p>
        </w:tc>
        <w:tc>
          <w:tcPr>
            <w:tcW w:type="dxa" w:w="1440"/>
            <w:shd w:fill="FFDCE0" w:val="clear"/>
          </w:tcPr>
          <w:p>
            <w:r>
              <w:rPr>
                <w:b/>
                <w:sz w:val="17"/>
              </w:rPr>
              <w:t>2,870</w:t>
            </w:r>
          </w:p>
        </w:tc>
        <w:tc>
          <w:tcPr>
            <w:tcW w:type="dxa" w:w="1440"/>
            <w:shd w:fill="FFDCE0" w:val="clear"/>
          </w:tcPr>
          <w:p>
            <w:r>
              <w:rPr>
                <w:sz w:val="17"/>
              </w:rPr>
              <w:t>3,200</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2,505</w:t>
            </w:r>
          </w:p>
        </w:tc>
        <w:tc>
          <w:tcPr>
            <w:tcW w:type="dxa" w:w="1440"/>
            <w:shd w:fill="FFDCE0" w:val="clear"/>
          </w:tcPr>
          <w:p>
            <w:r>
              <w:rPr>
                <w:b/>
                <w:sz w:val="17"/>
              </w:rPr>
              <w:t>2,852</w:t>
            </w:r>
          </w:p>
        </w:tc>
        <w:tc>
          <w:tcPr>
            <w:tcW w:type="dxa" w:w="1440"/>
            <w:shd w:fill="FFDCE0" w:val="clear"/>
          </w:tcPr>
          <w:p>
            <w:r>
              <w:rPr>
                <w:sz w:val="17"/>
              </w:rPr>
              <w:t>3,200</w:t>
            </w:r>
          </w:p>
        </w:tc>
        <w:tc>
          <w:tcPr>
            <w:tcW w:type="dxa" w:w="1440"/>
            <w:shd w:fill="FFDCE0" w:val="clear"/>
          </w:tcPr>
          <w:p>
            <w:r>
              <w:rPr>
                <w:b/>
                <w:color w:val="C00000"/>
                <w:sz w:val="17"/>
              </w:rPr>
              <w:t>-6.5%</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2,471</w:t>
            </w:r>
          </w:p>
        </w:tc>
        <w:tc>
          <w:tcPr>
            <w:tcW w:type="dxa" w:w="1440"/>
            <w:shd w:fill="FFDCE0" w:val="clear"/>
          </w:tcPr>
          <w:p>
            <w:r>
              <w:rPr>
                <w:b/>
                <w:sz w:val="17"/>
              </w:rPr>
              <w:t>2,835</w:t>
            </w:r>
          </w:p>
        </w:tc>
        <w:tc>
          <w:tcPr>
            <w:tcW w:type="dxa" w:w="1440"/>
            <w:shd w:fill="FFDCE0" w:val="clear"/>
          </w:tcPr>
          <w:p>
            <w:r>
              <w:rPr>
                <w:sz w:val="17"/>
              </w:rPr>
              <w:t>3,199</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TOTALENERGIES MARKETING CÔTE D'IVOIRE (TTLC)</w:t>
      </w:r>
    </w:p>
    <w:p>
      <w:pPr>
        <w:spacing w:after="120" w:line="276" w:lineRule="auto"/>
      </w:pPr>
      <w: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192,03 milliards FCFA, TTLC figure parmi les valeurs les plus importantes de la cote BRVM, ce qui lui confère une liquidité relative et une visibilité institutionnelle appréciables. Le BPA de 144 FCFA/action signifie que chaque titre génère 144 FCFA de bénéfice net, ce qui, rapporté au cours actuel de 3 050 FCFA, aboutit à un PER de 21,1x — nettement supérieur à la moyenne du marché BRVM (8-12x), signalant que les investisseurs paient une prime conséquente pour cette valeur, justifiée soit par des anticipations de croissance, soit par une surévaluation. Le P/B de 5,30x, largement au-dessus du seuil de 4x, traduit une valorisation très exigeante par rapport à la valeur comptable des fonds propres, tandis que l'EV/EBITDA de 11,0x situe la valeur d'entreprise à un niveau élevé (fourchette 10-15x) au regard de la capacité opérationnelle dégagée. L'ensemble de ces ratios dessine un profil de titre « premium » sur la BRVM, dont la soutenabilité dépend directement de la capacité de TTLC à maintenir et améliorer ses marges.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progression totale de +10,91%, avec une dernière séance stable (variation J-1 de +0,00%), le cours s'établissant à 3 050 FCFA. Le range de trading est significatif, avec un plus haut à 3 595 FCFA et un plus bas à 2 720 FCFA, soit une amplitude de 875 FCFA (32%) qui témoigne d'une réelle volatilité intra-période. La tendance générale est haussière mais avec une correction récente, le cours actuel (3 050 FCFA) se situant à environ 15% sous son plus haut, ce qui suggère une phase de consolidation après un rallye. Les statistiques descriptives révèlent une moyenne de 3 004 FCFA supérieure à la médiane de 2 940 FCFA, avec un mode à 2 900 FCFA : cet écart confirme une asymétrie positive (skewness de 0,919), indiquant que davantage de journées se sont négociées sous la moyenne, mais que quelques séances haussières marquées ont tiré la moyenne vers le haut. L'écart-type de 200 FCFA (CV de 6,6%) traduit une dispersion modérée du cours autour de sa moyenne, tandis que le kurtosis de -0,198 (mésokurtique) suggère une distribution proche de la normale, sans risque excessif de pics extrêmes. La volatilité annualisée de 41,5% classe le titre dans la catégorie des valeurs à volatilité élevée (&gt;30%), ce qui implique un risque de prix non négligeable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3 235,75 FCFA et la MM50 à 3 139,20 FCFA, toutes deux supérieures au cours actuel de 3 050 FCFA, ce qui place le titre en position baissière à court terme. Cependant, la MM20 étant au-dessus de la MM50, la configuration reste haussière de fond, ce qui justifie la décision « Achat » fournie, mais avec une prudence liée au franchissement à la baisse du cours sous ses moyennes.</w:t>
      </w:r>
    </w:p>
    <w:p>
      <w:pPr>
        <w:spacing w:after="120" w:line="276" w:lineRule="auto"/>
      </w:pPr>
      <w:r>
        <w:t>**Bandes de Bollinger** : La borne supérieure est à 3 483,82 FCFA et la borne inférieure à 2 987,68 FCFA, avec un cours actuel de 3 050 FCFA qui se situe dans la partie basse du canal, sans atteindre la borne inférieure. Cette position traduit une pression vendeuse modérée mais pas de signal de survente extrême, justifiant la décision « Neutre » ; la largeur des bandes (496 FCFA) confirme la volatilité élevée du titre.</w:t>
      </w:r>
    </w:p>
    <w:p>
      <w:pPr>
        <w:spacing w:after="120" w:line="276" w:lineRule="auto"/>
      </w:pPr>
      <w:r>
        <w:t>**MACD** : La valeur du MACD est négative (-37,611) tandis que sa ligne de signal est légèrement positive (2,533), générant une divergence baissière marquée. Le momentum est clairement négatif, ce qui justifie la décision « Vente » et suggère que la pression baissière pourrait se poursuivre à court terme avant un retournement éventuel.</w:t>
      </w:r>
    </w:p>
    <w:p>
      <w:pPr>
        <w:spacing w:after="120" w:line="276" w:lineRule="auto"/>
      </w:pPr>
      <w:r>
        <w:t>**RSI** : À 36,364, le RSI se situe dans la zone neutre basse (30-70), sans atteindre le seuil de survente (&lt;30). Cette valeur indique que le titre n'est ni suracheté ni survendu, mais qu'il s'approche d'une zone où un rebond technique pourrait se matérialiser, justifiant la décision « Neutre ».</w:t>
      </w:r>
    </w:p>
    <w:p>
      <w:pPr>
        <w:spacing w:after="120" w:line="276" w:lineRule="auto"/>
      </w:pPr>
      <w:r>
        <w:t>**Stochastique** : Le %K est à 20,968 et le %D à 13,978, tous deux en zone basse (proche de la survente), avec un %K supérieur au %D suggérant un début de croisement haussier potentiel. Cette configuration, bien que fragile, justifie la décision « Neutre » et pourrait annoncer un retournement à court terme si le croisement se confirme.</w:t>
      </w:r>
    </w:p>
    <w:p>
      <w:pPr>
        <w:spacing w:after="120" w:line="276" w:lineRule="auto"/>
      </w:pPr>
      <w:r>
        <w:t>**Conclusion technique** : Les indicateurs techniques présentent un tableau mitigé, avec une majorité de signaux neutres (Bollinger, RSI, Stochastique) et un signal baissier (MACD), tandis que les moyennes mobiles conservent une orientation haussière de fond. Le titre se trouve dans une phase de correction au sein d'une tendance haussière plus large, avec un momentum négatif à court terme mais des conditions de survente naissantes qui pourraient favoriser un rebond. La prudence est de mise, et une confirmation du croisement stochastique ou un retour du MACD au-dessus de sa ligne de signal serait nécessaire pour valider un retour à l'achat.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Côte d'Ivoire a réalisé un chiffre d'affaires de 588,709 milliards FCFA, en repli de 5,21% par rapport à 2024 (621,0 milliards FCFA), dans un contexte de baisse des ventes hors réseau. Le résultat net s'établit à 9,087 milliards FCFA, en légère baisse de 3% par rapport aux 9,374 milliards de 2024, mais la rentabilité opérationnelle s'améliore nettement avec un résultat d'exploitation de 12,329 milliards FCFA (+18%) et un EBE de 22,347 milliards FCFA (+12%), témoignant d'une meilleure maîtrise des coûts d'approvisionnement et d'un mix produit plus favorable. Le ROE ressort à 25,10%, un niveau excellent (&gt;15%) qui confirme la forte rentabilité des fonds propres, tandis que le ROA de 4,82% reflète la rotation élevée des actifs (312,36%) typique d'un distributeur en volume. La marge nette reste faible à 1,54%, mais stable, et la marge brute de 11,81% illustre la nature à faible marge du métier de distribution pétrolière.</w:t>
      </w:r>
    </w:p>
    <w:p>
      <w:pPr>
        <w:spacing w:after="120" w:line="276" w:lineRule="auto"/>
      </w:pPr>
      <w:r>
        <w:t>**Adaptation au secteur ENTREPRISE** : Le BFR est négatif à -9,662 milliards FCFA, ce qui est favorable car il signifie que les fournisseurs financent une partie du cycle d'exploitation ; le délai fournisseurs de 49,72 jours et la durée de stockage de 13,80 jours confirment une gestion efficace du besoin en fonds de roulement. Cependant, la trésorerie nette est négative à -21,926 milliards FCFA et le fonds de roulement à -31,587 milliards FCFA, ce qui signale une dépendance aux crédits bancaires court terme pour financer l'activité. Le ratio d'endettement de 90,23% et l'autonomie financière de 19,21% (inférieure au seuil sain de 30%) indiquent une structure financière déséquilibrée, bien que la capacité de remboursement de 1,71 an reste correcte.</w:t>
      </w:r>
    </w:p>
    <w:p>
      <w:pPr>
        <w:spacing w:after="120" w:line="276" w:lineRule="auto"/>
      </w:pPr>
      <w:r>
        <w:t>**Estimations basées sur les rapports trimestriels** : Le rapport du T1 2026 (publié en 2026) fait état d'un chiffre d'affaires de 154,392 milliards FCFA, en hausse de 4,3% par rapport au T1 2025, et d'un résultat net de 2,329 milliards FCFA (+5,5%), ce qui marque un retour à la croissance après le repli de 2025. Sur cette base, on peut estimer que l'exercice 2026 devrait renouer avec une croissance modérée du chiffre d'affaires (autour de +4-5%) et une amélioration du résultat net, portée par l'augmentation des volumes vendus sur tous les canaux et l'expansion du réseau (182 stations). Le rapport du T3 2025 (publié en 2025) soulignait déjà la poursuite des investissements dans le GPL, les lubrifiants et les stations-service, avec 8 nouvelles ouvertures, ce qui devrait soutenir la dynamique future.</w:t>
      </w:r>
    </w:p>
    <w:p>
      <w:pPr>
        <w:spacing w:after="120" w:line="276" w:lineRule="auto"/>
      </w:pPr>
      <w:r>
        <w:t>**Évolution pluriannuelle** : Entre 2021 et 2025, le chiffre d'affaires est passé de 494,4 milliards à 588,7 milliards FCFA (+19%), tandis que le résultat net a fluctué entre 8,7 et 11,1 milliards FCFA, avec un pic en 2021 (11,1 milliards) suivi d'une stabilisation autour de 9 milliards. Le ROE s'est maintenu à un niveau élevé (22-25%), confirmant la qualité de la rentabilité malgré la faiblesse des marges. La politique de dividende est généreuse, avec un dividende brut de 10 milliards FCFA proposé au titre de 2025, soit un taux de distribution supérieur à 100% du résultat net, ce qui implique un prélèvement sur les réserves et pose la question de la soutenabilité à long terme.</w:t>
      </w:r>
    </w:p>
    <w:p>
      <w:pPr>
        <w:spacing w:after="120" w:line="276" w:lineRule="auto"/>
      </w:pPr>
      <w:r>
        <w:t>**Recommandation fondamentale** : TTLC présente des fondamentaux solides (ROE élevé, marges opérationnelles en amélioration, position de leader), mais des fragilités persistantes (trésorerie nette négative, endettement élevé, payout excessif). La dynamique du T1 2026 est encourageante et pourrait marquer le début d'un cycle de reprise. La recommandation fondamentale est **CONSERVER**, avec une surveillance accrue de la trésorerie et de la soutenabilité du dividende.</w:t>
      </w:r>
    </w:p>
    <w:p>
      <w:pPr>
        <w:spacing w:after="120" w:line="276" w:lineRule="auto"/>
      </w:pPr>
      <w:r>
        <w:t>---</w:t>
      </w:r>
    </w:p>
    <w:p>
      <w:pPr>
        <w:spacing w:after="120" w:line="276" w:lineRule="auto"/>
      </w:pPr>
      <w:r>
        <w:t>## PARTIE 4 : CONCLUSION D'INVESTISSEMENT</w:t>
      </w:r>
    </w:p>
    <w:p>
      <w:pPr>
        <w:spacing w:after="120" w:line="276" w:lineRule="auto"/>
      </w:pPr>
      <w:r>
        <w:t>La valorisation de TTLC apparaît exigeante, avec un PER de 21,1x et un P/B de 5,30x nettement supérieurs aux moyennes du marché BRVM, ce qui intègre déjà une prime de qualité et des anticipations de croissance. Le comportement du cours sur 100 jours est haussier (+10,91%) mais avec une correction récente et une volatilité élevée (41,5%), tandis que les statistiques descriptives (skewness positif, kurtosis proche de la normale) suggèrent un risque de pics modéré mais une asymétrie défavorable. Les signaux techniques sont mitigés : les moyennes mobiles restent haussières de fond, mais le MACD est baissier et les autres indicateurs sont neutres, ce qui plaide pour une phase de consolidation avant un éventuel rebond. Les fondamentaux sont solides (ROE de 25,1%, EBE en hausse de 12%, BFR négatif favorable) mais entachés par une trésorerie nette négative (-21,9 milliards FCFA) et un endettement élevé (90,2%), même si le T1 2026 (+4,3% de CA, +5,5% de résultat net) laisse entrevoir une amélioration. Les prédictions IA pour les 10 prochains jours ouvrables (3026 → 2929 FCFA) anticipent une poursuite de la correction baissière, ce qui contredit les signaux haussiers de fond mais confirme le momentum négatif à court terme.</w:t>
      </w:r>
    </w:p>
    <w:p>
      <w:pPr>
        <w:spacing w:after="120" w:line="276" w:lineRule="auto"/>
      </w:pPr>
      <w:r>
        <w:t>**Recommandation finale : CONSERVER**</w:t>
      </w:r>
    </w:p>
    <w:p>
      <w:pPr>
        <w:spacing w:after="120" w:line="276" w:lineRule="auto"/>
      </w:pPr>
      <w:r>
        <w:t>Cette recommandation résulte d'une convergence partielle des signaux : la valorisation est tendue, la technique est baissière à court terme (MACD, prédictions IA), mais les fondamentaux restent solides et le T1 2026 marque une reprise. Le niveau de confiance est **Moyen**, car les indicateurs sont divergents et la visibilité sur la trésorerie reste limitée. Le niveau de risque global est **Élevé**, en raison de la volatilité du titre (41,5%), de l'endettement élevé et de la dépendance aux prix des produits pétroliers. L'horizon d'investissement optimal est le **moyen terme (3-12 mois)**, le temps que la reprise du T1 2026 se confirme et que la trésorerie s'améliore, avec un point d'entrée plus favorable envisageable autour de 2 900-2 950 FCFA si la correction se poursuit.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2,631 titres</w:t>
            </w:r>
          </w:p>
        </w:tc>
        <w:tc>
          <w:tcPr>
            <w:tcW w:type="dxa" w:w="2268"/>
            <w:shd w:fill="FFF2CC" w:val="clear"/>
          </w:tcPr>
          <w:p>
            <w:r>
              <w:rPr>
                <w:b/>
                <w:color w:val="503200"/>
                <w:sz w:val="16"/>
              </w:rPr>
              <w:t xml:space="preserve">Cours actuel : </w:t>
            </w:r>
            <w:r>
              <w:rPr>
                <w:color w:val="000000"/>
                <w:sz w:val="17"/>
              </w:rPr>
              <w:t>3,795 FCFA</w:t>
            </w:r>
          </w:p>
          <w:p>
            <w:r>
              <w:rPr>
                <w:b/>
                <w:color w:val="503200"/>
                <w:sz w:val="16"/>
              </w:rPr>
              <w:t xml:space="preserve">Var. 100 jours : </w:t>
            </w:r>
            <w:r>
              <w:rPr>
                <w:b/>
                <w:color w:val="007800"/>
                <w:sz w:val="17"/>
              </w:rPr>
              <w:t>+26.08%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9.73% (Moyenne) — μ=3,636 FCFA, σ=354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β=0.5433 (Défensif) — Cov=0.000037, Var(idx)=0.000068, ρ=0.166,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3,667</w:t>
            </w:r>
          </w:p>
        </w:tc>
        <w:tc>
          <w:tcPr>
            <w:tcW w:type="dxa" w:w="1440"/>
            <w:shd w:fill="FAFAFA" w:val="clear"/>
          </w:tcPr>
          <w:p>
            <w:r>
              <w:rPr>
                <w:b/>
                <w:sz w:val="17"/>
              </w:rPr>
              <w:t>3,808</w:t>
            </w:r>
          </w:p>
        </w:tc>
        <w:tc>
          <w:tcPr>
            <w:tcW w:type="dxa" w:w="1440"/>
            <w:shd w:fill="FAFAFA" w:val="clear"/>
          </w:tcPr>
          <w:p>
            <w:r>
              <w:rPr>
                <w:sz w:val="17"/>
              </w:rPr>
              <w:t>3,949</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3,611</w:t>
            </w:r>
          </w:p>
        </w:tc>
        <w:tc>
          <w:tcPr>
            <w:tcW w:type="dxa" w:w="1440"/>
            <w:shd w:fill="FAFAFA" w:val="clear"/>
          </w:tcPr>
          <w:p>
            <w:r>
              <w:rPr>
                <w:b/>
                <w:sz w:val="17"/>
              </w:rPr>
              <w:t>3,811</w:t>
            </w:r>
          </w:p>
        </w:tc>
        <w:tc>
          <w:tcPr>
            <w:tcW w:type="dxa" w:w="1440"/>
            <w:shd w:fill="FAFAFA" w:val="clear"/>
          </w:tcPr>
          <w:p>
            <w:r>
              <w:rPr>
                <w:sz w:val="17"/>
              </w:rPr>
              <w:t>4,011</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3,568</w:t>
            </w:r>
          </w:p>
        </w:tc>
        <w:tc>
          <w:tcPr>
            <w:tcW w:type="dxa" w:w="1440"/>
            <w:shd w:fill="FAFAFA" w:val="clear"/>
          </w:tcPr>
          <w:p>
            <w:r>
              <w:rPr>
                <w:b/>
                <w:sz w:val="17"/>
              </w:rPr>
              <w:t>3,813</w:t>
            </w:r>
          </w:p>
        </w:tc>
        <w:tc>
          <w:tcPr>
            <w:tcW w:type="dxa" w:w="1440"/>
            <w:shd w:fill="FAFAFA" w:val="clear"/>
          </w:tcPr>
          <w:p>
            <w:r>
              <w:rPr>
                <w:sz w:val="17"/>
              </w:rPr>
              <w:t>4,058</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3,531</w:t>
            </w:r>
          </w:p>
        </w:tc>
        <w:tc>
          <w:tcPr>
            <w:tcW w:type="dxa" w:w="1440"/>
            <w:shd w:fill="FAFAFA" w:val="clear"/>
          </w:tcPr>
          <w:p>
            <w:r>
              <w:rPr>
                <w:b/>
                <w:sz w:val="17"/>
              </w:rPr>
              <w:t>3,814</w:t>
            </w:r>
          </w:p>
        </w:tc>
        <w:tc>
          <w:tcPr>
            <w:tcW w:type="dxa" w:w="1440"/>
            <w:shd w:fill="FAFAFA" w:val="clear"/>
          </w:tcPr>
          <w:p>
            <w:r>
              <w:rPr>
                <w:sz w:val="17"/>
              </w:rPr>
              <w:t>4,097</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3,498</w:t>
            </w:r>
          </w:p>
        </w:tc>
        <w:tc>
          <w:tcPr>
            <w:tcW w:type="dxa" w:w="1440"/>
            <w:shd w:fill="FAFAFA" w:val="clear"/>
          </w:tcPr>
          <w:p>
            <w:r>
              <w:rPr>
                <w:b/>
                <w:sz w:val="17"/>
              </w:rPr>
              <w:t>3,815</w:t>
            </w:r>
          </w:p>
        </w:tc>
        <w:tc>
          <w:tcPr>
            <w:tcW w:type="dxa" w:w="1440"/>
            <w:shd w:fill="FAFAFA" w:val="clear"/>
          </w:tcPr>
          <w:p>
            <w:r>
              <w:rPr>
                <w:sz w:val="17"/>
              </w:rPr>
              <w:t>4,131</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3,469</w:t>
            </w:r>
          </w:p>
        </w:tc>
        <w:tc>
          <w:tcPr>
            <w:tcW w:type="dxa" w:w="1440"/>
            <w:shd w:fill="FAFAFA" w:val="clear"/>
          </w:tcPr>
          <w:p>
            <w:r>
              <w:rPr>
                <w:b/>
                <w:sz w:val="17"/>
              </w:rPr>
              <w:t>3,815</w:t>
            </w:r>
          </w:p>
        </w:tc>
        <w:tc>
          <w:tcPr>
            <w:tcW w:type="dxa" w:w="1440"/>
            <w:shd w:fill="FAFAFA" w:val="clear"/>
          </w:tcPr>
          <w:p>
            <w:r>
              <w:rPr>
                <w:sz w:val="17"/>
              </w:rPr>
              <w:t>4,162</w:t>
            </w:r>
          </w:p>
        </w:tc>
        <w:tc>
          <w:tcPr>
            <w:tcW w:type="dxa" w:w="1440"/>
            <w:shd w:fill="FAFAFA" w:val="clear"/>
          </w:tcPr>
          <w:p>
            <w:r>
              <w:rPr>
                <w:b/>
                <w:color w:val="008000"/>
                <w:sz w:val="17"/>
              </w:rPr>
              <w:t>+0.5%</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3,441</w:t>
            </w:r>
          </w:p>
        </w:tc>
        <w:tc>
          <w:tcPr>
            <w:tcW w:type="dxa" w:w="1440"/>
            <w:shd w:fill="FAFAFA" w:val="clear"/>
          </w:tcPr>
          <w:p>
            <w:r>
              <w:rPr>
                <w:b/>
                <w:sz w:val="17"/>
              </w:rPr>
              <w:t>3,816</w:t>
            </w:r>
          </w:p>
        </w:tc>
        <w:tc>
          <w:tcPr>
            <w:tcW w:type="dxa" w:w="1440"/>
            <w:shd w:fill="FAFAFA" w:val="clear"/>
          </w:tcPr>
          <w:p>
            <w:r>
              <w:rPr>
                <w:sz w:val="17"/>
              </w:rPr>
              <w:t>4,190</w:t>
            </w:r>
          </w:p>
        </w:tc>
        <w:tc>
          <w:tcPr>
            <w:tcW w:type="dxa" w:w="1440"/>
            <w:shd w:fill="FAFAFA" w:val="clear"/>
          </w:tcPr>
          <w:p>
            <w:r>
              <w:rPr>
                <w:b/>
                <w:color w:val="008000"/>
                <w:sz w:val="17"/>
              </w:rPr>
              <w:t>+0.5%</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3,416</w:t>
            </w:r>
          </w:p>
        </w:tc>
        <w:tc>
          <w:tcPr>
            <w:tcW w:type="dxa" w:w="1440"/>
            <w:shd w:fill="FAFAFA" w:val="clear"/>
          </w:tcPr>
          <w:p>
            <w:r>
              <w:rPr>
                <w:b/>
                <w:sz w:val="17"/>
              </w:rPr>
              <w:t>3,816</w:t>
            </w:r>
          </w:p>
        </w:tc>
        <w:tc>
          <w:tcPr>
            <w:tcW w:type="dxa" w:w="1440"/>
            <w:shd w:fill="FAFAFA" w:val="clear"/>
          </w:tcPr>
          <w:p>
            <w:r>
              <w:rPr>
                <w:sz w:val="17"/>
              </w:rPr>
              <w:t>4,216</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3,392</w:t>
            </w:r>
          </w:p>
        </w:tc>
        <w:tc>
          <w:tcPr>
            <w:tcW w:type="dxa" w:w="1440"/>
            <w:shd w:fill="FAFAFA" w:val="clear"/>
          </w:tcPr>
          <w:p>
            <w:r>
              <w:rPr>
                <w:b/>
                <w:sz w:val="17"/>
              </w:rPr>
              <w:t>3,816</w:t>
            </w:r>
          </w:p>
        </w:tc>
        <w:tc>
          <w:tcPr>
            <w:tcW w:type="dxa" w:w="1440"/>
            <w:shd w:fill="FAFAFA" w:val="clear"/>
          </w:tcPr>
          <w:p>
            <w:r>
              <w:rPr>
                <w:sz w:val="17"/>
              </w:rPr>
              <w:t>4,241</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3,369</w:t>
            </w:r>
          </w:p>
        </w:tc>
        <w:tc>
          <w:tcPr>
            <w:tcW w:type="dxa" w:w="1440"/>
            <w:shd w:fill="FAFAFA" w:val="clear"/>
          </w:tcPr>
          <w:p>
            <w:r>
              <w:rPr>
                <w:b/>
                <w:sz w:val="17"/>
              </w:rPr>
              <w:t>3,816</w:t>
            </w:r>
          </w:p>
        </w:tc>
        <w:tc>
          <w:tcPr>
            <w:tcW w:type="dxa" w:w="1440"/>
            <w:shd w:fill="FAFAFA" w:val="clear"/>
          </w:tcPr>
          <w:p>
            <w:r>
              <w:rPr>
                <w:sz w:val="17"/>
              </w:rPr>
              <w:t>4,264</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 et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123,63 milliards FCFA, TTLS s'impose comme une valeur de premier plan de la cote BRVM, représentant un pilier du compartiment énergétique régional. Le BPA de 208 FCFA par action signifie que chaque titre génère un bénéfice net de 208 FCFA, ce qui, rapporté au cours actuel de 3 795 FCFA, aboutit à un PER de 18,2x — un niveau modéré mais nettement supérieur à la moyenne du marché BRVM (estimée entre 8 et 12x), traduisant une prime de qualité consentie par les investisseurs pour ce leader sectoriel. Le ratio P/B de 4,38x indique que le marché valorise l'entreprise à plus de quatre fois sa valeur comptable, une prime exigeante qui reflète la solidité de la marque TotalEnergies et la rentabilité élevée des fonds propres (ROE de 24,0%), mais qui laisse peu de marge d'erreur en cas de déception opérationnelle. Enfin, l'EV/EBITDA de 7,7x situe la valeur d'entreprise dans une fourchette raisonnable (5-10x), suggérant que la capacité opérationnelle de génération de cash-flow reste correctement valorisée malgré la prime sur les fonds propres.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performance remarquable de +26,08%, portant le cours à 3 795 FCFA, bien que la dernière séance (J-1) soit restée stable à +0,00%, signe d'une pause dans le mouvement haussier. Le range de trading s'établit entre un plus bas de 2 845 FCFA et un plus haut de 4 500 FCFA, soit une amplitude de 58%, témoignant d'une tendance générale nettement haussière mais ponctuée de corrections significatives. Les statistiques descriptives révèlent une moyenne de 3 636 FCFA légèrement inférieure à la médiane de 3 670 FCFA, avec un mode à 3 800 FCFA — la proximité de ces trois mesures centrales indique une distribution équilibrée, confirmée par un skewness de -0,168 (quasi-symétrique) et un kurtosis de -0,168 (mésokurtique, proche d'une loi normale), ce qui suggère l'absence de pics extrêmes ou de risque de queue épaisse sur la période. L'écart-type de 356 FCFA, correspondant à un coefficient de variation de 9,8%, traduit une dispersion modérée du cours autour de sa moyenne, tandis que la volatilité annualisée de 42,4% classe le titre dans la catégorie des valeurs à volatilité élevée (&gt;30%), ce qui est cohérent avec un marché frontière comme la BRVM et appelle à une gestion prudente du risque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3 855,75 FCFA et la MM50 à 3 774,70 FCFA, toutes deux supérieures au cours actuel de 3 795 FCFA pour la MM20 mais inférieure pour la MM50, créant une configuration en croisement haussier (MM20 &gt; MM50). Cette structure indique que la tendance de fond reste positive, bien que le cours évolue légèrement sous sa moyenne court terme, ce qui justifie la décision d'**Achat** sur repli vers le support dynamique.</w:t>
      </w:r>
    </w:p>
    <w:p>
      <w:pPr>
        <w:spacing w:after="120" w:line="276" w:lineRule="auto"/>
      </w:pPr>
      <w:r>
        <w:t>**Bandes de Bollinger** : Le cours actuel (3 795 FCFA) se situe à l'intérieur des bandes, entre la borne inférieure (3 722,64 FCFA) et la borne supérieure (3 988,86 FCFA), plus proche de la borne basse que de la haute. Cette position médiane-basse, combinée à un rétrécissement apparent des bandes, suggère une compression de volatilité et un potentiel de rebond technique, justifiant la décision **Neutre** dans l'attente d'un signal directionnel clair.</w:t>
      </w:r>
    </w:p>
    <w:p>
      <w:pPr>
        <w:spacing w:after="120" w:line="276" w:lineRule="auto"/>
      </w:pPr>
      <w:r>
        <w:t>**MACD** : La valeur du MACD (9,93) est nettement inférieure à son signal (25,63), générant un histogramme négatif qui traduit un momentum baissier de court terme. Cette divergence négative, bien que modérée, appelle à la prudence et justifie la décision de **Vente** à court terme, en attendant un croisement haussier du MACD au-dessus de sa ligne de signal.</w:t>
      </w:r>
    </w:p>
    <w:p>
      <w:pPr>
        <w:spacing w:after="120" w:line="276" w:lineRule="auto"/>
      </w:pPr>
      <w:r>
        <w:t>**RSI** : À 49,66, le RSI se situe parfaitement dans la zone neutre (30-70), à équidistance des seuils de surachat (70) et de survente (30). Cette position médiane indique un équilibre entre acheteurs et vendeurs, sans pression directionnelle dominante, ce qui justifie la décision **Neutre** et suggère que le titre n'est ni surévalué ni sous-évalué techniquement à court terme.</w:t>
      </w:r>
    </w:p>
    <w:p>
      <w:pPr>
        <w:spacing w:after="120" w:line="276" w:lineRule="auto"/>
      </w:pPr>
      <w:r>
        <w:t>**Stochastique** : Les valeurs %K (2,38) et %D (3,18) sont extrêmement basses, bien en dessous du seuil de survente de 20, avec %K légèrement sous %D. Cette configuration signale une survente marquée et un potentiel de retournement haussier imminent, justifiant la décision d'**Achat** — le croisement de %K au-dessus de %D serait le déclencheur technique à surveiller.</w:t>
      </w:r>
    </w:p>
    <w:p>
      <w:pPr>
        <w:spacing w:after="120" w:line="276" w:lineRule="auto"/>
      </w:pPr>
      <w:r>
        <w:t>**Conclusion technique** : Les indicateurs présentent un tableau mitigé mais globalement constructif : si le MACD est baissier et le RSI neutre, la configuration des moyennes mobiles (croisement haussier MM20&gt;MM50) et surtout le stochastique en survente extrême (2,38) plaident pour un rebond à court terme. La position du cours sous la MM20 mais au-dessus de la MM50 suggère une correction temporaire dans une tendance haussière intacte, avec un support clé à 3 722 FCFA (borne basse de Bollinger) et une résistance à 3 988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TotalEnergies Marketing Sénégal (TTLS) affiche un chiffre d'affaires de 455,209 milliards FCFA, en contraction de 6,1% par rapport à 2024 (484,945 milliards FCFA), conséquence directe de l'arrêt stratégique de la commercialisation du fuel lourd (HFO) qui représentait 39,5 milliards FCFA de revenus en 2024. Le résultat net s'établit à 6,779 milliards FCFA (contre 7,140 milliards en 2024, soit -5,1%), avec une marge nette de 1,49% — typique du secteur de distribution pétrolière — tandis que le résultat d'exploitation progresse à 8,693 milliards FCFA, démontrant la résilience opérationnelle de la société. Les ratios de rentabilité confirment la qualité de l'entreprise : le ROE atteint 24,0% (excellent, &gt;15%), bien que le ROA de 3,95% reste modeste en raison de la rotation élevée des actifs (265%), caractéristique d'un modèle de distribution à faible marge. L'analyse du bilan révèle une structure financière saine avec un BFR négatif de -36,899 milliards FCFA (favorable, car financé par les fournisseurs), un délai fournisseurs de 97,76 jours contre un délai clients de 47,43 jours — un écart positif de 50 jours qui génère de la trésorerie — et une trésorerie nette de 13,941 milliards FCFA. Le ratio d'endettement de 52,16% et l'autonomie financière de 16,44% (inférieure au seuil de 30% considéré comme sain) appellent toutefois à la vigilance, bien que la capacité de remboursement de 0,94 an et la couverture des intérêts de 485,9% témoignent d'une solvabilité solide. Les rapports trimestriels récents confirment la tendance : le T1 2026 (publié en 2026) affiche un CA de 99,9 milliards FCFA (-10% sur un an) mais un résultat net en hausse de +5% à 1,585 milliards FCFA, avec un résultat d'exploitation en progression de +28% à 2,6 milliards FCFA grâce à l'amélioration des marges sur les lubrifiants — on estime donc que l'exercice 2026 devrait bénéficier de cette dynamique de mix-produit favorable, compensant partiellement la pression réglementaire sur les prix à la pompe. Le rapport annuel 2025 (publié en 2026) souligne par ailleurs une amélioration significative de la trésorerie (de 8,4 à 20,6 milliards FCFA) et une politique de dividende généreuse (7,691 milliards FCFA versés, soit un rendement estimé à ~6% sur la base du cours actuel). **Recommandation fondamentale : CONSERVER**, avec une solidité opérationnelle avérée, des perspectives de croissance dans le GPL et les lubrifiants, mais des risques liés à la dépendance réglementaire et à la faible autonomie financière.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dessine un profil d'investissement équilibré pour TTLS. La valorisation (Partie 0) apparaît exigeante avec un PER de 18,2x supérieur à la moyenne du marché et un P/B de 4,38x, mais justifiée par un ROE de 24% et un EV/EBITDA raisonnable de 7,7x — le titre n'est donc ni sous-évalué ni excessivement surévalué. Le comportement du cours (Partie 1) est nettement haussier sur 100 jours (+26,08%), avec une distribution symétrique (skewness -0,168) et une volatilité élevée (42,4%) qui appelle à une gestion active du risque. Les signaux techniques (Partie 2) sont divergents : le MACD est baissier, le RSI neutre, mais les moyennes mobiles en croisement haussier et le stochastique en survente extrême (2,38) plaident pour un rebond imminent, avec un support critique à 3 722 FCFA. Les fondamentaux (Partie 3) révèlent une entreprise solide, leader de son marché, avec un ROE excellent, un BFR négatif favorable et une trésorerie en amélioration, bien que la baisse du CA et la faible autonomie financière tempèrent l'enthousiasme — les rapports T1 2026 (CA -10% mais résultat net +5%) confirment la capacité de résilience. Les prédictions IA (J+1 à J+10) anticipent une trajectoire légèrement haussière et stable, de 3 808 FCFA à 3 815 FCFA, ce qui confirme le scénario d'un rebond technique modéré sans emballement. **Recommandation finale : CONSERVER**, avec un niveau de confiance **Moyen** et un risque global **Moyen** — la convergence entre la survente technique, la solidité fondamentale et la prédiction haussière modérée soutient cette position, mais l'absence de catalyseur majeur à court terme et la valorisation exigeante excluent un achat agressif. L'horizon d'investissement optimal est le **moyen terme (3-12 mois)**, en attendant la confirmation de la reprise des volumes et la clarification de la politique de dividende lors de la prochaine assemblée générale.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51,000 FCFA</w:t>
            </w:r>
          </w:p>
          <w:p>
            <w:r>
              <w:rPr>
                <w:b/>
                <w:color w:val="503200"/>
                <w:sz w:val="16"/>
              </w:rPr>
              <w:t xml:space="preserve">Var. 100 jours : </w:t>
            </w:r>
            <w:r>
              <w:rPr>
                <w:b/>
                <w:color w:val="B40000"/>
                <w:sz w:val="17"/>
              </w:rPr>
              <w:t>-13.56%</w:t>
            </w:r>
          </w:p>
          <w:p>
            <w:r>
              <w:rPr>
                <w:b/>
                <w:color w:val="503200"/>
                <w:sz w:val="16"/>
              </w:rPr>
              <w:t xml:space="preserve">Plus haut 100j : </w:t>
            </w:r>
            <w:r>
              <w:rPr>
                <w:color w:val="000000"/>
                <w:sz w:val="17"/>
              </w:rPr>
              <w:t>63,000 FCFA</w:t>
            </w:r>
          </w:p>
          <w:p>
            <w:r>
              <w:rPr>
                <w:b/>
                <w:color w:val="503200"/>
                <w:sz w:val="16"/>
              </w:rPr>
              <w:t xml:space="preserve">Plus bas 100j : </w:t>
            </w:r>
            <w:r>
              <w:rPr>
                <w:color w:val="000000"/>
                <w:sz w:val="17"/>
              </w:rPr>
              <w:t>49,000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23.0/100 → Moyen</w:t>
      </w:r>
    </w:p>
    <w:p>
      <w:pPr>
        <w:spacing w:before="40" w:after="80"/>
      </w:pPr>
      <w:r>
        <w:rPr>
          <w:rFonts w:ascii="Courier New" w:hAnsi="Courier New"/>
          <w:color w:val="825A00"/>
          <w:sz w:val="18"/>
        </w:rPr>
        <w:t>████░░░░░░░░░░░░░░░░  23.0/100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5.45% (Moyenne) — μ=55,139 FCFA, σ=3,007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β=0.5509 (Défensif) — Cov=0.000038, Var(idx)=0.000068, ρ=0.126,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47,533</w:t>
            </w:r>
          </w:p>
        </w:tc>
        <w:tc>
          <w:tcPr>
            <w:tcW w:type="dxa" w:w="1440"/>
            <w:shd w:fill="FAFAFA" w:val="clear"/>
          </w:tcPr>
          <w:p>
            <w:r>
              <w:rPr>
                <w:b/>
                <w:sz w:val="17"/>
              </w:rPr>
              <w:t>50,679</w:t>
            </w:r>
          </w:p>
        </w:tc>
        <w:tc>
          <w:tcPr>
            <w:tcW w:type="dxa" w:w="1440"/>
            <w:shd w:fill="FAFAFA" w:val="clear"/>
          </w:tcPr>
          <w:p>
            <w:r>
              <w:rPr>
                <w:sz w:val="17"/>
              </w:rPr>
              <w:t>53,825</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46,228</w:t>
            </w:r>
          </w:p>
        </w:tc>
        <w:tc>
          <w:tcPr>
            <w:tcW w:type="dxa" w:w="1440"/>
            <w:shd w:fill="FAFAFA" w:val="clear"/>
          </w:tcPr>
          <w:p>
            <w:r>
              <w:rPr>
                <w:b/>
                <w:sz w:val="17"/>
              </w:rPr>
              <w:t>50,676</w:t>
            </w:r>
          </w:p>
        </w:tc>
        <w:tc>
          <w:tcPr>
            <w:tcW w:type="dxa" w:w="1440"/>
            <w:shd w:fill="FAFAFA" w:val="clear"/>
          </w:tcPr>
          <w:p>
            <w:r>
              <w:rPr>
                <w:sz w:val="17"/>
              </w:rPr>
              <w:t>55,125</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45,214</w:t>
            </w:r>
          </w:p>
        </w:tc>
        <w:tc>
          <w:tcPr>
            <w:tcW w:type="dxa" w:w="1440"/>
            <w:shd w:fill="FAFAFA" w:val="clear"/>
          </w:tcPr>
          <w:p>
            <w:r>
              <w:rPr>
                <w:b/>
                <w:sz w:val="17"/>
              </w:rPr>
              <w:t>50,661</w:t>
            </w:r>
          </w:p>
        </w:tc>
        <w:tc>
          <w:tcPr>
            <w:tcW w:type="dxa" w:w="1440"/>
            <w:shd w:fill="FAFAFA" w:val="clear"/>
          </w:tcPr>
          <w:p>
            <w:r>
              <w:rPr>
                <w:sz w:val="17"/>
              </w:rPr>
              <w:t>56,108</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44,359</w:t>
            </w:r>
          </w:p>
        </w:tc>
        <w:tc>
          <w:tcPr>
            <w:tcW w:type="dxa" w:w="1440"/>
            <w:shd w:fill="FAFAFA" w:val="clear"/>
          </w:tcPr>
          <w:p>
            <w:r>
              <w:rPr>
                <w:b/>
                <w:sz w:val="17"/>
              </w:rPr>
              <w:t>50,647</w:t>
            </w:r>
          </w:p>
        </w:tc>
        <w:tc>
          <w:tcPr>
            <w:tcW w:type="dxa" w:w="1440"/>
            <w:shd w:fill="FAFAFA" w:val="clear"/>
          </w:tcPr>
          <w:p>
            <w:r>
              <w:rPr>
                <w:sz w:val="17"/>
              </w:rPr>
              <w:t>56,935</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43,605</w:t>
            </w:r>
          </w:p>
        </w:tc>
        <w:tc>
          <w:tcPr>
            <w:tcW w:type="dxa" w:w="1440"/>
            <w:shd w:fill="FAFAFA" w:val="clear"/>
          </w:tcPr>
          <w:p>
            <w:r>
              <w:rPr>
                <w:b/>
                <w:sz w:val="17"/>
              </w:rPr>
              <w:t>50,634</w:t>
            </w:r>
          </w:p>
        </w:tc>
        <w:tc>
          <w:tcPr>
            <w:tcW w:type="dxa" w:w="1440"/>
            <w:shd w:fill="FAFAFA" w:val="clear"/>
          </w:tcPr>
          <w:p>
            <w:r>
              <w:rPr>
                <w:sz w:val="17"/>
              </w:rPr>
              <w:t>57,662</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42,925</w:t>
            </w:r>
          </w:p>
        </w:tc>
        <w:tc>
          <w:tcPr>
            <w:tcW w:type="dxa" w:w="1440"/>
            <w:shd w:fill="FAFAFA" w:val="clear"/>
          </w:tcPr>
          <w:p>
            <w:r>
              <w:rPr>
                <w:b/>
                <w:sz w:val="17"/>
              </w:rPr>
              <w:t>50,622</w:t>
            </w:r>
          </w:p>
        </w:tc>
        <w:tc>
          <w:tcPr>
            <w:tcW w:type="dxa" w:w="1440"/>
            <w:shd w:fill="FAFAFA" w:val="clear"/>
          </w:tcPr>
          <w:p>
            <w:r>
              <w:rPr>
                <w:sz w:val="17"/>
              </w:rPr>
              <w:t>58,319</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42,299</w:t>
            </w:r>
          </w:p>
        </w:tc>
        <w:tc>
          <w:tcPr>
            <w:tcW w:type="dxa" w:w="1440"/>
            <w:shd w:fill="FAFAFA" w:val="clear"/>
          </w:tcPr>
          <w:p>
            <w:r>
              <w:rPr>
                <w:b/>
                <w:sz w:val="17"/>
              </w:rPr>
              <w:t>50,612</w:t>
            </w:r>
          </w:p>
        </w:tc>
        <w:tc>
          <w:tcPr>
            <w:tcW w:type="dxa" w:w="1440"/>
            <w:shd w:fill="FAFAFA" w:val="clear"/>
          </w:tcPr>
          <w:p>
            <w:r>
              <w:rPr>
                <w:sz w:val="17"/>
              </w:rPr>
              <w:t>58,924</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41,717</w:t>
            </w:r>
          </w:p>
        </w:tc>
        <w:tc>
          <w:tcPr>
            <w:tcW w:type="dxa" w:w="1440"/>
            <w:shd w:fill="FAFAFA" w:val="clear"/>
          </w:tcPr>
          <w:p>
            <w:r>
              <w:rPr>
                <w:b/>
                <w:sz w:val="17"/>
              </w:rPr>
              <w:t>50,602</w:t>
            </w:r>
          </w:p>
        </w:tc>
        <w:tc>
          <w:tcPr>
            <w:tcW w:type="dxa" w:w="1440"/>
            <w:shd w:fill="FAFAFA" w:val="clear"/>
          </w:tcPr>
          <w:p>
            <w:r>
              <w:rPr>
                <w:sz w:val="17"/>
              </w:rPr>
              <w:t>59,486</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41,171</w:t>
            </w:r>
          </w:p>
        </w:tc>
        <w:tc>
          <w:tcPr>
            <w:tcW w:type="dxa" w:w="1440"/>
            <w:shd w:fill="FAFAFA" w:val="clear"/>
          </w:tcPr>
          <w:p>
            <w:r>
              <w:rPr>
                <w:b/>
                <w:sz w:val="17"/>
              </w:rPr>
              <w:t>50,592</w:t>
            </w:r>
          </w:p>
        </w:tc>
        <w:tc>
          <w:tcPr>
            <w:tcW w:type="dxa" w:w="1440"/>
            <w:shd w:fill="FAFAFA" w:val="clear"/>
          </w:tcPr>
          <w:p>
            <w:r>
              <w:rPr>
                <w:sz w:val="17"/>
              </w:rPr>
              <w:t>60,014</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40,654</w:t>
            </w:r>
          </w:p>
        </w:tc>
        <w:tc>
          <w:tcPr>
            <w:tcW w:type="dxa" w:w="1440"/>
            <w:shd w:fill="FAFAFA" w:val="clear"/>
          </w:tcPr>
          <w:p>
            <w:r>
              <w:rPr>
                <w:b/>
                <w:sz w:val="17"/>
              </w:rPr>
              <w:t>50,583</w:t>
            </w:r>
          </w:p>
        </w:tc>
        <w:tc>
          <w:tcPr>
            <w:tcW w:type="dxa" w:w="1440"/>
            <w:shd w:fill="FAFAFA" w:val="clear"/>
          </w:tcPr>
          <w:p>
            <w:r>
              <w:rPr>
                <w:sz w:val="17"/>
              </w:rPr>
              <w:t>60,513</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Marché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468,35 milliards FCFA, un niveau significatif à l'échelle de la BRVM qui place la société parmi les valeurs les plus importantes du compartiment industriel/consommation de la cote. Les ratios de valorisation classiques (BPA, PER, P/B, EV/EBITDA) ne sont pas calculables en l'absence de données financières structurées exploitables dans la base, ce qui limite l'appréciation directe du prix payé par les investisseurs par rapport aux bénéfices ou à la valeur comptable. Toutefois, en croisant le cours actuel de 51 000 FCFA avec le bénéfice net 2023 de 640,3 millions FCFA, on obtient un BPA approximatif de l'ordre de 70 FCFA, soit un PER implicite très élevé (supérieur à 700x), bien au-delà de la moyenne BRVM (~8-12x) — signe d'une valorisation tendue au regard des profits actuels. Cette distorsion s'explique par la faiblesse transitoire des résultats (après la perte massive de 2022) et par la prime de marque attachée au groupe Unilever. L'absence de PER/P/B/EV-EBITDA officiels empêche toutefois une conclusion définitive sur la sous- ou surévaluation.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**-13,56%**, avec une dernière séance (J-1) stable à **+0,00%**, le cours clôturant à **51 000 FCFA**. Le range de trading s'est établi entre un plus haut de **63 000 FCFA** et un plus bas de **49 000 FCFA**, soit une amplitude de 14 000 FCFA (~28,6%) qui traduit une tendance générale **baissière** avec une tentative de stabilisation en fin de période. Les statistiques descriptives révèlent une moyenne de **55 139 FCFA** légèrement supérieure à la médiane de **54 900 FCFA**, écart faible confirmant une distribution quasi symétrique ; le mode à **58 000 FCFA** indique que ce niveau a été le plus fréquemment coté, suggérant une résistance psychologique. L'écart-type de **3 022 FCFA** avec un coefficient de variation de **5,5%** dénote une dispersion modérée du cours autour de sa moyenne. Le kurtosis de **-0,658** (mésokurtique) signale une distribution proche de la normale, donc un risque de pics extrêmes limité, tandis que le skewness de **0,159** confirme cette symétrie avec une très légère inclinaison positive. La volatilité annualisée de **58,1%** classe le titre dans la catégorie **élevée** (&gt;30%), ce qui est cohérent avec le faible volume moyen de **21 titres/jour** — un marché étroit où le moindre flux déséquilibre le cours.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(52 562 FCFA) et la MM50 (53 261 FCFA) se situent toutes deux **au-dessus** du cours actuel (51 000 FCFA), avec la MM20 sous la MM50 — configuration baissière classique (croisement mort confirmé). Le cours évoluant sous ses deux moyennes, la pression vendeuse domine, ce qui justifie la décision technique **Vente**.</w:t>
      </w:r>
    </w:p>
    <w:p>
      <w:pPr>
        <w:spacing w:after="120" w:line="276" w:lineRule="auto"/>
      </w:pPr>
      <w:r>
        <w:t>**Bandes de Bollinger** : Le cours (51 000 FCFA) se situe dans la moitié inférieure du canal, entre la borne inférieure (49 026 FCFA) et la borne supérieure (56 098 FCFA), sans franchissement des extrêmes. Cette position médiane-basse, avec un cours proche de la borne inférieure, traduit une volatilité contenue et une absence de signal directionnel fort, d'où la décision **Neutre**.</w:t>
      </w:r>
    </w:p>
    <w:p>
      <w:pPr>
        <w:spacing w:after="120" w:line="276" w:lineRule="auto"/>
      </w:pPr>
      <w:r>
        <w:t>**MACD** : La ligne MACD (-803,7) est **inférieure** à sa ligne de signal (-604,4), avec un histogramme négatif — configuration baissière persistante. Le momentum reste négatif malgré un rapprochement des deux courbes, ce qui confirme la décision **Vente** tant que la divergence négative n'est pas résorbée.</w:t>
      </w:r>
    </w:p>
    <w:p>
      <w:pPr>
        <w:spacing w:after="120" w:line="276" w:lineRule="auto"/>
      </w:pPr>
      <w:r>
        <w:t>**RSI** : À **50,0**, le RSI se situe exactement à l'équilibre entre surachat (&gt;70) et survente (&lt;30), dans la zone neutre (30-70). Cette position médiane indique une absence de pression acheteuse ou vendeuse dominante, justifiant la décision **Neutre** et un potentiel de rebond comme de rechute.</w:t>
      </w:r>
    </w:p>
    <w:p>
      <w:pPr>
        <w:spacing w:after="120" w:line="276" w:lineRule="auto"/>
      </w:pPr>
      <w:r>
        <w:t>**Stochastique** : Le %K (37,7) est supérieur au %D (25,2), avec un croisement haussier en zone basse (proche de la survente). Ce signal précoce de retournement potentiel contraste avec les autres indicateurs, mais reste fragile tant que le %K n'a pas franchi la zone des 50, d'où la décision **Neutre**.</w:t>
      </w:r>
    </w:p>
    <w:p>
      <w:pPr>
        <w:spacing w:after="120" w:line="276" w:lineRule="auto"/>
      </w:pPr>
      <w:r>
        <w:t>**Conclusion technique** : Les indicateurs sont **majoritairement baissiers à neutres** — MM en configuration de vente, MACD négatif, mais RSI à l'équilibre et Stochastique en début de retournement haussier. Le titre se trouve dans une phase de consolidation basse, sans signal d'achat confirmé ni d'accélération baissière. La prudence reste de mise tant que le cours n'aura pas reconquis la MM20 (52 562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n'étant pas disponibles dans la base, l'analyse s'appuie sur les **rapports officiels analysés** (exercices 2021, 2022 et 2023), dont les dates sont explicitement mentionnées. **En 2023** (rapport du 31/12/2023, analysé le 15/03/2026), UNLC a réalisé un **chiffre d'affaires de 24 336 010 000 FCFA**, **stable** par rapport à 2022 (même montant), et un **bénéfice net de 640 334 855 FCFA**, en nette amélioration après la **perte de 6 908 362 002 FCFA en 2022** — soit un retournement de +7,5 milliards FCFA. La **marge nette 2023 ressort à 2,63%**, très inférieure à la moyenne sectorielle FMCG (5-10%), tandis que le **résultat d'exploitation (XD) repasse positif à +3 340 M FCFA** (contre -6 258 M FCFA en 2022), grâce à la réduction des charges et à la hausse des produits accessoires (+147 M FCFA). Les **frais financiers baissent à 135 M FCFA** (vs 566 M FCFA en 2022), et les **impôts sur le résultat sont négatifs (-1 163 M FCFA)**, traduisant des crédits d'impôt ou reports de pertes. **En 2022** (rapport du 31/12/2022, analysé le 15/03/2026), le CA s'était établi à 36 174,6 M FCFA (hors taxes) selon une autre lecture, en **baisse de 21,5%** sur un an, avec une **perte nette de -6 382,6 M FCFA** et une **marge nette de -17,6%**, conséquence de la cession de l'activité Thé (Lipton) et des perturbations régionales (embargo malien, restrictions BCEAO). **En 2021** (rapport du 31/12/2021, analysé le 16/03/2026), UNLC avait dégagé un **bénéfice net de 6 090 755 732 FCFA** pour un CA de 24 336 M FCFA, soit une **marge nette de 25,0%**, avec un EBE de +2 391 M FCFA et une trésorerie nette positive de 5 260 M FCFA. L'évolution 2021→2022→2023 est donc **en V** : profit (2021) → perte massive (2022) → retour à un bénéfice modeste (2023). Les **capitaux propres restent négatifs à -10 658 M FCFA en 2023** (vs -35 635 M FCFA de report à nouveau), et l'**endettement financier progresse à 4 379 M FCFA** (vs 3 827 M FCFA en 2022), ce qui fragilise la structure bilancielle. **Aucun dividende n'a été versé en 2023, 2022 et 2021**, la priorité étant le réinvestissement pour reconstituer les fonds propres. **Recommandation fondamentale** : la société montre des signes de redressement opérationnel (retour à l'EBE positif, marge nette positive), mais la **faible marge (2,63%)**, les **capitaux propres négatifs** et l'**endettement croissant** maintiennent un profil de risque élevé ; la solidité dépendra de la capacité à confirmer la rentabilité en 2024-2025 et à restaurer les fonds propres.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**contrasté et prudent**. **Valorisation (Partie 0)** : la capitalisation de 468,35 Mds FCFA et le PER implicite très élevé (&gt;700x sur la base du bénéfice 2023) suggèrent une **surévaluation manifeste** au regard des profits actuels, bien que l'absence de ratios officiels empêche une conclusion ferme. **Comportement du cours (Partie 1)** : la tendance est **baissière (-13,56% sur 100 jours)**, avec une volatilité **élevée (58,1%)**, mais une distribution symétrique (skewness 0,159) et sans pics extrêmes (kurtosis -0,658) — un profil de risque élevé mais non chaotique. **Signaux techniques (Partie 2)** : les indicateurs sont **majoritairement baissiers à neutres** (MM en vente, MACD négatif, RSI neutre, Stochastique en début de retournement), sans convergence haussière confirmée. **Fondamentaux (Partie 3)** : le retour au bénéfice en 2023 (640 M FCFA) après la perte de 2022 (-6,9 Mds FCFA) est encourageant, mais la **marge nette de 2,63%**, les **capitaux propres négatifs (-10 658 M FCFA)** et l'**endettement croissant** maintiennent une **solidité financière fragile**. **Prédictions IA (J+1 à J+10)** : la trajectoire projetée (50 679 → 50 634 FCFA) est **légèrement baissière** (-0,7% sur 10 jours), confirmant la pression vendeuse résiduelle et **contredisant** tout scénario de rebond technique immédiat. **Recommandation finale : CONSERVER** (avec vigilance), justifiée par la **divergence** entre des fondamentaux en redressement mais fragiles, une technique baissière/neutre, une valorisation tendue et des prédictions baissières — le titre n'offre ni signal d'achat convaincant, ni urgence de vente pour un investisseur déjà positionné. **Niveau de confiance : Moyen** (données financières structurées manquantes limitant la précision). **Niveau de risque global : Élevé** (volatilité 58,1%, capitaux propres négatifs, faible liquidité). **Horizon d'investissement optimal : Moyen à long terme (3-12 mois et au-delà)**, en attendant la confirmation d'une rentabilité durable et d'une reconstitution des fonds propres avant tout renforcement de position.</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13,655 titres</w:t>
            </w:r>
          </w:p>
        </w:tc>
        <w:tc>
          <w:tcPr>
            <w:tcW w:type="dxa" w:w="2268"/>
            <w:shd w:fill="FFF2CC" w:val="clear"/>
          </w:tcPr>
          <w:p>
            <w:r>
              <w:rPr>
                <w:b/>
                <w:color w:val="503200"/>
                <w:sz w:val="16"/>
              </w:rPr>
              <w:t xml:space="preserve">Cours actuel : </w:t>
            </w:r>
            <w:r>
              <w:rPr>
                <w:color w:val="000000"/>
                <w:sz w:val="17"/>
              </w:rPr>
              <w:t>2,350 FCFA</w:t>
            </w:r>
          </w:p>
          <w:p>
            <w:r>
              <w:rPr>
                <w:b/>
                <w:color w:val="503200"/>
                <w:sz w:val="16"/>
              </w:rPr>
              <w:t xml:space="preserve">Var. 100 jours : </w:t>
            </w:r>
            <w:r>
              <w:rPr>
                <w:b/>
                <w:color w:val="007800"/>
                <w:sz w:val="17"/>
              </w:rPr>
              <w:t>+25.00%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14.74% (Moyenne) — μ=1,978 FCFA, σ=291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β=0.3574 (Défensif) — Cov=0.000024, Var(idx)=0.000068, ρ=0.096,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13,655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2,156</w:t>
            </w:r>
          </w:p>
        </w:tc>
        <w:tc>
          <w:tcPr>
            <w:tcW w:type="dxa" w:w="1440"/>
            <w:shd w:fill="FFDCE0" w:val="clear"/>
          </w:tcPr>
          <w:p>
            <w:r>
              <w:rPr>
                <w:b/>
                <w:sz w:val="17"/>
              </w:rPr>
              <w:t>2,263</w:t>
            </w:r>
          </w:p>
        </w:tc>
        <w:tc>
          <w:tcPr>
            <w:tcW w:type="dxa" w:w="1440"/>
            <w:shd w:fill="FFDCE0" w:val="clear"/>
          </w:tcPr>
          <w:p>
            <w:r>
              <w:rPr>
                <w:sz w:val="17"/>
              </w:rPr>
              <w:t>2,370</w:t>
            </w:r>
          </w:p>
        </w:tc>
        <w:tc>
          <w:tcPr>
            <w:tcW w:type="dxa" w:w="1440"/>
            <w:shd w:fill="FFDCE0" w:val="clear"/>
          </w:tcPr>
          <w:p>
            <w:r>
              <w:rPr>
                <w:b/>
                <w:color w:val="C00000"/>
                <w:sz w:val="17"/>
              </w:rPr>
              <w:t>-3.7%</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2,112</w:t>
            </w:r>
          </w:p>
        </w:tc>
        <w:tc>
          <w:tcPr>
            <w:tcW w:type="dxa" w:w="1440"/>
            <w:shd w:fill="FFDCE0" w:val="clear"/>
          </w:tcPr>
          <w:p>
            <w:r>
              <w:rPr>
                <w:b/>
                <w:sz w:val="17"/>
              </w:rPr>
              <w:t>2,264</w:t>
            </w:r>
          </w:p>
        </w:tc>
        <w:tc>
          <w:tcPr>
            <w:tcW w:type="dxa" w:w="1440"/>
            <w:shd w:fill="FFDCE0" w:val="clear"/>
          </w:tcPr>
          <w:p>
            <w:r>
              <w:rPr>
                <w:sz w:val="17"/>
              </w:rPr>
              <w:t>2,416</w:t>
            </w:r>
          </w:p>
        </w:tc>
        <w:tc>
          <w:tcPr>
            <w:tcW w:type="dxa" w:w="1440"/>
            <w:shd w:fill="FFDCE0" w:val="clear"/>
          </w:tcPr>
          <w:p>
            <w:r>
              <w:rPr>
                <w:b/>
                <w:color w:val="C00000"/>
                <w:sz w:val="17"/>
              </w:rPr>
              <w:t>-3.7%</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2,072</w:t>
            </w:r>
          </w:p>
        </w:tc>
        <w:tc>
          <w:tcPr>
            <w:tcW w:type="dxa" w:w="1440"/>
            <w:shd w:fill="FFDCE0" w:val="clear"/>
          </w:tcPr>
          <w:p>
            <w:r>
              <w:rPr>
                <w:b/>
                <w:sz w:val="17"/>
              </w:rPr>
              <w:t>2,257</w:t>
            </w:r>
          </w:p>
        </w:tc>
        <w:tc>
          <w:tcPr>
            <w:tcW w:type="dxa" w:w="1440"/>
            <w:shd w:fill="FFDCE0" w:val="clear"/>
          </w:tcPr>
          <w:p>
            <w:r>
              <w:rPr>
                <w:sz w:val="17"/>
              </w:rPr>
              <w:t>2,442</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2,036</w:t>
            </w:r>
          </w:p>
        </w:tc>
        <w:tc>
          <w:tcPr>
            <w:tcW w:type="dxa" w:w="1440"/>
            <w:shd w:fill="FFDCE0" w:val="clear"/>
          </w:tcPr>
          <w:p>
            <w:r>
              <w:rPr>
                <w:b/>
                <w:sz w:val="17"/>
              </w:rPr>
              <w:t>2,249</w:t>
            </w:r>
          </w:p>
        </w:tc>
        <w:tc>
          <w:tcPr>
            <w:tcW w:type="dxa" w:w="1440"/>
            <w:shd w:fill="FFDCE0" w:val="clear"/>
          </w:tcPr>
          <w:p>
            <w:r>
              <w:rPr>
                <w:sz w:val="17"/>
              </w:rPr>
              <w:t>2,462</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2,004</w:t>
            </w:r>
          </w:p>
        </w:tc>
        <w:tc>
          <w:tcPr>
            <w:tcW w:type="dxa" w:w="1440"/>
            <w:shd w:fill="FFDCE0" w:val="clear"/>
          </w:tcPr>
          <w:p>
            <w:r>
              <w:rPr>
                <w:b/>
                <w:sz w:val="17"/>
              </w:rPr>
              <w:t>2,241</w:t>
            </w:r>
          </w:p>
        </w:tc>
        <w:tc>
          <w:tcPr>
            <w:tcW w:type="dxa" w:w="1440"/>
            <w:shd w:fill="FFDCE0" w:val="clear"/>
          </w:tcPr>
          <w:p>
            <w:r>
              <w:rPr>
                <w:sz w:val="17"/>
              </w:rPr>
              <w:t>2,479</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1,975</w:t>
            </w:r>
          </w:p>
        </w:tc>
        <w:tc>
          <w:tcPr>
            <w:tcW w:type="dxa" w:w="1440"/>
            <w:shd w:fill="FFDCE0" w:val="clear"/>
          </w:tcPr>
          <w:p>
            <w:r>
              <w:rPr>
                <w:b/>
                <w:sz w:val="17"/>
              </w:rPr>
              <w:t>2,234</w:t>
            </w:r>
          </w:p>
        </w:tc>
        <w:tc>
          <w:tcPr>
            <w:tcW w:type="dxa" w:w="1440"/>
            <w:shd w:fill="FFDCE0" w:val="clear"/>
          </w:tcPr>
          <w:p>
            <w:r>
              <w:rPr>
                <w:sz w:val="17"/>
              </w:rPr>
              <w:t>2,493</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1,948</w:t>
            </w:r>
          </w:p>
        </w:tc>
        <w:tc>
          <w:tcPr>
            <w:tcW w:type="dxa" w:w="1440"/>
            <w:shd w:fill="FFDCE0" w:val="clear"/>
          </w:tcPr>
          <w:p>
            <w:r>
              <w:rPr>
                <w:b/>
                <w:sz w:val="17"/>
              </w:rPr>
              <w:t>2,227</w:t>
            </w:r>
          </w:p>
        </w:tc>
        <w:tc>
          <w:tcPr>
            <w:tcW w:type="dxa" w:w="1440"/>
            <w:shd w:fill="FFDCE0" w:val="clear"/>
          </w:tcPr>
          <w:p>
            <w:r>
              <w:rPr>
                <w:sz w:val="17"/>
              </w:rPr>
              <w:t>2,506</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1,923</w:t>
            </w:r>
          </w:p>
        </w:tc>
        <w:tc>
          <w:tcPr>
            <w:tcW w:type="dxa" w:w="1440"/>
            <w:shd w:fill="FFDCE0" w:val="clear"/>
          </w:tcPr>
          <w:p>
            <w:r>
              <w:rPr>
                <w:b/>
                <w:sz w:val="17"/>
              </w:rPr>
              <w:t>2,220</w:t>
            </w:r>
          </w:p>
        </w:tc>
        <w:tc>
          <w:tcPr>
            <w:tcW w:type="dxa" w:w="1440"/>
            <w:shd w:fill="FFDCE0" w:val="clear"/>
          </w:tcPr>
          <w:p>
            <w:r>
              <w:rPr>
                <w:sz w:val="17"/>
              </w:rPr>
              <w:t>2,518</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1,899</w:t>
            </w:r>
          </w:p>
        </w:tc>
        <w:tc>
          <w:tcPr>
            <w:tcW w:type="dxa" w:w="1440"/>
            <w:shd w:fill="FFDCE0" w:val="clear"/>
          </w:tcPr>
          <w:p>
            <w:r>
              <w:rPr>
                <w:b/>
                <w:sz w:val="17"/>
              </w:rPr>
              <w:t>2,214</w:t>
            </w:r>
          </w:p>
        </w:tc>
        <w:tc>
          <w:tcPr>
            <w:tcW w:type="dxa" w:w="1440"/>
            <w:shd w:fill="FFDCE0" w:val="clear"/>
          </w:tcPr>
          <w:p>
            <w:r>
              <w:rPr>
                <w:sz w:val="17"/>
              </w:rPr>
              <w:t>2,529</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1,877</w:t>
            </w:r>
          </w:p>
        </w:tc>
        <w:tc>
          <w:tcPr>
            <w:tcW w:type="dxa" w:w="1440"/>
            <w:shd w:fill="FFDCE0" w:val="clear"/>
          </w:tcPr>
          <w:p>
            <w:r>
              <w:rPr>
                <w:b/>
                <w:sz w:val="17"/>
              </w:rPr>
              <w:t>2,207</w:t>
            </w:r>
          </w:p>
        </w:tc>
        <w:tc>
          <w:tcPr>
            <w:tcW w:type="dxa" w:w="1440"/>
            <w:shd w:fill="FFDCE0" w:val="clear"/>
          </w:tcPr>
          <w:p>
            <w:r>
              <w:rPr>
                <w:sz w:val="17"/>
              </w:rPr>
              <w:t>2,538</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*Bourse Régionale des Valeurs Mobilières (BRVM) — Secteur Textile / Entreprise non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48,76 Mds FCFA, UNXC se situe dans la catégorie des valeurs moyennes de la cote BRVM, ce qui traduit une liquidité limitée mais une certaine notoriété sectorielle. Le BPA ressort à -105 FCFA/action pour l'exercice 2024, conséquence directe d'une perte nette de -2,189 Mds FCFA, ce qui rend le PER inexploitable en l'état (-22,3x, négatif par construction). Le P/B de 3,13x indique que le marché valorise l'action à plus de trois fois sa valeur comptable (capitaux propres de 15,591 Mds FCFA pour 48,76 Mds FCFA de capitalisation), soit une prime de croissance significative qui n'est justifiée que si le redressement opérationnel se confirme. Le ratio EV/EBITDA n'est pas fourni et n'est pas pertinent ici compte tenu de l'EBE négatif de -352,22 M FCFA en 2024 ; cette absence de multiple opérationnel positif souligne que la valorisation actuelle repose davantage sur des anticipations de retournement que sur des flux générés.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UNXC affiche une progression remarquable de +25,00%, avec une dernière séance particulièrement dynamique (+6,82%), portant le cours à 2 350 FCFA. Le range de trading est très large, entre un plus bas de 1 250 FCFA et un plus haut de 2 495 FCFA, soit un écart de près de 100% qui témoigne d'une forte amplitude et d'un intérêt spéculatif marqué. La tendance générale est clairement haussière, soutenue par le retour à une rentabilité opérationnelle positive au S1 2026 (résultat d'exploitation de +771 M FCFA contre -314 M FCFA un an plus tôt). Les statistiques descriptives révèlent une moyenne de 1 978 FCFA légèrement supérieure à la médiane de 1 915 FCFA, signe d'une distribution quasi symétrique (skewness de 0,025) sans biais directionnel marqué. L'écart-type de 293 FCFA (CV de 14,8%) indique une dispersion modérée autour de la moyenne, tandis que le kurtosis de -0,318 (mésokurtique) suggère une distribution proche de la normale, sans risque de pics extrêmes anormalement fréquents. La volatilité annualisée de 49,5% classe le titre dans la catégorie des valeurs très volatiles (&gt;30%), ce qui impose une gestion stricte du risque et un horizon d'investissement adapté.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(2 358,25 FCFA) et la MM50 (2 171,00 FCFA) sont toutes deux inférieures au cours actuel de 2 350 FCFA pour la MM20 (léger écart) et nettement en dessous pour la MM50, configurant un croisement haussier classique (MM20 &gt; MM50). Cette configuration confirme la dynamique positive de court et moyen terme, justifiant la décision d'achat.</w:t>
      </w:r>
    </w:p>
    <w:p>
      <w:pPr>
        <w:spacing w:after="120" w:line="276" w:lineRule="auto"/>
      </w:pPr>
      <w:r>
        <w:t>**Bandes de Bollinger** : Le cours (2 350 FCFA) évolue dans la partie haute de la bande, entre la borne inférieure (2 219,145 FCFA) et la borne supérieure (2 497,355 FCFA), sans franchir cette dernière. Cette position médiane-haute traduit une volatilité contenue et une absence de signal de surachat extrême, d'où la décision neutre.</w:t>
      </w:r>
    </w:p>
    <w:p>
      <w:pPr>
        <w:spacing w:after="120" w:line="276" w:lineRule="auto"/>
      </w:pPr>
      <w:r>
        <w:t>**MACD** : La valeur du MACD (21,288) est nettement inférieure à son signal (50,137), générant un croisement baissier qui signale un essoufflement du momentum haussier malgré la tendance de fond positive. Cette divergence justifie la décision de vente à court terme.</w:t>
      </w:r>
    </w:p>
    <w:p>
      <w:pPr>
        <w:spacing w:after="120" w:line="276" w:lineRule="auto"/>
      </w:pPr>
      <w:r>
        <w:t>**RSI** : À 51,163, le RSI se situe parfaitement dans la zone neutre (30-70), sans pression acheteuse ni vendeuse dominante. Cette configuration équilibrée confirme l'absence de signal directionnel fort et justifie la décision neutre.</w:t>
      </w:r>
    </w:p>
    <w:p>
      <w:pPr>
        <w:spacing w:after="120" w:line="276" w:lineRule="auto"/>
      </w:pPr>
      <w:r>
        <w:t>**Stochastique** : Le %K (75,0) est nettement supérieur au %D (25,0), ce qui pourrait suggérer un croisement haussier en formation, mais la position élevée du %K proche de la zone de surachat (80) incite à la prudence. La décision reste neutre en attendant confirmation.</w:t>
      </w:r>
    </w:p>
    <w:p>
      <w:pPr>
        <w:spacing w:after="120" w:line="276" w:lineRule="auto"/>
      </w:pPr>
      <w:r>
        <w:t>**Conclusion technique** : Les indicateurs sont partagés entre signaux haussiers (MM, positionnement du cours) et signaux de prudence (MACD baissier, RSI neutre, Stochastique proche surachat). La tendance de fond reste positive mais le momentum à court terme s'essouffle, plaidant pour une consolidation avant une nouvelle impulsion.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2024, UNXC a enregistré un chiffre d'affaires de 27,333 Mds FCFA, en baisse de -7,93% par rapport à 2023, avec un résultat net négatif de -2,189 Mds FCFA (marge nette de -8,01%) et un ROE de -14,04% pour des capitaux propres de 15,591 Mds FCFA. La structure financière reste solide (autonomie financière de 45,53%, solvabilité générale de 183,60%, liquidité générale de 126,23%), mais l'exploitation est déficitaire (EBE de -352,22 M FCFA, coefficient d'exploitation de 106,99%). Les délais d'exploitation sont préoccupants : 51 jours de délai client, 254,72 jours de durée de stockage et 267,82 jours de délai fournisseur, traduisant un cycle long et un risque de trésorerie, même si le BFR de 2,149 Mds FCFA reste gérable. Le rapport annuel 2025 (publié en 2026) montre un redressement net : CA de 29,03 Mds FCFA (+6,2%), EBE redevenu positif à 1,13 Md FCFA, perte nette réduite à -624 M FCFA (-71%), désendettement fournisseurs de 14,9 à 5,0 Mds FCFA financé par des cessions d'actifs (+10,5 Mds FCFA). Le rapport S1 2026 (publié en 2026) confirme cette dynamique : CA de 15,752 Mds FCFA (+0,3%), résultat d'exploitation positif à 771 M FCFA (contre -314 M FCFA au S1 2025), résultat net de 771 M FCFA (contre 8,2 Mds FCFA au S1 2025, ce dernier incluant une plus-value exceptionnelle de cession). Sur la base de ces rapports, on estime que l'exercice 2026 devrait confirmer le retour à une rentabilité opérationnelle positive, avec un résultat net hors éléments exceptionnels proche de l'équilibre, voire légèrement positif. La recommandation fondamentale est de **conserver** avec un biais acheteur, en surveillant la confirmation de la rentabilité opérationnelle au S2 2026 et la capacité à générer de la croissance organique sans recours aux cessions d'actifs.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difficile à interpréter avec un PER négatif et un P/B de 3,13x qui intègre déjà une prime de redressement, suggérant une surévaluation relative si la rentabilité ne se confirme pas durablement. Le comportement du cours (Partie 1) est haussier (+25% sur 100 jours) mais très volatil (49,5% annualisé), avec une distribution symétrique et sans pics extrêmes, ce qui est rassurant mais impose une gestion active du risque. Les signaux techniques (Partie 2) sont mitigés : MM haussières et cours bien positionné, mais MACD baissier et RSI neutre, plaidant pour une consolidation avant une nouvelle hausse. Les fondamentaux (Partie 3) montrent un redressement réel mais fragile : retour à un EBE positif en 2025, résultat d'exploitation positif au S1 2026, mais dépendance aux cessions d'actifs et pertes cumulées encore élevées (-5,54 Mds FCFA de report à nouveau négatif). Les prédictions IA (J+1 à J+10) anticipent une légère baisse vers 2 241-2 264 FCFA, ce qui contredit la dynamique haussière récente et suggère une prise de profit à court terme. Sur la base de cette synthèse, la recommandation finale est **CONSERVER** avec un biais acheteur à moyen terme, en raison de la convergence partielle entre le redressement fondamental et la tendance technique de fond, mais avec un niveau de confiance **Moyen** et un risque global **Élevé** (volatilité, dépendance aux éléments exceptionnels, liquidité limitée). L'horizon d'investissement optimal est le **moyen terme (3-12 mois)**, en attendant la confirmation de la rentabilité opérationnelle au S2 2026 et la publication des états financiers annuels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