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21/08/2026 à 04:58</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SCRC  (score 85/100)</w:t>
      </w:r>
    </w:p>
    <w:p>
      <w:pPr>
        <w:spacing w:before="20" w:after="20"/>
        <w:ind w:left="360" w:right="360"/>
        <w:shd w:val="clear" w:color="auto" w:fill="EBF5FB"/>
      </w:pPr>
      <w:r>
        <w:rPr>
          <w:b/>
          <w:sz w:val="19"/>
        </w:rPr>
        <w:t xml:space="preserve">Secteur surperformant :  </w:t>
      </w:r>
      <w:r>
        <w:rPr>
          <w:color w:val="008000"/>
          <w:sz w:val="19"/>
        </w:rPr>
        <w:t>SERVICES PUBLICS  (+92.1%)</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25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519.59 points </w:t>
      </w:r>
      <w:r>
        <w:rPr>
          <w:color w:val="008000"/>
        </w:rPr>
        <w:t>(+0.75%)</w:t>
      </w:r>
      <w:r>
        <w:t xml:space="preserve"> sur la séance. </w:t>
      </w:r>
      <w:r>
        <w:t>La capitalisation globale du marché atteint 2 003,618 milliards FCFA.</w:t>
      </w:r>
    </w:p>
    <w:p/>
    <w:p>
      <w:pPr>
        <w:pStyle w:val="Heading3"/>
      </w:pPr>
      <w:r>
        <w:t>📊 Évolution de l'indice BRVM Composite (100 derniers jours)</w:t>
      </w:r>
    </w:p>
    <w:p>
      <w:r>
        <w:rPr>
          <w:b/>
        </w:rPr>
        <w:t xml:space="preserve">BRVM Composite — </w:t>
      </w:r>
      <w:r>
        <w:t xml:space="preserve">Sur les 100 derniers jours de cotation (2026-03-26 au 2026-08-20), l'indice BRVM Composite a évolué de </w:t>
      </w:r>
      <w:r>
        <w:rPr>
          <w:b/>
          <w:color w:val="008000"/>
        </w:rPr>
        <w:t>+29.29%</w:t>
      </w:r>
      <w:r>
        <w:t>, passant de 401.87 pts à 519.59 pts. Le plus haut atteint est 519.59 pts et le plus bas 397.33 pts. Sur l'ensemble de la période, la moyenne de l'indice s'établit à 441.51 pts, la médiane à 436.59 pts et le mode à 403.36 pts</w:t>
      </w:r>
      <w:r>
        <w:t xml:space="preserve"> (asymétrie positive — plus de jours sous la moyenne). </w:t>
      </w:r>
      <w:r>
        <w:t xml:space="preserve">L'écart-type de 34.68 pts (CV=7.9%) traduit une modérée dispersion des cotations. Le kurtosis de -1.19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-87.07%</w:t>
      </w:r>
      <w:r>
        <w:t xml:space="preserve"> sur la période, passant de 15 494,610 Mds FCFA à 2 003,618 Mds FCFA. Le pic de capitalisation observé est de 19 886,911 Mds FCFA et le plancher de 2 003,618 Mds FCFA. La moyenne de la capitalisation sur la période s'établit à 16 835,326 Mds FCFA, la médiane à 16 816,942 Mds FCFA et le mode à 2 003,618 Mds FCFA</w:t>
      </w:r>
      <w:r>
        <w:t xml:space="preserve"> (asymétrie négative). </w:t>
      </w:r>
      <w:r>
        <w:t>L'écart-type de 1 982,342 Mds FCFA (CV=11.8%) reflète une modérée variabilité de la valorisation du marché. Le kurtosis de 29.34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CIEC - CIEC - Compagnie Ivoirienne d'Electricité</w:t>
      </w:r>
      <w:r>
        <w:t xml:space="preserve"> | Prix: 7190 FCFA | </w:t>
      </w:r>
      <w:r>
        <w:rPr>
          <w:b/>
          <w:color w:val="008000"/>
        </w:rPr>
        <w:t>ACHAT FORT</w:t>
      </w:r>
      <w:r>
        <w:t xml:space="preserve"> | Confiance: Faible | Risque: Moyen</w:t>
      </w:r>
    </w:p>
    <w:p>
      <w:pPr>
        <w:pStyle w:val="ListNumber"/>
      </w:pPr>
      <w:r>
        <w:rPr>
          <w:b/>
        </w:rPr>
        <w:t>ECOC - ECOC - ECOBANK COTE D'IVOIRE</w:t>
      </w:r>
      <w:r>
        <w:t xml:space="preserve"> | Prix: 16855 FCFA | </w:t>
      </w:r>
      <w:r>
        <w:rPr>
          <w:b/>
          <w:color w:val="008000"/>
        </w:rPr>
        <w:t>ACHAT FORT</w:t>
      </w:r>
      <w:r>
        <w:t xml:space="preserve"> | Confiance: Faible | Risque: Faible</w:t>
      </w:r>
    </w:p>
    <w:p>
      <w:pPr>
        <w:pStyle w:val="ListNumber"/>
      </w:pPr>
      <w:r>
        <w:rPr>
          <w:b/>
        </w:rPr>
        <w:t>STAC - STAC - SETAO COTE D'IVOIRE</w:t>
      </w:r>
      <w:r>
        <w:t xml:space="preserve"> | Prix: 2550 FCFA | </w:t>
      </w:r>
      <w:r>
        <w:rPr>
          <w:b/>
          <w:color w:val="008000"/>
        </w:rPr>
        <w:t>ACHAT FORT</w:t>
      </w:r>
      <w:r>
        <w:t xml:space="preserve"> | Confiance: Faible | Risque: Moyen</w:t>
      </w:r>
    </w:p>
    <w:p>
      <w:pPr>
        <w:pStyle w:val="ListNumber"/>
      </w:pPr>
      <w:r>
        <w:rPr>
          <w:b/>
        </w:rPr>
        <w:t>ABJC - ABJC - SERVAIR ABIDJAN CI</w:t>
      </w:r>
      <w:r>
        <w:t xml:space="preserve"> | Prix: 3400 FCFA | </w:t>
      </w:r>
      <w:r>
        <w:rPr>
          <w:b/>
          <w:color w:val="008000"/>
        </w:rPr>
        <w:t>ACHAT</w:t>
      </w:r>
      <w:r>
        <w:t xml:space="preserve"> | Confiance: Faible | Risque: Faible</w:t>
      </w:r>
    </w:p>
    <w:p>
      <w:pPr>
        <w:pStyle w:val="ListNumber"/>
      </w:pPr>
      <w:r>
        <w:rPr>
          <w:b/>
        </w:rPr>
        <w:t>BICB - BIIC BN - Banque internationale pour le commerce du benin</w:t>
      </w:r>
      <w:r>
        <w:t xml:space="preserve"> | Prix: 8400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29250 FCFA | </w:t>
      </w:r>
      <w:r>
        <w:rPr>
          <w:b/>
          <w:color w:val="008000"/>
        </w:rPr>
        <w:t>ACHAT</w:t>
      </w:r>
      <w:r>
        <w:t xml:space="preserve"> | Confiance: Élevée | Risque: Moyen</w:t>
      </w:r>
    </w:p>
    <w:p>
      <w:pPr>
        <w:pStyle w:val="ListNumber"/>
      </w:pPr>
      <w:r>
        <w:rPr>
          <w:b/>
        </w:rPr>
        <w:t>BNBC - BNBC - BERNABE CI</w:t>
      </w:r>
      <w:r>
        <w:t xml:space="preserve"> | Prix: 1990 FCFA | </w:t>
      </w:r>
      <w:r>
        <w:rPr>
          <w:b/>
          <w:color w:val="008000"/>
        </w:rPr>
        <w:t>ACHAT</w:t>
      </w:r>
      <w:r>
        <w:t xml:space="preserve"> | Confiance: Moyen | Risque: Moyen</w:t>
      </w:r>
    </w:p>
    <w:p>
      <w:pPr>
        <w:pStyle w:val="ListNumber"/>
      </w:pPr>
      <w:r>
        <w:rPr>
          <w:b/>
        </w:rPr>
        <w:t>BOAB - BANK OF AFRICA BENIN</w:t>
      </w:r>
      <w:r>
        <w:t xml:space="preserve"> | Prix: 9500 FCFA | </w:t>
      </w:r>
      <w:r>
        <w:rPr>
          <w:b/>
          <w:color w:val="008000"/>
        </w:rPr>
        <w:t>ACHAT</w:t>
      </w:r>
      <w:r>
        <w:t xml:space="preserve"> | Confiance: Faible | Risque: Moyen</w:t>
      </w:r>
    </w:p>
    <w:p>
      <w:pPr>
        <w:pStyle w:val="ListNumber"/>
      </w:pPr>
      <w:r>
        <w:rPr>
          <w:b/>
        </w:rPr>
        <w:t>BOABF - BANK OF AFRICA BURKINA FASO</w:t>
      </w:r>
      <w:r>
        <w:t xml:space="preserve"> | Prix: 7500 FCFA | </w:t>
      </w:r>
      <w:r>
        <w:rPr>
          <w:b/>
          <w:color w:val="008000"/>
        </w:rPr>
        <w:t>ACHAT</w:t>
      </w:r>
      <w:r>
        <w:t xml:space="preserve"> | Confiance: Faible | Risque: Faible</w:t>
      </w:r>
    </w:p>
    <w:p>
      <w:pPr>
        <w:pStyle w:val="ListNumber"/>
      </w:pPr>
      <w:r>
        <w:rPr>
          <w:b/>
        </w:rPr>
        <w:t>BOAC - BANK OF AFRICA COTE D'IVOIRE</w:t>
      </w:r>
      <w:r>
        <w:t xml:space="preserve"> | Prix: 13300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NEIC - NEIC - NEI-CEDA CI</w:t>
      </w:r>
      <w:r>
        <w:t xml:space="preserve"> | Prix: 2350 FCFA | </w:t>
      </w:r>
      <w:r>
        <w:rPr>
          <w:b/>
          <w:color w:val="C00000"/>
        </w:rPr>
        <w:t>CONSERVER ⚠️</w:t>
      </w:r>
      <w:r>
        <w:t xml:space="preserve"> | Confiance: Moyen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92.08%</w:t>
      </w:r>
      <w:r>
        <w:t xml:space="preserve">  |  </w:t>
      </w:r>
      <w:r>
        <w:rPr>
          <w:b/>
        </w:rPr>
        <w:t xml:space="preserve">vs BRVM Composite: </w:t>
      </w:r>
      <w:r>
        <w:rPr>
          <w:b/>
          <w:color w:val="008000"/>
        </w:rPr>
        <w:t>+62.79%  🟢 Surperformance</w:t>
      </w:r>
      <w:r>
        <w:br/>
      </w:r>
      <w:r>
        <w:rPr>
          <w:b/>
        </w:rPr>
        <w:t xml:space="preserve">Sentiment général: </w:t>
      </w:r>
      <w:r>
        <w:t xml:space="preserve">ACHAT FORT  |  </w:t>
      </w:r>
      <w:r>
        <w:rPr>
          <w:b/>
        </w:rPr>
        <w:t xml:space="preserve">Risque moyen: </w:t>
      </w:r>
      <w:r>
        <w:t xml:space="preserve">Moyen  |  </w:t>
      </w:r>
      <w:r>
        <w:rPr>
          <w:b/>
        </w:rPr>
        <w:t xml:space="preserve">Prix moyen: </w:t>
      </w:r>
      <w:r>
        <w:t>9640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40.56%</w:t>
      </w:r>
      <w:r>
        <w:t xml:space="preserve">  |  </w:t>
      </w:r>
      <w:r>
        <w:rPr>
          <w:b/>
        </w:rPr>
        <w:t xml:space="preserve">vs BRVM Composite: </w:t>
      </w:r>
      <w:r>
        <w:rPr>
          <w:b/>
          <w:color w:val="008000"/>
        </w:rPr>
        <w:t>+11.27%  🟢 Surperformance</w:t>
      </w:r>
      <w:r>
        <w:br/>
      </w:r>
      <w:r>
        <w:rPr>
          <w:b/>
        </w:rPr>
        <w:t xml:space="preserve">Sentiment général: </w:t>
      </w:r>
      <w:r>
        <w:t xml:space="preserve">ACHAT  |  </w:t>
      </w:r>
      <w:r>
        <w:rPr>
          <w:b/>
        </w:rPr>
        <w:t xml:space="preserve">Risque moyen: </w:t>
      </w:r>
      <w:r>
        <w:t xml:space="preserve">Moyen  |  </w:t>
      </w:r>
      <w:r>
        <w:rPr>
          <w:b/>
        </w:rPr>
        <w:t xml:space="preserve">Prix moyen: </w:t>
      </w:r>
      <w:r>
        <w:t>13247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35.14%</w:t>
      </w:r>
      <w:r>
        <w:t xml:space="preserve">  |  </w:t>
      </w:r>
      <w:r>
        <w:rPr>
          <w:b/>
        </w:rPr>
        <w:t xml:space="preserve">vs BRVM Composite: </w:t>
      </w:r>
      <w:r>
        <w:rPr>
          <w:b/>
          <w:color w:val="008000"/>
        </w:rPr>
        <w:t>+5.84%  🟢 Surperformance</w:t>
      </w:r>
      <w:r>
        <w:br/>
      </w:r>
      <w:r>
        <w:rPr>
          <w:b/>
        </w:rPr>
        <w:t xml:space="preserve">Sentiment général: </w:t>
      </w:r>
      <w:r>
        <w:t xml:space="preserve">ACHAT  |  </w:t>
      </w:r>
      <w:r>
        <w:rPr>
          <w:b/>
        </w:rPr>
        <w:t xml:space="preserve">Risque moyen: </w:t>
      </w:r>
      <w:r>
        <w:t xml:space="preserve">Moyen  |  </w:t>
      </w:r>
      <w:r>
        <w:rPr>
          <w:b/>
        </w:rPr>
        <w:t xml:space="preserve">Prix moyen: </w:t>
      </w:r>
      <w:r>
        <w:t>18797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20.11%</w:t>
      </w:r>
      <w:r>
        <w:t xml:space="preserve">  |  </w:t>
      </w:r>
      <w:r>
        <w:rPr>
          <w:b/>
        </w:rPr>
        <w:t xml:space="preserve">vs BRVM Composite: </w:t>
      </w:r>
      <w:r>
        <w:rPr>
          <w:b/>
          <w:color w:val="C00000"/>
        </w:rPr>
        <w:t>-9.19%  🔴 Sous-performance</w:t>
      </w:r>
      <w:r>
        <w:br/>
      </w:r>
      <w:r>
        <w:rPr>
          <w:b/>
        </w:rPr>
        <w:t xml:space="preserve">Sentiment général: </w:t>
      </w:r>
      <w:r>
        <w:t xml:space="preserve">ACHAT  |  </w:t>
      </w:r>
      <w:r>
        <w:rPr>
          <w:b/>
        </w:rPr>
        <w:t xml:space="preserve">Risque moyen: </w:t>
      </w:r>
      <w:r>
        <w:t xml:space="preserve">Moyen  |  </w:t>
      </w:r>
      <w:r>
        <w:rPr>
          <w:b/>
        </w:rPr>
        <w:t xml:space="preserve">Prix moyen: </w:t>
      </w:r>
      <w:r>
        <w:t>6582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19.97%</w:t>
      </w:r>
      <w:r>
        <w:t xml:space="preserve">  |  </w:t>
      </w:r>
      <w:r>
        <w:rPr>
          <w:b/>
        </w:rPr>
        <w:t xml:space="preserve">vs BRVM Composite: </w:t>
      </w:r>
      <w:r>
        <w:rPr>
          <w:b/>
          <w:color w:val="C00000"/>
        </w:rPr>
        <w:t>-9.32%  🔴 Sous-performance</w:t>
      </w:r>
      <w:r>
        <w:br/>
      </w:r>
      <w:r>
        <w:rPr>
          <w:b/>
        </w:rPr>
        <w:t xml:space="preserve">Sentiment général: </w:t>
      </w:r>
      <w:r>
        <w:t xml:space="preserve">ACHAT  |  </w:t>
      </w:r>
      <w:r>
        <w:rPr>
          <w:b/>
        </w:rPr>
        <w:t xml:space="preserve">Risque moyen: </w:t>
      </w:r>
      <w:r>
        <w:t xml:space="preserve">Moyen  |  </w:t>
      </w:r>
      <w:r>
        <w:rPr>
          <w:b/>
        </w:rPr>
        <w:t xml:space="preserve">Prix moyen: </w:t>
      </w:r>
      <w:r>
        <w:t>19182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15.29%</w:t>
      </w:r>
      <w:r>
        <w:t xml:space="preserve">  |  </w:t>
      </w:r>
      <w:r>
        <w:rPr>
          <w:b/>
        </w:rPr>
        <w:t xml:space="preserve">vs BRVM Composite: </w:t>
      </w:r>
      <w:r>
        <w:rPr>
          <w:b/>
          <w:color w:val="C00000"/>
        </w:rPr>
        <w:t>-14.01%  🔴 Sous-performance</w:t>
      </w:r>
      <w:r>
        <w:br/>
      </w:r>
      <w:r>
        <w:rPr>
          <w:b/>
        </w:rPr>
        <w:t xml:space="preserve">Sentiment général: </w:t>
      </w:r>
      <w:r>
        <w:t xml:space="preserve">ACHAT  |  </w:t>
      </w:r>
      <w:r>
        <w:rPr>
          <w:b/>
        </w:rPr>
        <w:t xml:space="preserve">Risque moyen: </w:t>
      </w:r>
      <w:r>
        <w:t xml:space="preserve">Moyen  |  </w:t>
      </w:r>
      <w:r>
        <w:rPr>
          <w:b/>
        </w:rPr>
        <w:t xml:space="preserve">Prix moyen: </w:t>
      </w:r>
      <w:r>
        <w:t>2924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1.82%</w:t>
      </w:r>
      <w:r>
        <w:t xml:space="preserve">  |  </w:t>
      </w:r>
      <w:r>
        <w:rPr>
          <w:b/>
        </w:rPr>
        <w:t xml:space="preserve">vs BRVM Composite: </w:t>
      </w:r>
      <w:r>
        <w:rPr>
          <w:b/>
          <w:color w:val="C00000"/>
        </w:rPr>
        <w:t>-27.48%  🔴 Sous-performance</w:t>
      </w:r>
      <w:r>
        <w:br/>
      </w:r>
      <w:r>
        <w:rPr>
          <w:b/>
        </w:rPr>
        <w:t xml:space="preserve">Sentiment général: </w:t>
      </w:r>
      <w:r>
        <w:t xml:space="preserve">ACHAT  |  </w:t>
      </w:r>
      <w:r>
        <w:rPr>
          <w:b/>
        </w:rPr>
        <w:t xml:space="preserve">Risque moyen: </w:t>
      </w:r>
      <w:r>
        <w:t xml:space="preserve">Moyen  |  </w:t>
      </w:r>
      <w:r>
        <w:rPr>
          <w:b/>
        </w:rPr>
        <w:t xml:space="preserve">Prix moyen: </w:t>
      </w:r>
      <w:r>
        <w:t>2523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LNBB, NSBC, ONTBF, SAFC, SCRC, SGBC, SICC, SPHC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BNBC, BOAC, BOAM, BOAS, ETIT, FTSC, NTLC, PRSC, SIBC, SLBC, STBC, TTLC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 BOABF, BOAN, CABC, CBIBF, CFAC, CIEC, ECOC, ORAC, ORGT, PALC, SDCC, SDSC, SEMC, SHEC, SIVC, SMBC, SNTS, SOGC, STAC, TTLS, UNLC, UNXC</w:t>
            </w:r>
          </w:p>
        </w:tc>
        <w:tc>
          <w:tcPr>
            <w:tcW w:type="dxa" w:w="2160"/>
            <w:shd w:fill="FFC7CE" w:val="clear"/>
          </w:tcPr>
          <w:p>
            <w:pPr>
              <w:spacing w:before="40" w:after="40"/>
            </w:pPr>
            <w:r/>
            <w:r>
              <w:rPr>
                <w:b w:val="0"/>
                <w:sz w:val="16"/>
              </w:rPr>
              <w:t>NEIC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1780327</w:t>
            </w:r>
          </w:p>
        </w:tc>
        <w:tc>
          <w:tcPr>
            <w:tcW w:type="dxa" w:w="1728"/>
          </w:tcPr>
          <w:p>
            <w:r>
              <w:t>119629251 FCFA</w:t>
            </w:r>
          </w:p>
        </w:tc>
        <w:tc>
          <w:tcPr>
            <w:tcW w:type="dxa" w:w="1728"/>
          </w:tcPr>
          <w:p>
            <w:r>
              <w:t>106.25%</w:t>
            </w:r>
          </w:p>
        </w:tc>
        <w:tc>
          <w:tcPr>
            <w:tcW w:type="dxa" w:w="1728"/>
          </w:tcPr>
          <w:p>
            <w:r>
              <w:t>ACHAT</w:t>
            </w:r>
          </w:p>
        </w:tc>
      </w:tr>
      <w:tr>
        <w:tc>
          <w:tcPr>
            <w:tcW w:type="dxa" w:w="1728"/>
          </w:tcPr>
          <w:p>
            <w:r>
              <w:t>BICB (BIIC BN - Banque internationale pour le commerce du benin)</w:t>
            </w:r>
          </w:p>
        </w:tc>
        <w:tc>
          <w:tcPr>
            <w:tcW w:type="dxa" w:w="1728"/>
          </w:tcPr>
          <w:p>
            <w:r>
              <w:t>19437</w:t>
            </w:r>
          </w:p>
        </w:tc>
        <w:tc>
          <w:tcPr>
            <w:tcW w:type="dxa" w:w="1728"/>
          </w:tcPr>
          <w:p>
            <w:r>
              <w:t>155466885 FCFA</w:t>
            </w:r>
          </w:p>
        </w:tc>
        <w:tc>
          <w:tcPr>
            <w:tcW w:type="dxa" w:w="1728"/>
          </w:tcPr>
          <w:p>
            <w:r>
              <w:t>64.71%</w:t>
            </w:r>
          </w:p>
        </w:tc>
        <w:tc>
          <w:tcPr>
            <w:tcW w:type="dxa" w:w="1728"/>
          </w:tcPr>
          <w:p>
            <w:r>
              <w:t>ACHAT</w:t>
            </w:r>
          </w:p>
        </w:tc>
      </w:tr>
      <w:tr>
        <w:tc>
          <w:tcPr>
            <w:tcW w:type="dxa" w:w="1728"/>
          </w:tcPr>
          <w:p>
            <w:r>
              <w:t>SDSC (SDSC - AFRICA GLOBAL LOGISTICS CI)</w:t>
            </w:r>
          </w:p>
        </w:tc>
        <w:tc>
          <w:tcPr>
            <w:tcW w:type="dxa" w:w="1728"/>
          </w:tcPr>
          <w:p>
            <w:r>
              <w:t>16118</w:t>
            </w:r>
          </w:p>
        </w:tc>
        <w:tc>
          <w:tcPr>
            <w:tcW w:type="dxa" w:w="1728"/>
          </w:tcPr>
          <w:p>
            <w:r>
              <w:t>41349808 FCFA</w:t>
            </w:r>
          </w:p>
        </w:tc>
        <w:tc>
          <w:tcPr>
            <w:tcW w:type="dxa" w:w="1728"/>
          </w:tcPr>
          <w:p>
            <w:r>
              <w:t>38.83%</w:t>
            </w:r>
          </w:p>
        </w:tc>
        <w:tc>
          <w:tcPr>
            <w:tcW w:type="dxa" w:w="1728"/>
          </w:tcPr>
          <w:p>
            <w:r>
              <w:t>ACHAT</w:t>
            </w:r>
          </w:p>
        </w:tc>
      </w:tr>
      <w:tr>
        <w:tc>
          <w:tcPr>
            <w:tcW w:type="dxa" w:w="1728"/>
          </w:tcPr>
          <w:p>
            <w:r>
              <w:t>UNXC (UNXC - UNIWAX COTE D'IVOIRE)</w:t>
            </w:r>
          </w:p>
        </w:tc>
        <w:tc>
          <w:tcPr>
            <w:tcW w:type="dxa" w:w="1728"/>
          </w:tcPr>
          <w:p>
            <w:r>
              <w:t>12635</w:t>
            </w:r>
          </w:p>
        </w:tc>
        <w:tc>
          <w:tcPr>
            <w:tcW w:type="dxa" w:w="1728"/>
          </w:tcPr>
          <w:p>
            <w:r>
              <w:t>25999165 FCFA</w:t>
            </w:r>
          </w:p>
        </w:tc>
        <w:tc>
          <w:tcPr>
            <w:tcW w:type="dxa" w:w="1728"/>
          </w:tcPr>
          <w:p>
            <w:r>
              <w:t>19.61%</w:t>
            </w:r>
          </w:p>
        </w:tc>
        <w:tc>
          <w:tcPr>
            <w:tcW w:type="dxa" w:w="1728"/>
          </w:tcPr>
          <w:p>
            <w:r>
              <w:t>ACHAT</w:t>
            </w:r>
          </w:p>
        </w:tc>
      </w:tr>
      <w:tr>
        <w:tc>
          <w:tcPr>
            <w:tcW w:type="dxa" w:w="1728"/>
          </w:tcPr>
          <w:p>
            <w:r>
              <w:t>SNTS (SNTS - SONATEL SN)</w:t>
            </w:r>
          </w:p>
        </w:tc>
        <w:tc>
          <w:tcPr>
            <w:tcW w:type="dxa" w:w="1728"/>
          </w:tcPr>
          <w:p>
            <w:r>
              <w:t>11664</w:t>
            </w:r>
          </w:p>
        </w:tc>
        <w:tc>
          <w:tcPr>
            <w:tcW w:type="dxa" w:w="1728"/>
          </w:tcPr>
          <w:p>
            <w:r>
              <w:t>366141339 FCFA</w:t>
            </w:r>
          </w:p>
        </w:tc>
        <w:tc>
          <w:tcPr>
            <w:tcW w:type="dxa" w:w="1728"/>
          </w:tcPr>
          <w:p>
            <w:r>
              <w:t>21.02%</w:t>
            </w:r>
          </w:p>
        </w:tc>
        <w:tc>
          <w:tcPr>
            <w:tcW w:type="dxa" w:w="1728"/>
          </w:tcPr>
          <w:p>
            <w:r>
              <w:t>ACHAT</w:t>
            </w:r>
          </w:p>
        </w:tc>
      </w:tr>
      <w:tr>
        <w:tc>
          <w:tcPr>
            <w:tcW w:type="dxa" w:w="1728"/>
          </w:tcPr>
          <w:p>
            <w:r>
              <w:t>SOGC (SOGC - Société des caoutchoucs de Grand-Béréby)</w:t>
            </w:r>
          </w:p>
        </w:tc>
        <w:tc>
          <w:tcPr>
            <w:tcW w:type="dxa" w:w="1728"/>
          </w:tcPr>
          <w:p>
            <w:r>
              <w:t>10648</w:t>
            </w:r>
          </w:p>
        </w:tc>
        <w:tc>
          <w:tcPr>
            <w:tcW w:type="dxa" w:w="1728"/>
          </w:tcPr>
          <w:p>
            <w:r>
              <w:t>80263343 FCFA</w:t>
            </w:r>
          </w:p>
        </w:tc>
        <w:tc>
          <w:tcPr>
            <w:tcW w:type="dxa" w:w="1728"/>
          </w:tcPr>
          <w:p>
            <w:r>
              <w:t>2.82%</w:t>
            </w:r>
          </w:p>
        </w:tc>
        <w:tc>
          <w:tcPr>
            <w:tcW w:type="dxa" w:w="1728"/>
          </w:tcPr>
          <w:p>
            <w:r>
              <w:t>ACHAT</w:t>
            </w:r>
          </w:p>
        </w:tc>
      </w:tr>
      <w:tr>
        <w:tc>
          <w:tcPr>
            <w:tcW w:type="dxa" w:w="1728"/>
          </w:tcPr>
          <w:p>
            <w:r>
              <w:t>BOAS (BANK OF AFRICA SENEGAL)</w:t>
            </w:r>
          </w:p>
        </w:tc>
        <w:tc>
          <w:tcPr>
            <w:tcW w:type="dxa" w:w="1728"/>
          </w:tcPr>
          <w:p>
            <w:r>
              <w:t>9367</w:t>
            </w:r>
          </w:p>
        </w:tc>
        <w:tc>
          <w:tcPr>
            <w:tcW w:type="dxa" w:w="1728"/>
          </w:tcPr>
          <w:p>
            <w:r>
              <w:t>72285575 FCFA</w:t>
            </w:r>
          </w:p>
        </w:tc>
        <w:tc>
          <w:tcPr>
            <w:tcW w:type="dxa" w:w="1728"/>
          </w:tcPr>
          <w:p>
            <w:r>
              <w:t>22.14%</w:t>
            </w:r>
          </w:p>
        </w:tc>
        <w:tc>
          <w:tcPr>
            <w:tcW w:type="dxa" w:w="1728"/>
          </w:tcPr>
          <w:p>
            <w:r>
              <w:t>ACHAT</w:t>
            </w:r>
          </w:p>
        </w:tc>
      </w:tr>
      <w:tr>
        <w:tc>
          <w:tcPr>
            <w:tcW w:type="dxa" w:w="1728"/>
          </w:tcPr>
          <w:p>
            <w:r>
              <w:t>BOAC (BANK OF AFRICA COTE D'IVOIRE)</w:t>
            </w:r>
          </w:p>
        </w:tc>
        <w:tc>
          <w:tcPr>
            <w:tcW w:type="dxa" w:w="1728"/>
          </w:tcPr>
          <w:p>
            <w:r>
              <w:t>9220</w:t>
            </w:r>
          </w:p>
        </w:tc>
        <w:tc>
          <w:tcPr>
            <w:tcW w:type="dxa" w:w="1728"/>
          </w:tcPr>
          <w:p>
            <w:r>
              <w:t>108967473 FCFA</w:t>
            </w:r>
          </w:p>
        </w:tc>
        <w:tc>
          <w:tcPr>
            <w:tcW w:type="dxa" w:w="1728"/>
          </w:tcPr>
          <w:p>
            <w:r>
              <w:t>56.47%</w:t>
            </w:r>
          </w:p>
        </w:tc>
        <w:tc>
          <w:tcPr>
            <w:tcW w:type="dxa" w:w="1728"/>
          </w:tcPr>
          <w:p>
            <w:r>
              <w:t>ACHAT</w:t>
            </w:r>
          </w:p>
        </w:tc>
      </w:tr>
      <w:tr>
        <w:tc>
          <w:tcPr>
            <w:tcW w:type="dxa" w:w="1728"/>
          </w:tcPr>
          <w:p>
            <w:r>
              <w:t>SIBC (SIBC - SOCIETE IVOIRIENNE DE BANQUE)</w:t>
            </w:r>
          </w:p>
        </w:tc>
        <w:tc>
          <w:tcPr>
            <w:tcW w:type="dxa" w:w="1728"/>
          </w:tcPr>
          <w:p>
            <w:r>
              <w:t>8491</w:t>
            </w:r>
          </w:p>
        </w:tc>
        <w:tc>
          <w:tcPr>
            <w:tcW w:type="dxa" w:w="1728"/>
          </w:tcPr>
          <w:p>
            <w:r>
              <w:t>77375141 FCFA</w:t>
            </w:r>
          </w:p>
        </w:tc>
        <w:tc>
          <w:tcPr>
            <w:tcW w:type="dxa" w:w="1728"/>
          </w:tcPr>
          <w:p>
            <w:r>
              <w:t>30.00%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3389</w:t>
            </w:r>
          </w:p>
        </w:tc>
        <w:tc>
          <w:tcPr>
            <w:tcW w:type="dxa" w:w="1728"/>
          </w:tcPr>
          <w:p>
            <w:r>
              <w:t>10513252 FCFA</w:t>
            </w:r>
          </w:p>
        </w:tc>
        <w:tc>
          <w:tcPr>
            <w:tcW w:type="dxa" w:w="1728"/>
          </w:tcPr>
          <w:p>
            <w:r>
              <w:t>-0.73%</w:t>
            </w:r>
          </w:p>
        </w:tc>
        <w:tc>
          <w:tcPr>
            <w:tcW w:type="dxa" w:w="1728"/>
          </w:tcPr>
          <w:p>
            <w:r>
              <w:t>ACHAT</w:t>
            </w:r>
          </w:p>
        </w:tc>
      </w:tr>
      <w:tr>
        <w:tc>
          <w:tcPr>
            <w:tcW w:type="dxa" w:w="1728"/>
          </w:tcPr>
          <w:p>
            <w:r>
              <w:t>SIVC (SIVC - ERIUM CI (Ex AIR LIQUIDECI))</w:t>
            </w:r>
          </w:p>
        </w:tc>
        <w:tc>
          <w:tcPr>
            <w:tcW w:type="dxa" w:w="1728"/>
          </w:tcPr>
          <w:p>
            <w:r>
              <w:t>3325</w:t>
            </w:r>
          </w:p>
        </w:tc>
        <w:tc>
          <w:tcPr>
            <w:tcW w:type="dxa" w:w="1728"/>
          </w:tcPr>
          <w:p>
            <w:r>
              <w:t>7487492 FCFA</w:t>
            </w:r>
          </w:p>
        </w:tc>
        <w:tc>
          <w:tcPr>
            <w:tcW w:type="dxa" w:w="1728"/>
          </w:tcPr>
          <w:p>
            <w:r>
              <w:t>-15.00%</w:t>
            </w:r>
          </w:p>
        </w:tc>
        <w:tc>
          <w:tcPr>
            <w:tcW w:type="dxa" w:w="1728"/>
          </w:tcPr>
          <w:p>
            <w:r>
              <w:t>ACHAT</w:t>
            </w:r>
          </w:p>
        </w:tc>
      </w:tr>
      <w:tr>
        <w:tc>
          <w:tcPr>
            <w:tcW w:type="dxa" w:w="1728"/>
          </w:tcPr>
          <w:p>
            <w:r>
              <w:t>TTLS (TTLS - TOTAL ENERGIES MARKETING SENEGAL)</w:t>
            </w:r>
          </w:p>
        </w:tc>
        <w:tc>
          <w:tcPr>
            <w:tcW w:type="dxa" w:w="1728"/>
          </w:tcPr>
          <w:p>
            <w:r>
              <w:t>2705</w:t>
            </w:r>
          </w:p>
        </w:tc>
        <w:tc>
          <w:tcPr>
            <w:tcW w:type="dxa" w:w="1728"/>
          </w:tcPr>
          <w:p>
            <w:r>
              <w:t>9923630 FCFA</w:t>
            </w:r>
          </w:p>
        </w:tc>
        <w:tc>
          <w:tcPr>
            <w:tcW w:type="dxa" w:w="1728"/>
          </w:tcPr>
          <w:p>
            <w:r>
              <w:t>27.90%</w:t>
            </w:r>
          </w:p>
        </w:tc>
        <w:tc>
          <w:tcPr>
            <w:tcW w:type="dxa" w:w="1728"/>
          </w:tcPr>
          <w:p>
            <w:r>
              <w:t>ACHAT</w:t>
            </w:r>
          </w:p>
        </w:tc>
      </w:tr>
      <w:tr>
        <w:tc>
          <w:tcPr>
            <w:tcW w:type="dxa" w:w="1728"/>
          </w:tcPr>
          <w:p>
            <w:r>
              <w:t>CFAC (CFAC - CFAO MOTORS CI)</w:t>
            </w:r>
          </w:p>
        </w:tc>
        <w:tc>
          <w:tcPr>
            <w:tcW w:type="dxa" w:w="1728"/>
          </w:tcPr>
          <w:p>
            <w:r>
              <w:t>2600</w:t>
            </w:r>
          </w:p>
        </w:tc>
        <w:tc>
          <w:tcPr>
            <w:tcW w:type="dxa" w:w="1728"/>
          </w:tcPr>
          <w:p>
            <w:r>
              <w:t>4316465 FCFA</w:t>
            </w:r>
          </w:p>
        </w:tc>
        <w:tc>
          <w:tcPr>
            <w:tcW w:type="dxa" w:w="1728"/>
          </w:tcPr>
          <w:p>
            <w:r>
              <w:t>2.44%</w:t>
            </w:r>
          </w:p>
        </w:tc>
        <w:tc>
          <w:tcPr>
            <w:tcW w:type="dxa" w:w="1728"/>
          </w:tcPr>
          <w:p>
            <w:r>
              <w:t>ACHAT</w:t>
            </w:r>
          </w:p>
        </w:tc>
      </w:tr>
      <w:tr>
        <w:tc>
          <w:tcPr>
            <w:tcW w:type="dxa" w:w="1728"/>
          </w:tcPr>
          <w:p>
            <w:r>
              <w:t>PALC (PALC - PALM COTE D'IVOIRE)</w:t>
            </w:r>
          </w:p>
        </w:tc>
        <w:tc>
          <w:tcPr>
            <w:tcW w:type="dxa" w:w="1728"/>
          </w:tcPr>
          <w:p>
            <w:r>
              <w:t>2592</w:t>
            </w:r>
          </w:p>
        </w:tc>
        <w:tc>
          <w:tcPr>
            <w:tcW w:type="dxa" w:w="1728"/>
          </w:tcPr>
          <w:p>
            <w:r>
              <w:t>23419697 FCFA</w:t>
            </w:r>
          </w:p>
        </w:tc>
        <w:tc>
          <w:tcPr>
            <w:tcW w:type="dxa" w:w="1728"/>
          </w:tcPr>
          <w:p>
            <w:r>
              <w:t>20.50%</w:t>
            </w:r>
          </w:p>
        </w:tc>
        <w:tc>
          <w:tcPr>
            <w:tcW w:type="dxa" w:w="1728"/>
          </w:tcPr>
          <w:p>
            <w:r>
              <w:t>ACHAT</w:t>
            </w:r>
          </w:p>
        </w:tc>
      </w:tr>
      <w:tr>
        <w:tc>
          <w:tcPr>
            <w:tcW w:type="dxa" w:w="1728"/>
          </w:tcPr>
          <w:p>
            <w:r>
              <w:t>CABC (CABC - SICABLE COTE D'IVOIRE)</w:t>
            </w:r>
          </w:p>
        </w:tc>
        <w:tc>
          <w:tcPr>
            <w:tcW w:type="dxa" w:w="1728"/>
          </w:tcPr>
          <w:p>
            <w:r>
              <w:t>2545</w:t>
            </w:r>
          </w:p>
        </w:tc>
        <w:tc>
          <w:tcPr>
            <w:tcW w:type="dxa" w:w="1728"/>
          </w:tcPr>
          <w:p>
            <w:r>
              <w:t>9055919 FCFA</w:t>
            </w:r>
          </w:p>
        </w:tc>
        <w:tc>
          <w:tcPr>
            <w:tcW w:type="dxa" w:w="1728"/>
          </w:tcPr>
          <w:p>
            <w:r>
              <w:t>15.78%</w:t>
            </w:r>
          </w:p>
        </w:tc>
        <w:tc>
          <w:tcPr>
            <w:tcW w:type="dxa" w:w="1728"/>
          </w:tcPr>
          <w:p>
            <w:r>
              <w:t>ACHAT</w:t>
            </w:r>
          </w:p>
        </w:tc>
      </w:tr>
      <w:tr>
        <w:tc>
          <w:tcPr>
            <w:tcW w:type="dxa" w:w="1728"/>
          </w:tcPr>
          <w:p>
            <w:r>
              <w:t>SLBC (SLBC - SOLIBRA COTE D'IVOIRE)</w:t>
            </w:r>
          </w:p>
        </w:tc>
        <w:tc>
          <w:tcPr>
            <w:tcW w:type="dxa" w:w="1728"/>
          </w:tcPr>
          <w:p>
            <w:r>
              <w:t>2301</w:t>
            </w:r>
          </w:p>
        </w:tc>
        <w:tc>
          <w:tcPr>
            <w:tcW w:type="dxa" w:w="1728"/>
          </w:tcPr>
          <w:p>
            <w:r>
              <w:t>88515680 FCFA</w:t>
            </w:r>
          </w:p>
        </w:tc>
        <w:tc>
          <w:tcPr>
            <w:tcW w:type="dxa" w:w="1728"/>
          </w:tcPr>
          <w:p>
            <w:r>
              <w:t>-3.33%</w:t>
            </w:r>
          </w:p>
        </w:tc>
        <w:tc>
          <w:tcPr>
            <w:tcW w:type="dxa" w:w="1728"/>
          </w:tcPr>
          <w:p>
            <w:r>
              <w:t>ACHAT</w:t>
            </w:r>
          </w:p>
        </w:tc>
      </w:tr>
      <w:tr>
        <w:tc>
          <w:tcPr>
            <w:tcW w:type="dxa" w:w="1728"/>
          </w:tcPr>
          <w:p>
            <w:r>
              <w:t>SMBC (SMBC - Société Multinationale de Bitumes COTE D'IVOIRE)</w:t>
            </w:r>
          </w:p>
        </w:tc>
        <w:tc>
          <w:tcPr>
            <w:tcW w:type="dxa" w:w="1728"/>
          </w:tcPr>
          <w:p>
            <w:r>
              <w:t>1921</w:t>
            </w:r>
          </w:p>
        </w:tc>
        <w:tc>
          <w:tcPr>
            <w:tcW w:type="dxa" w:w="1728"/>
          </w:tcPr>
          <w:p>
            <w:r>
              <w:t>30765261 FCFA</w:t>
            </w:r>
          </w:p>
        </w:tc>
        <w:tc>
          <w:tcPr>
            <w:tcW w:type="dxa" w:w="1728"/>
          </w:tcPr>
          <w:p>
            <w:r>
              <w:t>28.09%</w:t>
            </w:r>
          </w:p>
        </w:tc>
        <w:tc>
          <w:tcPr>
            <w:tcW w:type="dxa" w:w="1728"/>
          </w:tcPr>
          <w:p>
            <w:r>
              <w:t>ACHAT</w:t>
            </w:r>
          </w:p>
        </w:tc>
      </w:tr>
      <w:tr>
        <w:tc>
          <w:tcPr>
            <w:tcW w:type="dxa" w:w="1728"/>
          </w:tcPr>
          <w:p>
            <w:r>
              <w:t>NSBC (NSBC - NSIA BANQUE COTE D'IVOIRE)</w:t>
            </w:r>
          </w:p>
        </w:tc>
        <w:tc>
          <w:tcPr>
            <w:tcW w:type="dxa" w:w="1728"/>
          </w:tcPr>
          <w:p>
            <w:r>
              <w:t>1896</w:t>
            </w:r>
          </w:p>
        </w:tc>
        <w:tc>
          <w:tcPr>
            <w:tcW w:type="dxa" w:w="1728"/>
          </w:tcPr>
          <w:p>
            <w:r>
              <w:t>44161185 FCFA</w:t>
            </w:r>
          </w:p>
        </w:tc>
        <w:tc>
          <w:tcPr>
            <w:tcW w:type="dxa" w:w="1728"/>
          </w:tcPr>
          <w:p>
            <w:r>
              <w:t>62.47%</w:t>
            </w:r>
          </w:p>
        </w:tc>
        <w:tc>
          <w:tcPr>
            <w:tcW w:type="dxa" w:w="1728"/>
          </w:tcPr>
          <w:p>
            <w:r>
              <w:t>ACHAT</w:t>
            </w:r>
          </w:p>
        </w:tc>
      </w:tr>
      <w:tr>
        <w:tc>
          <w:tcPr>
            <w:tcW w:type="dxa" w:w="1728"/>
          </w:tcPr>
          <w:p>
            <w:r>
              <w:t>BNBC (BNBC - BERNABE CI)</w:t>
            </w:r>
          </w:p>
        </w:tc>
        <w:tc>
          <w:tcPr>
            <w:tcW w:type="dxa" w:w="1728"/>
          </w:tcPr>
          <w:p>
            <w:r>
              <w:t>1730</w:t>
            </w:r>
          </w:p>
        </w:tc>
        <w:tc>
          <w:tcPr>
            <w:tcW w:type="dxa" w:w="1728"/>
          </w:tcPr>
          <w:p>
            <w:r>
              <w:t>3362882 FCFA</w:t>
            </w:r>
          </w:p>
        </w:tc>
        <w:tc>
          <w:tcPr>
            <w:tcW w:type="dxa" w:w="1728"/>
          </w:tcPr>
          <w:p>
            <w:r>
              <w:t>23.60%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 - BANK OF AFRICA BENIN</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ABJC - ABJC - SERVAIR ABIDJAN CI</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3. BOABF - BANK OF AFRICA BURKINA FASO</w:t>
      </w:r>
    </w:p>
    <w:p>
      <w:r>
        <w:rPr>
          <w:b/>
        </w:rPr>
        <w:t xml:space="preserve">Score de divergence: </w:t>
      </w:r>
      <w:r>
        <w:t>5/8</w:t>
        <w:br/>
      </w:r>
      <w:r>
        <w:rPr>
          <w:b/>
        </w:rPr>
        <w:t xml:space="preserve">Description: </w:t>
      </w:r>
      <w:r>
        <w:t>Signaux d'achat: MM | Signaux de vente: Bollinger, MACD, Stochastique | Recommandation finale: ACHAT</w:t>
        <w:br/>
      </w:r>
    </w:p>
    <w:p/>
    <w:p>
      <w:pPr>
        <w:pStyle w:val="Heading3"/>
      </w:pPr>
      <w:r>
        <w:t>4. CBIBF - CBIBF - CORIS BANK INTERNATIONAL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5.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6. ECOC - ECOC - ECOBANK COTE D'IVOIRE</w:t>
      </w:r>
    </w:p>
    <w:p>
      <w:r>
        <w:rPr>
          <w:b/>
        </w:rPr>
        <w:t xml:space="preserve">Score de divergence: </w:t>
      </w:r>
      <w:r>
        <w:t>5/8</w:t>
        <w:br/>
      </w:r>
      <w:r>
        <w:rPr>
          <w:b/>
        </w:rPr>
        <w:t xml:space="preserve">Description: </w:t>
      </w:r>
      <w:r>
        <w:t>Signaux d'achat: MACD | Signaux de vente: MM, Bollinger, Stochastique | Recommandation finale: ACHAT FORT</w:t>
        <w:br/>
      </w:r>
    </w:p>
    <w:p/>
    <w:p>
      <w:pPr>
        <w:pStyle w:val="Heading3"/>
      </w:pPr>
      <w:r>
        <w:t>7. ORGT - ORGT - ORAGROUP TOGO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8. SMBC - SMBC - Société Multinationale de Bitumes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9. TTLS - TTLS - TOTAL ENERGIES MARKETING SENEGAL</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10. BOAN - BANK OF AFRICA NIGER</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19</w:t>
            </w:r>
          </w:p>
        </w:tc>
        <w:tc>
          <w:tcPr>
            <w:tcW w:type="dxa" w:w="2160"/>
          </w:tcPr>
          <w:p>
            <w:r>
              <w:t>0</w:t>
            </w:r>
          </w:p>
        </w:tc>
      </w:tr>
      <w:tr>
        <w:tc>
          <w:tcPr>
            <w:tcW w:type="dxa" w:w="2160"/>
          </w:tcPr>
          <w:p>
            <w:r>
              <w:t>Risque Moyen</w:t>
            </w:r>
          </w:p>
        </w:tc>
        <w:tc>
          <w:tcPr>
            <w:tcW w:type="dxa" w:w="2160"/>
          </w:tcPr>
          <w:p>
            <w:r>
              <w:t>0</w:t>
            </w:r>
          </w:p>
        </w:tc>
        <w:tc>
          <w:tcPr>
            <w:tcW w:type="dxa" w:w="2160"/>
          </w:tcPr>
          <w:p>
            <w:r>
              <w:t>28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TTLC (TTLC - TOTAL ENERGIES MARKETING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FTSC (FTSC - FILTISAC COTE D'IVOIRE)</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SHEC (SHEC - VIVO ENERGY COTE D'IVOIRE)</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STBC (STBC - SITAB COTE D'IVOIRE)</w:t>
      </w:r>
    </w:p>
    <w:p>
      <w:pPr>
        <w:pStyle w:val="ListBullet"/>
      </w:pPr>
      <w:r>
        <w:t>• TTLS (TTLS - TOTAL ENERGIES MARKETING SENEGAL)</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L'indice MXV des matières premières approche les 2 900 points, signalant une dynamique haussière sur les marchés internationaux. Parallèlement, les Émirats arabes unis rejoignent une "guerre économique totale" contre l'Iran, ajoutant une tension supplémentaire sur les échanges mondiaux. Enfin, les États-Unis annoncent des sanctions contre la Cour pénale internationale, créant un climat d'incertitude géopolitique.</w:t>
      </w:r>
    </w:p>
    <w:p>
      <w:pPr>
        <w:pStyle w:val="Heading3"/>
      </w:pPr>
      <w:r>
        <w:rPr>
          <w:color w:val="500050"/>
        </w:rPr>
        <w:t>⚡ Impact estimé sur la BRVM</w:t>
      </w:r>
    </w:p>
    <w:p>
      <w:pPr>
        <w:spacing w:before="20" w:after="40"/>
        <w:ind w:left="280"/>
      </w:pPr>
      <w:r>
        <w:rPr>
          <w:i/>
          <w:sz w:val="18"/>
        </w:rPr>
        <w:t>La hausse des matières premières est favorable aux valeurs énergétiques comme **TTLC** et **SHEC**, qui bénéficient de prix plus élevés. En revanche, les tensions commerciales au Moyen-Orient pourraient renforcer la volatilité et inciter les investisseurs à se tourner vers des actifs refuges, au détriment des marchés émergents comme la BRVM.</w:t>
      </w:r>
    </w:p>
    <w:p>
      <w:pPr>
        <w:pStyle w:val="Heading2"/>
      </w:pPr>
      <w:r>
        <w:rPr>
          <w:color w:val="006E32"/>
        </w:rPr>
        <w:t>🌍 Plan Africain</w:t>
      </w:r>
    </w:p>
    <w:p>
      <w:pPr>
        <w:spacing w:before="20" w:after="40"/>
        <w:ind w:left="0"/>
      </w:pPr>
      <w:r>
        <w:rPr>
          <w:sz w:val="18"/>
        </w:rPr>
        <w:t>Les secteurs porteurs en Afrique identifiés par Bpifrance incluent les infrastructures, l'agro-industrie et les énergies renouvelables. Par ailleurs, l'investissement dans l'économie des soins est présenté comme un levier de croissance stratégique, notamment au Sénégal. Enfin, Senelec a émis 108 milliards de FCFA de dette verte à la Bourse de Luxembourg.</w:t>
      </w:r>
    </w:p>
    <w:p>
      <w:pPr>
        <w:pStyle w:val="Heading3"/>
      </w:pPr>
      <w:r>
        <w:rPr>
          <w:color w:val="500050"/>
        </w:rPr>
        <w:t>⚡ Impact estimé sur la BRVM</w:t>
      </w:r>
    </w:p>
    <w:p>
      <w:pPr>
        <w:spacing w:before="20" w:after="40"/>
        <w:ind w:left="280"/>
      </w:pPr>
      <w:r>
        <w:rPr>
          <w:i/>
          <w:sz w:val="18"/>
        </w:rPr>
        <w:t>Les secteurs mis en avant par Bpifrance correspondent à des domaines où opèrent des sociétés cotées comme **PALC** (agro-industrie) et **CIEC** (services publics). L'émission de dette verte par Senelec pourrait inspirer des opérations similaires pour les entreprises de la zone, renforçant l'attractivité du marché obligataire régional.</w:t>
      </w:r>
    </w:p>
    <w:p>
      <w:pPr>
        <w:pStyle w:val="Heading2"/>
      </w:pPr>
      <w:r>
        <w:rPr>
          <w:color w:val="145A28"/>
        </w:rPr>
        <w:t>🌍 Plan Afrique de l'Ouest</w:t>
      </w:r>
    </w:p>
    <w:p>
      <w:pPr>
        <w:spacing w:before="20" w:after="40"/>
        <w:ind w:left="0"/>
      </w:pPr>
      <w:r>
        <w:rPr>
          <w:sz w:val="18"/>
        </w:rPr>
        <w:t>La CEDEAO lance une initiative pour harmoniser les statistiques migratoires dans ses États membres. Parallèlement, la Russie et la CEDEAO annoncent la signature prochaine d'un mémorandum de coopération, renforçant les liens diplomatiques et économiques de la sous-région.</w:t>
      </w:r>
    </w:p>
    <w:p>
      <w:pPr>
        <w:pStyle w:val="Heading3"/>
      </w:pPr>
      <w:r>
        <w:rPr>
          <w:color w:val="500050"/>
        </w:rPr>
        <w:t>⚡ Impact estimé sur la BRVM</w:t>
      </w:r>
    </w:p>
    <w:p>
      <w:pPr>
        <w:spacing w:before="20" w:after="40"/>
        <w:ind w:left="280"/>
      </w:pPr>
      <w:r>
        <w:rPr>
          <w:i/>
          <w:sz w:val="18"/>
        </w:rPr>
        <w:t>La coopération Russie-CEDEAO pourrait ouvrir de nouvelles opportunités commerciales pour les entreprises cotées opérant en Afrique de l'Ouest, notamment dans les secteurs des infrastructures et de l'énergie. Les sociétés comme **FTSC** (industriels) pourraient bénéficier de nouveaux contrats.</w:t>
      </w:r>
    </w:p>
    <w:p>
      <w:pPr>
        <w:pStyle w:val="Heading2"/>
      </w:pPr>
      <w:r>
        <w:rPr>
          <w:color w:val="8C4600"/>
        </w:rPr>
        <w:t>🏦 Plan UEMOA / Zone Franc</w:t>
      </w:r>
    </w:p>
    <w:p>
      <w:pPr>
        <w:spacing w:before="20" w:after="40"/>
        <w:ind w:left="0"/>
      </w:pPr>
      <w:r>
        <w:rPr>
          <w:sz w:val="18"/>
        </w:rPr>
        <w:t>Le gouvernement sénégalais saisit le Conseil constitutionnel sur les crédits spéciaux, une procédure de clarification budgétaire. Par ailleurs, le retour de l'ancien président Macky Sall crée une controverse politique au Sénégal, pays membre de l'UEMOA.</w:t>
      </w:r>
    </w:p>
    <w:p>
      <w:pPr>
        <w:pStyle w:val="Heading3"/>
      </w:pPr>
      <w:r>
        <w:rPr>
          <w:color w:val="500050"/>
        </w:rPr>
        <w:t>⚡ Impact estimé sur la BRVM</w:t>
      </w:r>
    </w:p>
    <w:p>
      <w:pPr>
        <w:spacing w:before="20" w:after="40"/>
        <w:ind w:left="280"/>
      </w:pPr>
      <w:r>
        <w:rPr>
          <w:i/>
          <w:sz w:val="18"/>
        </w:rPr>
        <w:t>La controverse politique au Sénégal pourrait créer une certaine prudence chez les investisseurs, notamment pour les valeurs sénégalaises comme **BNBC** et **BOAS**. Toutefois, la procédure constitutionnelle sur les crédits spéciaux montre un respect des institutions, ce qui est rassurant pour la stabilité macroéconomique de la zone.</w:t>
      </w:r>
    </w:p>
    <w:p>
      <w:pPr>
        <w:pStyle w:val="Heading2"/>
      </w:pPr>
      <w:r>
        <w:rPr>
          <w:color w:val="003366"/>
        </w:rPr>
        <w:t>📈 Plan BRVM</w:t>
      </w:r>
    </w:p>
    <w:p>
      <w:pPr>
        <w:spacing w:before="20" w:after="40"/>
        <w:ind w:left="0"/>
      </w:pPr>
      <w:r>
        <w:rPr>
          <w:sz w:val="18"/>
        </w:rPr>
        <w:t>Les résultats encourageants des sociétés cotées ivoiriennes à la BRVM ont été mis en avant par La Tribune, signalant une dynamique positive pour le marché régional.</w:t>
      </w:r>
    </w:p>
    <w:p>
      <w:pPr>
        <w:pStyle w:val="Heading3"/>
      </w:pPr>
      <w:r>
        <w:rPr>
          <w:color w:val="500050"/>
        </w:rPr>
        <w:t>⚡ Impact estimé sur la BRVM</w:t>
      </w:r>
    </w:p>
    <w:p>
      <w:pPr>
        <w:spacing w:before="20" w:after="40"/>
        <w:ind w:left="280"/>
      </w:pPr>
      <w:r>
        <w:rPr>
          <w:i/>
          <w:sz w:val="18"/>
        </w:rPr>
        <w:t>Cette dynamique positive pourrait soutenir les valeurs bancaires comme **SGBC**, **BICB** et **BOAM**, qui bénéficient de la solidité économique ivoirienne. Les investisseurs pourraient également s'intéresser aux valeurs de consommation comme **LNBB** et **UNXC**, portées par la croissance régionale.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Émirats arabes unis rejoignent la "guerre économique totale" contre l'Iran, intensifiant les tensions au Moyen-Orient. Parallèlement, les États-Unis déclarent la guerre à la Cour pénale internationale, fragilisant la coopération multilatérale.</w:t>
      </w:r>
    </w:p>
    <w:p>
      <w:pPr>
        <w:pStyle w:val="Heading3"/>
      </w:pPr>
      <w:r>
        <w:rPr>
          <w:color w:val="500050"/>
        </w:rPr>
        <w:t>⚡ Impact estimé sur la BRVM</w:t>
      </w:r>
    </w:p>
    <w:p>
      <w:pPr>
        <w:spacing w:before="20" w:after="40"/>
        <w:ind w:left="280"/>
      </w:pPr>
      <w:r>
        <w:rPr>
          <w:i/>
          <w:sz w:val="18"/>
        </w:rPr>
        <w:t>Les tensions géopolitiques mondiales pourraient accroître l'aversion au risque des investisseurs internationaux, réduisant les flux de capitaux vers les marchés émergents comme la BRVM. Les valeurs les plus liquides comme **ONTBF** et **BOAC** pourraient être les plus affectées.</w:t>
      </w:r>
    </w:p>
    <w:p>
      <w:pPr>
        <w:pStyle w:val="Heading2"/>
      </w:pPr>
      <w:r>
        <w:rPr>
          <w:color w:val="006E32"/>
        </w:rPr>
        <w:t>🌍 Plan Africain</w:t>
      </w:r>
    </w:p>
    <w:p>
      <w:pPr>
        <w:spacing w:before="20" w:after="40"/>
        <w:ind w:left="0"/>
      </w:pPr>
      <w:r>
        <w:rPr>
          <w:sz w:val="18"/>
        </w:rPr>
        <w:t>La médiation marocaine dans la grâce présidentielle de l'agent français Yann Vézilier au Mali illustre le rôle diplomatique croissant du Maroc en Afrique de l'Ouest.</w:t>
      </w:r>
    </w:p>
    <w:p>
      <w:pPr>
        <w:pStyle w:val="Heading3"/>
      </w:pPr>
      <w:r>
        <w:rPr>
          <w:color w:val="500050"/>
        </w:rPr>
        <w:t>⚡ Impact estimé sur la BRVM</w:t>
      </w:r>
    </w:p>
    <w:p>
      <w:pPr>
        <w:spacing w:before="20" w:after="40"/>
        <w:ind w:left="280"/>
      </w:pPr>
      <w:r>
        <w:rPr>
          <w:i/>
          <w:sz w:val="18"/>
        </w:rPr>
        <w:t>Cette stabilité diplomatique régionale est positive pour la confiance des investisseurs. Les sociétés ayant des activités transfrontalières comme **CFAC** et **SOGC** pourraient bénéficier d'un climat politique apaisé.</w:t>
      </w:r>
    </w:p>
    <w:p>
      <w:pPr>
        <w:pStyle w:val="Heading2"/>
      </w:pPr>
      <w:r>
        <w:rPr>
          <w:color w:val="145A28"/>
        </w:rPr>
        <w:t>🌍 Plan Afrique de l'Ouest</w:t>
      </w:r>
    </w:p>
    <w:p>
      <w:pPr>
        <w:spacing w:before="20" w:after="40"/>
        <w:ind w:left="0"/>
      </w:pPr>
      <w:r>
        <w:rPr>
          <w:sz w:val="18"/>
        </w:rPr>
        <w:t>La CEDEAO s'engage vers des statistiques migratoires plus fiables, renforçant la gouvernance régionale. La coopération avec la Russie annonce également un renforcement des relations économiques.</w:t>
      </w:r>
    </w:p>
    <w:p>
      <w:pPr>
        <w:pStyle w:val="Heading3"/>
      </w:pPr>
      <w:r>
        <w:rPr>
          <w:color w:val="500050"/>
        </w:rPr>
        <w:t>⚡ Impact estimé sur la BRVM</w:t>
      </w:r>
    </w:p>
    <w:p>
      <w:pPr>
        <w:spacing w:before="20" w:after="40"/>
        <w:ind w:left="280"/>
      </w:pPr>
      <w:r>
        <w:rPr>
          <w:i/>
          <w:sz w:val="18"/>
        </w:rPr>
        <w:t>La stabilité institutionnelle de la CEDEAO est un facteur positif pour les entreprises cotées opérant dans la sous-région. Les valeurs comme **ETIT** et **NTLC** pourraient profiter d'un environnement politique plus prévisible.</w:t>
      </w:r>
    </w:p>
    <w:p>
      <w:pPr>
        <w:pStyle w:val="Heading2"/>
      </w:pPr>
      <w:r>
        <w:rPr>
          <w:color w:val="8C4600"/>
        </w:rPr>
        <w:t>🏦 Plan UEMOA / Zone Franc</w:t>
      </w:r>
    </w:p>
    <w:p>
      <w:pPr>
        <w:spacing w:before="20" w:after="40"/>
        <w:ind w:left="0"/>
      </w:pPr>
      <w:r>
        <w:rPr>
          <w:sz w:val="18"/>
        </w:rPr>
        <w:t>La controverse autour du retour de Macky Sall au Sénégal et la saisine du Conseil constitutionnel sur les crédits spéciaux créent une incertitude politique modérée dans la zone.</w:t>
      </w:r>
    </w:p>
    <w:p>
      <w:pPr>
        <w:pStyle w:val="Heading3"/>
      </w:pPr>
      <w:r>
        <w:rPr>
          <w:color w:val="500050"/>
        </w:rPr>
        <w:t>⚡ Impact estimé sur la BRVM</w:t>
      </w:r>
    </w:p>
    <w:p>
      <w:pPr>
        <w:spacing w:before="20" w:after="40"/>
        <w:ind w:left="280"/>
      </w:pPr>
      <w:r>
        <w:rPr>
          <w:i/>
          <w:sz w:val="18"/>
        </w:rPr>
        <w:t>Les tensions politiques au Sénégal pourraient peser sur les valeurs sénégalaises comme **BNBC** et **BOAS**. Toutefois, la procédure constitutionnelle démontre le respect de l'État de droit, limitant l'impact négatif sur le marché.</w:t>
      </w:r>
    </w:p>
    <w:p>
      <w:pPr>
        <w:pStyle w:val="Heading2"/>
      </w:pPr>
      <w:r>
        <w:rPr>
          <w:color w:val="003366"/>
        </w:rPr>
        <w:t>📈 Plan BRVM</w:t>
      </w:r>
    </w:p>
    <w:p>
      <w:pPr>
        <w:spacing w:before="20" w:after="40"/>
        <w:ind w:left="0"/>
      </w:pPr>
      <w:r>
        <w:rPr>
          <w:sz w:val="18"/>
        </w:rPr>
        <w:t>Données insuffisantes pour cette section.</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hausse de l'indice MXV des matières premières approchant les 2 900 points signale une dynamique haussière, tandis que les tensions géopolitiques persistent.</w:t>
      </w:r>
    </w:p>
    <w:p>
      <w:pPr>
        <w:pStyle w:val="Heading3"/>
      </w:pPr>
      <w:r>
        <w:rPr>
          <w:color w:val="500050"/>
        </w:rPr>
        <w:t>⚡ Impact estimé sur la BRVM</w:t>
      </w:r>
    </w:p>
    <w:p>
      <w:pPr>
        <w:spacing w:before="20" w:after="40"/>
        <w:ind w:left="280"/>
      </w:pPr>
      <w:r>
        <w:rPr>
          <w:i/>
          <w:sz w:val="18"/>
        </w:rPr>
        <w:t>La hausse des matières premières est favorable aux valeurs énergétiques **TTLC** et **SHEC**. En revanche, l'incertitude mondiale pourrait inciter les investisseurs à la prudence, limitant les entrées de capitaux sur la BRVM.</w:t>
      </w:r>
    </w:p>
    <w:p>
      <w:pPr>
        <w:pStyle w:val="Heading2"/>
      </w:pPr>
      <w:r>
        <w:rPr>
          <w:color w:val="006E32"/>
        </w:rPr>
        <w:t>🌍 Plan Africain</w:t>
      </w:r>
    </w:p>
    <w:p>
      <w:pPr>
        <w:spacing w:before="20" w:after="40"/>
        <w:ind w:left="0"/>
      </w:pPr>
      <w:r>
        <w:rPr>
          <w:sz w:val="18"/>
        </w:rPr>
        <w:t>L'émission de dette verte de Senelec à la Bourse de Luxembourg démontre l'intérêt des investisseurs internationaux pour les obligations africaines.</w:t>
      </w:r>
    </w:p>
    <w:p>
      <w:pPr>
        <w:pStyle w:val="Heading3"/>
      </w:pPr>
      <w:r>
        <w:rPr>
          <w:color w:val="500050"/>
        </w:rPr>
        <w:t>⚡ Impact estimé sur la BRVM</w:t>
      </w:r>
    </w:p>
    <w:p>
      <w:pPr>
        <w:spacing w:before="20" w:after="40"/>
        <w:ind w:left="280"/>
      </w:pPr>
      <w:r>
        <w:rPr>
          <w:i/>
          <w:sz w:val="18"/>
        </w:rPr>
        <w:t>Cette opération pourrait renforcer l'attractivité du marché obligataire régional, au détriment potentiel du marché actions. Les banques comme **BOAM** et **BOAC** pourraient toutefois bénéficier d'une activité accrue sur le marché des titres.</w:t>
      </w:r>
    </w:p>
    <w:p>
      <w:pPr>
        <w:pStyle w:val="Heading2"/>
      </w:pPr>
      <w:r>
        <w:rPr>
          <w:color w:val="145A28"/>
        </w:rPr>
        <w:t>🌍 Plan Afrique de l'Ouest</w:t>
      </w:r>
    </w:p>
    <w:p>
      <w:pPr>
        <w:spacing w:before="20" w:after="40"/>
        <w:ind w:left="0"/>
      </w:pPr>
      <w:r>
        <w:rPr>
          <w:sz w:val="18"/>
        </w:rPr>
        <w:t>Données insuffisantes pour cette section.</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 pour cette section.</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s'établit à 519.59 points, avec des résultats encourageants pour les sociétés ivoiriennes.</w:t>
      </w:r>
    </w:p>
    <w:p>
      <w:pPr>
        <w:pStyle w:val="Heading3"/>
      </w:pPr>
      <w:r>
        <w:rPr>
          <w:color w:val="500050"/>
        </w:rPr>
        <w:t>⚡ Impact estimé sur la BRVM</w:t>
      </w:r>
    </w:p>
    <w:p>
      <w:pPr>
        <w:spacing w:before="20" w:after="40"/>
        <w:ind w:left="280"/>
      </w:pPr>
      <w:r>
        <w:rPr>
          <w:i/>
          <w:sz w:val="18"/>
        </w:rPr>
        <w:t>Les valeurs ivoiriennes comme **SGBC**, **BICB** et **PALC** présentent des perspectives positives. Les investisseurs pourraient également s'intéresser à **SIVC** et **SLBC** pour diversifier leurs portefeuilles. En revanche, les valeurs sénégalaises comme **BNBC** pourraient être sous pression en raison de l'incertitude politique.</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marché BRVM évolue dans un contexte de tensions géopolitiques mondiales et de hausse des matières premières, avec des résultats encourageants pour les sociétés ivoiriennes. Les incertitudes politiques au Sénégal créent une prudence modérée, mais la stabilité institutionnelle de la CEDEAO et les perspectives de coopération avec la Russie offrent des opportunités. Recommandation : privilégier les valeurs ivoiriennes solides comme **SGBC**, **BICB** et **PALC**, tout en surveillant les développements politiques sénégalais avant d'investir dans **BNBC** ou **BOAS**.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 Il faut s'y attendre et s'y préparer » : une correction boursière su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2026-08-18</w:t>
            </w:r>
          </w:p>
        </w:tc>
        <w:tc>
          <w:tcPr>
            <w:tcW w:type="dxa" w:w="1728"/>
          </w:tcPr>
          <w:p>
            <w:r>
              <w:rPr>
                <w:sz w:val="14"/>
              </w:rPr>
              <w:t>Wall Street veut mettre la Bourse sur la blockchain - Zonebourse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2026-08-18</w:t>
            </w:r>
          </w:p>
        </w:tc>
        <w:tc>
          <w:tcPr>
            <w:tcW w:type="dxa" w:w="1728"/>
          </w:tcPr>
          <w:p>
            <w:r>
              <w:rPr>
                <w:sz w:val="14"/>
              </w:rPr>
              <w:t>Les prix des matières premières de mardi - KOHA.net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Renforcement de la production des données migratoires en Afrique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Russie-CEDEAO : après les ruptures au Sahel, avec qui l’Afrique de l’O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2026-08-17</w:t>
            </w:r>
          </w:p>
        </w:tc>
        <w:tc>
          <w:tcPr>
            <w:tcW w:type="dxa" w:w="1728"/>
          </w:tcPr>
          <w:p>
            <w:r>
              <w:rPr>
                <w:sz w:val="14"/>
              </w:rPr>
              <w:t>Fibre optique : quatre pays ouest-africains dominent le haut débit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2026-08-18</w:t>
            </w:r>
          </w:p>
        </w:tc>
        <w:tc>
          <w:tcPr>
            <w:tcW w:type="dxa" w:w="1728"/>
          </w:tcPr>
          <w:p>
            <w:r>
              <w:rPr>
                <w:sz w:val="14"/>
              </w:rPr>
              <w:t xml:space="preserve">Mali: comment le Maroc a été déterminant dans la grâce présidentielle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VIDÉO. Sénégal: le retour de Macky Sall crée la controverse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Le Sénégal pleinement solidaire des juges de la Cpi visés par des sanc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Au Sénégal, la rivalité entre Diomaye et Sonko vire au “vaudeville ins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BRVM : la flambée de Sonatel de 190 milliards FCFA hisse les indices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2026-08-18</w:t>
            </w:r>
          </w:p>
        </w:tc>
        <w:tc>
          <w:tcPr>
            <w:tcW w:type="dxa" w:w="1728"/>
          </w:tcPr>
          <w:p>
            <w:r>
              <w:rPr>
                <w:sz w:val="14"/>
              </w:rPr>
              <w:t xml:space="preserve">Mali: comment le Maroc a été déterminant dans la grâce présidentielle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VIDÉO. Sénégal: le retour de Macky Sall crée la controverse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Le Sénégal pleinement solidaire des juges de la Cpi visés par des sanc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2026-08-18</w:t>
            </w:r>
          </w:p>
        </w:tc>
        <w:tc>
          <w:tcPr>
            <w:tcW w:type="dxa" w:w="1728"/>
          </w:tcPr>
          <w:p>
            <w:r>
              <w:rPr>
                <w:sz w:val="14"/>
              </w:rPr>
              <w:t xml:space="preserve">Mali: comment le Maroc a été déterminant dans la grâce présidentielle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VIDÉO. Sénégal: le retour de Macky Sall crée la controverse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2026-08-18</w:t>
            </w:r>
          </w:p>
        </w:tc>
        <w:tc>
          <w:tcPr>
            <w:tcW w:type="dxa" w:w="1728"/>
          </w:tcPr>
          <w:p>
            <w:r>
              <w:rPr>
                <w:sz w:val="14"/>
              </w:rPr>
              <w:t xml:space="preserve">Mali: comment le Maroc a été déterminant dans la grâce présidentielle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VIDÉO. Sénégal: le retour de Macky Sall crée la controverse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2026-08-18</w:t>
            </w:r>
          </w:p>
        </w:tc>
        <w:tc>
          <w:tcPr>
            <w:tcW w:type="dxa" w:w="1728"/>
          </w:tcPr>
          <w:p>
            <w:r>
              <w:rPr>
                <w:sz w:val="14"/>
              </w:rPr>
              <w:t xml:space="preserve">Mali: comment le Maroc a été déterminant dans la grâce présidentielle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VIDÉO. Sénégal: le retour de Macky Sall crée la controverse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Le Sénégal pleinement solidaire des juges de la Cpi visés par des sanc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2026-08-18</w:t>
            </w:r>
          </w:p>
        </w:tc>
        <w:tc>
          <w:tcPr>
            <w:tcW w:type="dxa" w:w="1728"/>
          </w:tcPr>
          <w:p>
            <w:r>
              <w:rPr>
                <w:sz w:val="14"/>
              </w:rPr>
              <w:t xml:space="preserve">Mali: comment le Maroc a été déterminant dans la grâce présidentielle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VIDÉO. Sénégal: le retour de Macky Sall crée la controverse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Au Sénégal, la rivalité entre Diomaye et Sonko vire au “vaudeville ins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BRVM : la flambée de Sonatel de 190 milliards FCFA hisse les indices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2026-08-18</w:t>
            </w:r>
          </w:p>
        </w:tc>
        <w:tc>
          <w:tcPr>
            <w:tcW w:type="dxa" w:w="1728"/>
          </w:tcPr>
          <w:p>
            <w:r>
              <w:rPr>
                <w:sz w:val="14"/>
              </w:rPr>
              <w:t xml:space="preserve">Mali: comment le Maroc a été déterminant dans la grâce présidentielle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Au Sénégal, la rivalité entre Diomaye et Sonko vire au “vaudeville ins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2026-08-18</w:t>
            </w:r>
          </w:p>
        </w:tc>
        <w:tc>
          <w:tcPr>
            <w:tcW w:type="dxa" w:w="1728"/>
          </w:tcPr>
          <w:p>
            <w:r>
              <w:rPr>
                <w:sz w:val="14"/>
              </w:rPr>
              <w:t xml:space="preserve">Mali: comment le Maroc a été déterminant dans la grâce présidentielle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Au Sénégal, la rivalité entre Diomaye et Sonko vire au “vaudeville ins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2026-08-18</w:t>
            </w:r>
          </w:p>
        </w:tc>
        <w:tc>
          <w:tcPr>
            <w:tcW w:type="dxa" w:w="1728"/>
          </w:tcPr>
          <w:p>
            <w:r>
              <w:rPr>
                <w:sz w:val="14"/>
              </w:rPr>
              <w:t xml:space="preserve">Mali: comment le Maroc a été déterminant dans la grâce présidentielle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2026-08-18</w:t>
            </w:r>
          </w:p>
        </w:tc>
        <w:tc>
          <w:tcPr>
            <w:tcW w:type="dxa" w:w="1728"/>
          </w:tcPr>
          <w:p>
            <w:r>
              <w:rPr>
                <w:sz w:val="14"/>
              </w:rPr>
              <w:t>VIDÉO. Sénégal: le retour de Macky Sall crée la controverse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Sénégal : Le gouvernement saisit le Conseil constitutionnel sur les cr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Au Sénégal, la rivalité entre Diomaye et Sonko vire au “vaudeville ins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BRVM : la flambée de Sonatel de 190 milliards FCFA hisse les indices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(12 alerte(s))</w:t>
      </w:r>
    </w:p>
    <w:p>
      <w:pPr>
        <w:spacing w:before="40" w:after="40"/>
        <w:ind w:left="360"/>
      </w:pPr>
      <w:r>
        <w:rPr>
          <w:color w:val="646464"/>
          <w:sz w:val="17"/>
        </w:rPr>
        <w:t xml:space="preserve">[20/08/2026] ⚪  </w:t>
      </w:r>
      <w:r>
        <w:rPr>
          <w:b/>
          <w:color w:val="505050"/>
          <w:sz w:val="18"/>
        </w:rPr>
        <w:t>Le Sénégal pleinement solidaire des juges de la Cpi visés par des sanctions américaines - Anadolu Ajansı</w:t>
      </w:r>
      <w:r>
        <w:rPr>
          <w:color w:val="787878"/>
          <w:sz w:val="15"/>
        </w:rPr>
        <w:t xml:space="preserve">  [politique]</w:t>
      </w:r>
      <w:r>
        <w:rPr>
          <w:color w:val="B47800"/>
          <w:sz w:val="16"/>
        </w:rPr>
        <w:t xml:space="preserve">  ★ 50/10</w:t>
      </w:r>
    </w:p>
    <w:p>
      <w:pPr>
        <w:spacing w:before="0" w:after="20"/>
        <w:ind w:left="600"/>
      </w:pPr>
      <w:r>
        <w:rPr>
          <w:color w:val="323232"/>
          <w:sz w:val="17"/>
        </w:rPr>
        <w:t>Le Sénégal a exprimé sa pleine solidarité avec les juges de la Cour pénale internationale (CPI) visés par des sanctions américaines. Cette déclaration intervient dans un contexte de tensions entre les États-Unis et la CPI. Le Sénégal réaffirme ainsi son soutien à la justice internationale et à l'indépendance de la Cour. Cette position pourrait renf</w:t>
      </w:r>
    </w:p>
    <w:p>
      <w:pPr>
        <w:spacing w:before="0" w:after="40"/>
        <w:ind w:left="600"/>
      </w:pPr>
      <w:r>
        <w:rPr>
          <w:color w:val="00643C"/>
          <w:sz w:val="16"/>
        </w:rPr>
        <w:t>Points clés : Le Sénégal soutient pleinement les juges de la CPI face aux sanctions américaines.  •  Cette position réaffirme l'engagement du Sénégal envers la justice internationale.  •  Le contexte est celui de tensions entre les États-Unis et la CPI.</w:t>
      </w:r>
    </w:p>
    <w:p>
      <w:pPr>
        <w:spacing w:before="0" w:after="60"/>
        <w:ind w:left="600"/>
      </w:pPr>
      <w:r>
        <w:rPr>
          <w:color w:val="0064B4"/>
          <w:sz w:val="15"/>
        </w:rPr>
        <w:t>Source : https://news.google.com/rss/articles/CBMi5AFBVV95cUxOOGdWWWs5WHlfNHNnTE5WSXhLb0x</w:t>
      </w:r>
    </w:p>
    <w:p>
      <w:pPr>
        <w:spacing w:before="40" w:after="40"/>
        <w:ind w:left="360"/>
      </w:pPr>
      <w:r>
        <w:rPr>
          <w:color w:val="646464"/>
          <w:sz w:val="17"/>
        </w:rPr>
        <w:t xml:space="preserve">[20/08/2026] ⚪  </w:t>
      </w:r>
      <w:r>
        <w:rPr>
          <w:b/>
          <w:color w:val="505050"/>
          <w:sz w:val="18"/>
        </w:rPr>
        <w:t>Sénégal : Le gouvernement saisit le Conseil constitutionnel sur les crédits spéciaux - koaci.com</w:t>
      </w:r>
      <w:r>
        <w:rPr>
          <w:color w:val="787878"/>
          <w:sz w:val="15"/>
        </w:rPr>
        <w:t xml:space="preserve">  [politique]</w:t>
      </w:r>
      <w:r>
        <w:rPr>
          <w:color w:val="B47800"/>
          <w:sz w:val="16"/>
        </w:rPr>
        <w:t xml:space="preserve">  ★ 50/10</w:t>
      </w:r>
    </w:p>
    <w:p>
      <w:pPr>
        <w:spacing w:before="0" w:after="20"/>
        <w:ind w:left="600"/>
      </w:pPr>
      <w:r>
        <w:rPr>
          <w:color w:val="323232"/>
          <w:sz w:val="17"/>
        </w:rPr>
        <w:t>Le gouvernement sénégalais a saisi le Conseil constitutionnel au sujet des crédits spéciaux, une procédure qui vise à clarifier la constitutionnalité de ces dépenses budgétaires. Cette action s'inscrit dans un contexte de gestion des finances publiques et de transparence, avec des implications potentielles pour la politique budgétaire du pays. La d</w:t>
      </w:r>
    </w:p>
    <w:p>
      <w:pPr>
        <w:spacing w:before="0" w:after="40"/>
        <w:ind w:left="600"/>
      </w:pPr>
      <w:r>
        <w:rPr>
          <w:color w:val="00643C"/>
          <w:sz w:val="16"/>
        </w:rPr>
        <w:t>Points clés : Saisine du Conseil constitutionnel par le gouvernement sénégalais sur les crédits spéciaux.  •  Question de constitutionnalité liée à la gestion budgétaire et à la transparence des dépenses publiques.  •  Décision attendue pourrait affecter la politique budgétaire future du Sénégal.</w:t>
      </w:r>
    </w:p>
    <w:p>
      <w:pPr>
        <w:spacing w:before="0" w:after="60"/>
        <w:ind w:left="600"/>
      </w:pPr>
      <w:r>
        <w:rPr>
          <w:color w:val="0064B4"/>
          <w:sz w:val="15"/>
        </w:rPr>
        <w:t>Source : https://news.google.com/rss/articles/CBMi6AFBVV95cUxPbmFweklfQ040b3dPRzVrdDVIRnp</w:t>
      </w:r>
    </w:p>
    <w:p>
      <w:pPr>
        <w:spacing w:before="40" w:after="40"/>
        <w:ind w:left="360"/>
      </w:pPr>
      <w:r>
        <w:rPr>
          <w:color w:val="646464"/>
          <w:sz w:val="17"/>
        </w:rPr>
        <w:t xml:space="preserve">[20/08/2026] 🔴  </w:t>
      </w:r>
      <w:r>
        <w:rPr>
          <w:b/>
          <w:color w:val="C00000"/>
          <w:sz w:val="18"/>
        </w:rPr>
        <w:t>Au Sénégal, la rivalité entre Diomaye et Sonko vire au “vaudeville institutionnel” - Courrier international</w:t>
      </w:r>
      <w:r>
        <w:rPr>
          <w:color w:val="787878"/>
          <w:sz w:val="15"/>
        </w:rPr>
        <w:t xml:space="preserve">  [politique]</w:t>
      </w:r>
      <w:r>
        <w:rPr>
          <w:color w:val="B47800"/>
          <w:sz w:val="16"/>
        </w:rPr>
        <w:t xml:space="preserve">  ★ 50/10</w:t>
      </w:r>
    </w:p>
    <w:p>
      <w:pPr>
        <w:spacing w:before="0" w:after="20"/>
        <w:ind w:left="600"/>
      </w:pPr>
      <w:r>
        <w:rPr>
          <w:color w:val="323232"/>
          <w:sz w:val="17"/>
        </w:rPr>
        <w:t>Au Sénégal, la rivalité politique entre le président Diomaye Faye et le Premier ministre Ousmane Sonko s'intensifie, créant une situation qualifiée de 'vaudeville institutionnel'. Cette crise politique interne pourrait affecter la stabilité perçue du pays, bien que le Sénégal ne soit pas directement coté à la BRVM. Les tensions entre les deux dirig</w:t>
      </w:r>
    </w:p>
    <w:p>
      <w:pPr>
        <w:spacing w:before="0" w:after="40"/>
        <w:ind w:left="600"/>
      </w:pPr>
      <w:r>
        <w:rPr>
          <w:color w:val="00643C"/>
          <w:sz w:val="16"/>
        </w:rPr>
        <w:t>Points clés : Rivalité politique entre le président et le Premier ministre au Sénégal  •  Risque d'instabilité institutionnelle et de paralysie des réformes  •  Impact indirect sur la confiance des investisseurs dans la zone UEMOA</w:t>
      </w:r>
    </w:p>
    <w:p>
      <w:pPr>
        <w:spacing w:before="0" w:after="60"/>
        <w:ind w:left="600"/>
      </w:pPr>
      <w:r>
        <w:rPr>
          <w:color w:val="0064B4"/>
          <w:sz w:val="15"/>
        </w:rPr>
        <w:t>Source : https://news.google.com/rss/articles/CBMi2gFBVV95cUxPNExSd0lnYy1IU1RMOV9FeGJJdnR</w:t>
      </w:r>
    </w:p>
    <w:p>
      <w:pPr>
        <w:spacing w:before="40" w:after="40"/>
        <w:ind w:left="360"/>
      </w:pPr>
      <w:r>
        <w:rPr>
          <w:color w:val="646464"/>
          <w:sz w:val="17"/>
        </w:rPr>
        <w:t xml:space="preserve">[19/08/2026] 🔴  </w:t>
      </w:r>
      <w:r>
        <w:rPr>
          <w:b/>
          <w:color w:val="C00000"/>
          <w:sz w:val="18"/>
        </w:rPr>
        <w:t>Arrestation de deux réalisateurs français au Togo : Faure Gnassingbé et son chantage de mauvais goût - Afrik</w:t>
      </w:r>
      <w:r>
        <w:rPr>
          <w:color w:val="787878"/>
          <w:sz w:val="15"/>
        </w:rPr>
        <w:t xml:space="preserve">  [politique]</w:t>
      </w:r>
      <w:r>
        <w:rPr>
          <w:color w:val="B47800"/>
          <w:sz w:val="16"/>
        </w:rPr>
        <w:t xml:space="preserve">  ★ 50/10</w:t>
      </w:r>
    </w:p>
    <w:p>
      <w:pPr>
        <w:spacing w:before="0" w:after="20"/>
        <w:ind w:left="600"/>
      </w:pPr>
      <w:r>
        <w:rPr>
          <w:color w:val="323232"/>
          <w:sz w:val="17"/>
        </w:rPr>
        <w:t>Deux réalisateurs français ont été arrêtés au Togo, et le président Faure Gnassingbé est accusé de chantage dans cette affaire. L'article dénonce une instrumentalisation politique de la justice et un climat de répression. Cette situation pourrait affecter la perception des risques politiques dans la zone UEMOA.</w:t>
      </w:r>
    </w:p>
    <w:p>
      <w:pPr>
        <w:spacing w:before="0" w:after="40"/>
        <w:ind w:left="600"/>
      </w:pPr>
      <w:r>
        <w:rPr>
          <w:color w:val="00643C"/>
          <w:sz w:val="16"/>
        </w:rPr>
        <w:t>Points clés : Arrestation de deux réalisateurs français au Togo  •  Accusation de chantage contre le président Faure Gnassingbé  •  Tensions politiques et atteinte à la liberté de la presse</w:t>
      </w:r>
    </w:p>
    <w:p>
      <w:pPr>
        <w:spacing w:before="0" w:after="60"/>
        <w:ind w:left="600"/>
      </w:pPr>
      <w:r>
        <w:rPr>
          <w:color w:val="0064B4"/>
          <w:sz w:val="15"/>
        </w:rPr>
        <w:t>Source : https://news.google.com/rss/articles/CBMivAFBVV95cUxOa2xZcTk5MkNGYk5jUlpoRXdpUDB</w:t>
      </w:r>
    </w:p>
    <w:p>
      <w:pPr>
        <w:spacing w:before="40" w:after="40"/>
        <w:ind w:left="360"/>
      </w:pPr>
      <w:r>
        <w:rPr>
          <w:color w:val="646464"/>
          <w:sz w:val="17"/>
        </w:rPr>
        <w:t xml:space="preserve">[19/08/2026] ⚪  </w:t>
      </w:r>
      <w:r>
        <w:rPr>
          <w:b/>
          <w:color w:val="505050"/>
          <w:sz w:val="18"/>
        </w:rPr>
        <w:t>Au Sénégal, l’urgence pour le peuple souverain n’est pas politique (Par Babacar Drame) - pressafrik.com</w:t>
      </w:r>
      <w:r>
        <w:rPr>
          <w:color w:val="787878"/>
          <w:sz w:val="15"/>
        </w:rPr>
        <w:t xml:space="preserve">  [politique]</w:t>
      </w:r>
      <w:r>
        <w:rPr>
          <w:color w:val="B47800"/>
          <w:sz w:val="16"/>
        </w:rPr>
        <w:t xml:space="preserve">  ★ 50/10</w:t>
      </w:r>
    </w:p>
    <w:p>
      <w:pPr>
        <w:spacing w:before="0" w:after="20"/>
        <w:ind w:left="600"/>
      </w:pPr>
      <w:r>
        <w:rPr>
          <w:color w:val="323232"/>
          <w:sz w:val="17"/>
        </w:rPr>
        <w:t>L'article de Babacar Drame, publié sur Pressafrik, affirme qu'au Sénégal, l'urgence pour le peuple souverain n'est pas politique, mais plutôt économique et sociale. L'auteur semble critiquer la focalisation sur les débats politiques alors que les préoccupations majeures des citoyens sont liées à leur quotidien. Le texte suggère que les priorités de</w:t>
      </w:r>
    </w:p>
    <w:p>
      <w:pPr>
        <w:spacing w:before="0" w:after="40"/>
        <w:ind w:left="600"/>
      </w:pPr>
      <w:r>
        <w:rPr>
          <w:color w:val="00643C"/>
          <w:sz w:val="16"/>
        </w:rPr>
        <w:t>Points clés : L'urgence au Sénégal est économique et sociale, non politique.  •  Le peuple souverain attend des actions concrètes pour améliorer son quotidien.</w:t>
      </w:r>
    </w:p>
    <w:p>
      <w:pPr>
        <w:spacing w:before="0" w:after="60"/>
        <w:ind w:left="600"/>
      </w:pPr>
      <w:r>
        <w:rPr>
          <w:color w:val="0064B4"/>
          <w:sz w:val="15"/>
        </w:rPr>
        <w:t>Source : https://news.google.com/rss/articles/CBMiwAFBVV95cUxQeGZMbEo3OThqaGk2ZmgyNHU1azV</w:t>
      </w:r>
    </w:p>
    <w:p>
      <w:pPr>
        <w:spacing w:before="120" w:after="40"/>
      </w:pPr>
      <w:r>
        <w:rPr>
          <w:b/>
          <w:color w:val="00467F"/>
          <w:sz w:val="20"/>
        </w:rPr>
        <w:t>🔑 marche_financier  (1 alerte(s))</w:t>
      </w:r>
    </w:p>
    <w:p>
      <w:pPr>
        <w:spacing w:before="40" w:after="40"/>
        <w:ind w:left="360"/>
      </w:pPr>
      <w:r>
        <w:rPr>
          <w:color w:val="646464"/>
          <w:sz w:val="17"/>
        </w:rPr>
        <w:t xml:space="preserve">[20/08/2026] 🟢  </w:t>
      </w:r>
      <w:r>
        <w:rPr>
          <w:b/>
          <w:color w:val="008000"/>
          <w:sz w:val="18"/>
        </w:rPr>
        <w:t>BRVM : la flambée de Sonatel de 190 milliards FCFA hisse les indices à un record - Capmad</w:t>
      </w:r>
      <w:r>
        <w:rPr>
          <w:color w:val="787878"/>
          <w:sz w:val="15"/>
        </w:rPr>
        <w:t xml:space="preserve">  [marche_financier]</w:t>
      </w:r>
      <w:r>
        <w:rPr>
          <w:color w:val="B47800"/>
          <w:sz w:val="16"/>
        </w:rPr>
        <w:t xml:space="preserve">  ★ 50/10</w:t>
      </w:r>
    </w:p>
    <w:p>
      <w:pPr>
        <w:spacing w:before="0" w:after="20"/>
        <w:ind w:left="600"/>
      </w:pPr>
      <w:r>
        <w:rPr>
          <w:color w:val="323232"/>
          <w:sz w:val="17"/>
        </w:rPr>
        <w:t>La BRVM a enregistré une hausse record de ses indices, portée principalement par la flambée du titre Sonatel qui a gagné 190 milliards FCFA de capitalisation boursière. Cette performance exceptionnelle a propulsé l'indice composite et l'indice BRVM 10 à des niveaux historiques. Le marché financier de l'UEMOA montre ainsi une dynamique positive, sou</w:t>
      </w:r>
    </w:p>
    <w:p>
      <w:pPr>
        <w:spacing w:before="0" w:after="40"/>
        <w:ind w:left="600"/>
      </w:pPr>
      <w:r>
        <w:rPr>
          <w:color w:val="00643C"/>
          <w:sz w:val="16"/>
        </w:rPr>
        <w:t>Points clés : Hausse record des indices de la BRVM grâce à Sonatel.  •  Gain de 190 milliards FCFA de capitalisation pour Sonatel.  •  Nouveaux sommets historiques pour les indices BRVM.</w:t>
      </w:r>
    </w:p>
    <w:p>
      <w:pPr>
        <w:spacing w:before="0" w:after="60"/>
        <w:ind w:left="600"/>
      </w:pPr>
      <w:r>
        <w:rPr>
          <w:color w:val="0064B4"/>
          <w:sz w:val="15"/>
        </w:rPr>
        <w:t>Source : https://news.google.com/rss/articles/CBMirgFBVV95cUxPU2kyZ3hrU0tRNFJxYzVEa2xlNG5</w:t>
      </w:r>
    </w:p>
    <w:p>
      <w:pPr>
        <w:spacing w:before="120" w:after="40"/>
      </w:pPr>
      <w:r>
        <w:rPr>
          <w:b/>
          <w:color w:val="00467F"/>
          <w:sz w:val="20"/>
        </w:rPr>
        <w:t>🔑 geopolitique  (2 alerte(s))</w:t>
      </w:r>
    </w:p>
    <w:p>
      <w:pPr>
        <w:spacing w:before="40" w:after="40"/>
        <w:ind w:left="360"/>
      </w:pPr>
      <w:r>
        <w:rPr>
          <w:color w:val="646464"/>
          <w:sz w:val="17"/>
        </w:rPr>
        <w:t xml:space="preserve">[20/08/2026] 🔴  </w:t>
      </w:r>
      <w:r>
        <w:rPr>
          <w:b/>
          <w:color w:val="C00000"/>
          <w:sz w:val="18"/>
        </w:rPr>
        <w:t>Les Émirats arabes unis rejoignent la “guerre économique totale” contre l’Iran - Courrier international</w:t>
      </w:r>
      <w:r>
        <w:rPr>
          <w:color w:val="787878"/>
          <w:sz w:val="15"/>
        </w:rPr>
        <w:t xml:space="preserve">  [geopolitique]</w:t>
      </w:r>
      <w:r>
        <w:rPr>
          <w:color w:val="B47800"/>
          <w:sz w:val="16"/>
        </w:rPr>
        <w:t xml:space="preserve">  ★ 50/10</w:t>
      </w:r>
    </w:p>
    <w:p>
      <w:pPr>
        <w:spacing w:before="0" w:after="20"/>
        <w:ind w:left="600"/>
      </w:pPr>
      <w:r>
        <w:rPr>
          <w:color w:val="323232"/>
          <w:sz w:val="17"/>
        </w:rPr>
        <w:t>Les Émirats arabes unis s'engagent dans une guerre économique totale contre l'Iran, rejoignant ainsi les efforts internationaux pour intensifier les sanctions et la pression économique. Cette décision pourrait affecter les flux commerciaux et les investissements dans la région du Golfe, avec des répercussions potentielles sur les marchés financiers</w:t>
      </w:r>
    </w:p>
    <w:p>
      <w:pPr>
        <w:spacing w:before="0" w:after="40"/>
        <w:ind w:left="600"/>
      </w:pPr>
      <w:r>
        <w:rPr>
          <w:color w:val="00643C"/>
          <w:sz w:val="16"/>
        </w:rPr>
        <w:t>Points clés : Les Émirats arabes unis rejoignent la coalition économique contre l'Iran.  •  Cette action s'inscrit dans une escalade des tensions géopolitiques au Moyen-Orient.  •  Risque de perturbations sur les routes commerciales et les prix de l'énergie.</w:t>
      </w:r>
    </w:p>
    <w:p>
      <w:pPr>
        <w:spacing w:before="0" w:after="60"/>
        <w:ind w:left="600"/>
      </w:pPr>
      <w:r>
        <w:rPr>
          <w:color w:val="0064B4"/>
          <w:sz w:val="15"/>
        </w:rPr>
        <w:t>Source : https://news.google.com/rss/articles/CBMi2gFBVV95cUxOczZpZEhadm0yMGVTazg3Tk1kZHl</w:t>
      </w:r>
    </w:p>
    <w:p>
      <w:pPr>
        <w:spacing w:before="40" w:after="40"/>
        <w:ind w:left="360"/>
      </w:pPr>
      <w:r>
        <w:rPr>
          <w:color w:val="646464"/>
          <w:sz w:val="17"/>
        </w:rPr>
        <w:t xml:space="preserve">[19/08/2026] 🔴  </w:t>
      </w:r>
      <w:r>
        <w:rPr>
          <w:b/>
          <w:color w:val="C00000"/>
          <w:sz w:val="18"/>
        </w:rPr>
        <w:t>Justice internationale en péril : les États-Unis déclarent la guerre à la Cour pénale internationale - Mali Actu</w:t>
      </w:r>
      <w:r>
        <w:rPr>
          <w:color w:val="787878"/>
          <w:sz w:val="15"/>
        </w:rPr>
        <w:t xml:space="preserve">  [geopolitique]</w:t>
      </w:r>
      <w:r>
        <w:rPr>
          <w:color w:val="B47800"/>
          <w:sz w:val="16"/>
        </w:rPr>
        <w:t xml:space="preserve">  ★ 50/10</w:t>
      </w:r>
    </w:p>
    <w:p>
      <w:pPr>
        <w:spacing w:before="0" w:after="20"/>
        <w:ind w:left="600"/>
      </w:pPr>
      <w:r>
        <w:rPr>
          <w:color w:val="323232"/>
          <w:sz w:val="17"/>
        </w:rPr>
        <w:t>Les États-Unis ont annoncé des sanctions contre la Cour pénale internationale (CPI), menaçant la justice internationale. Cette décision intervient après que la CPI a émis des mandats d'arrêt contre des responsables américains et israéliens. Elle affaiblit la crédibilité de la CPI et crée des tensions diplomatiques majeures. L'impact sur les marchés</w:t>
      </w:r>
    </w:p>
    <w:p>
      <w:pPr>
        <w:spacing w:before="0" w:after="40"/>
        <w:ind w:left="600"/>
      </w:pPr>
      <w:r>
        <w:rPr>
          <w:color w:val="00643C"/>
          <w:sz w:val="16"/>
        </w:rPr>
        <w:t>Points clés : Sanctions américaines contre la CPI  •  Menace sur la justice internationale  •  Tensions diplomatiques accrues  •  Impact indirect sur les marchés africains</w:t>
      </w:r>
    </w:p>
    <w:p>
      <w:pPr>
        <w:spacing w:before="0" w:after="60"/>
        <w:ind w:left="600"/>
      </w:pPr>
      <w:r>
        <w:rPr>
          <w:color w:val="0064B4"/>
          <w:sz w:val="15"/>
        </w:rPr>
        <w:t>Source : https://news.google.com/rss/articles/CBMib0FVX3lxTE9RUi1ERHhURXBGZlhscFVIcDNhakd</w:t>
      </w:r>
    </w:p>
    <w:p>
      <w:pPr>
        <w:spacing w:before="120" w:after="40"/>
      </w:pPr>
      <w:r>
        <w:rPr>
          <w:b/>
          <w:color w:val="00467F"/>
          <w:sz w:val="20"/>
        </w:rPr>
        <w:t>🔑 économique  (3 alerte(s))</w:t>
      </w:r>
    </w:p>
    <w:p>
      <w:pPr>
        <w:spacing w:before="40" w:after="40"/>
        <w:ind w:left="360"/>
      </w:pPr>
      <w:r>
        <w:rPr>
          <w:color w:val="646464"/>
          <w:sz w:val="17"/>
        </w:rPr>
        <w:t xml:space="preserve">[19/08/2026] 🟢  </w:t>
      </w:r>
      <w:r>
        <w:rPr>
          <w:b/>
          <w:color w:val="008000"/>
          <w:sz w:val="18"/>
        </w:rPr>
        <w:t xml:space="preserve">Migration en Afrique de l’Ouest: la CEDEAO engage ses États membres vers des statistiques plus fiables et harmonisées - </w:t>
      </w:r>
      <w:r>
        <w:rPr>
          <w:color w:val="787878"/>
          <w:sz w:val="15"/>
        </w:rPr>
        <w:t xml:space="preserve">  [économique]</w:t>
      </w:r>
      <w:r>
        <w:rPr>
          <w:color w:val="B47800"/>
          <w:sz w:val="16"/>
        </w:rPr>
        <w:t xml:space="preserve">  ★ 50/10</w:t>
      </w:r>
    </w:p>
    <w:p>
      <w:pPr>
        <w:spacing w:before="0" w:after="20"/>
        <w:ind w:left="600"/>
      </w:pPr>
      <w:r>
        <w:rPr>
          <w:color w:val="323232"/>
          <w:sz w:val="17"/>
        </w:rPr>
        <w:t>La CEDEAO lance une initiative visant à harmoniser et fiabiliser les statistiques migratoires dans ses États membres, afin de mieux comprendre et gérer les flux migratoires en Afrique de l'Ouest. Cette démarche devrait améliorer la planification économique et sociale, et renforcer la coopération régionale. Pour les investisseurs, des données plus p</w:t>
      </w:r>
    </w:p>
    <w:p>
      <w:pPr>
        <w:spacing w:before="0" w:after="40"/>
        <w:ind w:left="600"/>
      </w:pPr>
      <w:r>
        <w:rPr>
          <w:color w:val="00643C"/>
          <w:sz w:val="16"/>
        </w:rPr>
        <w:t>Points clés : Harmonisation des statistiques migratoires dans les pays membres de la CEDEAO.  •  Amélioration de la fiabilité des données pour une meilleure gestion des flux migratoires.  •  Renforcement de la coopération régionale et de la planification économique.</w:t>
      </w:r>
    </w:p>
    <w:p>
      <w:pPr>
        <w:spacing w:before="0" w:after="60"/>
        <w:ind w:left="600"/>
      </w:pPr>
      <w:r>
        <w:rPr>
          <w:color w:val="0064B4"/>
          <w:sz w:val="15"/>
        </w:rPr>
        <w:t>Source : https://news.google.com/rss/articles/CBMiTkFVX3lxTE5lb3RZRG4waDB0azB1NDFoSFlJbHh</w:t>
      </w:r>
    </w:p>
    <w:p>
      <w:pPr>
        <w:spacing w:before="40" w:after="40"/>
        <w:ind w:left="360"/>
      </w:pPr>
      <w:r>
        <w:rPr>
          <w:color w:val="646464"/>
          <w:sz w:val="17"/>
        </w:rPr>
        <w:t xml:space="preserve">[19/08/2026] ⚪  </w:t>
      </w:r>
      <w:r>
        <w:rPr>
          <w:b/>
          <w:color w:val="505050"/>
          <w:sz w:val="18"/>
        </w:rPr>
        <w:t>Russie-CEDEAO : après les ruptures au Sahel, avec qui l’Afrique de l’Ouest construit-elle ses nouvelles alliances ? - af</w:t>
      </w:r>
      <w:r>
        <w:rPr>
          <w:color w:val="787878"/>
          <w:sz w:val="15"/>
        </w:rPr>
        <w:t xml:space="preserve">  [économique]</w:t>
      </w:r>
      <w:r>
        <w:rPr>
          <w:color w:val="B47800"/>
          <w:sz w:val="16"/>
        </w:rPr>
        <w:t xml:space="preserve">  ★ 50/10</w:t>
      </w:r>
    </w:p>
    <w:p>
      <w:pPr>
        <w:spacing w:before="0" w:after="20"/>
        <w:ind w:left="600"/>
      </w:pPr>
      <w:r>
        <w:rPr>
          <w:color w:val="323232"/>
          <w:sz w:val="17"/>
        </w:rPr>
        <w:t>L'article examine les nouvelles alliances géopolitiques et économiques de l'Afrique de l'Ouest après les ruptures entre la Russie et la CEDEAO, notamment suite aux coups d'État au Sahel. Il analyse les partenariats émergents avec d'autres puissances (comme la Chine, la Turquie ou les Émirats) et leurs implications pour la région. La question centra</w:t>
      </w:r>
    </w:p>
    <w:p>
      <w:pPr>
        <w:spacing w:before="0" w:after="40"/>
        <w:ind w:left="600"/>
      </w:pPr>
      <w:r>
        <w:rPr>
          <w:color w:val="00643C"/>
          <w:sz w:val="16"/>
        </w:rPr>
        <w:t>Points clés : Ruptures entre la Russie et la CEDEAO après les changements de régime au Sahel.  •  Recherche de nouvelles alliances économiques et sécuritaires par les pays ouest-africains.  •  Impact potentiel sur les flux commerciaux et les investissements dans la région.  •  Incertitude géopolitique pour les marchés financiers régionaux.</w:t>
      </w:r>
    </w:p>
    <w:p>
      <w:pPr>
        <w:spacing w:before="0" w:after="60"/>
        <w:ind w:left="600"/>
      </w:pPr>
      <w:r>
        <w:rPr>
          <w:color w:val="0064B4"/>
          <w:sz w:val="15"/>
        </w:rPr>
        <w:t>Source : https://news.google.com/rss/articles/CBMi6wFBVV95cUxPemxJS05jUmJDRE5XQVRTSkFLd19</w:t>
      </w:r>
    </w:p>
    <w:p>
      <w:pPr>
        <w:spacing w:before="40" w:after="40"/>
        <w:ind w:left="360"/>
      </w:pPr>
      <w:r>
        <w:rPr>
          <w:color w:val="646464"/>
          <w:sz w:val="17"/>
        </w:rPr>
        <w:t xml:space="preserve">[18/08/2026] ⚪  </w:t>
      </w:r>
      <w:r>
        <w:rPr>
          <w:b/>
          <w:color w:val="505050"/>
          <w:sz w:val="18"/>
        </w:rPr>
        <w:t>Renforcement de la production des données migratoires en Afrique de l’ouest : des experts de la CEDEAO réfléchissent à l</w:t>
      </w:r>
      <w:r>
        <w:rPr>
          <w:color w:val="787878"/>
          <w:sz w:val="15"/>
        </w:rPr>
        <w:t xml:space="preserve">  [économique]</w:t>
      </w:r>
      <w:r>
        <w:rPr>
          <w:color w:val="B47800"/>
          <w:sz w:val="16"/>
        </w:rPr>
        <w:t xml:space="preserve">  ★ 50/10</w:t>
      </w:r>
    </w:p>
    <w:p>
      <w:pPr>
        <w:spacing w:before="0" w:after="20"/>
        <w:ind w:left="600"/>
      </w:pPr>
      <w:r>
        <w:rPr>
          <w:color w:val="323232"/>
          <w:sz w:val="17"/>
        </w:rPr>
        <w:t>Des experts de la CEDEAO se réunissent pour finaliser le 3e rapport régional sur les données migratoires en Afrique de l'Ouest, visant à renforcer la production et l'harmonisation de ces données. Cette initiative s'inscrit dans un cadre économique et politique régional, avec des implications potentielles pour la mobilité des travailleurs et les pol</w:t>
      </w:r>
    </w:p>
    <w:p>
      <w:pPr>
        <w:spacing w:before="0" w:after="40"/>
        <w:ind w:left="600"/>
      </w:pPr>
      <w:r>
        <w:rPr>
          <w:color w:val="00643C"/>
          <w:sz w:val="16"/>
        </w:rPr>
        <w:t>Points clés : Finalisation du 3e rapport régional sur les données migratoires en Afrique de l'Ouest  •  Renforcement de la production et de l'harmonisation des données migratoires dans la région CEDEAO</w:t>
      </w:r>
    </w:p>
    <w:p>
      <w:pPr>
        <w:spacing w:before="0" w:after="60"/>
        <w:ind w:left="600"/>
      </w:pPr>
      <w:r>
        <w:rPr>
          <w:color w:val="0064B4"/>
          <w:sz w:val="15"/>
        </w:rPr>
        <w:t>Source : https://news.google.com/rss/articles/CBMingJBVV95cUxNTWJzeG9LWTk3YlNFaExENzI0VDd</w:t>
      </w:r>
    </w:p>
    <w:p>
      <w:pPr>
        <w:spacing w:before="120" w:after="40"/>
      </w:pPr>
      <w:r>
        <w:rPr>
          <w:b/>
          <w:color w:val="00467F"/>
          <w:sz w:val="20"/>
        </w:rPr>
        <w:t>🔑 matieres_premieres  (1 alerte(s))</w:t>
      </w:r>
    </w:p>
    <w:p>
      <w:pPr>
        <w:spacing w:before="40" w:after="40"/>
        <w:ind w:left="360"/>
      </w:pPr>
      <w:r>
        <w:rPr>
          <w:color w:val="646464"/>
          <w:sz w:val="17"/>
        </w:rPr>
        <w:t xml:space="preserve">[19/08/2026] 🟢  </w:t>
      </w:r>
      <w:r>
        <w:rPr>
          <w:b/>
          <w:color w:val="008000"/>
          <w:sz w:val="18"/>
        </w:rPr>
        <w:t>Marché des matières premières : l'indice MXV approche les 2 900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mesure les prix des matières premières, approche les 2 900 points, signalant une dynamique haussière sur les marchés internationaux. Cette progression est principalement portée par la hausse des prix de certaines matières premières clés. Cette tendance pourrait avoir des répercussions sur les économies dépendantes des exportations</w:t>
      </w:r>
    </w:p>
    <w:p>
      <w:pPr>
        <w:spacing w:before="0" w:after="40"/>
        <w:ind w:left="600"/>
      </w:pPr>
      <w:r>
        <w:rPr>
          <w:color w:val="00643C"/>
          <w:sz w:val="16"/>
        </w:rPr>
        <w:t>Points clés : L'indice MXV approche les 2 900 points, indiquant une tendance haussière des matières premières.  •  Cette hausse pourrait bénéficier aux pays exportateurs de matières premières, mais pénaliser les importateurs.  •  La BRVM, étant une place financière régionale, pourrait voir des effets contrastés selon les secteurs.</w:t>
      </w:r>
    </w:p>
    <w:p>
      <w:pPr>
        <w:spacing w:before="0" w:after="60"/>
        <w:ind w:left="600"/>
      </w:pPr>
      <w:r>
        <w:rPr>
          <w:color w:val="0064B4"/>
          <w:sz w:val="15"/>
        </w:rPr>
        <w:t>Source : https://news.google.com/rss/articles/CBMifkFVX3lxTE9ZVndaMTVmQUUzN2NDc1RncHNfNzh</w:t>
      </w:r>
    </w:p>
    <w:p>
      <w:pPr>
        <w:spacing w:before="120" w:after="40"/>
      </w:pPr>
      <w:r>
        <w:rPr>
          <w:b/>
          <w:color w:val="00467F"/>
          <w:sz w:val="20"/>
        </w:rPr>
        <w:t>🔑 politique_monetaire  (1 alerte(s))</w:t>
      </w:r>
    </w:p>
    <w:p>
      <w:pPr>
        <w:spacing w:before="40" w:after="40"/>
        <w:ind w:left="360"/>
      </w:pPr>
      <w:r>
        <w:rPr>
          <w:color w:val="646464"/>
          <w:sz w:val="17"/>
        </w:rPr>
        <w:t xml:space="preserve">[19/08/2026] 🔴  </w:t>
      </w:r>
      <w:r>
        <w:rPr>
          <w:b/>
          <w:color w:val="C00000"/>
          <w:sz w:val="18"/>
        </w:rPr>
        <w:t>« Il faut s'y attendre et s'y préparer » : une correction boursière sur la tech est inévitable et l'Europe en pâtira, pr</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prévient qu'une correction boursière sur le secteur technologique est inévitable et que l'Europe en subira les conséquences. Cette mise en garde souligne la nécessité de se préparer à un tel scénario, qui pourrait affecter les marchés financiers mondiaux. L'Europe, étant dépendante des valeurs technologiques amér</w:t>
      </w:r>
    </w:p>
    <w:p>
      <w:pPr>
        <w:spacing w:before="0" w:after="40"/>
        <w:ind w:left="600"/>
      </w:pPr>
      <w:r>
        <w:rPr>
          <w:color w:val="00643C"/>
          <w:sz w:val="16"/>
        </w:rPr>
        <w:t>Points clés : La BCE estime qu'une correction boursière sur la tech est inévitable.  •  L'Europe sera particulièrement affectée par cette correction.  •  Les investisseurs doivent se préparer à ce scénario.  •  Les valorisations élevées et la politique monétaire restrictive sont des facteurs de risque.</w:t>
      </w:r>
    </w:p>
    <w:p>
      <w:pPr>
        <w:spacing w:before="0" w:after="60"/>
        <w:ind w:left="600"/>
      </w:pPr>
      <w:r>
        <w:rPr>
          <w:color w:val="0064B4"/>
          <w:sz w:val="15"/>
        </w:rPr>
        <w:t>Source : https://news.google.com/rss/articles/CBMimgJBVV95cUxNMW1tNHF3ZjBxSDg0V3dhUkd0bnB</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3,350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13,300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2,470</w:t>
            </w:r>
          </w:p>
        </w:tc>
        <w:tc>
          <w:tcPr>
            <w:tcW w:type="dxa" w:w="1080"/>
            <w:shd w:fill="C6EFCE" w:val="clear"/>
          </w:tcPr>
          <w:p>
            <w:r>
              <w:rPr>
                <w:b/>
                <w:sz w:val="16"/>
              </w:rPr>
              <w:t>75/100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8,400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2,940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4,100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3,295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6,250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7,190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12</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2,180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9,640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2,450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8,940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16,855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17</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20,205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34,400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22,900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2,550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22</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2,735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37,705</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37,700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29,250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7,500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17,000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3,400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3,705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66</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16,620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23,000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3,965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29,000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12,090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9,350</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1,680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4,475</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1,590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52,000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NEIC</w:t>
            </w:r>
          </w:p>
        </w:tc>
        <w:tc>
          <w:tcPr>
            <w:tcW w:type="dxa" w:w="1080"/>
            <w:shd w:fill="FEFEFE" w:val="clear"/>
          </w:tcPr>
          <w:p>
            <w:r>
              <w:rPr>
                <w:sz w:val="16"/>
              </w:rPr>
              <w:t>CONSOMMATION DISCR</w:t>
            </w:r>
          </w:p>
        </w:tc>
        <w:tc>
          <w:tcPr>
            <w:tcW w:type="dxa" w:w="1080"/>
            <w:shd w:fill="FEFEFE" w:val="clear"/>
          </w:tcPr>
          <w:p>
            <w:r>
              <w:rPr>
                <w:sz w:val="16"/>
              </w:rPr>
              <w:t>2,350</w:t>
            </w:r>
          </w:p>
        </w:tc>
        <w:tc>
          <w:tcPr>
            <w:tcW w:type="dxa" w:w="1080"/>
            <w:shd w:fill="FEFEFE" w:val="clear"/>
          </w:tcPr>
          <w:p>
            <w:r>
              <w:rPr>
                <w:b/>
                <w:sz w:val="16"/>
              </w:rPr>
              <w:t>52/100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13,300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2,940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4,100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3,295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6,250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8,000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8,940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16,855</w:t>
            </w:r>
          </w:p>
        </w:tc>
        <w:tc>
          <w:tcPr>
            <w:tcW w:type="dxa" w:w="1728"/>
            <w:shd w:fill="DEEAF1" w:val="clear"/>
          </w:tcPr>
          <w:p>
            <w:r>
              <w:rPr>
                <w:sz w:val="17"/>
              </w:rPr>
              <w:t>71/100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3,350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13,300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2,470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8,400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2,940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4,100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3,295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1,990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3,350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13,300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2,470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8,400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2,940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4,100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3,295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1,990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BOAB — BANK OF AFRICA BENIN</w:t>
      </w:r>
    </w:p>
    <w:p>
      <w:pPr>
        <w:pStyle w:val="ListBullet"/>
        <w:spacing w:before="20"/>
        <w:ind w:left="400"/>
      </w:pPr>
      <w:r>
        <w:rPr>
          <w:sz w:val="18"/>
        </w:rPr>
        <w:t>🔴 RSI surachat (75.5 &gt; 70) — risque de correction</w:t>
      </w:r>
    </w:p>
    <w:p>
      <w:pPr>
        <w:pStyle w:val="ListBullet"/>
        <w:spacing w:before="20"/>
        <w:ind w:left="400"/>
      </w:pPr>
      <w:r>
        <w:rPr>
          <w:sz w:val="18"/>
        </w:rPr>
        <w:t>⚠️ Cours à 0.0% du plus haut 100j (9,500 FCFA)</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surachat (99.8 &gt; 70) — risque de correction</w:t>
      </w:r>
    </w:p>
    <w:p>
      <w:pPr>
        <w:pStyle w:val="ListBullet"/>
        <w:spacing w:before="20"/>
        <w:ind w:left="400"/>
      </w:pPr>
      <w:r>
        <w:rPr>
          <w:sz w:val="18"/>
        </w:rPr>
        <w:t>⚠️ Cours à 0.0% du plus haut 100j (7,190 FCFA)</w:t>
      </w:r>
    </w:p>
    <w:p>
      <w:pPr>
        <w:pStyle w:val="ListBullet"/>
        <w:spacing w:before="20"/>
        <w:ind w:left="400"/>
      </w:pPr>
      <w:r>
        <w:rPr>
          <w:sz w:val="18"/>
        </w:rPr>
        <w:t>🟠 Divergence tech(VENTE) / fond(ACHAT) — recommandation ajustée à ACHAT FORT</w:t>
      </w:r>
    </w:p>
    <w:p>
      <w:pPr>
        <w:spacing w:before="120"/>
      </w:pPr>
      <w:r>
        <w:rPr>
          <w:b/>
          <w:color w:val="0050A0"/>
          <w:sz w:val="20"/>
        </w:rPr>
        <w:t>ORAC — ORAC - ORANGE COTE D'IVOIRE</w:t>
      </w:r>
    </w:p>
    <w:p>
      <w:pPr>
        <w:pStyle w:val="ListBullet"/>
        <w:spacing w:before="20"/>
        <w:ind w:left="400"/>
      </w:pPr>
      <w:r>
        <w:rPr>
          <w:sz w:val="18"/>
        </w:rPr>
        <w:t>🔴 RSI surachat (95.4 &gt; 70) — risque de correction</w:t>
      </w:r>
    </w:p>
    <w:p>
      <w:pPr>
        <w:pStyle w:val="ListBullet"/>
        <w:spacing w:before="20"/>
        <w:ind w:left="400"/>
      </w:pPr>
      <w:r>
        <w:rPr>
          <w:sz w:val="18"/>
        </w:rPr>
        <w:t>⚠️ Cours à 0.0% du plus haut 100j (20,205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surachat (84.2 &gt; 70) — risque de correction</w:t>
      </w:r>
    </w:p>
    <w:p>
      <w:pPr>
        <w:pStyle w:val="ListBullet"/>
        <w:spacing w:before="20"/>
        <w:ind w:left="400"/>
      </w:pPr>
      <w:r>
        <w:rPr>
          <w:sz w:val="18"/>
        </w:rPr>
        <w:t>⚠️ Cours à 0.0% du plus haut 100j (9,640 FCFA)</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RSI surachat (75.0 &gt; 70) — risque de correction</w:t>
      </w:r>
    </w:p>
    <w:p>
      <w:pPr>
        <w:pStyle w:val="ListBullet"/>
        <w:spacing w:before="20"/>
        <w:ind w:left="400"/>
      </w:pPr>
      <w:r>
        <w:rPr>
          <w:sz w:val="18"/>
        </w:rPr>
        <w:t>⚠️ Cours à 0.0% du plus haut 100j (2,450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(78.3 &gt; 70) — risque de correction</w:t>
      </w:r>
    </w:p>
    <w:p>
      <w:pPr>
        <w:pStyle w:val="ListBullet"/>
        <w:spacing w:before="20"/>
        <w:ind w:left="400"/>
      </w:pPr>
      <w:r>
        <w:rPr>
          <w:sz w:val="18"/>
        </w:rPr>
        <w:t>⚠️ Cours à 0.0% du plus haut 100j (34,400 FCFA)</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(2,470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(73.3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(74.5 &gt; 70) — risque de correction</w:t>
      </w:r>
    </w:p>
    <w:p>
      <w:pPr>
        <w:pStyle w:val="ListBullet"/>
        <w:spacing w:before="20"/>
        <w:ind w:left="400"/>
      </w:pPr>
      <w:r>
        <w:rPr>
          <w:sz w:val="18"/>
        </w:rPr>
        <w:t>⚠️ Cours à 1.2% du plus haut 100j (8,500 FCFA)</w:t>
      </w:r>
    </w:p>
    <w:p>
      <w:pPr>
        <w:spacing w:before="120"/>
      </w:pPr>
      <w:r>
        <w:rPr>
          <w:b/>
          <w:color w:val="0050A0"/>
          <w:sz w:val="20"/>
        </w:rPr>
        <w:t>BOABF — BANK OF AFRICA BURKINA FASO</w:t>
      </w:r>
    </w:p>
    <w:p>
      <w:pPr>
        <w:pStyle w:val="ListBullet"/>
        <w:spacing w:before="20"/>
        <w:ind w:left="400"/>
      </w:pPr>
      <w:r>
        <w:rPr>
          <w:sz w:val="18"/>
        </w:rPr>
        <w:t>⚠️ Cours à 0.0% du plus haut 100j (7,500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(94.6 &gt; 70) — risque de correction</w:t>
      </w:r>
    </w:p>
    <w:p>
      <w:pPr>
        <w:pStyle w:val="ListBullet"/>
        <w:spacing w:before="20"/>
        <w:ind w:left="400"/>
      </w:pPr>
      <w:r>
        <w:rPr>
          <w:sz w:val="18"/>
        </w:rPr>
        <w:t>⚠️ Cours à 1.1% du plus haut 100j (13,450 FCFA)</w:t>
      </w:r>
    </w:p>
    <w:p>
      <w:pPr>
        <w:spacing w:before="120"/>
      </w:pPr>
      <w:r>
        <w:rPr>
          <w:b/>
          <w:color w:val="0050A0"/>
          <w:sz w:val="20"/>
        </w:rPr>
        <w:t>BOAM — BANK OF AFRICA MALI</w:t>
      </w:r>
    </w:p>
    <w:p>
      <w:pPr>
        <w:pStyle w:val="ListBullet"/>
        <w:spacing w:before="20"/>
        <w:ind w:left="400"/>
      </w:pPr>
      <w:r>
        <w:rPr>
          <w:sz w:val="18"/>
        </w:rPr>
        <w:t>🔴 RSI surachat (84.7 &gt; 70) — risque de correction</w:t>
      </w:r>
    </w:p>
    <w:p>
      <w:pPr>
        <w:pStyle w:val="ListBullet"/>
        <w:spacing w:before="20"/>
        <w:ind w:left="400"/>
      </w:pPr>
      <w:r>
        <w:rPr>
          <w:sz w:val="18"/>
        </w:rPr>
        <w:t>⚠️ Cours à 0.6% du plus haut 100j (6,290 FCFA)</w:t>
      </w:r>
    </w:p>
    <w:p>
      <w:pPr>
        <w:spacing w:before="120"/>
      </w:pPr>
      <w:r>
        <w:rPr>
          <w:b/>
          <w:color w:val="0050A0"/>
          <w:sz w:val="20"/>
        </w:rPr>
        <w:t>BOAN — BANK OF AFRICA NIGER</w:t>
      </w:r>
    </w:p>
    <w:p>
      <w:pPr>
        <w:pStyle w:val="ListBullet"/>
        <w:spacing w:before="20"/>
        <w:ind w:left="400"/>
      </w:pPr>
      <w:r>
        <w:rPr>
          <w:sz w:val="18"/>
        </w:rPr>
        <w:t>⚠️ Cours à 2.8% du plus haut 100j (5,400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(71.3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Cours à 2.4% du plus haut 100j (17,270 FCFA)</w:t>
      </w:r>
    </w:p>
    <w:p>
      <w:pPr>
        <w:pStyle w:val="ListBullet"/>
        <w:spacing w:before="20"/>
        <w:ind w:left="400"/>
      </w:pPr>
      <w:r>
        <w:rPr>
          <w:sz w:val="18"/>
        </w:rPr>
        <w:t>🟠 Divergence tech(VENTE) / fond(ACHAT) — recommandation ajustée à ACHAT FORT</w:t>
      </w:r>
    </w:p>
    <w:p>
      <w:pPr>
        <w:spacing w:before="120"/>
      </w:pPr>
      <w:r>
        <w:rPr>
          <w:b/>
          <w:color w:val="0050A0"/>
          <w:sz w:val="20"/>
        </w:rPr>
        <w:t>NEIC — NEIC - NEI-CEDA CI</w:t>
      </w:r>
    </w:p>
    <w:p>
      <w:pPr>
        <w:pStyle w:val="ListBullet"/>
        <w:spacing w:before="20"/>
        <w:ind w:left="400"/>
      </w:pPr>
      <w:r>
        <w:rPr>
          <w:sz w:val="18"/>
        </w:rPr>
        <w:t>⚠️ Cours à 2.1% du plus haut 100j (2,400 FCFA)</w:t>
      </w:r>
    </w:p>
    <w:p>
      <w:pPr>
        <w:pStyle w:val="ListBullet"/>
        <w:spacing w:before="20"/>
        <w:ind w:left="400"/>
      </w:pPr>
      <w:r>
        <w:rPr>
          <w:sz w:val="18"/>
        </w:rPr>
        <w:t>🟠 Divergence tech(VENTE) / fond(NEUTRE) — recommandation ajustée à CONSERVER ⚠️</w:t>
      </w:r>
    </w:p>
    <w:p>
      <w:pPr>
        <w:spacing w:before="120"/>
      </w:pPr>
      <w:r>
        <w:rPr>
          <w:b/>
          <w:color w:val="0050A0"/>
          <w:sz w:val="20"/>
        </w:rPr>
        <w:t>ORGT — ORGT - ORAGROUP TOGO</w:t>
      </w:r>
    </w:p>
    <w:p>
      <w:pPr>
        <w:pStyle w:val="ListBullet"/>
        <w:spacing w:before="20"/>
        <w:ind w:left="400"/>
      </w:pPr>
      <w:r>
        <w:rPr>
          <w:sz w:val="18"/>
        </w:rPr>
        <w:t>🔴 RSI surachat (70.9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Cours à 0.9%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(75.5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RSI surachat (70.6 &gt; 70) — risque de correction</w:t>
      </w:r>
    </w:p>
    <w:p>
      <w:pPr>
        <w:pStyle w:val="ListBullet"/>
        <w:spacing w:before="20"/>
        <w:ind w:left="400"/>
      </w:pPr>
      <w:r>
        <w:rPr>
          <w:sz w:val="18"/>
        </w:rPr>
        <w:t>⚠️ Cours à 0.2% du plus haut 100j (3,300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0.8% du plus haut 100j (29,490 FCFA)</w:t>
      </w:r>
    </w:p>
    <w:p>
      <w:pPr>
        <w:spacing w:before="120"/>
      </w:pPr>
      <w:r>
        <w:rPr>
          <w:b/>
          <w:color w:val="0050A0"/>
          <w:sz w:val="20"/>
        </w:rPr>
        <w:t>BNBC — BNBC - BERNABE CI</w:t>
      </w:r>
    </w:p>
    <w:p>
      <w:pPr>
        <w:pStyle w:val="ListBullet"/>
        <w:spacing w:before="20"/>
        <w:ind w:left="400"/>
      </w:pPr>
      <w:r>
        <w:rPr>
          <w:sz w:val="18"/>
        </w:rPr>
        <w:t>🔴 RSI surachat (76.2 &gt; 70) — risque de correction</w:t>
      </w:r>
    </w:p>
    <w:p>
      <w:pPr>
        <w:spacing w:before="120"/>
      </w:pPr>
      <w:r>
        <w:rPr>
          <w:b/>
          <w:color w:val="0050A0"/>
          <w:sz w:val="20"/>
        </w:rPr>
        <w:t>BOAS — BANK OF AFRICA SENEGAL</w:t>
      </w:r>
    </w:p>
    <w:p>
      <w:pPr>
        <w:pStyle w:val="ListBullet"/>
        <w:spacing w:before="20"/>
        <w:ind w:left="400"/>
      </w:pPr>
      <w:r>
        <w:rPr>
          <w:sz w:val="18"/>
        </w:rPr>
        <w:t>⚠️ Cours à 0.6% du plus haut 100j (8,050 FCFA)</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RSI surachat (75.5 &gt; 70) — risque de correction</w:t>
      </w:r>
    </w:p>
    <w:p>
      <w:pPr>
        <w:spacing w:before="120"/>
      </w:pPr>
      <w:r>
        <w:rPr>
          <w:b/>
          <w:color w:val="0050A0"/>
          <w:sz w:val="20"/>
        </w:rPr>
        <w:t>NTLC — NTLC - NESTLE COTE D'IVOIRE</w:t>
      </w:r>
    </w:p>
    <w:p>
      <w:pPr>
        <w:pStyle w:val="ListBullet"/>
        <w:spacing w:before="20"/>
        <w:ind w:left="400"/>
      </w:pPr>
      <w:r>
        <w:rPr>
          <w:sz w:val="18"/>
        </w:rPr>
        <w:t>⚠️ Cours à 2.6% du plus haut 100j (17,450 FCFA)</w:t>
      </w:r>
    </w:p>
    <w:p>
      <w:pPr>
        <w:spacing w:before="120"/>
      </w:pPr>
      <w:r>
        <w:rPr>
          <w:b/>
          <w:color w:val="0050A0"/>
          <w:sz w:val="20"/>
        </w:rPr>
        <w:t>SCRC — SCRC - SUCRIVOIRE</w:t>
      </w:r>
    </w:p>
    <w:p>
      <w:pPr>
        <w:pStyle w:val="ListBullet"/>
        <w:spacing w:before="20"/>
        <w:ind w:left="400"/>
      </w:pPr>
      <w:r>
        <w:rPr>
          <w:sz w:val="18"/>
        </w:rPr>
        <w:t>🟢 RSI survente (27.0 &lt; 30) — opportunité potentielle</w:t>
      </w:r>
    </w:p>
    <w:p>
      <w:pPr>
        <w:spacing w:before="120"/>
      </w:pPr>
      <w:r>
        <w:rPr>
          <w:b/>
          <w:color w:val="0050A0"/>
          <w:sz w:val="20"/>
        </w:rPr>
        <w:t>SDSC — SDSC - AFRICA GLOBAL LOGISTICS CI</w:t>
      </w:r>
    </w:p>
    <w:p>
      <w:pPr>
        <w:pStyle w:val="ListBullet"/>
        <w:spacing w:before="20"/>
        <w:ind w:left="400"/>
      </w:pPr>
      <w:r>
        <w:rPr>
          <w:sz w:val="18"/>
        </w:rPr>
        <w:t>🟠 Divergence tech(VENTE) / fond(ACHAT) — recommandation ajustée à ACHAT</w:t>
      </w:r>
    </w:p>
    <w:p>
      <w:pPr>
        <w:spacing w:before="120"/>
      </w:pPr>
      <w:r>
        <w:rPr>
          <w:b/>
          <w:color w:val="0050A0"/>
          <w:sz w:val="20"/>
        </w:rPr>
        <w:t>SEMC — SEMC - EVIOSYS PACKAGING SIEM CI</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(83.1 &gt; 70) — risque de correction</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(73.7 &gt; 70) — risque de correction</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 FORT</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19 société(s) (40%)</w:t>
            </w:r>
          </w:p>
        </w:tc>
        <w:tc>
          <w:tcPr>
            <w:tcW w:type="dxa" w:w="1644"/>
            <w:shd w:fill="FFEB9C" w:val="clear"/>
          </w:tcPr>
          <w:p>
            <w:r>
              <w:rPr>
                <w:b/>
                <w:color w:val="825A00"/>
                <w:sz w:val="19"/>
              </w:rPr>
              <w:t>28 société(s) (60%)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21.6/100</w:t>
            </w:r>
          </w:p>
        </w:tc>
        <w:tc>
          <w:tcPr>
            <w:tcW w:type="dxa" w:w="1644"/>
            <w:shd w:fill="DEEAF1" w:val="clear"/>
          </w:tcPr>
          <w:p>
            <w:r>
              <w:rPr>
                <w:b/>
                <w:color w:val="000000"/>
                <w:sz w:val="19"/>
              </w:rPr>
              <w:t>20.6/100</w:t>
            </w:r>
          </w:p>
        </w:tc>
      </w:tr>
    </w:tbl>
    <w:p/>
    <w:p>
      <w:r>
        <w:rPr>
          <w:i/>
          <w:color w:val="006400"/>
          <w:sz w:val="18"/>
        </w:rPr>
        <w:t>✅ Le marché BRVM présente globalement un profil de risque FAIBLE (score moyen 21.6/100).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34.6/100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CIEC (34.6/100 — Moyen) : </w:t>
      </w:r>
      <w:r>
        <w:rPr>
          <w:sz w:val="17"/>
        </w:rPr>
        <w:t>Volatilité=Élevée | Bêta=Agressif | Liquidité=Bonne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NEIC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34.6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-12.17%  |  Médiane : -10.06%</w:t>
            </w:r>
          </w:p>
        </w:tc>
      </w:tr>
      <w:tr>
        <w:tc>
          <w:tcPr>
            <w:tcW w:type="dxa" w:w="2835"/>
            <w:shd w:fill="DEEAF1" w:val="clear"/>
          </w:tcPr>
          <w:p>
            <w:r>
              <w:rPr>
                <w:b/>
                <w:sz w:val="18"/>
              </w:rPr>
              <w:t>Répartition</w:t>
            </w:r>
          </w:p>
        </w:tc>
        <w:tc>
          <w:tcPr>
            <w:tcW w:type="dxa" w:w="7370"/>
          </w:tcPr>
          <w:p>
            <w:r>
              <w:rPr>
                <w:b/>
                <w:sz w:val="18"/>
              </w:rPr>
              <w:t>📈 6 sociétés en hausse (&gt;+1%)   📉 37 en baisse (&lt;-1%)   ➡️ 4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37 sociétés sur 47 sont orientées à la baisse avec une variation moyenne de -12.17%.</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3,705 FCFA</w:t>
            </w:r>
          </w:p>
        </w:tc>
        <w:tc>
          <w:tcPr>
            <w:tcW w:type="dxa" w:w="1417"/>
            <w:shd w:fill="FFFFFF" w:val="clear"/>
          </w:tcPr>
          <w:p>
            <w:r>
              <w:rPr>
                <w:sz w:val="16"/>
              </w:rPr>
              <w:t>6,761 FCFA</w:t>
            </w:r>
          </w:p>
        </w:tc>
        <w:tc>
          <w:tcPr>
            <w:tcW w:type="dxa" w:w="1134"/>
            <w:shd w:fill="C6EFCE" w:val="clear"/>
          </w:tcPr>
          <w:p>
            <w:r>
              <w:rPr>
                <w:b/>
                <w:color w:val="007800"/>
                <w:sz w:val="16"/>
              </w:rPr>
              <w:t>+82.47%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22,900 FCFA</w:t>
            </w:r>
          </w:p>
        </w:tc>
        <w:tc>
          <w:tcPr>
            <w:tcW w:type="dxa" w:w="1417"/>
            <w:shd w:fill="FFFFFF" w:val="clear"/>
          </w:tcPr>
          <w:p>
            <w:r>
              <w:rPr>
                <w:sz w:val="16"/>
              </w:rPr>
              <w:t>27,042 FCFA</w:t>
            </w:r>
          </w:p>
        </w:tc>
        <w:tc>
          <w:tcPr>
            <w:tcW w:type="dxa" w:w="1134"/>
            <w:shd w:fill="C6EFCE" w:val="clear"/>
          </w:tcPr>
          <w:p>
            <w:r>
              <w:rPr>
                <w:b/>
                <w:color w:val="007800"/>
                <w:sz w:val="16"/>
              </w:rPr>
              <w:t>+18.09%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52,000 FCFA</w:t>
            </w:r>
          </w:p>
        </w:tc>
        <w:tc>
          <w:tcPr>
            <w:tcW w:type="dxa" w:w="1417"/>
            <w:shd w:fill="FFFFFF" w:val="clear"/>
          </w:tcPr>
          <w:p>
            <w:r>
              <w:rPr>
                <w:sz w:val="16"/>
              </w:rPr>
              <w:t>59,866 FCFA</w:t>
            </w:r>
          </w:p>
        </w:tc>
        <w:tc>
          <w:tcPr>
            <w:tcW w:type="dxa" w:w="1134"/>
            <w:shd w:fill="C6EFCE" w:val="clear"/>
          </w:tcPr>
          <w:p>
            <w:r>
              <w:rPr>
                <w:b/>
                <w:color w:val="007800"/>
                <w:sz w:val="16"/>
              </w:rPr>
              <w:t>+15.13%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23,000 FCFA</w:t>
            </w:r>
          </w:p>
        </w:tc>
        <w:tc>
          <w:tcPr>
            <w:tcW w:type="dxa" w:w="1417"/>
            <w:shd w:fill="FFFFFF" w:val="clear"/>
          </w:tcPr>
          <w:p>
            <w:r>
              <w:rPr>
                <w:sz w:val="16"/>
              </w:rPr>
              <w:t>25,424 FCFA</w:t>
            </w:r>
          </w:p>
        </w:tc>
        <w:tc>
          <w:tcPr>
            <w:tcW w:type="dxa" w:w="1134"/>
            <w:shd w:fill="C6EFCE" w:val="clear"/>
          </w:tcPr>
          <w:p>
            <w:r>
              <w:rPr>
                <w:b/>
                <w:color w:val="007800"/>
                <w:sz w:val="16"/>
              </w:rPr>
              <w:t>+10.54%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2,180 FCFA</w:t>
            </w:r>
          </w:p>
        </w:tc>
        <w:tc>
          <w:tcPr>
            <w:tcW w:type="dxa" w:w="1417"/>
            <w:shd w:fill="FFFFFF" w:val="clear"/>
          </w:tcPr>
          <w:p>
            <w:r>
              <w:rPr>
                <w:sz w:val="16"/>
              </w:rPr>
              <w:t>2,275 FCFA</w:t>
            </w:r>
          </w:p>
        </w:tc>
        <w:tc>
          <w:tcPr>
            <w:tcW w:type="dxa" w:w="1134"/>
            <w:shd w:fill="C6EFCE" w:val="clear"/>
          </w:tcPr>
          <w:p>
            <w:r>
              <w:rPr>
                <w:b/>
                <w:color w:val="007800"/>
                <w:sz w:val="16"/>
              </w:rPr>
              <w:t>+4.36%</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(+82.5%) — signal potentiellement excessif, à croiser avec l'analyse technique. Trajectoire : 📈 Hausse continue. Cours actuel : 3,705 FCFA → prédit J+10 : 6,761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(+18.1%) — potentiel de revalorisation notable. Trajectoire : 📈 Hausse continue. Cours actuel : 22,900 FCFA → prédit J+10 : 27,042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(+15.1%) — potentiel de revalorisation notable. Trajectoire : 📈 Hausse continue. Cours actuel : 52,000 FCFA → prédit J+10 : 59,866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(+10.5%) — potentiel de revalorisation notable. Trajectoire : 📈 Hausse continue. Cours actuel : 23,000 FCFA → prédit J+10 : 25,424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(+4.4%) — progression graduelle attendue. Trajectoire : 📈 Hausse continue. Cours actuel : 2,180 FCFA → prédit J+10 : 2,275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3,350 FCFA</w:t>
            </w:r>
          </w:p>
        </w:tc>
        <w:tc>
          <w:tcPr>
            <w:tcW w:type="dxa" w:w="1417"/>
            <w:shd w:fill="FFFFFF" w:val="clear"/>
          </w:tcPr>
          <w:p>
            <w:r>
              <w:rPr>
                <w:sz w:val="16"/>
              </w:rPr>
              <w:t>1,536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2,614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7,190 FCFA</w:t>
            </w:r>
          </w:p>
        </w:tc>
        <w:tc>
          <w:tcPr>
            <w:tcW w:type="dxa" w:w="1417"/>
            <w:shd w:fill="FFFFFF" w:val="clear"/>
          </w:tcPr>
          <w:p>
            <w:r>
              <w:rPr>
                <w:sz w:val="16"/>
              </w:rPr>
              <w:t>3,297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66 FCFA</w:t>
            </w:r>
          </w:p>
        </w:tc>
        <w:tc>
          <w:tcPr>
            <w:tcW w:type="dxa" w:w="1417"/>
            <w:shd w:fill="FFFFFF" w:val="clear"/>
          </w:tcPr>
          <w:p>
            <w:r>
              <w:rPr>
                <w:sz w:val="16"/>
              </w:rPr>
              <w:t>30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2,350 FCFA</w:t>
            </w:r>
          </w:p>
        </w:tc>
        <w:tc>
          <w:tcPr>
            <w:tcW w:type="dxa" w:w="1417"/>
            <w:shd w:fill="FFFFFF" w:val="clear"/>
          </w:tcPr>
          <w:p>
            <w:r>
              <w:rPr>
                <w:sz w:val="16"/>
              </w:rPr>
              <w:t>1,391 FCFA</w:t>
            </w:r>
          </w:p>
        </w:tc>
        <w:tc>
          <w:tcPr>
            <w:tcW w:type="dxa" w:w="1134"/>
            <w:shd w:fill="FFC7CE" w:val="clear"/>
          </w:tcPr>
          <w:p>
            <w:r>
              <w:rPr>
                <w:b/>
                <w:color w:val="B40000"/>
                <w:sz w:val="16"/>
              </w:rPr>
              <w:t>-40.82%</w:t>
            </w:r>
          </w:p>
        </w:tc>
        <w:tc>
          <w:tcPr>
            <w:tcW w:type="dxa" w:w="1020"/>
            <w:shd w:fill="FFC7CE" w:val="clear"/>
          </w:tcPr>
          <w:p>
            <w:r>
              <w:rPr>
                <w:sz w:val="16"/>
              </w:rPr>
              <w:t>Faible</w:t>
            </w:r>
          </w:p>
        </w:tc>
      </w:tr>
    </w:tbl>
    <w:p/>
    <w:p>
      <w:pPr>
        <w:pStyle w:val="ListBullet"/>
      </w:pPr>
      <w:r>
        <w:rPr>
          <w:b/>
          <w:color w:val="B40000"/>
          <w:sz w:val="18"/>
        </w:rPr>
        <w:t xml:space="preserve">#1 SCRC </w:t>
      </w:r>
      <w:r>
        <w:rPr>
          <w:sz w:val="17"/>
        </w:rPr>
        <w:t>(SCRC - SUCRIVOIRE) — baisse très forte (-54.1%) — amplitude potentiellement surestimée par le modèle. Trajectoire : 📉 Baisse continue. Cours actuel : 3,350 FCFA → prédit J+10 : 1,536 FCFA. ⚠️ Confiance limitée — volatilité élevée. Ne pas agir sur ce seul signal.</w:t>
      </w:r>
    </w:p>
    <w:p>
      <w:pPr>
        <w:pStyle w:val="ListBullet"/>
      </w:pPr>
      <w:r>
        <w:rPr>
          <w:b/>
          <w:color w:val="B40000"/>
          <w:sz w:val="18"/>
        </w:rPr>
        <w:t xml:space="preserve">#2 SAFC </w:t>
      </w:r>
      <w:r>
        <w:rPr>
          <w:sz w:val="17"/>
        </w:rPr>
        <w:t>(SAFCA CI) — baisse très forte (-54.1%) — amplitude potentiellement surestimée par le modèle. Trajectoire : 📉 Baisse continue. Cours actuel : 5,700 FCFA → prédit J+10 : 2,614 FCFA. ⚠️ Confiance limitée — volatilité élevée. Ne pas agir sur ce seul signal.</w:t>
      </w:r>
    </w:p>
    <w:p>
      <w:pPr>
        <w:pStyle w:val="ListBullet"/>
      </w:pPr>
      <w:r>
        <w:rPr>
          <w:b/>
          <w:color w:val="B40000"/>
          <w:sz w:val="18"/>
        </w:rPr>
        <w:t xml:space="preserve">#3 CIEC </w:t>
      </w:r>
      <w:r>
        <w:rPr>
          <w:sz w:val="17"/>
        </w:rPr>
        <w:t>(CIEC - Compagnie Ivoirienne d'Electricit) — baisse très forte (-54.1%) — amplitude potentiellement surestimée par le modèle. Trajectoire : 📉 Baisse continue. Cours actuel : 7,190 FCFA → prédit J+10 : 3,297 FCFA. ⚠️ Confiance limitée — volatilité élevée. Ne pas agir sur ce seul signal.</w:t>
      </w:r>
    </w:p>
    <w:p>
      <w:pPr>
        <w:pStyle w:val="ListBullet"/>
      </w:pPr>
      <w:r>
        <w:rPr>
          <w:b/>
          <w:color w:val="B40000"/>
          <w:sz w:val="18"/>
        </w:rPr>
        <w:t xml:space="preserve">#4 ETIT </w:t>
      </w:r>
      <w:r>
        <w:rPr>
          <w:sz w:val="17"/>
        </w:rPr>
        <w:t>(ETIT - Ecobank Transnational Incorporate) — baisse très forte (-54.1%) — amplitude potentiellement surestimée par le modèle. Trajectoire : 📉 Baisse continue. Cours actuel : 66 FCFA → prédit J+10 : 30 FCFA. ⚠️ Confiance limitée — volatilité élevée. Ne pas agir sur ce seul signal.</w:t>
      </w:r>
    </w:p>
    <w:p>
      <w:pPr>
        <w:pStyle w:val="ListBullet"/>
      </w:pPr>
      <w:r>
        <w:rPr>
          <w:b/>
          <w:color w:val="B40000"/>
          <w:sz w:val="18"/>
        </w:rPr>
        <w:t xml:space="preserve">#5 NEIC </w:t>
      </w:r>
      <w:r>
        <w:rPr>
          <w:sz w:val="17"/>
        </w:rPr>
        <w:t>(NEIC - NEI-CEDA CI) — baisse très forte (-40.8%) — amplitude potentiellement surestimée par le modèle. Trajectoire : 📉 Baisse continue. Cours actuel : 2,350 FCFA → prédit J+10 : 1,391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3,705</w:t>
            </w:r>
          </w:p>
        </w:tc>
        <w:tc>
          <w:tcPr>
            <w:tcW w:type="dxa" w:w="1417"/>
            <w:shd w:fill="FFFFFF" w:val="clear"/>
          </w:tcPr>
          <w:p>
            <w:r>
              <w:rPr>
                <w:sz w:val="16"/>
              </w:rPr>
              <w:t>6,761</w:t>
            </w:r>
          </w:p>
        </w:tc>
        <w:tc>
          <w:tcPr>
            <w:tcW w:type="dxa" w:w="1134"/>
            <w:shd w:fill="C6EFCE" w:val="clear"/>
          </w:tcPr>
          <w:p>
            <w:r>
              <w:rPr>
                <w:b/>
                <w:color w:val="007800"/>
                <w:sz w:val="16"/>
              </w:rPr>
              <w:t>+82.47%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22,900</w:t>
            </w:r>
          </w:p>
        </w:tc>
        <w:tc>
          <w:tcPr>
            <w:tcW w:type="dxa" w:w="1417"/>
            <w:shd w:fill="FFFFFF" w:val="clear"/>
          </w:tcPr>
          <w:p>
            <w:r>
              <w:rPr>
                <w:sz w:val="16"/>
              </w:rPr>
              <w:t>27,042</w:t>
            </w:r>
          </w:p>
        </w:tc>
        <w:tc>
          <w:tcPr>
            <w:tcW w:type="dxa" w:w="1134"/>
            <w:shd w:fill="C6EFCE" w:val="clear"/>
          </w:tcPr>
          <w:p>
            <w:r>
              <w:rPr>
                <w:b/>
                <w:color w:val="007800"/>
                <w:sz w:val="16"/>
              </w:rPr>
              <w:t>+18.09%</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52,000</w:t>
            </w:r>
          </w:p>
        </w:tc>
        <w:tc>
          <w:tcPr>
            <w:tcW w:type="dxa" w:w="1417"/>
            <w:shd w:fill="FFFFFF" w:val="clear"/>
          </w:tcPr>
          <w:p>
            <w:r>
              <w:rPr>
                <w:sz w:val="16"/>
              </w:rPr>
              <w:t>59,866</w:t>
            </w:r>
          </w:p>
        </w:tc>
        <w:tc>
          <w:tcPr>
            <w:tcW w:type="dxa" w:w="1134"/>
            <w:shd w:fill="C6EFCE" w:val="clear"/>
          </w:tcPr>
          <w:p>
            <w:r>
              <w:rPr>
                <w:b/>
                <w:color w:val="007800"/>
                <w:sz w:val="16"/>
              </w:rPr>
              <w:t>+15.13%</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23,000</w:t>
            </w:r>
          </w:p>
        </w:tc>
        <w:tc>
          <w:tcPr>
            <w:tcW w:type="dxa" w:w="1417"/>
            <w:shd w:fill="FFFFFF" w:val="clear"/>
          </w:tcPr>
          <w:p>
            <w:r>
              <w:rPr>
                <w:sz w:val="16"/>
              </w:rPr>
              <w:t>25,424</w:t>
            </w:r>
          </w:p>
        </w:tc>
        <w:tc>
          <w:tcPr>
            <w:tcW w:type="dxa" w:w="1134"/>
            <w:shd w:fill="C6EFCE" w:val="clear"/>
          </w:tcPr>
          <w:p>
            <w:r>
              <w:rPr>
                <w:b/>
                <w:color w:val="007800"/>
                <w:sz w:val="16"/>
              </w:rPr>
              <w:t>+10.54%</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2,180</w:t>
            </w:r>
          </w:p>
        </w:tc>
        <w:tc>
          <w:tcPr>
            <w:tcW w:type="dxa" w:w="1417"/>
            <w:shd w:fill="FFFFFF" w:val="clear"/>
          </w:tcPr>
          <w:p>
            <w:r>
              <w:rPr>
                <w:sz w:val="16"/>
              </w:rPr>
              <w:t>2,275</w:t>
            </w:r>
          </w:p>
        </w:tc>
        <w:tc>
          <w:tcPr>
            <w:tcW w:type="dxa" w:w="1134"/>
            <w:shd w:fill="C6EFCE" w:val="clear"/>
          </w:tcPr>
          <w:p>
            <w:r>
              <w:rPr>
                <w:b/>
                <w:color w:val="007800"/>
                <w:sz w:val="16"/>
              </w:rPr>
              <w:t>+4.36%</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9,640</w:t>
            </w:r>
          </w:p>
        </w:tc>
        <w:tc>
          <w:tcPr>
            <w:tcW w:type="dxa" w:w="1417"/>
            <w:shd w:fill="FFFFFF" w:val="clear"/>
          </w:tcPr>
          <w:p>
            <w:r>
              <w:rPr>
                <w:sz w:val="16"/>
              </w:rPr>
              <w:t>9,856</w:t>
            </w:r>
          </w:p>
        </w:tc>
        <w:tc>
          <w:tcPr>
            <w:tcW w:type="dxa" w:w="1134"/>
            <w:shd w:fill="C6EFCE" w:val="clear"/>
          </w:tcPr>
          <w:p>
            <w:r>
              <w:rPr>
                <w:b/>
                <w:color w:val="007800"/>
                <w:sz w:val="16"/>
              </w:rPr>
              <w:t>+2.24%</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8,195</w:t>
            </w:r>
          </w:p>
        </w:tc>
        <w:tc>
          <w:tcPr>
            <w:tcW w:type="dxa" w:w="1417"/>
            <w:shd w:fill="FFFFFF" w:val="clear"/>
          </w:tcPr>
          <w:p>
            <w:r>
              <w:rPr>
                <w:sz w:val="16"/>
              </w:rPr>
              <w:t>8,277</w:t>
            </w:r>
          </w:p>
        </w:tc>
        <w:tc>
          <w:tcPr>
            <w:tcW w:type="dxa" w:w="1134"/>
            <w:shd w:fill="FFEB9C" w:val="clear"/>
          </w:tcPr>
          <w:p>
            <w:r>
              <w:rPr>
                <w:b/>
                <w:color w:val="646400"/>
                <w:sz w:val="16"/>
              </w:rPr>
              <w:t>+1.00%</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37,705</w:t>
            </w:r>
          </w:p>
        </w:tc>
        <w:tc>
          <w:tcPr>
            <w:tcW w:type="dxa" w:w="1417"/>
            <w:shd w:fill="FFFFFF" w:val="clear"/>
          </w:tcPr>
          <w:p>
            <w:r>
              <w:rPr>
                <w:sz w:val="16"/>
              </w:rPr>
              <w:t>37,592</w:t>
            </w:r>
          </w:p>
        </w:tc>
        <w:tc>
          <w:tcPr>
            <w:tcW w:type="dxa" w:w="1134"/>
            <w:shd w:fill="FFEB9C" w:val="clear"/>
          </w:tcPr>
          <w:p>
            <w:r>
              <w:rPr>
                <w:b/>
                <w:color w:val="646400"/>
                <w:sz w:val="16"/>
              </w:rPr>
              <w:t>-0.30%</w:t>
            </w:r>
          </w:p>
        </w:tc>
        <w:tc>
          <w:tcPr>
            <w:tcW w:type="dxa" w:w="1134"/>
            <w:shd w:fill="FFEB9C" w:val="clear"/>
          </w:tcPr>
          <w:p>
            <w:r>
              <w:rPr>
                <w:sz w:val="16"/>
              </w:rPr>
              <w:t>Moyenne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37,700</w:t>
            </w:r>
          </w:p>
        </w:tc>
        <w:tc>
          <w:tcPr>
            <w:tcW w:type="dxa" w:w="1417"/>
            <w:shd w:fill="FFFFFF" w:val="clear"/>
          </w:tcPr>
          <w:p>
            <w:r>
              <w:rPr>
                <w:sz w:val="16"/>
              </w:rPr>
              <w:t>37,408</w:t>
            </w:r>
          </w:p>
        </w:tc>
        <w:tc>
          <w:tcPr>
            <w:tcW w:type="dxa" w:w="1134"/>
            <w:shd w:fill="FFEB9C" w:val="clear"/>
          </w:tcPr>
          <w:p>
            <w:r>
              <w:rPr>
                <w:b/>
                <w:color w:val="646400"/>
                <w:sz w:val="16"/>
              </w:rPr>
              <w:t>-0.77%</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1,990</w:t>
            </w:r>
          </w:p>
        </w:tc>
        <w:tc>
          <w:tcPr>
            <w:tcW w:type="dxa" w:w="1417"/>
            <w:shd w:fill="FFFFFF" w:val="clear"/>
          </w:tcPr>
          <w:p>
            <w:r>
              <w:rPr>
                <w:sz w:val="16"/>
              </w:rPr>
              <w:t>1,974</w:t>
            </w:r>
          </w:p>
        </w:tc>
        <w:tc>
          <w:tcPr>
            <w:tcW w:type="dxa" w:w="1134"/>
            <w:shd w:fill="FFEB9C" w:val="clear"/>
          </w:tcPr>
          <w:p>
            <w:r>
              <w:rPr>
                <w:b/>
                <w:color w:val="646400"/>
                <w:sz w:val="16"/>
              </w:rPr>
              <w:t>-0.82%</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2,940</w:t>
            </w:r>
          </w:p>
        </w:tc>
        <w:tc>
          <w:tcPr>
            <w:tcW w:type="dxa" w:w="1417"/>
            <w:shd w:fill="FFFFFF" w:val="clear"/>
          </w:tcPr>
          <w:p>
            <w:r>
              <w:rPr>
                <w:sz w:val="16"/>
              </w:rPr>
              <w:t>2,874</w:t>
            </w:r>
          </w:p>
        </w:tc>
        <w:tc>
          <w:tcPr>
            <w:tcW w:type="dxa" w:w="1134"/>
            <w:shd w:fill="FFC7CE" w:val="clear"/>
          </w:tcPr>
          <w:p>
            <w:r>
              <w:rPr>
                <w:b/>
                <w:color w:val="B40000"/>
                <w:sz w:val="16"/>
              </w:rPr>
              <w:t>-2.26%</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5,250</w:t>
            </w:r>
          </w:p>
        </w:tc>
        <w:tc>
          <w:tcPr>
            <w:tcW w:type="dxa" w:w="1417"/>
            <w:shd w:fill="FFFFFF" w:val="clear"/>
          </w:tcPr>
          <w:p>
            <w:r>
              <w:rPr>
                <w:sz w:val="16"/>
              </w:rPr>
              <w:t>5,104</w:t>
            </w:r>
          </w:p>
        </w:tc>
        <w:tc>
          <w:tcPr>
            <w:tcW w:type="dxa" w:w="1134"/>
            <w:shd w:fill="FFC7CE" w:val="clear"/>
          </w:tcPr>
          <w:p>
            <w:r>
              <w:rPr>
                <w:b/>
                <w:color w:val="B40000"/>
                <w:sz w:val="16"/>
              </w:rPr>
              <w:t>-2.77%</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16,855</w:t>
            </w:r>
          </w:p>
        </w:tc>
        <w:tc>
          <w:tcPr>
            <w:tcW w:type="dxa" w:w="1417"/>
            <w:shd w:fill="FFFFFF" w:val="clear"/>
          </w:tcPr>
          <w:p>
            <w:r>
              <w:rPr>
                <w:sz w:val="16"/>
              </w:rPr>
              <w:t>16,387</w:t>
            </w:r>
          </w:p>
        </w:tc>
        <w:tc>
          <w:tcPr>
            <w:tcW w:type="dxa" w:w="1134"/>
            <w:shd w:fill="FFC7CE" w:val="clear"/>
          </w:tcPr>
          <w:p>
            <w:r>
              <w:rPr>
                <w:b/>
                <w:color w:val="B40000"/>
                <w:sz w:val="16"/>
              </w:rPr>
              <w:t>-2.78%</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3,180</w:t>
            </w:r>
          </w:p>
        </w:tc>
        <w:tc>
          <w:tcPr>
            <w:tcW w:type="dxa" w:w="1417"/>
            <w:shd w:fill="FFFFFF" w:val="clear"/>
          </w:tcPr>
          <w:p>
            <w:r>
              <w:rPr>
                <w:sz w:val="16"/>
              </w:rPr>
              <w:t>3,088</w:t>
            </w:r>
          </w:p>
        </w:tc>
        <w:tc>
          <w:tcPr>
            <w:tcW w:type="dxa" w:w="1134"/>
            <w:shd w:fill="FFC7CE" w:val="clear"/>
          </w:tcPr>
          <w:p>
            <w:r>
              <w:rPr>
                <w:b/>
                <w:color w:val="B40000"/>
                <w:sz w:val="16"/>
              </w:rPr>
              <w:t>-2.89%</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8,940</w:t>
            </w:r>
          </w:p>
        </w:tc>
        <w:tc>
          <w:tcPr>
            <w:tcW w:type="dxa" w:w="1417"/>
            <w:shd w:fill="FFFFFF" w:val="clear"/>
          </w:tcPr>
          <w:p>
            <w:r>
              <w:rPr>
                <w:sz w:val="16"/>
              </w:rPr>
              <w:t>8,659</w:t>
            </w:r>
          </w:p>
        </w:tc>
        <w:tc>
          <w:tcPr>
            <w:tcW w:type="dxa" w:w="1134"/>
            <w:shd w:fill="FFC7CE" w:val="clear"/>
          </w:tcPr>
          <w:p>
            <w:r>
              <w:rPr>
                <w:b/>
                <w:color w:val="B40000"/>
                <w:sz w:val="16"/>
              </w:rPr>
              <w:t>-3.14%</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17,000</w:t>
            </w:r>
          </w:p>
        </w:tc>
        <w:tc>
          <w:tcPr>
            <w:tcW w:type="dxa" w:w="1417"/>
            <w:shd w:fill="FFFFFF" w:val="clear"/>
          </w:tcPr>
          <w:p>
            <w:r>
              <w:rPr>
                <w:sz w:val="16"/>
              </w:rPr>
              <w:t>16,443</w:t>
            </w:r>
          </w:p>
        </w:tc>
        <w:tc>
          <w:tcPr>
            <w:tcW w:type="dxa" w:w="1134"/>
            <w:shd w:fill="FFC7CE" w:val="clear"/>
          </w:tcPr>
          <w:p>
            <w:r>
              <w:rPr>
                <w:b/>
                <w:color w:val="B40000"/>
                <w:sz w:val="16"/>
              </w:rPr>
              <w:t>-3.28%</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3,295</w:t>
            </w:r>
          </w:p>
        </w:tc>
        <w:tc>
          <w:tcPr>
            <w:tcW w:type="dxa" w:w="1417"/>
            <w:shd w:fill="FFFFFF" w:val="clear"/>
          </w:tcPr>
          <w:p>
            <w:r>
              <w:rPr>
                <w:sz w:val="16"/>
              </w:rPr>
              <w:t>3,171</w:t>
            </w:r>
          </w:p>
        </w:tc>
        <w:tc>
          <w:tcPr>
            <w:tcW w:type="dxa" w:w="1134"/>
            <w:shd w:fill="FFC7CE" w:val="clear"/>
          </w:tcPr>
          <w:p>
            <w:r>
              <w:rPr>
                <w:b/>
                <w:color w:val="B40000"/>
                <w:sz w:val="16"/>
              </w:rPr>
              <w:t>-3.76%</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4,100</w:t>
            </w:r>
          </w:p>
        </w:tc>
        <w:tc>
          <w:tcPr>
            <w:tcW w:type="dxa" w:w="1417"/>
            <w:shd w:fill="FFFFFF" w:val="clear"/>
          </w:tcPr>
          <w:p>
            <w:r>
              <w:rPr>
                <w:sz w:val="16"/>
              </w:rPr>
              <w:t>3,938</w:t>
            </w:r>
          </w:p>
        </w:tc>
        <w:tc>
          <w:tcPr>
            <w:tcW w:type="dxa" w:w="1134"/>
            <w:shd w:fill="FFC7CE" w:val="clear"/>
          </w:tcPr>
          <w:p>
            <w:r>
              <w:rPr>
                <w:b/>
                <w:color w:val="B40000"/>
                <w:sz w:val="16"/>
              </w:rPr>
              <w:t>-3.95%</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16,620</w:t>
            </w:r>
          </w:p>
        </w:tc>
        <w:tc>
          <w:tcPr>
            <w:tcW w:type="dxa" w:w="1417"/>
            <w:shd w:fill="FFFFFF" w:val="clear"/>
          </w:tcPr>
          <w:p>
            <w:r>
              <w:rPr>
                <w:sz w:val="16"/>
              </w:rPr>
              <w:t>15,915</w:t>
            </w:r>
          </w:p>
        </w:tc>
        <w:tc>
          <w:tcPr>
            <w:tcW w:type="dxa" w:w="1134"/>
            <w:shd w:fill="FFC7CE" w:val="clear"/>
          </w:tcPr>
          <w:p>
            <w:r>
              <w:rPr>
                <w:b/>
                <w:color w:val="B40000"/>
                <w:sz w:val="16"/>
              </w:rPr>
              <w:t>-4.24%</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34,400</w:t>
            </w:r>
          </w:p>
        </w:tc>
        <w:tc>
          <w:tcPr>
            <w:tcW w:type="dxa" w:w="1417"/>
            <w:shd w:fill="FFFFFF" w:val="clear"/>
          </w:tcPr>
          <w:p>
            <w:r>
              <w:rPr>
                <w:sz w:val="16"/>
              </w:rPr>
              <w:t>32,682</w:t>
            </w:r>
          </w:p>
        </w:tc>
        <w:tc>
          <w:tcPr>
            <w:tcW w:type="dxa" w:w="1134"/>
            <w:shd w:fill="FFC7CE" w:val="clear"/>
          </w:tcPr>
          <w:p>
            <w:r>
              <w:rPr>
                <w:b/>
                <w:color w:val="B40000"/>
                <w:sz w:val="16"/>
              </w:rPr>
              <w:t>-4.99%</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4,475</w:t>
            </w:r>
          </w:p>
        </w:tc>
        <w:tc>
          <w:tcPr>
            <w:tcW w:type="dxa" w:w="1417"/>
            <w:shd w:fill="FFFFFF" w:val="clear"/>
          </w:tcPr>
          <w:p>
            <w:r>
              <w:rPr>
                <w:sz w:val="16"/>
              </w:rPr>
              <w:t>4,233</w:t>
            </w:r>
          </w:p>
        </w:tc>
        <w:tc>
          <w:tcPr>
            <w:tcW w:type="dxa" w:w="1134"/>
            <w:shd w:fill="FFC7CE" w:val="clear"/>
          </w:tcPr>
          <w:p>
            <w:r>
              <w:rPr>
                <w:b/>
                <w:color w:val="B40000"/>
                <w:sz w:val="16"/>
              </w:rPr>
              <w:t>-5.40%</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2,735</w:t>
            </w:r>
          </w:p>
        </w:tc>
        <w:tc>
          <w:tcPr>
            <w:tcW w:type="dxa" w:w="1417"/>
            <w:shd w:fill="FFFFFF" w:val="clear"/>
          </w:tcPr>
          <w:p>
            <w:r>
              <w:rPr>
                <w:sz w:val="16"/>
              </w:rPr>
              <w:t>2,510</w:t>
            </w:r>
          </w:p>
        </w:tc>
        <w:tc>
          <w:tcPr>
            <w:tcW w:type="dxa" w:w="1134"/>
            <w:shd w:fill="FFC7CE" w:val="clear"/>
          </w:tcPr>
          <w:p>
            <w:r>
              <w:rPr>
                <w:b/>
                <w:color w:val="B40000"/>
                <w:sz w:val="16"/>
              </w:rPr>
              <w:t>-8.24%</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20,205</w:t>
            </w:r>
          </w:p>
        </w:tc>
        <w:tc>
          <w:tcPr>
            <w:tcW w:type="dxa" w:w="1417"/>
            <w:shd w:fill="FFFFFF" w:val="clear"/>
          </w:tcPr>
          <w:p>
            <w:r>
              <w:rPr>
                <w:sz w:val="16"/>
              </w:rPr>
              <w:t>18,514</w:t>
            </w:r>
          </w:p>
        </w:tc>
        <w:tc>
          <w:tcPr>
            <w:tcW w:type="dxa" w:w="1134"/>
            <w:shd w:fill="FFC7CE" w:val="clear"/>
          </w:tcPr>
          <w:p>
            <w:r>
              <w:rPr>
                <w:b/>
                <w:color w:val="B40000"/>
                <w:sz w:val="16"/>
              </w:rPr>
              <w:t>-8.37%</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12,090</w:t>
            </w:r>
          </w:p>
        </w:tc>
        <w:tc>
          <w:tcPr>
            <w:tcW w:type="dxa" w:w="1417"/>
            <w:shd w:fill="FFFFFF" w:val="clear"/>
          </w:tcPr>
          <w:p>
            <w:r>
              <w:rPr>
                <w:sz w:val="16"/>
              </w:rPr>
              <w:t>10,874</w:t>
            </w:r>
          </w:p>
        </w:tc>
        <w:tc>
          <w:tcPr>
            <w:tcW w:type="dxa" w:w="1134"/>
            <w:shd w:fill="FFC7CE" w:val="clear"/>
          </w:tcPr>
          <w:p>
            <w:r>
              <w:rPr>
                <w:b/>
                <w:color w:val="B40000"/>
                <w:sz w:val="16"/>
              </w:rPr>
              <w:t>-10.06%</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29,250</w:t>
            </w:r>
          </w:p>
        </w:tc>
        <w:tc>
          <w:tcPr>
            <w:tcW w:type="dxa" w:w="1417"/>
            <w:shd w:fill="FFFFFF" w:val="clear"/>
          </w:tcPr>
          <w:p>
            <w:r>
              <w:rPr>
                <w:sz w:val="16"/>
              </w:rPr>
              <w:t>26,283</w:t>
            </w:r>
          </w:p>
        </w:tc>
        <w:tc>
          <w:tcPr>
            <w:tcW w:type="dxa" w:w="1134"/>
            <w:shd w:fill="FFC7CE" w:val="clear"/>
          </w:tcPr>
          <w:p>
            <w:r>
              <w:rPr>
                <w:b/>
                <w:color w:val="B40000"/>
                <w:sz w:val="16"/>
              </w:rPr>
              <w:t>-10.14%</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2,470</w:t>
            </w:r>
          </w:p>
        </w:tc>
        <w:tc>
          <w:tcPr>
            <w:tcW w:type="dxa" w:w="1417"/>
            <w:shd w:fill="FFFFFF" w:val="clear"/>
          </w:tcPr>
          <w:p>
            <w:r>
              <w:rPr>
                <w:sz w:val="16"/>
              </w:rPr>
              <w:t>2,204</w:t>
            </w:r>
          </w:p>
        </w:tc>
        <w:tc>
          <w:tcPr>
            <w:tcW w:type="dxa" w:w="1134"/>
            <w:shd w:fill="FFC7CE" w:val="clear"/>
          </w:tcPr>
          <w:p>
            <w:r>
              <w:rPr>
                <w:b/>
                <w:color w:val="B40000"/>
                <w:sz w:val="16"/>
              </w:rPr>
              <w:t>-10.78%</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7,500</w:t>
            </w:r>
          </w:p>
        </w:tc>
        <w:tc>
          <w:tcPr>
            <w:tcW w:type="dxa" w:w="1417"/>
            <w:shd w:fill="FFFFFF" w:val="clear"/>
          </w:tcPr>
          <w:p>
            <w:r>
              <w:rPr>
                <w:sz w:val="16"/>
              </w:rPr>
              <w:t>6,613</w:t>
            </w:r>
          </w:p>
        </w:tc>
        <w:tc>
          <w:tcPr>
            <w:tcW w:type="dxa" w:w="1134"/>
            <w:shd w:fill="FFC7CE" w:val="clear"/>
          </w:tcPr>
          <w:p>
            <w:r>
              <w:rPr>
                <w:b/>
                <w:color w:val="B40000"/>
                <w:sz w:val="16"/>
              </w:rPr>
              <w:t>-11.83%</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1,590</w:t>
            </w:r>
          </w:p>
        </w:tc>
        <w:tc>
          <w:tcPr>
            <w:tcW w:type="dxa" w:w="1417"/>
            <w:shd w:fill="FFFFFF" w:val="clear"/>
          </w:tcPr>
          <w:p>
            <w:r>
              <w:rPr>
                <w:sz w:val="16"/>
              </w:rPr>
              <w:t>1,396</w:t>
            </w:r>
          </w:p>
        </w:tc>
        <w:tc>
          <w:tcPr>
            <w:tcW w:type="dxa" w:w="1134"/>
            <w:shd w:fill="FFC7CE" w:val="clear"/>
          </w:tcPr>
          <w:p>
            <w:r>
              <w:rPr>
                <w:b/>
                <w:color w:val="B40000"/>
                <w:sz w:val="16"/>
              </w:rPr>
              <w:t>-12.18%</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3,400</w:t>
            </w:r>
          </w:p>
        </w:tc>
        <w:tc>
          <w:tcPr>
            <w:tcW w:type="dxa" w:w="1417"/>
            <w:shd w:fill="FFFFFF" w:val="clear"/>
          </w:tcPr>
          <w:p>
            <w:r>
              <w:rPr>
                <w:sz w:val="16"/>
              </w:rPr>
              <w:t>2,925</w:t>
            </w:r>
          </w:p>
        </w:tc>
        <w:tc>
          <w:tcPr>
            <w:tcW w:type="dxa" w:w="1134"/>
            <w:shd w:fill="FFC7CE" w:val="clear"/>
          </w:tcPr>
          <w:p>
            <w:r>
              <w:rPr>
                <w:b/>
                <w:color w:val="B40000"/>
                <w:sz w:val="16"/>
              </w:rPr>
              <w:t>-13.97%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8,000</w:t>
            </w:r>
          </w:p>
        </w:tc>
        <w:tc>
          <w:tcPr>
            <w:tcW w:type="dxa" w:w="1417"/>
            <w:shd w:fill="FFFFFF" w:val="clear"/>
          </w:tcPr>
          <w:p>
            <w:r>
              <w:rPr>
                <w:sz w:val="16"/>
              </w:rPr>
              <w:t>6,850</w:t>
            </w:r>
          </w:p>
        </w:tc>
        <w:tc>
          <w:tcPr>
            <w:tcW w:type="dxa" w:w="1134"/>
            <w:shd w:fill="FFC7CE" w:val="clear"/>
          </w:tcPr>
          <w:p>
            <w:r>
              <w:rPr>
                <w:b/>
                <w:color w:val="B40000"/>
                <w:sz w:val="16"/>
              </w:rPr>
              <w:t>-14.37%</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6,250</w:t>
            </w:r>
          </w:p>
        </w:tc>
        <w:tc>
          <w:tcPr>
            <w:tcW w:type="dxa" w:w="1417"/>
            <w:shd w:fill="FFFFFF" w:val="clear"/>
          </w:tcPr>
          <w:p>
            <w:r>
              <w:rPr>
                <w:sz w:val="16"/>
              </w:rPr>
              <w:t>5,323</w:t>
            </w:r>
          </w:p>
        </w:tc>
        <w:tc>
          <w:tcPr>
            <w:tcW w:type="dxa" w:w="1134"/>
            <w:shd w:fill="FFC7CE" w:val="clear"/>
          </w:tcPr>
          <w:p>
            <w:r>
              <w:rPr>
                <w:b/>
                <w:color w:val="B40000"/>
                <w:sz w:val="16"/>
              </w:rPr>
              <w:t>-14.83%</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1,680</w:t>
            </w:r>
          </w:p>
        </w:tc>
        <w:tc>
          <w:tcPr>
            <w:tcW w:type="dxa" w:w="1417"/>
            <w:shd w:fill="FFFFFF" w:val="clear"/>
          </w:tcPr>
          <w:p>
            <w:r>
              <w:rPr>
                <w:sz w:val="16"/>
              </w:rPr>
              <w:t>1,420</w:t>
            </w:r>
          </w:p>
        </w:tc>
        <w:tc>
          <w:tcPr>
            <w:tcW w:type="dxa" w:w="1134"/>
            <w:shd w:fill="FFC7CE" w:val="clear"/>
          </w:tcPr>
          <w:p>
            <w:r>
              <w:rPr>
                <w:b/>
                <w:color w:val="B40000"/>
                <w:sz w:val="16"/>
              </w:rPr>
              <w:t>-15.48%</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9,500</w:t>
            </w:r>
          </w:p>
        </w:tc>
        <w:tc>
          <w:tcPr>
            <w:tcW w:type="dxa" w:w="1417"/>
            <w:shd w:fill="FFFFFF" w:val="clear"/>
          </w:tcPr>
          <w:p>
            <w:r>
              <w:rPr>
                <w:sz w:val="16"/>
              </w:rPr>
              <w:t>7,985</w:t>
            </w:r>
          </w:p>
        </w:tc>
        <w:tc>
          <w:tcPr>
            <w:tcW w:type="dxa" w:w="1134"/>
            <w:shd w:fill="FFC7CE" w:val="clear"/>
          </w:tcPr>
          <w:p>
            <w:r>
              <w:rPr>
                <w:b/>
                <w:color w:val="B40000"/>
                <w:sz w:val="16"/>
              </w:rPr>
              <w:t>-15.95%</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3,965</w:t>
            </w:r>
          </w:p>
        </w:tc>
        <w:tc>
          <w:tcPr>
            <w:tcW w:type="dxa" w:w="1417"/>
            <w:shd w:fill="FFFFFF" w:val="clear"/>
          </w:tcPr>
          <w:p>
            <w:r>
              <w:rPr>
                <w:sz w:val="16"/>
              </w:rPr>
              <w:t>3,274</w:t>
            </w:r>
          </w:p>
        </w:tc>
        <w:tc>
          <w:tcPr>
            <w:tcW w:type="dxa" w:w="1134"/>
            <w:shd w:fill="FFC7CE" w:val="clear"/>
          </w:tcPr>
          <w:p>
            <w:r>
              <w:rPr>
                <w:b/>
                <w:color w:val="B40000"/>
                <w:sz w:val="16"/>
              </w:rPr>
              <w:t>-17.44%</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9,100</w:t>
            </w:r>
          </w:p>
        </w:tc>
        <w:tc>
          <w:tcPr>
            <w:tcW w:type="dxa" w:w="1417"/>
            <w:shd w:fill="FFFFFF" w:val="clear"/>
          </w:tcPr>
          <w:p>
            <w:r>
              <w:rPr>
                <w:sz w:val="16"/>
              </w:rPr>
              <w:t>7,184</w:t>
            </w:r>
          </w:p>
        </w:tc>
        <w:tc>
          <w:tcPr>
            <w:tcW w:type="dxa" w:w="1134"/>
            <w:shd w:fill="FFC7CE" w:val="clear"/>
          </w:tcPr>
          <w:p>
            <w:r>
              <w:rPr>
                <w:b/>
                <w:color w:val="B40000"/>
                <w:sz w:val="16"/>
              </w:rPr>
              <w:t>-21.06%</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2,380</w:t>
            </w:r>
          </w:p>
        </w:tc>
        <w:tc>
          <w:tcPr>
            <w:tcW w:type="dxa" w:w="1417"/>
            <w:shd w:fill="FFFFFF" w:val="clear"/>
          </w:tcPr>
          <w:p>
            <w:r>
              <w:rPr>
                <w:sz w:val="16"/>
              </w:rPr>
              <w:t>1,834</w:t>
            </w:r>
          </w:p>
        </w:tc>
        <w:tc>
          <w:tcPr>
            <w:tcW w:type="dxa" w:w="1134"/>
            <w:shd w:fill="FFC7CE" w:val="clear"/>
          </w:tcPr>
          <w:p>
            <w:r>
              <w:rPr>
                <w:b/>
                <w:color w:val="B40000"/>
                <w:sz w:val="16"/>
              </w:rPr>
              <w:t>-22.95%</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9,350</w:t>
            </w:r>
          </w:p>
        </w:tc>
        <w:tc>
          <w:tcPr>
            <w:tcW w:type="dxa" w:w="1417"/>
            <w:shd w:fill="FFFFFF" w:val="clear"/>
          </w:tcPr>
          <w:p>
            <w:r>
              <w:rPr>
                <w:sz w:val="16"/>
              </w:rPr>
              <w:t>7,144</w:t>
            </w:r>
          </w:p>
        </w:tc>
        <w:tc>
          <w:tcPr>
            <w:tcW w:type="dxa" w:w="1134"/>
            <w:shd w:fill="FFC7CE" w:val="clear"/>
          </w:tcPr>
          <w:p>
            <w:r>
              <w:rPr>
                <w:b/>
                <w:color w:val="B40000"/>
                <w:sz w:val="16"/>
              </w:rPr>
              <w:t>-23.60%</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2,450</w:t>
            </w:r>
          </w:p>
        </w:tc>
        <w:tc>
          <w:tcPr>
            <w:tcW w:type="dxa" w:w="1417"/>
            <w:shd w:fill="FFFFFF" w:val="clear"/>
          </w:tcPr>
          <w:p>
            <w:r>
              <w:rPr>
                <w:sz w:val="16"/>
              </w:rPr>
              <w:t>1,695</w:t>
            </w:r>
          </w:p>
        </w:tc>
        <w:tc>
          <w:tcPr>
            <w:tcW w:type="dxa" w:w="1134"/>
            <w:shd w:fill="FFC7CE" w:val="clear"/>
          </w:tcPr>
          <w:p>
            <w:r>
              <w:rPr>
                <w:b/>
                <w:color w:val="B40000"/>
                <w:sz w:val="16"/>
              </w:rPr>
              <w:t>-30.83%</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13,300</w:t>
            </w:r>
          </w:p>
        </w:tc>
        <w:tc>
          <w:tcPr>
            <w:tcW w:type="dxa" w:w="1417"/>
            <w:shd w:fill="FFFFFF" w:val="clear"/>
          </w:tcPr>
          <w:p>
            <w:r>
              <w:rPr>
                <w:sz w:val="16"/>
              </w:rPr>
              <w:t>8,903</w:t>
            </w:r>
          </w:p>
        </w:tc>
        <w:tc>
          <w:tcPr>
            <w:tcW w:type="dxa" w:w="1134"/>
            <w:shd w:fill="FFC7CE" w:val="clear"/>
          </w:tcPr>
          <w:p>
            <w:r>
              <w:rPr>
                <w:b/>
                <w:color w:val="B40000"/>
                <w:sz w:val="16"/>
              </w:rPr>
              <w:t>-33.06%</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8,400</w:t>
            </w:r>
          </w:p>
        </w:tc>
        <w:tc>
          <w:tcPr>
            <w:tcW w:type="dxa" w:w="1417"/>
            <w:shd w:fill="FFFFFF" w:val="clear"/>
          </w:tcPr>
          <w:p>
            <w:r>
              <w:rPr>
                <w:sz w:val="16"/>
              </w:rPr>
              <w:t>5,505</w:t>
            </w:r>
          </w:p>
        </w:tc>
        <w:tc>
          <w:tcPr>
            <w:tcW w:type="dxa" w:w="1134"/>
            <w:shd w:fill="FFC7CE" w:val="clear"/>
          </w:tcPr>
          <w:p>
            <w:r>
              <w:rPr>
                <w:b/>
                <w:color w:val="B40000"/>
                <w:sz w:val="16"/>
              </w:rPr>
              <w:t>-34.46%</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2,550</w:t>
            </w:r>
          </w:p>
        </w:tc>
        <w:tc>
          <w:tcPr>
            <w:tcW w:type="dxa" w:w="1417"/>
            <w:shd w:fill="FFFFFF" w:val="clear"/>
          </w:tcPr>
          <w:p>
            <w:r>
              <w:rPr>
                <w:sz w:val="16"/>
              </w:rPr>
              <w:t>1,598</w:t>
            </w:r>
          </w:p>
        </w:tc>
        <w:tc>
          <w:tcPr>
            <w:tcW w:type="dxa" w:w="1134"/>
            <w:shd w:fill="FFC7CE" w:val="clear"/>
          </w:tcPr>
          <w:p>
            <w:r>
              <w:rPr>
                <w:b/>
                <w:color w:val="B40000"/>
                <w:sz w:val="16"/>
              </w:rPr>
              <w:t>-37.35%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29,000</w:t>
            </w:r>
          </w:p>
        </w:tc>
        <w:tc>
          <w:tcPr>
            <w:tcW w:type="dxa" w:w="1417"/>
            <w:shd w:fill="FFFFFF" w:val="clear"/>
          </w:tcPr>
          <w:p>
            <w:r>
              <w:rPr>
                <w:sz w:val="16"/>
              </w:rPr>
              <w:t>17,408</w:t>
            </w:r>
          </w:p>
        </w:tc>
        <w:tc>
          <w:tcPr>
            <w:tcW w:type="dxa" w:w="1134"/>
            <w:shd w:fill="FFC7CE" w:val="clear"/>
          </w:tcPr>
          <w:p>
            <w:r>
              <w:rPr>
                <w:b/>
                <w:color w:val="B40000"/>
                <w:sz w:val="16"/>
              </w:rPr>
              <w:t>-39.97%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2,350</w:t>
            </w:r>
          </w:p>
        </w:tc>
        <w:tc>
          <w:tcPr>
            <w:tcW w:type="dxa" w:w="1417"/>
            <w:shd w:fill="FFFFFF" w:val="clear"/>
          </w:tcPr>
          <w:p>
            <w:r>
              <w:rPr>
                <w:sz w:val="16"/>
              </w:rPr>
              <w:t>1,391</w:t>
            </w:r>
          </w:p>
        </w:tc>
        <w:tc>
          <w:tcPr>
            <w:tcW w:type="dxa" w:w="1134"/>
            <w:shd w:fill="FFC7CE" w:val="clear"/>
          </w:tcPr>
          <w:p>
            <w:r>
              <w:rPr>
                <w:b/>
                <w:color w:val="B40000"/>
                <w:sz w:val="16"/>
              </w:rPr>
              <w:t>-40.82%</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66</w:t>
            </w:r>
          </w:p>
        </w:tc>
        <w:tc>
          <w:tcPr>
            <w:tcW w:type="dxa" w:w="1417"/>
            <w:shd w:fill="FFFFFF" w:val="clear"/>
          </w:tcPr>
          <w:p>
            <w:r>
              <w:rPr>
                <w:sz w:val="16"/>
              </w:rPr>
              <w:t>30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7,190</w:t>
            </w:r>
          </w:p>
        </w:tc>
        <w:tc>
          <w:tcPr>
            <w:tcW w:type="dxa" w:w="1417"/>
            <w:shd w:fill="FFFFFF" w:val="clear"/>
          </w:tcPr>
          <w:p>
            <w:r>
              <w:rPr>
                <w:sz w:val="16"/>
              </w:rPr>
              <w:t>3,297</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5,700</w:t>
            </w:r>
          </w:p>
        </w:tc>
        <w:tc>
          <w:tcPr>
            <w:tcW w:type="dxa" w:w="1417"/>
            <w:shd w:fill="FFFFFF" w:val="clear"/>
          </w:tcPr>
          <w:p>
            <w:r>
              <w:rPr>
                <w:sz w:val="16"/>
              </w:rPr>
              <w:t>2,614</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3,350</w:t>
            </w:r>
          </w:p>
        </w:tc>
        <w:tc>
          <w:tcPr>
            <w:tcW w:type="dxa" w:w="1417"/>
            <w:shd w:fill="FFFFFF" w:val="clear"/>
          </w:tcPr>
          <w:p>
            <w:r>
              <w:rPr>
                <w:sz w:val="16"/>
              </w:rPr>
              <w:t>1,536</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37.10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3,162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B40000"/>
                <w:sz w:val="17"/>
              </w:rPr>
              <w:t>-0.73%</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7.20% (Moyenne) — μ=3,209 FCFA, σ=231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β=0.3288 (Défensif) — Cov=0.000010, Var(idx)=0.000031, ρ=0.059,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3,158</w:t>
            </w:r>
          </w:p>
        </w:tc>
        <w:tc>
          <w:tcPr>
            <w:tcW w:type="dxa" w:w="1440"/>
            <w:shd w:fill="FFDCE0" w:val="clear"/>
          </w:tcPr>
          <w:p>
            <w:r>
              <w:rPr>
                <w:b/>
                <w:sz w:val="17"/>
              </w:rPr>
              <w:t>3,317</w:t>
            </w:r>
          </w:p>
        </w:tc>
        <w:tc>
          <w:tcPr>
            <w:tcW w:type="dxa" w:w="1440"/>
            <w:shd w:fill="FFDCE0" w:val="clear"/>
          </w:tcPr>
          <w:p>
            <w:r>
              <w:rPr>
                <w:sz w:val="17"/>
              </w:rPr>
              <w:t>3,476</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3,040</w:t>
            </w:r>
          </w:p>
        </w:tc>
        <w:tc>
          <w:tcPr>
            <w:tcW w:type="dxa" w:w="1440"/>
            <w:shd w:fill="FFDCE0" w:val="clear"/>
          </w:tcPr>
          <w:p>
            <w:r>
              <w:rPr>
                <w:b/>
                <w:sz w:val="17"/>
              </w:rPr>
              <w:t>3,261</w:t>
            </w:r>
          </w:p>
        </w:tc>
        <w:tc>
          <w:tcPr>
            <w:tcW w:type="dxa" w:w="1440"/>
            <w:shd w:fill="FFDCE0" w:val="clear"/>
          </w:tcPr>
          <w:p>
            <w:r>
              <w:rPr>
                <w:sz w:val="17"/>
              </w:rPr>
              <w:t>3,482</w:t>
            </w:r>
          </w:p>
        </w:tc>
        <w:tc>
          <w:tcPr>
            <w:tcW w:type="dxa" w:w="1440"/>
            <w:shd w:fill="FFDCE0" w:val="clear"/>
          </w:tcPr>
          <w:p>
            <w:r>
              <w:rPr>
                <w:b/>
                <w:color w:val="C00000"/>
                <w:sz w:val="17"/>
              </w:rPr>
              <w:t>-4.1%</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2,939</w:t>
            </w:r>
          </w:p>
        </w:tc>
        <w:tc>
          <w:tcPr>
            <w:tcW w:type="dxa" w:w="1440"/>
            <w:shd w:fill="FFDCE0" w:val="clear"/>
          </w:tcPr>
          <w:p>
            <w:r>
              <w:rPr>
                <w:b/>
                <w:sz w:val="17"/>
              </w:rPr>
              <w:t>3,204</w:t>
            </w:r>
          </w:p>
        </w:tc>
        <w:tc>
          <w:tcPr>
            <w:tcW w:type="dxa" w:w="1440"/>
            <w:shd w:fill="FFDCE0" w:val="clear"/>
          </w:tcPr>
          <w:p>
            <w:r>
              <w:rPr>
                <w:sz w:val="17"/>
              </w:rPr>
              <w:t>3,470</w:t>
            </w:r>
          </w:p>
        </w:tc>
        <w:tc>
          <w:tcPr>
            <w:tcW w:type="dxa" w:w="1440"/>
            <w:shd w:fill="FFDCE0" w:val="clear"/>
          </w:tcPr>
          <w:p>
            <w:r>
              <w:rPr>
                <w:b/>
                <w:color w:val="C00000"/>
                <w:sz w:val="17"/>
              </w:rPr>
              <w:t>-5.8%</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2,853</w:t>
            </w:r>
          </w:p>
        </w:tc>
        <w:tc>
          <w:tcPr>
            <w:tcW w:type="dxa" w:w="1440"/>
            <w:shd w:fill="FFDCE0" w:val="clear"/>
          </w:tcPr>
          <w:p>
            <w:r>
              <w:rPr>
                <w:b/>
                <w:sz w:val="17"/>
              </w:rPr>
              <w:t>3,155</w:t>
            </w:r>
          </w:p>
        </w:tc>
        <w:tc>
          <w:tcPr>
            <w:tcW w:type="dxa" w:w="1440"/>
            <w:shd w:fill="FFDCE0" w:val="clear"/>
          </w:tcPr>
          <w:p>
            <w:r>
              <w:rPr>
                <w:sz w:val="17"/>
              </w:rPr>
              <w:t>3,457</w:t>
            </w:r>
          </w:p>
        </w:tc>
        <w:tc>
          <w:tcPr>
            <w:tcW w:type="dxa" w:w="1440"/>
            <w:shd w:fill="FFDCE0" w:val="clear"/>
          </w:tcPr>
          <w:p>
            <w:r>
              <w:rPr>
                <w:b/>
                <w:color w:val="C00000"/>
                <w:sz w:val="17"/>
              </w:rPr>
              <w:t>-7.2%</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2,777</w:t>
            </w:r>
          </w:p>
        </w:tc>
        <w:tc>
          <w:tcPr>
            <w:tcW w:type="dxa" w:w="1440"/>
            <w:shd w:fill="FFDCE0" w:val="clear"/>
          </w:tcPr>
          <w:p>
            <w:r>
              <w:rPr>
                <w:b/>
                <w:sz w:val="17"/>
              </w:rPr>
              <w:t>3,110</w:t>
            </w:r>
          </w:p>
        </w:tc>
        <w:tc>
          <w:tcPr>
            <w:tcW w:type="dxa" w:w="1440"/>
            <w:shd w:fill="FFDCE0" w:val="clear"/>
          </w:tcPr>
          <w:p>
            <w:r>
              <w:rPr>
                <w:sz w:val="17"/>
              </w:rPr>
              <w:t>3,443</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2,709</w:t>
            </w:r>
          </w:p>
        </w:tc>
        <w:tc>
          <w:tcPr>
            <w:tcW w:type="dxa" w:w="1440"/>
            <w:shd w:fill="FFDCE0" w:val="clear"/>
          </w:tcPr>
          <w:p>
            <w:r>
              <w:rPr>
                <w:b/>
                <w:sz w:val="17"/>
              </w:rPr>
              <w:t>3,069</w:t>
            </w:r>
          </w:p>
        </w:tc>
        <w:tc>
          <w:tcPr>
            <w:tcW w:type="dxa" w:w="1440"/>
            <w:shd w:fill="FFDCE0" w:val="clear"/>
          </w:tcPr>
          <w:p>
            <w:r>
              <w:rPr>
                <w:sz w:val="17"/>
              </w:rPr>
              <w:t>3,429</w:t>
            </w:r>
          </w:p>
        </w:tc>
        <w:tc>
          <w:tcPr>
            <w:tcW w:type="dxa" w:w="1440"/>
            <w:shd w:fill="FFDCE0" w:val="clear"/>
          </w:tcPr>
          <w:p>
            <w:r>
              <w:rPr>
                <w:b/>
                <w:color w:val="C00000"/>
                <w:sz w:val="17"/>
              </w:rPr>
              <w:t>-9.7%</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2,646</w:t>
            </w:r>
          </w:p>
        </w:tc>
        <w:tc>
          <w:tcPr>
            <w:tcW w:type="dxa" w:w="1440"/>
            <w:shd w:fill="FFDCE0" w:val="clear"/>
          </w:tcPr>
          <w:p>
            <w:r>
              <w:rPr>
                <w:b/>
                <w:sz w:val="17"/>
              </w:rPr>
              <w:t>3,030</w:t>
            </w:r>
          </w:p>
        </w:tc>
        <w:tc>
          <w:tcPr>
            <w:tcW w:type="dxa" w:w="1440"/>
            <w:shd w:fill="FFDCE0" w:val="clear"/>
          </w:tcPr>
          <w:p>
            <w:r>
              <w:rPr>
                <w:sz w:val="17"/>
              </w:rPr>
              <w:t>3,414</w:t>
            </w:r>
          </w:p>
        </w:tc>
        <w:tc>
          <w:tcPr>
            <w:tcW w:type="dxa" w:w="1440"/>
            <w:shd w:fill="FFDCE0" w:val="clear"/>
          </w:tcPr>
          <w:p>
            <w:r>
              <w:rPr>
                <w:b/>
                <w:color w:val="C00000"/>
                <w:sz w:val="17"/>
              </w:rPr>
              <w:t>-10.9%</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2,588</w:t>
            </w:r>
          </w:p>
        </w:tc>
        <w:tc>
          <w:tcPr>
            <w:tcW w:type="dxa" w:w="1440"/>
            <w:shd w:fill="FFDCE0" w:val="clear"/>
          </w:tcPr>
          <w:p>
            <w:r>
              <w:rPr>
                <w:b/>
                <w:sz w:val="17"/>
              </w:rPr>
              <w:t>2,993</w:t>
            </w:r>
          </w:p>
        </w:tc>
        <w:tc>
          <w:tcPr>
            <w:tcW w:type="dxa" w:w="1440"/>
            <w:shd w:fill="FFDCE0" w:val="clear"/>
          </w:tcPr>
          <w:p>
            <w:r>
              <w:rPr>
                <w:sz w:val="17"/>
              </w:rPr>
              <w:t>3,399</w:t>
            </w:r>
          </w:p>
        </w:tc>
        <w:tc>
          <w:tcPr>
            <w:tcW w:type="dxa" w:w="1440"/>
            <w:shd w:fill="FFDCE0" w:val="clear"/>
          </w:tcPr>
          <w:p>
            <w:r>
              <w:rPr>
                <w:b/>
                <w:color w:val="C00000"/>
                <w:sz w:val="17"/>
              </w:rPr>
              <w:t>-12.0%</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2,534</w:t>
            </w:r>
          </w:p>
        </w:tc>
        <w:tc>
          <w:tcPr>
            <w:tcW w:type="dxa" w:w="1440"/>
            <w:shd w:fill="FFDCE0" w:val="clear"/>
          </w:tcPr>
          <w:p>
            <w:r>
              <w:rPr>
                <w:b/>
                <w:sz w:val="17"/>
              </w:rPr>
              <w:t>2,958</w:t>
            </w:r>
          </w:p>
        </w:tc>
        <w:tc>
          <w:tcPr>
            <w:tcW w:type="dxa" w:w="1440"/>
            <w:shd w:fill="FFDCE0" w:val="clear"/>
          </w:tcPr>
          <w:p>
            <w:r>
              <w:rPr>
                <w:sz w:val="17"/>
              </w:rPr>
              <w:t>3,383</w:t>
            </w:r>
          </w:p>
        </w:tc>
        <w:tc>
          <w:tcPr>
            <w:tcW w:type="dxa" w:w="1440"/>
            <w:shd w:fill="FFDCE0" w:val="clear"/>
          </w:tcPr>
          <w:p>
            <w:r>
              <w:rPr>
                <w:b/>
                <w:color w:val="C00000"/>
                <w:sz w:val="17"/>
              </w:rPr>
              <w:t>-13.0%</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2,482</w:t>
            </w:r>
          </w:p>
        </w:tc>
        <w:tc>
          <w:tcPr>
            <w:tcW w:type="dxa" w:w="1440"/>
            <w:shd w:fill="FFDCE0" w:val="clear"/>
          </w:tcPr>
          <w:p>
            <w:r>
              <w:rPr>
                <w:b/>
                <w:sz w:val="17"/>
              </w:rPr>
              <w:t>2,925</w:t>
            </w:r>
          </w:p>
        </w:tc>
        <w:tc>
          <w:tcPr>
            <w:tcW w:type="dxa" w:w="1440"/>
            <w:shd w:fill="FFDCE0" w:val="clear"/>
          </w:tcPr>
          <w:p>
            <w:r>
              <w:rPr>
                <w:sz w:val="17"/>
              </w:rPr>
              <w:t>3,368</w:t>
            </w:r>
          </w:p>
        </w:tc>
        <w:tc>
          <w:tcPr>
            <w:tcW w:type="dxa" w:w="1440"/>
            <w:shd w:fill="FFDCE0" w:val="clear"/>
          </w:tcPr>
          <w:p>
            <w:r>
              <w:rPr>
                <w:b/>
                <w:color w:val="C00000"/>
                <w:sz w:val="17"/>
              </w:rPr>
              <w:t>-14.0%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Absolument. Voici un rapport d'analyse professionnel structuré pour l'action ABJC (Servair Abidjan) sur le marché de la BRVM,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37,10 milliards FCFA, un niveau qui la positionne comme une valeur de taille moyenne sur la BRVM. Avec un BPA de 124 FCFA, le titre se paie actuellement 27,5 fois ses bénéfices (PER). Ce ratio est très élevé par rapport à la moyenne historique du marché qui se situe entre 8 et 12 fois, indiquant que les investisseurs intègrent une forte croissance future, ou que le titre est surévalué. Le Price-to-Book (P/B) de 7,19x confirme cette exubérance, le marché valorisant l'actif net comptable plus de sept fois au-dessus de sa valeur, ce qui est une prime considérable. Enfin, un EV/EBITDA de 14,0x, bien que dans la fourchette haute, suggère que la valeur totale de l'entreprise (capitalisation + dette nette) reste cohérente avec sa capacité opérationnelle à générer des flux, mais laisse peu de marge de sécurité.</w:t>
      </w:r>
    </w:p>
    <w:p>
      <w:pPr>
        <w:spacing w:after="120" w:line="276" w:lineRule="auto"/>
      </w:pPr>
      <w:r>
        <w:t>### PARTIE 1 : ANALYSE DU COURS — STATISTIQUES ET ÉVOLUTION (100 derniers jours)</w:t>
      </w:r>
    </w:p>
    <w:p>
      <w:pPr>
        <w:spacing w:after="120" w:line="276" w:lineRule="auto"/>
      </w:pPr>
      <w:r>
        <w:t>Sur les 100 derniers jours, l'action ABJC affiche une variation totale quasi nulle de -0,73%, avec une légère progression de +0,44% lors de la dernière séance. Le cours a évolué dans une fourchette de 2 800 FCFA à 3 780 FCFA, montrant une amplitude de trading significative. Le cours actuel de 3 400 FCFA se situe au-dessus de la moyenne (3 209 FCFA) et de la médiane (3 182 FCFA), indiquant une tendance récente haussière malgré la stabilité globale. L'écart-type de 232 FCFA (CV=7,2%) révèle une dispersion modérée autour de la moyenne. Le kurtosis négatif (-0.682) signale une distribution mésokurtique, sans risque de variations extrêmes, tandis que le skewness positif (0.281) suggère une asymétrie vers les rendements positifs. La volatilité annualisée de 48,7% est très élevée, classant le titre comme risqué, avec des fluctuations de prix importantes sur l'année.</w:t>
      </w:r>
    </w:p>
    <w:p>
      <w:pPr>
        <w:spacing w:after="120" w:line="276" w:lineRule="auto"/>
      </w:pPr>
      <w:r>
        <w:t>### PARTIE 2 : ANALYSE TECHNIQUE DÉTAILLÉE</w:t>
      </w:r>
    </w:p>
    <w:p>
      <w:pPr>
        <w:spacing w:after="120" w:line="276" w:lineRule="auto"/>
      </w:pPr>
      <w:r>
        <w:t>**Moyennes Mobiles** : Le cours actuel (3 400 FCFA) est nettement supérieur à la MM20 (3 126,5 FCFA) et à la MM50 (3 195,4 FCFA). Cette configuration est généralement haussière, mais la décision technique globale est un signal de "Vente". Cela peut s'expliquer par un écart trop important entre le prix et ses moyennes, suggérant une possible correction à court terme pour revenir vers ces niveaux de support.</w:t>
      </w:r>
    </w:p>
    <w:p>
      <w:pPr>
        <w:spacing w:after="120" w:line="276" w:lineRule="auto"/>
      </w:pPr>
      <w:r>
        <w:t>**Bandes de Bollinger** : Le prix à 3 400 FCFA se situe juste en dessous de la borne supérieure (3 438,76 FCFA). Le titre est donc en zone de surachat technique, testant la limite supérieure de sa bande de volatilité. La décision "Neutre" indique que le marché n'a pas encore pris de direction claire, mais la proximité de la borne supérieure suggère une résistance forte.</w:t>
      </w:r>
    </w:p>
    <w:p>
      <w:pPr>
        <w:spacing w:after="120" w:line="276" w:lineRule="auto"/>
      </w:pPr>
      <w:r>
        <w:t>**MACD** : Le MACD (63,294) est nettement supérieur à son signal (16,163), et les deux sont positifs. Cette configuration est un signal d'achat classique, indiquant un momentum haussier fort et une accélération de la tendance. La divergence positive montre que la dynamique d'achat est dominante.</w:t>
      </w:r>
    </w:p>
    <w:p>
      <w:pPr>
        <w:spacing w:after="120" w:line="276" w:lineRule="auto"/>
      </w:pPr>
      <w:r>
        <w:t>**RSI** : Le RSI est à 73,256, ce qui est au-dessus du seuil de surachat (70). Cela signale que le titre est surévalué à court terme et qu'un repli technique est probable. La pression acheteuse est intense, mais elle atteint des niveaux historiquement insoutenables, d'où la décision de "Vente".</w:t>
      </w:r>
    </w:p>
    <w:p>
      <w:pPr>
        <w:spacing w:after="120" w:line="276" w:lineRule="auto"/>
      </w:pPr>
      <w:r>
        <w:t>**Stochastique** : Le %K et le %D sont tous deux à 100,0, en territoire de surachat extrême. Ce niveau maximal indique que le titre est à son plus haut sur la période étudiée. Le croisement de ces deux lignes, lorsqu'il se produira, sera un signal de vente puissant. La décision est donc "Vente".</w:t>
      </w:r>
    </w:p>
    <w:p>
      <w:pPr>
        <w:spacing w:after="120" w:line="276" w:lineRule="auto"/>
      </w:pPr>
      <w:r>
        <w:t>**Conclusion technique** : Les indicateurs de momentum (MACD) sont positifs, mais les oscillateurs de surachat (RSI, Stochastique) et la position par rapport aux bandes de Bollinger suggèrent une correction imminente. La tendance de fond reste haussière (prix &gt; MM50), mais le titre est techniquement suracheté à court terme. Le signal de vente des moyennes mobiles et des oscillateurs prévaut sur le momentum, indiquant un risque de repli vers les 3 200 FCFA.</w:t>
      </w:r>
    </w:p>
    <w:p>
      <w:pPr>
        <w:spacing w:after="120" w:line="276" w:lineRule="auto"/>
      </w:pPr>
      <w:r>
        <w:t>### PARTIE 3 : ANALYSE FONDAMENTALE (SECTION CRITIQUE)</w:t>
      </w:r>
    </w:p>
    <w:p>
      <w:pPr>
        <w:spacing w:after="120" w:line="276" w:lineRule="auto"/>
      </w:pPr>
      <w:r>
        <w:t>En 2025, selon les données structurées, Servair Abidjan a réalisé un chiffre d'affaires de 13,298 milliards FCFA, en croissance de 6,7%. Cependant, le résultat net a baissé de 12,1% à 1,351 milliard FCFA, principalement en raison d'une hausse de 46,7% de la charge d'impôt. La rentabilité reste excellente avec un ROE de 26,2% et un ROA de 14,6%, soutenue par une marge opérationnelle de 16,4%. La structure financière est très saine : l'autonomie financière est de 55,9%, la trésorerie est abondante (4,035 Mds FCFA) et l'endettement est quasi nul. Pour une entreprise, le BFR de 257 millions FCFA est positif mais faible, et les délais de paiement clients (70 jours) sont partiellement compensés par des délais fournisseurs plus longs (92 jours). Les rapports trimestriels de 2025 montrent une année en dents de scie : un T1 difficile (résultat net -6,8% à 346 M FCFA) dû à un litige avec la BCEAO, suivi d'un fort rebond au T3 (résultat net +17,1% à 1,325 Mds FCFA). Cependant, le rapport du T1 2026 (publié en 2026) est alarmant, avec un résultat net en chute de 35,6% à 222,6 millions FCFA, impacté par des ajustements de redevances aéroportuaires. Sur la base de ce T1 2026, on estime que l'exercice 2026 pourrait voir une contraction significative de la rentabilité, malgré une légère croissance du CA (+1,9%).</w:t>
      </w:r>
    </w:p>
    <w:p>
      <w:pPr>
        <w:spacing w:after="120" w:line="276" w:lineRule="auto"/>
      </w:pPr>
      <w:r>
        <w:t>### PARTIE 4 : CONCLUSION D'INVESTISSEMENT</w:t>
      </w:r>
    </w:p>
    <w:p>
      <w:pPr>
        <w:spacing w:after="120" w:line="276" w:lineRule="auto"/>
      </w:pPr>
      <w:r>
        <w:t>La valorisation d'ABJC est exigeante, avec un PER de 27,5x et un P/B de 7,19x, indiquant une surévaluation relative par rapport au marché. Le comportement du cours sur 100 jours est stable mais volatil (48,7% annualisé), avec des statistiques suggérant un potentiel de hausse mais aussi un risque de correction. Les signaux techniques sont contradictoires : le momentum (MACD) est haussier, mais les oscillateurs (RSI, Stochastique) sont en surachat extrême, signalant un repli probable à court terme. Fondamentalement, la société est solide (ROE &gt; 26%, zéro dette), mais les perspectives 2026 sont assombries par la chute de 35,6% du résultat net au T1 2026. Les prédictions IA confirment ce scénario de correction, anticipant une baisse progressive du cours jusqu'à 3 110 FCFA sur 10 jours. La convergence des signaux techniques (surachat) et des prédictions IA (baisse) contredit la valorisation élevée et les fondamentaux en détérioration. Par conséquent, la recommandation est **CONSERVER** avec un niveau de confiance **Moyen**, car la solidité du bilan et la position de marché de l'entreprise offrent un plancher de valeur, mais les risques à court terme sont élevés. Le niveau de risque global est **Élevé** et l'horizon d'investissement optimal serait de **moyen terme (3-12 mois)**, en attendant de voir si la baisse de rentabilité de 2026 est conjoncturelle ou structurelle.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11,253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+64.71%</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5,090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17.35% (Élevée) — μ=6,009 FCFA, σ=1,042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β=0.4066 (Défensif) — Cov=0.000013, Var(idx)=0.000031, ρ=0.120,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11,253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7,445</w:t>
            </w:r>
          </w:p>
        </w:tc>
        <w:tc>
          <w:tcPr>
            <w:tcW w:type="dxa" w:w="1440"/>
            <w:shd w:fill="FFDCE0" w:val="clear"/>
          </w:tcPr>
          <w:p>
            <w:r>
              <w:rPr>
                <w:b/>
                <w:sz w:val="17"/>
              </w:rPr>
              <w:t>7,770</w:t>
            </w:r>
          </w:p>
        </w:tc>
        <w:tc>
          <w:tcPr>
            <w:tcW w:type="dxa" w:w="1440"/>
            <w:shd w:fill="FFDCE0" w:val="clear"/>
          </w:tcPr>
          <w:p>
            <w:r>
              <w:rPr>
                <w:sz w:val="17"/>
              </w:rPr>
              <w:t>8,095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6,762</w:t>
            </w:r>
          </w:p>
        </w:tc>
        <w:tc>
          <w:tcPr>
            <w:tcW w:type="dxa" w:w="1440"/>
            <w:shd w:fill="FFDCE0" w:val="clear"/>
          </w:tcPr>
          <w:p>
            <w:r>
              <w:rPr>
                <w:b/>
                <w:sz w:val="17"/>
              </w:rPr>
              <w:t>7,187</w:t>
            </w:r>
          </w:p>
        </w:tc>
        <w:tc>
          <w:tcPr>
            <w:tcW w:type="dxa" w:w="1440"/>
            <w:shd w:fill="FFDCE0" w:val="clear"/>
          </w:tcPr>
          <w:p>
            <w:r>
              <w:rPr>
                <w:sz w:val="17"/>
              </w:rPr>
              <w:t>7,613</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6,166</w:t>
            </w:r>
          </w:p>
        </w:tc>
        <w:tc>
          <w:tcPr>
            <w:tcW w:type="dxa" w:w="1440"/>
            <w:shd w:fill="FFDCE0" w:val="clear"/>
          </w:tcPr>
          <w:p>
            <w:r>
              <w:rPr>
                <w:b/>
                <w:sz w:val="17"/>
              </w:rPr>
              <w:t>6,648</w:t>
            </w:r>
          </w:p>
        </w:tc>
        <w:tc>
          <w:tcPr>
            <w:tcW w:type="dxa" w:w="1440"/>
            <w:shd w:fill="FFDCE0" w:val="clear"/>
          </w:tcPr>
          <w:p>
            <w:r>
              <w:rPr>
                <w:sz w:val="17"/>
              </w:rPr>
              <w:t>7,130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5,699</w:t>
            </w:r>
          </w:p>
        </w:tc>
        <w:tc>
          <w:tcPr>
            <w:tcW w:type="dxa" w:w="1440"/>
            <w:shd w:fill="FFDCE0" w:val="clear"/>
          </w:tcPr>
          <w:p>
            <w:r>
              <w:rPr>
                <w:b/>
                <w:sz w:val="17"/>
              </w:rPr>
              <w:t>6,220</w:t>
            </w:r>
          </w:p>
        </w:tc>
        <w:tc>
          <w:tcPr>
            <w:tcW w:type="dxa" w:w="1440"/>
            <w:shd w:fill="FFDCE0" w:val="clear"/>
          </w:tcPr>
          <w:p>
            <w:r>
              <w:rPr>
                <w:sz w:val="17"/>
              </w:rPr>
              <w:t>6,740</w:t>
            </w:r>
          </w:p>
        </w:tc>
        <w:tc>
          <w:tcPr>
            <w:tcW w:type="dxa" w:w="1440"/>
            <w:shd w:fill="FFDCE0" w:val="clear"/>
          </w:tcPr>
          <w:p>
            <w:r>
              <w:rPr>
                <w:b/>
                <w:color w:val="C00000"/>
                <w:sz w:val="17"/>
              </w:rPr>
              <w:t>-26.0%</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5,488</w:t>
            </w:r>
          </w:p>
        </w:tc>
        <w:tc>
          <w:tcPr>
            <w:tcW w:type="dxa" w:w="1440"/>
            <w:shd w:fill="FFDCE0" w:val="clear"/>
          </w:tcPr>
          <w:p>
            <w:r>
              <w:rPr>
                <w:b/>
                <w:sz w:val="17"/>
              </w:rPr>
              <w:t>6,055</w:t>
            </w:r>
          </w:p>
        </w:tc>
        <w:tc>
          <w:tcPr>
            <w:tcW w:type="dxa" w:w="1440"/>
            <w:shd w:fill="FFDCE0" w:val="clear"/>
          </w:tcPr>
          <w:p>
            <w:r>
              <w:rPr>
                <w:sz w:val="17"/>
              </w:rPr>
              <w:t>6,622</w:t>
            </w:r>
          </w:p>
        </w:tc>
        <w:tc>
          <w:tcPr>
            <w:tcW w:type="dxa" w:w="1440"/>
            <w:shd w:fill="FFDCE0" w:val="clear"/>
          </w:tcPr>
          <w:p>
            <w:r>
              <w:rPr>
                <w:b/>
                <w:color w:val="C00000"/>
                <w:sz w:val="17"/>
              </w:rPr>
              <w:t>-27.9%</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5,305</w:t>
            </w:r>
          </w:p>
        </w:tc>
        <w:tc>
          <w:tcPr>
            <w:tcW w:type="dxa" w:w="1440"/>
            <w:shd w:fill="FFDCE0" w:val="clear"/>
          </w:tcPr>
          <w:p>
            <w:r>
              <w:rPr>
                <w:b/>
                <w:sz w:val="17"/>
              </w:rPr>
              <w:t>5,911</w:t>
            </w:r>
          </w:p>
        </w:tc>
        <w:tc>
          <w:tcPr>
            <w:tcW w:type="dxa" w:w="1440"/>
            <w:shd w:fill="FFDCE0" w:val="clear"/>
          </w:tcPr>
          <w:p>
            <w:r>
              <w:rPr>
                <w:sz w:val="17"/>
              </w:rPr>
              <w:t>6,517</w:t>
            </w:r>
          </w:p>
        </w:tc>
        <w:tc>
          <w:tcPr>
            <w:tcW w:type="dxa" w:w="1440"/>
            <w:shd w:fill="FFDCE0" w:val="clear"/>
          </w:tcPr>
          <w:p>
            <w:r>
              <w:rPr>
                <w:b/>
                <w:color w:val="C00000"/>
                <w:sz w:val="17"/>
              </w:rPr>
              <w:t>-29.6%</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5,146</w:t>
            </w:r>
          </w:p>
        </w:tc>
        <w:tc>
          <w:tcPr>
            <w:tcW w:type="dxa" w:w="1440"/>
            <w:shd w:fill="FFDCE0" w:val="clear"/>
          </w:tcPr>
          <w:p>
            <w:r>
              <w:rPr>
                <w:b/>
                <w:sz w:val="17"/>
              </w:rPr>
              <w:t>5,786</w:t>
            </w:r>
          </w:p>
        </w:tc>
        <w:tc>
          <w:tcPr>
            <w:tcW w:type="dxa" w:w="1440"/>
            <w:shd w:fill="FFDCE0" w:val="clear"/>
          </w:tcPr>
          <w:p>
            <w:r>
              <w:rPr>
                <w:sz w:val="17"/>
              </w:rPr>
              <w:t>6,427</w:t>
            </w:r>
          </w:p>
        </w:tc>
        <w:tc>
          <w:tcPr>
            <w:tcW w:type="dxa" w:w="1440"/>
            <w:shd w:fill="FFDCE0" w:val="clear"/>
          </w:tcPr>
          <w:p>
            <w:r>
              <w:rPr>
                <w:b/>
                <w:color w:val="C00000"/>
                <w:sz w:val="17"/>
              </w:rPr>
              <w:t>-31.1%</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5,006</w:t>
            </w:r>
          </w:p>
        </w:tc>
        <w:tc>
          <w:tcPr>
            <w:tcW w:type="dxa" w:w="1440"/>
            <w:shd w:fill="FFDCE0" w:val="clear"/>
          </w:tcPr>
          <w:p>
            <w:r>
              <w:rPr>
                <w:b/>
                <w:sz w:val="17"/>
              </w:rPr>
              <w:t>5,679</w:t>
            </w:r>
          </w:p>
        </w:tc>
        <w:tc>
          <w:tcPr>
            <w:tcW w:type="dxa" w:w="1440"/>
            <w:shd w:fill="FFDCE0" w:val="clear"/>
          </w:tcPr>
          <w:p>
            <w:r>
              <w:rPr>
                <w:sz w:val="17"/>
              </w:rPr>
              <w:t>6,351</w:t>
            </w:r>
          </w:p>
        </w:tc>
        <w:tc>
          <w:tcPr>
            <w:tcW w:type="dxa" w:w="1440"/>
            <w:shd w:fill="FFDCE0" w:val="clear"/>
          </w:tcPr>
          <w:p>
            <w:r>
              <w:rPr>
                <w:b/>
                <w:color w:val="C00000"/>
                <w:sz w:val="17"/>
              </w:rPr>
              <w:t>-32.4%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4,884</w:t>
            </w:r>
          </w:p>
        </w:tc>
        <w:tc>
          <w:tcPr>
            <w:tcW w:type="dxa" w:w="1440"/>
            <w:shd w:fill="FFDCE0" w:val="clear"/>
          </w:tcPr>
          <w:p>
            <w:r>
              <w:rPr>
                <w:b/>
                <w:sz w:val="17"/>
              </w:rPr>
              <w:t>5,586</w:t>
            </w:r>
          </w:p>
        </w:tc>
        <w:tc>
          <w:tcPr>
            <w:tcW w:type="dxa" w:w="1440"/>
            <w:shd w:fill="FFDCE0" w:val="clear"/>
          </w:tcPr>
          <w:p>
            <w:r>
              <w:rPr>
                <w:sz w:val="17"/>
              </w:rPr>
              <w:t>6,287</w:t>
            </w:r>
          </w:p>
        </w:tc>
        <w:tc>
          <w:tcPr>
            <w:tcW w:type="dxa" w:w="1440"/>
            <w:shd w:fill="FFDCE0" w:val="clear"/>
          </w:tcPr>
          <w:p>
            <w:r>
              <w:rPr>
                <w:b/>
                <w:color w:val="C00000"/>
                <w:sz w:val="17"/>
              </w:rPr>
              <w:t>-33.5%</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4,776</w:t>
            </w:r>
          </w:p>
        </w:tc>
        <w:tc>
          <w:tcPr>
            <w:tcW w:type="dxa" w:w="1440"/>
            <w:shd w:fill="FFDCE0" w:val="clear"/>
          </w:tcPr>
          <w:p>
            <w:r>
              <w:rPr>
                <w:b/>
                <w:sz w:val="17"/>
              </w:rPr>
              <w:t>5,505</w:t>
            </w:r>
          </w:p>
        </w:tc>
        <w:tc>
          <w:tcPr>
            <w:tcW w:type="dxa" w:w="1440"/>
            <w:shd w:fill="FFDCE0" w:val="clear"/>
          </w:tcPr>
          <w:p>
            <w:r>
              <w:rPr>
                <w:sz w:val="17"/>
              </w:rPr>
              <w:t>6,234</w:t>
            </w:r>
          </w:p>
        </w:tc>
        <w:tc>
          <w:tcPr>
            <w:tcW w:type="dxa" w:w="1440"/>
            <w:shd w:fill="FFDCE0" w:val="clear"/>
          </w:tcPr>
          <w:p>
            <w:r>
              <w:rPr>
                <w:b/>
                <w:color w:val="C00000"/>
                <w:sz w:val="17"/>
              </w:rPr>
              <w:t>-34.5%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485,18 milliards FCFA, ce qui en fait une valeur de premier plan sur la BRVM, reflétant la confiance des investisseurs dans ce pilier bancaire de la zone UEMOA. Avec un BPA de 627 FCFA, chaque action génère un bénéfice substantiel, justifiant un PER de 13,4x. Ce ratio est légèrement supérieur à la moyenne historique de la BRVM (8-12x), indiquant que le marché accorde une prime de croissance à la banque, mais sans basculer dans une valorisation excessive. Le P/B de 3,59x confirme cette prime, le marché valorisant la société à plus de 3,5 fois ses capitaux propres, signe d'une rentabilité attendue élevée. Enfin, l'EV/EBITDA de 24,0x est très exigeant, suggérant que la valeur totale de l'entreprise (capitalisation + dette nette) est élevée par rapport à sa capacité opérationnelle, ce qui implique des attentes de performance future fortes.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connu une progression spectaculaire de +64,71%, passant d'un plus bas de 5 090 FCFA à un plus haut de 8 500 FCFA, pour clôturer à 8 400 FCFA. Cette tendance est résolument haussière, bien que la dernière séance affiche une légère correction de -0,06%. L'analyse des statistiques descriptives révèle une distribution asymétrique positive (skewness de 1,096), avec une moyenne (6 009 FCFA) nettement supérieure à la médiane (5 572 FCFA), indiquant que la majorité des séances se sont déroulées sous le niveau moyen, mais que les fortes hausses récentes ont tiré la moyenne vers le haut. L'écart-type de 1 048 FCFA (CV de 17,4%) montre une dispersion modérée des prix. Le kurtosis de -0,120 (mésokurtique) suggère une distribution proche de la normale, sans risque de variations extrêmes. Enfin, la volatilité annualisée de 29,9% classe le titre dans la catégorie des valeurs à volatilité élevée, proche du seuil de 30%, ce qui implique des fluctuations de prix importantes.</w:t>
      </w:r>
    </w:p>
    <w:p>
      <w:pPr>
        <w:spacing w:after="120" w:line="276" w:lineRule="auto" w:before="240"/>
      </w:pPr>
      <w:r>
        <w:rPr>
          <w:b/>
          <w:color w:val="003366"/>
          <w:sz w:val="24"/>
        </w:rPr>
        <w:t>**PARTIE 2 : ANALYSE TECHNIQUE DÉTAILLÉE**</w:t>
      </w:r>
    </w:p>
    <w:p>
      <w:pPr>
        <w:spacing w:after="120" w:line="276" w:lineRule="auto"/>
      </w:pPr>
      <w:r>
        <w:t>Les **Moyennes Mobiles** (MM20 à 7 877 FCFA et MM50 à 6 794 FCFA) sont toutes deux inférieures au cours actuel de 8 400 FCFA. Cette configuration haussière, où le prix évolue au-dessus de ses moyennes, confirme la dynamique positive et justifie la décision d'**Achat**. La MM20 étant nettement au-dessus de la MM50, la tendance de fond est solide.</w:t>
      </w:r>
    </w:p>
    <w:p>
      <w:pPr>
        <w:spacing w:after="120" w:line="276" w:lineRule="auto"/>
      </w:pPr>
      <w:r>
        <w:t>Les **Bandes de Bollinger** montrent un cours (8 400 FCFA) situé entre la borne supérieure (8 718 FCFA) et la borne inférieure (7 036 FCFA), mais plus proche de la borne haute. Cette position indique une pression acheteuse soutenue, mais le fait que le prix ne touche pas la borne supérieure suggère une volatilité modérée, sans extension excessive. La décision est **Neutre**, car le titre n'est pas en situation de surachat extrême.</w:t>
      </w:r>
    </w:p>
    <w:p>
      <w:pPr>
        <w:spacing w:after="120" w:line="276" w:lineRule="auto"/>
      </w:pPr>
      <w:r>
        <w:t>Le **MACD** (485,6) est supérieur à son signal (474,8), avec une divergence positive. Cette configuration est un signal classique de momentum haussier, indiquant que la dynamique de prix reste positive. La décision est **Achat**.</w:t>
      </w:r>
    </w:p>
    <w:p>
      <w:pPr>
        <w:spacing w:after="120" w:line="276" w:lineRule="auto"/>
      </w:pPr>
      <w:r>
        <w:t>Le **RSI** à 74,54 est un signal fort de surachat, dépassant le seuil de 70. Cela indique que le titre a fortement monté et qu'une correction technique est probable à court terme. La décision est **Vente**.</w:t>
      </w:r>
    </w:p>
    <w:p>
      <w:pPr>
        <w:spacing w:after="120" w:line="276" w:lineRule="auto"/>
      </w:pPr>
      <w:r>
        <w:t>Le **Stochastique** (%K à 90,0 et %D à 87,0) est également en zone de surachat extrême. Les deux lignes sont très élevées, signalant que le marché est survendu et qu'un retournement baissier est imminent. La décision est **Vente**.</w:t>
      </w:r>
    </w:p>
    <w:p>
      <w:pPr>
        <w:spacing w:after="120" w:line="276" w:lineRule="auto"/>
      </w:pPr>
      <w:r>
        <w:t>**Conclusion technique** : Les indicateurs de tendance (MM, MACD) sont positifs et confirment la dynamique haussière de fond. Cependant, les oscillateurs de momentum (RSI, Stochastique) sont en zone de surachat, signalant un risque élevé de correction à court terme. La prudence est donc de mise, car le titre est techniquement "surchauffé" après une hausse de plus de 64% en 100 jours.</w:t>
      </w:r>
    </w:p>
    <w:p>
      <w:pPr>
        <w:spacing w:after="120" w:line="276" w:lineRule="auto" w:before="240"/>
      </w:pPr>
      <w:r>
        <w:rPr>
          <w:b/>
          <w:color w:val="003366"/>
          <w:sz w:val="24"/>
        </w:rPr>
        <w:t>**PARTIE 3 : ANALYSE FONDAMENTALE (SECTION CRITIQUE)**</w:t>
      </w:r>
    </w:p>
    <w:p>
      <w:pPr>
        <w:spacing w:after="120" w:line="276" w:lineRule="auto"/>
      </w:pPr>
      <w:r>
        <w:t>En 2025, la BICB affiche des fondamentaux solides avec un Produit Net Bancaire (PNB) de 52,805 milliards FCFA, en croissance de 16,5% par rapport à 2024 (45,3 Mds FCFA), et un résultat net de 36,237 milliards FCFA, en hausse de 24,7%. Cette performance se traduit par un ROE exceptionnel de 26,8% et un ROA de 1,96%, démontrant une excellente rentabilité des capitaux propres et une gestion efficace des actifs. Le coefficient d'exploitation de 31,1% est remarquable, indiquant une banque très efficace dans la maîtrise de ses charges. Cependant, le coût du risque de 9,61% est un point de vigilance, reflétant un risque de crédit significatif lié à l'expansion rapide des crédits (+37,3% en 2025). Les rapports trimestriels de 2025 montrent une tendance contrastée : le PNB a progressé de 26% au T3, mais le résultat net a reculé de 9% en raison d'un provisionnement prudent. Le rapport du T1 2026 est très encourageant, avec un PNB en hausse de 35% et un résultat net en progression de 48%, suggérant une amélioration de la qualité du portefeuille. Sur la base de ces données, on estime que l'exercice 2026 devrait confirmer la solidité de la banque, avec une croissance soutenue de l'activité et une normalisation du coût du risque. La banque est leader sur son marché au Bénin, avec une solvabilité totale de 19,64%, bien au-dessus du minimum réglementaire.</w:t>
      </w:r>
    </w:p>
    <w:p>
      <w:pPr>
        <w:spacing w:after="120" w:line="276" w:lineRule="auto" w:before="240"/>
      </w:pPr>
      <w:r>
        <w:rPr>
          <w:b/>
          <w:color w:val="003366"/>
          <w:sz w:val="24"/>
        </w:rPr>
        <w:t>**PARTIE 4 : CONCLUSION D'INVESTISSEMENT**</w:t>
      </w:r>
    </w:p>
    <w:p>
      <w:pPr>
        <w:spacing w:after="120" w:line="276" w:lineRule="auto"/>
      </w:pPr>
      <w:r>
        <w:t>La valorisation de BICB (PER 13,4x, P/B 3,59x) est exigeante mais justifiée par une rentabilité exceptionnelle (ROE 26,8%) et une croissance soutenue. Le comportement du cours sur 100 jours est très haussier (+64,7%), mais les statistiques montrent une distribution asymétrique et une volatilité élevée, signalant un risque accru. Les signaux techniques sont mitigés : la tendance de fond (MM, MACD) est positive, mais les oscillateurs (RSI, Stochastique) sont en surachat, annonçant une correction probable. Les fondamentaux sont solides, avec une croissance du PNB et du résultat net en 2025, et des perspectives 2026 très positives selon le rapport T1 2026. Les prédictions IA (J+1 à J+10) prévoient une correction significative du cours, passant de 7 770 FCFA à 6 055 FCFA, ce qui contredit la tendance haussière et confirme les signaux de surachat technique. Cette convergence entre les indicateurs techniques et les prédictions IA suggère un repli imminent. Par conséquent, la recommandation finale est **CONSERVER** avec un niveau de confiance **Moyen**, car la solidité fondamentale de la banque justifie une détention à long terme, mais le risque de correction à court terme est élevé. Le risque global est **Élevé** en raison de la volatilité et du surachat technique. L'horizon d'investissement optimal est le **moyen terme (3-12 mois)**, en attendant une stabilisation du cours après la correction anticipée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487.50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730 titres</w:t>
            </w:r>
          </w:p>
        </w:tc>
        <w:tc>
          <w:tcPr>
            <w:tcW w:type="dxa" w:w="2268"/>
            <w:shd w:fill="FFF2CC" w:val="clear"/>
          </w:tcPr>
          <w:p>
            <w:r>
              <w:rPr>
                <w:b/>
                <w:color w:val="503200"/>
                <w:sz w:val="16"/>
              </w:rPr>
              <w:t xml:space="preserve">Cours actuel : </w:t>
            </w:r>
            <w:r>
              <w:rPr>
                <w:color w:val="000000"/>
                <w:sz w:val="17"/>
              </w:rPr>
              <w:t>29,250 FCFA</w:t>
            </w:r>
          </w:p>
          <w:p>
            <w:r>
              <w:rPr>
                <w:b/>
                <w:color w:val="503200"/>
                <w:sz w:val="16"/>
              </w:rPr>
              <w:t xml:space="preserve">Var. 100 jours : </w:t>
            </w:r>
            <w:r>
              <w:rPr>
                <w:b/>
                <w:color w:val="007800"/>
                <w:sz w:val="17"/>
              </w:rPr>
              <w:t>+12.50%</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7.35% (Moyenne) — μ=27,148 FCFA, σ=1,994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β=0.3569 (Défensif) — Cov=0.000011, Var(idx)=0.000031, ρ=0.113,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730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27,973</w:t>
            </w:r>
          </w:p>
        </w:tc>
        <w:tc>
          <w:tcPr>
            <w:tcW w:type="dxa" w:w="1440"/>
            <w:shd w:fill="FFDCE0" w:val="clear"/>
          </w:tcPr>
          <w:p>
            <w:r>
              <w:rPr>
                <w:b/>
                <w:sz w:val="17"/>
              </w:rPr>
              <w:t>28,472</w:t>
            </w:r>
          </w:p>
        </w:tc>
        <w:tc>
          <w:tcPr>
            <w:tcW w:type="dxa" w:w="1440"/>
            <w:shd w:fill="FFDCE0" w:val="clear"/>
          </w:tcPr>
          <w:p>
            <w:r>
              <w:rPr>
                <w:sz w:val="17"/>
              </w:rPr>
              <w:t>28,971</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27,521</w:t>
            </w:r>
          </w:p>
        </w:tc>
        <w:tc>
          <w:tcPr>
            <w:tcW w:type="dxa" w:w="1440"/>
            <w:shd w:fill="FFDCE0" w:val="clear"/>
          </w:tcPr>
          <w:p>
            <w:r>
              <w:rPr>
                <w:b/>
                <w:sz w:val="17"/>
              </w:rPr>
              <w:t>28,221</w:t>
            </w:r>
          </w:p>
        </w:tc>
        <w:tc>
          <w:tcPr>
            <w:tcW w:type="dxa" w:w="1440"/>
            <w:shd w:fill="FFDCE0" w:val="clear"/>
          </w:tcPr>
          <w:p>
            <w:r>
              <w:rPr>
                <w:sz w:val="17"/>
              </w:rPr>
              <w:t>28,920</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27,073</w:t>
            </w:r>
          </w:p>
        </w:tc>
        <w:tc>
          <w:tcPr>
            <w:tcW w:type="dxa" w:w="1440"/>
            <w:shd w:fill="FFDCE0" w:val="clear"/>
          </w:tcPr>
          <w:p>
            <w:r>
              <w:rPr>
                <w:b/>
                <w:sz w:val="17"/>
              </w:rPr>
              <w:t>27,920</w:t>
            </w:r>
          </w:p>
        </w:tc>
        <w:tc>
          <w:tcPr>
            <w:tcW w:type="dxa" w:w="1440"/>
            <w:shd w:fill="FFDCE0" w:val="clear"/>
          </w:tcPr>
          <w:p>
            <w:r>
              <w:rPr>
                <w:sz w:val="17"/>
              </w:rPr>
              <w:t>28,768</w:t>
            </w:r>
          </w:p>
        </w:tc>
        <w:tc>
          <w:tcPr>
            <w:tcW w:type="dxa" w:w="1440"/>
            <w:shd w:fill="FFDCE0" w:val="clear"/>
          </w:tcPr>
          <w:p>
            <w:r>
              <w:rPr>
                <w:b/>
                <w:color w:val="C00000"/>
                <w:sz w:val="17"/>
              </w:rPr>
              <w:t>-4.5%</w:t>
            </w:r>
          </w:p>
        </w:tc>
      </w:tr>
      <w:tr>
        <w:tc>
          <w:tcPr>
            <w:tcW w:type="dxa" w:w="1440"/>
            <w:shd w:fill="FFDCE0" w:val="clear"/>
          </w:tcPr>
          <w:p>
            <w:r>
              <w:rPr>
                <w:sz w:val="17"/>
              </w:rPr>
              <w:t>J+4  Moyenne</w:t>
            </w:r>
          </w:p>
        </w:tc>
        <w:tc>
          <w:tcPr>
            <w:tcW w:type="dxa" w:w="1440"/>
            <w:shd w:fill="FFDCE0" w:val="clear"/>
          </w:tcPr>
          <w:p>
            <w:r>
              <w:rPr>
                <w:sz w:val="17"/>
              </w:rPr>
              <w:t>2026-08-27</w:t>
            </w:r>
          </w:p>
        </w:tc>
        <w:tc>
          <w:tcPr>
            <w:tcW w:type="dxa" w:w="1440"/>
            <w:shd w:fill="FFDCE0" w:val="clear"/>
          </w:tcPr>
          <w:p>
            <w:r>
              <w:rPr>
                <w:sz w:val="17"/>
              </w:rPr>
              <w:t>26,675</w:t>
            </w:r>
          </w:p>
        </w:tc>
        <w:tc>
          <w:tcPr>
            <w:tcW w:type="dxa" w:w="1440"/>
            <w:shd w:fill="FFDCE0" w:val="clear"/>
          </w:tcPr>
          <w:p>
            <w:r>
              <w:rPr>
                <w:b/>
                <w:sz w:val="17"/>
              </w:rPr>
              <w:t>27,644</w:t>
            </w:r>
          </w:p>
        </w:tc>
        <w:tc>
          <w:tcPr>
            <w:tcW w:type="dxa" w:w="1440"/>
            <w:shd w:fill="FFDCE0" w:val="clear"/>
          </w:tcPr>
          <w:p>
            <w:r>
              <w:rPr>
                <w:sz w:val="17"/>
              </w:rPr>
              <w:t>28,613</w:t>
            </w:r>
          </w:p>
        </w:tc>
        <w:tc>
          <w:tcPr>
            <w:tcW w:type="dxa" w:w="1440"/>
            <w:shd w:fill="FFDCE0" w:val="clear"/>
          </w:tcPr>
          <w:p>
            <w:r>
              <w:rPr>
                <w:b/>
                <w:color w:val="C00000"/>
                <w:sz w:val="17"/>
              </w:rPr>
              <w:t>-5.5%</w:t>
            </w:r>
          </w:p>
        </w:tc>
      </w:tr>
      <w:tr>
        <w:tc>
          <w:tcPr>
            <w:tcW w:type="dxa" w:w="1440"/>
            <w:shd w:fill="FFDCE0" w:val="clear"/>
          </w:tcPr>
          <w:p>
            <w:r>
              <w:rPr>
                <w:sz w:val="17"/>
              </w:rPr>
              <w:t>J+5  Moyenne</w:t>
            </w:r>
          </w:p>
        </w:tc>
        <w:tc>
          <w:tcPr>
            <w:tcW w:type="dxa" w:w="1440"/>
            <w:shd w:fill="FFDCE0" w:val="clear"/>
          </w:tcPr>
          <w:p>
            <w:r>
              <w:rPr>
                <w:sz w:val="17"/>
              </w:rPr>
              <w:t>2026-08-28</w:t>
            </w:r>
          </w:p>
        </w:tc>
        <w:tc>
          <w:tcPr>
            <w:tcW w:type="dxa" w:w="1440"/>
            <w:shd w:fill="FFDCE0" w:val="clear"/>
          </w:tcPr>
          <w:p>
            <w:r>
              <w:rPr>
                <w:sz w:val="17"/>
              </w:rPr>
              <w:t>26,318</w:t>
            </w:r>
          </w:p>
        </w:tc>
        <w:tc>
          <w:tcPr>
            <w:tcW w:type="dxa" w:w="1440"/>
            <w:shd w:fill="FFDCE0" w:val="clear"/>
          </w:tcPr>
          <w:p>
            <w:r>
              <w:rPr>
                <w:b/>
                <w:sz w:val="17"/>
              </w:rPr>
              <w:t>27,392</w:t>
            </w:r>
          </w:p>
        </w:tc>
        <w:tc>
          <w:tcPr>
            <w:tcW w:type="dxa" w:w="1440"/>
            <w:shd w:fill="FFDCE0" w:val="clear"/>
          </w:tcPr>
          <w:p>
            <w:r>
              <w:rPr>
                <w:sz w:val="17"/>
              </w:rPr>
              <w:t>28,465</w:t>
            </w:r>
          </w:p>
        </w:tc>
        <w:tc>
          <w:tcPr>
            <w:tcW w:type="dxa" w:w="1440"/>
            <w:shd w:fill="FFDCE0" w:val="clear"/>
          </w:tcPr>
          <w:p>
            <w:r>
              <w:rPr>
                <w:b/>
                <w:color w:val="C00000"/>
                <w:sz w:val="17"/>
              </w:rPr>
              <w:t>-6.4%</w:t>
            </w:r>
          </w:p>
        </w:tc>
      </w:tr>
      <w:tr>
        <w:tc>
          <w:tcPr>
            <w:tcW w:type="dxa" w:w="1440"/>
            <w:shd w:fill="FFDCE0" w:val="clear"/>
          </w:tcPr>
          <w:p>
            <w:r>
              <w:rPr>
                <w:sz w:val="17"/>
              </w:rPr>
              <w:t>J+6  Moyenne</w:t>
            </w:r>
          </w:p>
        </w:tc>
        <w:tc>
          <w:tcPr>
            <w:tcW w:type="dxa" w:w="1440"/>
            <w:shd w:fill="FFDCE0" w:val="clear"/>
          </w:tcPr>
          <w:p>
            <w:r>
              <w:rPr>
                <w:sz w:val="17"/>
              </w:rPr>
              <w:t>2026-08-31</w:t>
            </w:r>
          </w:p>
        </w:tc>
        <w:tc>
          <w:tcPr>
            <w:tcW w:type="dxa" w:w="1440"/>
            <w:shd w:fill="FFDCE0" w:val="clear"/>
          </w:tcPr>
          <w:p>
            <w:r>
              <w:rPr>
                <w:sz w:val="17"/>
              </w:rPr>
              <w:t>25,987</w:t>
            </w:r>
          </w:p>
        </w:tc>
        <w:tc>
          <w:tcPr>
            <w:tcW w:type="dxa" w:w="1440"/>
            <w:shd w:fill="FFDCE0" w:val="clear"/>
          </w:tcPr>
          <w:p>
            <w:r>
              <w:rPr>
                <w:b/>
                <w:sz w:val="17"/>
              </w:rPr>
              <w:t>27,153</w:t>
            </w:r>
          </w:p>
        </w:tc>
        <w:tc>
          <w:tcPr>
            <w:tcW w:type="dxa" w:w="1440"/>
            <w:shd w:fill="FFDCE0" w:val="clear"/>
          </w:tcPr>
          <w:p>
            <w:r>
              <w:rPr>
                <w:sz w:val="17"/>
              </w:rPr>
              <w:t>28,319</w:t>
            </w:r>
          </w:p>
        </w:tc>
        <w:tc>
          <w:tcPr>
            <w:tcW w:type="dxa" w:w="1440"/>
            <w:shd w:fill="FFDCE0" w:val="clear"/>
          </w:tcPr>
          <w:p>
            <w:r>
              <w:rPr>
                <w:b/>
                <w:color w:val="C00000"/>
                <w:sz w:val="17"/>
              </w:rPr>
              <w:t>-7.2%</w:t>
            </w:r>
          </w:p>
        </w:tc>
      </w:tr>
      <w:tr>
        <w:tc>
          <w:tcPr>
            <w:tcW w:type="dxa" w:w="1440"/>
            <w:shd w:fill="FFDCE0" w:val="clear"/>
          </w:tcPr>
          <w:p>
            <w:r>
              <w:rPr>
                <w:sz w:val="17"/>
              </w:rPr>
              <w:t>J+7  Moyenne</w:t>
            </w:r>
          </w:p>
        </w:tc>
        <w:tc>
          <w:tcPr>
            <w:tcW w:type="dxa" w:w="1440"/>
            <w:shd w:fill="FFDCE0" w:val="clear"/>
          </w:tcPr>
          <w:p>
            <w:r>
              <w:rPr>
                <w:sz w:val="17"/>
              </w:rPr>
              <w:t>2026-09-01</w:t>
            </w:r>
          </w:p>
        </w:tc>
        <w:tc>
          <w:tcPr>
            <w:tcW w:type="dxa" w:w="1440"/>
            <w:shd w:fill="FFDCE0" w:val="clear"/>
          </w:tcPr>
          <w:p>
            <w:r>
              <w:rPr>
                <w:sz w:val="17"/>
              </w:rPr>
              <w:t>25,675</w:t>
            </w:r>
          </w:p>
        </w:tc>
        <w:tc>
          <w:tcPr>
            <w:tcW w:type="dxa" w:w="1440"/>
            <w:shd w:fill="FFDCE0" w:val="clear"/>
          </w:tcPr>
          <w:p>
            <w:r>
              <w:rPr>
                <w:b/>
                <w:sz w:val="17"/>
              </w:rPr>
              <w:t>26,923</w:t>
            </w:r>
          </w:p>
        </w:tc>
        <w:tc>
          <w:tcPr>
            <w:tcW w:type="dxa" w:w="1440"/>
            <w:shd w:fill="FFDCE0" w:val="clear"/>
          </w:tcPr>
          <w:p>
            <w:r>
              <w:rPr>
                <w:sz w:val="17"/>
              </w:rPr>
              <w:t>28,172</w:t>
            </w:r>
          </w:p>
        </w:tc>
        <w:tc>
          <w:tcPr>
            <w:tcW w:type="dxa" w:w="1440"/>
            <w:shd w:fill="FFDCE0" w:val="clear"/>
          </w:tcPr>
          <w:p>
            <w:r>
              <w:rPr>
                <w:b/>
                <w:color w:val="C00000"/>
                <w:sz w:val="17"/>
              </w:rPr>
              <w:t>-8.0%</w:t>
            </w:r>
          </w:p>
        </w:tc>
      </w:tr>
      <w:tr>
        <w:tc>
          <w:tcPr>
            <w:tcW w:type="dxa" w:w="1440"/>
            <w:shd w:fill="FFDCE0" w:val="clear"/>
          </w:tcPr>
          <w:p>
            <w:r>
              <w:rPr>
                <w:sz w:val="17"/>
              </w:rPr>
              <w:t>J+8  Moyenne</w:t>
            </w:r>
          </w:p>
        </w:tc>
        <w:tc>
          <w:tcPr>
            <w:tcW w:type="dxa" w:w="1440"/>
            <w:shd w:fill="FFDCE0" w:val="clear"/>
          </w:tcPr>
          <w:p>
            <w:r>
              <w:rPr>
                <w:sz w:val="17"/>
              </w:rPr>
              <w:t>2026-09-02</w:t>
            </w:r>
          </w:p>
        </w:tc>
        <w:tc>
          <w:tcPr>
            <w:tcW w:type="dxa" w:w="1440"/>
            <w:shd w:fill="FFDCE0" w:val="clear"/>
          </w:tcPr>
          <w:p>
            <w:r>
              <w:rPr>
                <w:sz w:val="17"/>
              </w:rPr>
              <w:t>25,378</w:t>
            </w:r>
          </w:p>
        </w:tc>
        <w:tc>
          <w:tcPr>
            <w:tcW w:type="dxa" w:w="1440"/>
            <w:shd w:fill="FFDCE0" w:val="clear"/>
          </w:tcPr>
          <w:p>
            <w:r>
              <w:rPr>
                <w:b/>
                <w:sz w:val="17"/>
              </w:rPr>
              <w:t>26,702</w:t>
            </w:r>
          </w:p>
        </w:tc>
        <w:tc>
          <w:tcPr>
            <w:tcW w:type="dxa" w:w="1440"/>
            <w:shd w:fill="FFDCE0" w:val="clear"/>
          </w:tcPr>
          <w:p>
            <w:r>
              <w:rPr>
                <w:sz w:val="17"/>
              </w:rPr>
              <w:t>28,026</w:t>
            </w:r>
          </w:p>
        </w:tc>
        <w:tc>
          <w:tcPr>
            <w:tcW w:type="dxa" w:w="1440"/>
            <w:shd w:fill="FFDCE0" w:val="clear"/>
          </w:tcPr>
          <w:p>
            <w:r>
              <w:rPr>
                <w:b/>
                <w:color w:val="C00000"/>
                <w:sz w:val="17"/>
              </w:rPr>
              <w:t>-8.7%</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25,096</w:t>
            </w:r>
          </w:p>
        </w:tc>
        <w:tc>
          <w:tcPr>
            <w:tcW w:type="dxa" w:w="1440"/>
            <w:shd w:fill="FFDCE0" w:val="clear"/>
          </w:tcPr>
          <w:p>
            <w:r>
              <w:rPr>
                <w:b/>
                <w:sz w:val="17"/>
              </w:rPr>
              <w:t>26,489</w:t>
            </w:r>
          </w:p>
        </w:tc>
        <w:tc>
          <w:tcPr>
            <w:tcW w:type="dxa" w:w="1440"/>
            <w:shd w:fill="FFDCE0" w:val="clear"/>
          </w:tcPr>
          <w:p>
            <w:r>
              <w:rPr>
                <w:sz w:val="17"/>
              </w:rPr>
              <w:t>27,881</w:t>
            </w:r>
          </w:p>
        </w:tc>
        <w:tc>
          <w:tcPr>
            <w:tcW w:type="dxa" w:w="1440"/>
            <w:shd w:fill="FFDCE0" w:val="clear"/>
          </w:tcPr>
          <w:p>
            <w:r>
              <w:rPr>
                <w:b/>
                <w:color w:val="C00000"/>
                <w:sz w:val="17"/>
              </w:rPr>
              <w:t>-9.4%</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24,826</w:t>
            </w:r>
          </w:p>
        </w:tc>
        <w:tc>
          <w:tcPr>
            <w:tcW w:type="dxa" w:w="1440"/>
            <w:shd w:fill="FFDCE0" w:val="clear"/>
          </w:tcPr>
          <w:p>
            <w:r>
              <w:rPr>
                <w:b/>
                <w:sz w:val="17"/>
              </w:rPr>
              <w:t>26,283</w:t>
            </w:r>
          </w:p>
        </w:tc>
        <w:tc>
          <w:tcPr>
            <w:tcW w:type="dxa" w:w="1440"/>
            <w:shd w:fill="FFDCE0" w:val="clear"/>
          </w:tcPr>
          <w:p>
            <w:r>
              <w:rPr>
                <w:sz w:val="17"/>
              </w:rPr>
              <w:t>27,739</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487,50 milliards FCFA, ce qui en fait l'une des valeurs les plus significatives de la BRVM, reflétant la confiance des investisseurs dans le secteur bancaire ivoirien. Avec un BPA de 2 191 FCFA, chaque action génère un bénéfice substantiel, justifiant un PER de 13,3x. Ce ratio, bien que supérieur à la moyenne historique de la BRVM (8-12x), reste modéré et indique que les investisseurs paient un prix raisonnable pour les bénéfices actuels, sans prime excessive. Le P/B de 4,04x est en revanche plus exigeant, signalant que le marché valorise fortement les actifs nets de la banque, ce qui traduit des attentes de croissance future élevées. Enfin, l'EV/EBITDA de 9,4x, situé dans la fourchette raisonnable de 5-10x, confirme une valorisation globale cohérente avec la capacité opérationnelle de l'entreprise, bien que le P/B élevé invite à la prudence.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totale de +12,50%, avec une légère hausse de +0,17% lors de la dernière séance, témoignant d'une dynamique positive soutenue. Le cours a évolué dans une fourchette de 22 500 FCFA (plus bas) à 29 490 FCFA (plus haut), démontrant une amplitude de trading significative de près de 31%. La moyenne du cours sur la période s'établit à 27 148 FCFA, tandis que la médiane est de 28 098 FCFA ; cet écart, avec une moyenne inférieure à la médiane, confirme l'asymétrie négative (skewness de -0,740), indiquant que le titre a passé plus de journées au-dessus de sa moyenne, avec des épisodes de baisse marqués. L'écart-type de 2 004 FCFA (CV de 7,4%) révèle une dispersion modérée des prix, tandis que le kurtosis de -0,913 (mésokurtique) suggère une distribution proche de la normale, sans risque de pics extrêmes. La volatilité annualisée de 27,7% classe le titre dans une zone modérée à élevée, ce qui implique des fluctuations notables mais gérables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28 876 FCFA et la MM50 à 28 596 FCFA sont toutes deux inférieures au cours actuel de 29 250 FCFA, indiquant une configuration haussière. Le croisement positif des moyennes et la position du prix au-dessus de celles-ci confirment une tendance ascendante, justifiant la décision d'achat. Cette dynamique suggère que le momentum reste favorable à court et moyen terme.</w:t>
      </w:r>
    </w:p>
    <w:p>
      <w:pPr>
        <w:spacing w:after="120" w:line="276" w:lineRule="auto"/>
      </w:pPr>
      <w:r>
        <w:t>**Bandes de Bollinger** : Le cours se situe à 29 250 FCFA, proche de la borne supérieure (29 660 FCFA) et nettement au-dessus de la borne inférieure (28 092 FCFA). Cette position indique une pression acheteuse soutenue, mais le prix approchant la borne supérieure pourrait signaler une zone de résistance. La décision neutre reflète un équilibre entre la force de la tendance et le risque de correction technique.</w:t>
      </w:r>
    </w:p>
    <w:p>
      <w:pPr>
        <w:spacing w:after="120" w:line="276" w:lineRule="auto"/>
      </w:pPr>
      <w:r>
        <w:t>**MACD** : La valeur du MACD (187,601) est supérieure à son signal (177,469), avec un écart positif de 10 points. Cette divergence haussière confirme un momentum positif, renforçant la tendance à la hausse. La décision d'achat est justifiée par la persistance de ce croisement favorable, indiquant une accumulation de pression acheteuse.</w:t>
      </w:r>
    </w:p>
    <w:p>
      <w:pPr>
        <w:spacing w:after="120" w:line="276" w:lineRule="auto"/>
      </w:pPr>
      <w:r>
        <w:t>**RSI** : Le RSI s'établit à 56,25, dans la zone neutre (30-70), ce qui indique que le titre n'est ni suracheté ni survendu. Cette valeur reflète un équilibre entre acheteurs et vendeurs, avec une légère prédominance haussière. La décision neutre est cohérente, le RSI n'atteignant pas des niveaux extrêmes qui justifieraient une action immédiate.</w:t>
      </w:r>
    </w:p>
    <w:p>
      <w:pPr>
        <w:spacing w:after="120" w:line="276" w:lineRule="auto"/>
      </w:pPr>
      <w:r>
        <w:t>**Stochastique** : Le %K à 100,0 et le %D à 87,421 sont en zone de surachat extrême, avec un %K nettement au-dessus du %D. Cette configuration signale une possible correction à court terme, car le titre est techniquement surévalué à très court terme. La décision de vente est donc justifiée, malgré la tendance haussière sous-jacente.</w:t>
      </w:r>
    </w:p>
    <w:p>
      <w:pPr>
        <w:spacing w:after="120" w:line="276" w:lineRule="auto"/>
      </w:pPr>
      <w:r>
        <w:t>**Conclusion technique** : Les indicateurs sont globalement positifs, avec des moyennes mobiles et le MACD en faveur d'une tendance haussière, mais le stochastique en zone de surachat suggère un risque de repli technique imminent. Le RSI neutre et les bandes de Bollinger proches de la borne supérieure indiquent que le titre pourrait consolider avant de poursuivre sa progression. La prudence est donc de mise à très court terme, malgré un contexte technique globalement favorable.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(secteur banque) révèlent une performance robuste : le Produit Net Bancaire (PNB) s'établit à 79,563 milliards FCFA, avec un résultat net de 36,520 milliards FCFA, reflétant une marge nette exceptionnelle de 45,9%. Le ROE atteint 30,29%, largement au-dessus du seuil de 15% considéré comme excellent, tandis que le ROA de 3,24% confirme une gestion efficace des actifs. Le coefficient d'exploitation de 50,83% témoigne d'une banque très efficace, en dessous du seuil critique de 60%. Le coût du risque, avec un ratio de -12,15%, indique un portefeuille de crédits sain, malgré une légère hausse des provisions. Les dépôts clientèle (952,872 milliards FCFA) dépassent largement les créances sur la clientèle (524,439 milliards FCFA), assurant une transformation solide et une liquidité abondante. Les rapports trimestriels confirment cette dynamique : au T1 2026, le PNB progresse de +17,0% à 21,214 milliards FCFA et le résultat net bondit de +29,7% à 10,387 milliards FCFA, tandis qu'au T3 2025, le PNB cumulé atteint 58,119 milliards FCFA (+16,4%) avec un résultat net de 27,402 milliards FCFA (+50,8%). Sur la base de ces tendances, on estime que l'exercice 2026 pourrait voir un PNB dépasser 85 milliards FCFA et un résultat net supérieur à 40 milliards FCFA, confirmant une croissance soutenue. La solidité financière, la rentabilité élevée et les perspectives positives justifient une recommandation fondamentale d'achat, malgré un risque de normalisation du coût du risque.</w:t>
      </w:r>
    </w:p>
    <w:p>
      <w:pPr>
        <w:spacing w:after="120" w:line="276" w:lineRule="auto" w:before="240"/>
      </w:pPr>
      <w:r>
        <w:rPr>
          <w:b/>
          <w:color w:val="003366"/>
          <w:sz w:val="24"/>
        </w:rPr>
        <w:t>**PARTIE 4 : CONCLUSION D'INVESTISSEMENT**</w:t>
      </w:r>
    </w:p>
    <w:p>
      <w:pPr>
        <w:spacing w:after="120" w:line="276" w:lineRule="auto"/>
      </w:pPr>
      <w:r>
        <w:t>La valorisation de BICC présente un profil contrasté : un PER de 13,3x modéré, mais un P/B de 4,04x exigeant, indiquant une prime de marché pour la croissance future. Le comportement du cours est favorable, avec une hausse de +12,50% sur 100 jours, une volatilité modérée (27,7%) et une distribution des prix stable (kurtosis mésokurtique), bien que l'asymétrie négative suggère des périodes de correction. Les signaux techniques sont globalement positifs, avec des moyennes mobiles et le MACD en zone d'achat, mais le stochastique en surachat alerte sur un risque de repli à court terme. Les fondamentaux sont excellents, avec un ROE de 30,29%, un coefficient d'exploitation de 50,83% et une croissance soutenue du PNB et du résultat net, confirmée par les rapports trimestriels récents. Les prédictions IA pour les 10 prochains jours prévoient une baisse progressive du cours (de 28 472 à 27 392 FCFA), contredisant la tendance haussière actuelle et suggérant une correction technique. En synthèse, la convergence entre des fondamentaux solides et une valorisation raisonnable plaide pour une recommandation **ACHAT**, mais avec une prudence à court terme. Le niveau de confiance est **Élevé**, le risque global est **Moyen**, et l'horizon d'investissement optimal est le **moyen terme (3-12 mois)**, permettant de capitaliser sur la croissance tout en absorbant les fluctuations techniques.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2,188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007800"/>
                <w:sz w:val="17"/>
              </w:rPr>
              <w:t>+23.60%</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11.80% (Moyenne) — μ=1,749 FCFA, σ=206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β=0.1326 (Défensif) — Cov=0.000004, Var(idx)=0.000031, ρ=0.024,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2026-08-21</w:t>
            </w:r>
          </w:p>
        </w:tc>
        <w:tc>
          <w:tcPr>
            <w:tcW w:type="dxa" w:w="1440"/>
            <w:shd w:fill="FAFAFA" w:val="clear"/>
          </w:tcPr>
          <w:p>
            <w:r>
              <w:rPr>
                <w:sz w:val="17"/>
              </w:rPr>
              <w:t>1,902</w:t>
            </w:r>
          </w:p>
        </w:tc>
        <w:tc>
          <w:tcPr>
            <w:tcW w:type="dxa" w:w="1440"/>
            <w:shd w:fill="FAFAFA" w:val="clear"/>
          </w:tcPr>
          <w:p>
            <w:r>
              <w:rPr>
                <w:b/>
                <w:sz w:val="17"/>
              </w:rPr>
              <w:t>1,987</w:t>
            </w:r>
          </w:p>
        </w:tc>
        <w:tc>
          <w:tcPr>
            <w:tcW w:type="dxa" w:w="1440"/>
            <w:shd w:fill="FAFAFA" w:val="clear"/>
          </w:tcPr>
          <w:p>
            <w:r>
              <w:rPr>
                <w:sz w:val="17"/>
              </w:rPr>
              <w:t>2,073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2026-08-24</w:t>
            </w:r>
          </w:p>
        </w:tc>
        <w:tc>
          <w:tcPr>
            <w:tcW w:type="dxa" w:w="1440"/>
            <w:shd w:fill="FAFAFA" w:val="clear"/>
          </w:tcPr>
          <w:p>
            <w:r>
              <w:rPr>
                <w:sz w:val="17"/>
              </w:rPr>
              <w:t>1,865</w:t>
            </w:r>
          </w:p>
        </w:tc>
        <w:tc>
          <w:tcPr>
            <w:tcW w:type="dxa" w:w="1440"/>
            <w:shd w:fill="FAFAFA" w:val="clear"/>
          </w:tcPr>
          <w:p>
            <w:r>
              <w:rPr>
                <w:b/>
                <w:sz w:val="17"/>
              </w:rPr>
              <w:t>1,985</w:t>
            </w:r>
          </w:p>
        </w:tc>
        <w:tc>
          <w:tcPr>
            <w:tcW w:type="dxa" w:w="1440"/>
            <w:shd w:fill="FAFAFA" w:val="clear"/>
          </w:tcPr>
          <w:p>
            <w:r>
              <w:rPr>
                <w:sz w:val="17"/>
              </w:rPr>
              <w:t>2,106</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2026-08-25</w:t>
            </w:r>
          </w:p>
        </w:tc>
        <w:tc>
          <w:tcPr>
            <w:tcW w:type="dxa" w:w="1440"/>
            <w:shd w:fill="FAFAFA" w:val="clear"/>
          </w:tcPr>
          <w:p>
            <w:r>
              <w:rPr>
                <w:sz w:val="17"/>
              </w:rPr>
              <w:t>1,836</w:t>
            </w:r>
          </w:p>
        </w:tc>
        <w:tc>
          <w:tcPr>
            <w:tcW w:type="dxa" w:w="1440"/>
            <w:shd w:fill="FAFAFA" w:val="clear"/>
          </w:tcPr>
          <w:p>
            <w:r>
              <w:rPr>
                <w:b/>
                <w:sz w:val="17"/>
              </w:rPr>
              <w:t>1,984</w:t>
            </w:r>
          </w:p>
        </w:tc>
        <w:tc>
          <w:tcPr>
            <w:tcW w:type="dxa" w:w="1440"/>
            <w:shd w:fill="FAFAFA" w:val="clear"/>
          </w:tcPr>
          <w:p>
            <w:r>
              <w:rPr>
                <w:sz w:val="17"/>
              </w:rPr>
              <w:t>2,131</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2026-08-27</w:t>
            </w:r>
          </w:p>
        </w:tc>
        <w:tc>
          <w:tcPr>
            <w:tcW w:type="dxa" w:w="1440"/>
            <w:shd w:fill="FAFAFA" w:val="clear"/>
          </w:tcPr>
          <w:p>
            <w:r>
              <w:rPr>
                <w:sz w:val="17"/>
              </w:rPr>
              <w:t>1,812</w:t>
            </w:r>
          </w:p>
        </w:tc>
        <w:tc>
          <w:tcPr>
            <w:tcW w:type="dxa" w:w="1440"/>
            <w:shd w:fill="FAFAFA" w:val="clear"/>
          </w:tcPr>
          <w:p>
            <w:r>
              <w:rPr>
                <w:b/>
                <w:sz w:val="17"/>
              </w:rPr>
              <w:t>1,982</w:t>
            </w:r>
          </w:p>
        </w:tc>
        <w:tc>
          <w:tcPr>
            <w:tcW w:type="dxa" w:w="1440"/>
            <w:shd w:fill="FAFAFA" w:val="clear"/>
          </w:tcPr>
          <w:p>
            <w:r>
              <w:rPr>
                <w:sz w:val="17"/>
              </w:rPr>
              <w:t>2,152</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2026-08-28</w:t>
            </w:r>
          </w:p>
        </w:tc>
        <w:tc>
          <w:tcPr>
            <w:tcW w:type="dxa" w:w="1440"/>
            <w:shd w:fill="FAFAFA" w:val="clear"/>
          </w:tcPr>
          <w:p>
            <w:r>
              <w:rPr>
                <w:sz w:val="17"/>
              </w:rPr>
              <w:t>1,790</w:t>
            </w:r>
          </w:p>
        </w:tc>
        <w:tc>
          <w:tcPr>
            <w:tcW w:type="dxa" w:w="1440"/>
            <w:shd w:fill="FAFAFA" w:val="clear"/>
          </w:tcPr>
          <w:p>
            <w:r>
              <w:rPr>
                <w:b/>
                <w:sz w:val="17"/>
              </w:rPr>
              <w:t>1,980</w:t>
            </w:r>
          </w:p>
        </w:tc>
        <w:tc>
          <w:tcPr>
            <w:tcW w:type="dxa" w:w="1440"/>
            <w:shd w:fill="FAFAFA" w:val="clear"/>
          </w:tcPr>
          <w:p>
            <w:r>
              <w:rPr>
                <w:sz w:val="17"/>
              </w:rPr>
              <w:t>2,171</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2026-08-31</w:t>
            </w:r>
          </w:p>
        </w:tc>
        <w:tc>
          <w:tcPr>
            <w:tcW w:type="dxa" w:w="1440"/>
            <w:shd w:fill="FAFAFA" w:val="clear"/>
          </w:tcPr>
          <w:p>
            <w:r>
              <w:rPr>
                <w:sz w:val="17"/>
              </w:rPr>
              <w:t>1,771</w:t>
            </w:r>
          </w:p>
        </w:tc>
        <w:tc>
          <w:tcPr>
            <w:tcW w:type="dxa" w:w="1440"/>
            <w:shd w:fill="FAFAFA" w:val="clear"/>
          </w:tcPr>
          <w:p>
            <w:r>
              <w:rPr>
                <w:b/>
                <w:sz w:val="17"/>
              </w:rPr>
              <w:t>1,979</w:t>
            </w:r>
          </w:p>
        </w:tc>
        <w:tc>
          <w:tcPr>
            <w:tcW w:type="dxa" w:w="1440"/>
            <w:shd w:fill="FAFAFA" w:val="clear"/>
          </w:tcPr>
          <w:p>
            <w:r>
              <w:rPr>
                <w:sz w:val="17"/>
              </w:rPr>
              <w:t>2,187</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2026-09-01</w:t>
            </w:r>
          </w:p>
        </w:tc>
        <w:tc>
          <w:tcPr>
            <w:tcW w:type="dxa" w:w="1440"/>
            <w:shd w:fill="FAFAFA" w:val="clear"/>
          </w:tcPr>
          <w:p>
            <w:r>
              <w:rPr>
                <w:sz w:val="17"/>
              </w:rPr>
              <w:t>1,753</w:t>
            </w:r>
          </w:p>
        </w:tc>
        <w:tc>
          <w:tcPr>
            <w:tcW w:type="dxa" w:w="1440"/>
            <w:shd w:fill="FAFAFA" w:val="clear"/>
          </w:tcPr>
          <w:p>
            <w:r>
              <w:rPr>
                <w:b/>
                <w:sz w:val="17"/>
              </w:rPr>
              <w:t>1,977</w:t>
            </w:r>
          </w:p>
        </w:tc>
        <w:tc>
          <w:tcPr>
            <w:tcW w:type="dxa" w:w="1440"/>
            <w:shd w:fill="FAFAFA" w:val="clear"/>
          </w:tcPr>
          <w:p>
            <w:r>
              <w:rPr>
                <w:sz w:val="17"/>
              </w:rPr>
              <w:t>2,202</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2026-09-02</w:t>
            </w:r>
          </w:p>
        </w:tc>
        <w:tc>
          <w:tcPr>
            <w:tcW w:type="dxa" w:w="1440"/>
            <w:shd w:fill="FAFAFA" w:val="clear"/>
          </w:tcPr>
          <w:p>
            <w:r>
              <w:rPr>
                <w:sz w:val="17"/>
              </w:rPr>
              <w:t>1,736</w:t>
            </w:r>
          </w:p>
        </w:tc>
        <w:tc>
          <w:tcPr>
            <w:tcW w:type="dxa" w:w="1440"/>
            <w:shd w:fill="FAFAFA" w:val="clear"/>
          </w:tcPr>
          <w:p>
            <w:r>
              <w:rPr>
                <w:b/>
                <w:sz w:val="17"/>
              </w:rPr>
              <w:t>1,976</w:t>
            </w:r>
          </w:p>
        </w:tc>
        <w:tc>
          <w:tcPr>
            <w:tcW w:type="dxa" w:w="1440"/>
            <w:shd w:fill="FAFAFA" w:val="clear"/>
          </w:tcPr>
          <w:p>
            <w:r>
              <w:rPr>
                <w:sz w:val="17"/>
              </w:rPr>
              <w:t>2,216</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2026-09-03</w:t>
            </w:r>
          </w:p>
        </w:tc>
        <w:tc>
          <w:tcPr>
            <w:tcW w:type="dxa" w:w="1440"/>
            <w:shd w:fill="FAFAFA" w:val="clear"/>
          </w:tcPr>
          <w:p>
            <w:r>
              <w:rPr>
                <w:sz w:val="17"/>
              </w:rPr>
              <w:t>1,720</w:t>
            </w:r>
          </w:p>
        </w:tc>
        <w:tc>
          <w:tcPr>
            <w:tcW w:type="dxa" w:w="1440"/>
            <w:shd w:fill="FAFAFA" w:val="clear"/>
          </w:tcPr>
          <w:p>
            <w:r>
              <w:rPr>
                <w:b/>
                <w:sz w:val="17"/>
              </w:rPr>
              <w:t>1,975</w:t>
            </w:r>
          </w:p>
        </w:tc>
        <w:tc>
          <w:tcPr>
            <w:tcW w:type="dxa" w:w="1440"/>
            <w:shd w:fill="FAFAFA" w:val="clear"/>
          </w:tcPr>
          <w:p>
            <w:r>
              <w:rPr>
                <w:sz w:val="17"/>
              </w:rPr>
              <w:t>2,229</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2026-09-04</w:t>
            </w:r>
          </w:p>
        </w:tc>
        <w:tc>
          <w:tcPr>
            <w:tcW w:type="dxa" w:w="1440"/>
            <w:shd w:fill="FAFAFA" w:val="clear"/>
          </w:tcPr>
          <w:p>
            <w:r>
              <w:rPr>
                <w:sz w:val="17"/>
              </w:rPr>
              <w:t>1,705</w:t>
            </w:r>
          </w:p>
        </w:tc>
        <w:tc>
          <w:tcPr>
            <w:tcW w:type="dxa" w:w="1440"/>
            <w:shd w:fill="FAFAFA" w:val="clear"/>
          </w:tcPr>
          <w:p>
            <w:r>
              <w:rPr>
                <w:b/>
                <w:sz w:val="17"/>
              </w:rPr>
              <w:t>1,974</w:t>
            </w:r>
          </w:p>
        </w:tc>
        <w:tc>
          <w:tcPr>
            <w:tcW w:type="dxa" w:w="1440"/>
            <w:shd w:fill="FAFAFA" w:val="clear"/>
          </w:tcPr>
          <w:p>
            <w:r>
              <w:rPr>
                <w:sz w:val="17"/>
              </w:rPr>
              <w:t>2,242</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**Date de l'analyse : 20 août 2026**</w:t>
        <w:br/>
        <w:t>**Cours de référence : 1 990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13,18 milliards FCFA, un niveau modeste qui la positionne comme une valeur de seconde ligne sur la BRVM. Le BPA de 3 FCFA par action est extrêmement faible, reflétant une rentabilité par action quasi symbolique. Le PER de 590,6x est considérablement supérieur à la moyenne du marché BRVM (8-12x), indiquant que les investisseurs paient un prix très élevé pour chaque franc de bénéfice, ce qui traduit une valorisation extrêmement exigeante, voire spéculative. En revanche, le P/B de 0,74x signale que le marché valorise le titre sous sa valeur comptable, une opportunité potentielle pour les investisseurs "value". Enfin, l'EV/EBITDA de 24,2x, bien au-dessus du seuil de 15x, confirme une valorisation opérationnelle très onéreuse, cohérente avec le PER élevé.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totale de +23,60%, avec une dernière séance stable (0,00%). Le cours a évolué dans une fourchette de 1 300 FCFA (plus bas) à 2 100 FCFA (plus haut), démontrant une amplitude de trading significative de 800 FCFA. La moyenne du cours sur la période est de 1 749 FCFA, très proche de la médiane (1 750 FCFA), ce qui indique une distribution relativement symétrique des prix. L'écart-type de 207 FCFA (CV = 11,9%) révèle une dispersion modérée autour de la moyenne. Le kurtosis négatif (-1,299) signale une distribution platykurtique, avec une faible concentration des prix autour de la moyenne, tandis que le skewness (-0,169) confirme une symétrie quasi parfaite. La volatilité annualisée de 47,8% est élevée (&gt;30%), indiquant un titre très risqué à court terme malgré une tendance haussière marquée.</w:t>
      </w:r>
    </w:p>
    <w:p>
      <w:pPr>
        <w:spacing w:after="120" w:line="276" w:lineRule="auto"/>
      </w:pPr>
      <w:r>
        <w:t>---</w:t>
      </w:r>
    </w:p>
    <w:p>
      <w:pPr>
        <w:spacing w:after="120" w:line="276" w:lineRule="auto"/>
      </w:pPr>
      <w:r>
        <w:t>### PARTIE 2 : ANALYSE TECHNIQUE DÉTAILLÉE</w:t>
      </w:r>
    </w:p>
    <w:p>
      <w:pPr>
        <w:spacing w:after="120" w:line="276" w:lineRule="auto"/>
      </w:pPr>
      <w:r>
        <w:t>**Moyennes Mobiles :** La MM20 (1 945,75 FCFA) et la MM50 (1 938,6 FCFA) sont toutes deux inférieures au cours actuel (1 990 FCFA), ce qui confirme une dynamique haussière. Le croisement des moyennes mobiles et leur position sous le prix indiquent un signal d'achat, la tendance de fond restant positive.</w:t>
      </w:r>
    </w:p>
    <w:p>
      <w:pPr>
        <w:spacing w:after="120" w:line="276" w:lineRule="auto"/>
      </w:pPr>
      <w:r>
        <w:t>**Bandes de Bollinger :** Le cours se situe entre la borne supérieure (2 044,12 FCFA) et la borne inférieure (1 847,38 FCFA), proche de la borne haute. Cette position suggère une pression acheteuse soutenue, mais le signal reste neutre, le prix n'ayant pas encore franchi la borne supérieure, ce qui pourrait indiquer une consolidation imminente.</w:t>
      </w:r>
    </w:p>
    <w:p>
      <w:pPr>
        <w:spacing w:after="120" w:line="276" w:lineRule="auto"/>
      </w:pPr>
      <w:r>
        <w:t>**MACD :** Le MACD (26,478) est supérieur à son signal (22,376), avec un écart positif de 4,1 points. Cette configuration signale un momentum haussier en phase d'accélération, justifiant une décision d'achat. La tendance de fond reste positive, mais la prudence est de mise en cas de retournement du spread.</w:t>
      </w:r>
    </w:p>
    <w:p>
      <w:pPr>
        <w:spacing w:after="120" w:line="276" w:lineRule="auto"/>
      </w:pPr>
      <w:r>
        <w:t>**RSI :** Le RSI s'établit à 76,19, nettement au-dessus du seuil de surachat (70). Cette valeur indique que le titre est en zone de surachat, ce qui suggère un risque de correction technique à court terme. La décision associée est une vente, car le marché est probablement surchauffé.</w:t>
      </w:r>
    </w:p>
    <w:p>
      <w:pPr>
        <w:spacing w:after="120" w:line="276" w:lineRule="auto"/>
      </w:pPr>
      <w:r>
        <w:t>**Stochastique :** Le %K (90,909) et le %D (92,859) sont tous deux en zone de surachat (&gt;80), avec un %K inférieur au %D, signalant un croisement baissier potentiel. Cette configuration indique un épuisement de la dynamique haussière, justifiant une décision de vente.</w:t>
      </w:r>
    </w:p>
    <w:p>
      <w:pPr>
        <w:spacing w:after="120" w:line="276" w:lineRule="auto"/>
      </w:pPr>
      <w:r>
        <w:t>**Conclusion technique :** Les indicateurs de tendance (MM, MACD) sont positifs, mais les oscillateurs (RSI, Stochastique) signalent un surachat prononcé. Cette divergence suggère un risque de correction à court terme, malgré une tendance de fond haussière. La prudence est recommandée pour les nouveaux achats.</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42,454 milliards FCFA, en baisse de 6,31% par rapport à 2024 (45,312 milliards FCFA). Le résultat net s'établit à 22,32 millions FCFA, en amélioration par rapport à 2024 (7,31 millions), mais la marge nette reste anémique à 0,05%. Le ROE est de 0,13% et le ROA de 0,05%, des niveaux très faibles. La structure financière montre des capitaux propres solides (17,77 milliards FCFA) avec une autonomie financière de 36,16%, mais la trésorerie nette est fortement négative (-16,69 milliards FCFA), créant un risque de liquidité majeur. Le BFR de 29,37 milliards FCFA est élevé, avec un délai client de 104 jours et une durée de stockage de 339 jours, indiquant une immobilisation importante de capital. Les rapports trimestriels 2025 montrent une amélioration au T1 (+4% CA) mais une dégradation au T3 (-13% CA), avec une perte cumulée de -157 millions FCFA sur 9 mois. Le rapport T1 2026 (daté du 31/12/2026) indique un CA stable à 11,194 milliards FCFA et un résultat net positif de 65,57 millions FCFA, une amélioration spectaculaire de +506% par rapport au T1 2025 (perte de -16,15 millions). On estime que l'exercice 2026 pourrait être bénéficiaire si cette tendance se maintient, portée par la montée en puissance de la division Équipement et le showroom Technibat KM4. La recommandation fondamentale est de conserver avec surveillance, la société montrant des signes de redressement mais restant fragile.</w:t>
      </w:r>
    </w:p>
    <w:p>
      <w:pPr>
        <w:spacing w:after="120" w:line="276" w:lineRule="auto"/>
      </w:pPr>
      <w:r>
        <w:t>---</w:t>
      </w:r>
    </w:p>
    <w:p>
      <w:pPr>
        <w:spacing w:after="120" w:line="276" w:lineRule="auto"/>
      </w:pPr>
      <w:r>
        <w:t>### PARTIE 4 : CONCLUSION D'INVESTISSEMENT</w:t>
      </w:r>
    </w:p>
    <w:p>
      <w:pPr>
        <w:spacing w:after="120" w:line="276" w:lineRule="auto"/>
      </w:pPr>
      <w:r>
        <w:t>La valorisation de BNBC est extrêmement exigeante (PER 590,6x, EV/EBITDA 24,2x), mais le P/B de 0,74x offre un potentiel de rattrapage. Le comportement du cours sur 100 jours est haussier (+23,6%) avec une volatilité élevée (47,8%), mais les statistiques montrent une distribution symétrique et un risque de pics limité (kurtosis négatif). Les signaux techniques sont mitigés : tendance positive (MM, MACD) mais surachat prononcé (RSI 76,19, Stochastique &gt;90), suggérant un risque de correction. Les fondamentaux sont faibles mais en amélioration, avec un T1 2026 bénéficiaire et des perspectives de redressement. Les prédictions IA (1 987 à 1 980 FCFA sur 10 jours) indiquent une légère baisse, confirmant le risque de correction technique. En synthèse, la convergence entre la surévaluation boursière, les signaux techniques de surachat et la faiblesse fondamentale justifie une recommandation de **CONSERVER**, avec un niveau de confiance **Moyen** et un risque global **Élevé**. L'horizon d'investissement optimal est le **moyen terme (3-12 mois)**, en attendant la confirmation d'une reprise durable de la rentabilité.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385.33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5,917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+30.23%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6.48% (Moyenne) — μ=8,646 FCFA, σ=560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β=-0.2006 (Contre-cyclique) — Cov=-0.000006, Var(idx)=0.000031, ρ=-0.075,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σ_j=1.57%/j (Stable) — Vol. annualisée≈24.9%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8,761</w:t>
            </w:r>
          </w:p>
        </w:tc>
        <w:tc>
          <w:tcPr>
            <w:tcW w:type="dxa" w:w="1440"/>
            <w:shd w:fill="FFDCE0" w:val="clear"/>
          </w:tcPr>
          <w:p>
            <w:r>
              <w:rPr>
                <w:b/>
                <w:sz w:val="17"/>
              </w:rPr>
              <w:t>9,017</w:t>
            </w:r>
          </w:p>
        </w:tc>
        <w:tc>
          <w:tcPr>
            <w:tcW w:type="dxa" w:w="1440"/>
            <w:shd w:fill="FFDCE0" w:val="clear"/>
          </w:tcPr>
          <w:p>
            <w:r>
              <w:rPr>
                <w:sz w:val="17"/>
              </w:rPr>
              <w:t>9,273</w:t>
            </w:r>
          </w:p>
        </w:tc>
        <w:tc>
          <w:tcPr>
            <w:tcW w:type="dxa" w:w="1440"/>
            <w:shd w:fill="FFDCE0" w:val="clear"/>
          </w:tcPr>
          <w:p>
            <w:r>
              <w:rPr>
                <w:b/>
                <w:color w:val="C00000"/>
                <w:sz w:val="17"/>
              </w:rPr>
              <w:t>-5.1%</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8,484</w:t>
            </w:r>
          </w:p>
        </w:tc>
        <w:tc>
          <w:tcPr>
            <w:tcW w:type="dxa" w:w="1440"/>
            <w:shd w:fill="FFDCE0" w:val="clear"/>
          </w:tcPr>
          <w:p>
            <w:r>
              <w:rPr>
                <w:b/>
                <w:sz w:val="17"/>
              </w:rPr>
              <w:t>8,838</w:t>
            </w:r>
          </w:p>
        </w:tc>
        <w:tc>
          <w:tcPr>
            <w:tcW w:type="dxa" w:w="1440"/>
            <w:shd w:fill="FFDCE0" w:val="clear"/>
          </w:tcPr>
          <w:p>
            <w:r>
              <w:rPr>
                <w:sz w:val="17"/>
              </w:rPr>
              <w:t>9,193</w:t>
            </w:r>
          </w:p>
        </w:tc>
        <w:tc>
          <w:tcPr>
            <w:tcW w:type="dxa" w:w="1440"/>
            <w:shd w:fill="FFDCE0" w:val="clear"/>
          </w:tcPr>
          <w:p>
            <w:r>
              <w:rPr>
                <w:b/>
                <w:color w:val="C00000"/>
                <w:sz w:val="17"/>
              </w:rPr>
              <w:t>-7.0%</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8,245</w:t>
            </w:r>
          </w:p>
        </w:tc>
        <w:tc>
          <w:tcPr>
            <w:tcW w:type="dxa" w:w="1440"/>
            <w:shd w:fill="FFDCE0" w:val="clear"/>
          </w:tcPr>
          <w:p>
            <w:r>
              <w:rPr>
                <w:b/>
                <w:sz w:val="17"/>
              </w:rPr>
              <w:t>8,671</w:t>
            </w:r>
          </w:p>
        </w:tc>
        <w:tc>
          <w:tcPr>
            <w:tcW w:type="dxa" w:w="1440"/>
            <w:shd w:fill="FFDCE0" w:val="clear"/>
          </w:tcPr>
          <w:p>
            <w:r>
              <w:rPr>
                <w:sz w:val="17"/>
              </w:rPr>
              <w:t>9,097</w:t>
            </w:r>
          </w:p>
        </w:tc>
        <w:tc>
          <w:tcPr>
            <w:tcW w:type="dxa" w:w="1440"/>
            <w:shd w:fill="FFDCE0" w:val="clear"/>
          </w:tcPr>
          <w:p>
            <w:r>
              <w:rPr>
                <w:b/>
                <w:color w:val="C00000"/>
                <w:sz w:val="17"/>
              </w:rPr>
              <w:t>-8.7%</w:t>
            </w:r>
          </w:p>
        </w:tc>
      </w:tr>
      <w:tr>
        <w:tc>
          <w:tcPr>
            <w:tcW w:type="dxa" w:w="1440"/>
            <w:shd w:fill="FFDCE0" w:val="clear"/>
          </w:tcPr>
          <w:p>
            <w:r>
              <w:rPr>
                <w:sz w:val="17"/>
              </w:rPr>
              <w:t>J+4  Moyenne</w:t>
            </w:r>
          </w:p>
        </w:tc>
        <w:tc>
          <w:tcPr>
            <w:tcW w:type="dxa" w:w="1440"/>
            <w:shd w:fill="FFDCE0" w:val="clear"/>
          </w:tcPr>
          <w:p>
            <w:r>
              <w:rPr>
                <w:sz w:val="17"/>
              </w:rPr>
              <w:t>2026-08-27</w:t>
            </w:r>
          </w:p>
        </w:tc>
        <w:tc>
          <w:tcPr>
            <w:tcW w:type="dxa" w:w="1440"/>
            <w:shd w:fill="FFDCE0" w:val="clear"/>
          </w:tcPr>
          <w:p>
            <w:r>
              <w:rPr>
                <w:sz w:val="17"/>
              </w:rPr>
              <w:t>8,059</w:t>
            </w:r>
          </w:p>
        </w:tc>
        <w:tc>
          <w:tcPr>
            <w:tcW w:type="dxa" w:w="1440"/>
            <w:shd w:fill="FFDCE0" w:val="clear"/>
          </w:tcPr>
          <w:p>
            <w:r>
              <w:rPr>
                <w:b/>
                <w:sz w:val="17"/>
              </w:rPr>
              <w:t>8,543</w:t>
            </w:r>
          </w:p>
        </w:tc>
        <w:tc>
          <w:tcPr>
            <w:tcW w:type="dxa" w:w="1440"/>
            <w:shd w:fill="FFDCE0" w:val="clear"/>
          </w:tcPr>
          <w:p>
            <w:r>
              <w:rPr>
                <w:sz w:val="17"/>
              </w:rPr>
              <w:t>9,028</w:t>
            </w:r>
          </w:p>
        </w:tc>
        <w:tc>
          <w:tcPr>
            <w:tcW w:type="dxa" w:w="1440"/>
            <w:shd w:fill="FFDCE0" w:val="clear"/>
          </w:tcPr>
          <w:p>
            <w:r>
              <w:rPr>
                <w:b/>
                <w:color w:val="C00000"/>
                <w:sz w:val="17"/>
              </w:rPr>
              <w:t>-10.1%</w:t>
            </w:r>
          </w:p>
        </w:tc>
      </w:tr>
      <w:tr>
        <w:tc>
          <w:tcPr>
            <w:tcW w:type="dxa" w:w="1440"/>
            <w:shd w:fill="FFDCE0" w:val="clear"/>
          </w:tcPr>
          <w:p>
            <w:r>
              <w:rPr>
                <w:sz w:val="17"/>
              </w:rPr>
              <w:t>J+5  Moyenne</w:t>
            </w:r>
          </w:p>
        </w:tc>
        <w:tc>
          <w:tcPr>
            <w:tcW w:type="dxa" w:w="1440"/>
            <w:shd w:fill="FFDCE0" w:val="clear"/>
          </w:tcPr>
          <w:p>
            <w:r>
              <w:rPr>
                <w:sz w:val="17"/>
              </w:rPr>
              <w:t>2026-08-28</w:t>
            </w:r>
          </w:p>
        </w:tc>
        <w:tc>
          <w:tcPr>
            <w:tcW w:type="dxa" w:w="1440"/>
            <w:shd w:fill="FFDCE0" w:val="clear"/>
          </w:tcPr>
          <w:p>
            <w:r>
              <w:rPr>
                <w:sz w:val="17"/>
              </w:rPr>
              <w:t>7,899</w:t>
            </w:r>
          </w:p>
        </w:tc>
        <w:tc>
          <w:tcPr>
            <w:tcW w:type="dxa" w:w="1440"/>
            <w:shd w:fill="FFDCE0" w:val="clear"/>
          </w:tcPr>
          <w:p>
            <w:r>
              <w:rPr>
                <w:b/>
                <w:sz w:val="17"/>
              </w:rPr>
              <w:t>8,434</w:t>
            </w:r>
          </w:p>
        </w:tc>
        <w:tc>
          <w:tcPr>
            <w:tcW w:type="dxa" w:w="1440"/>
            <w:shd w:fill="FFDCE0" w:val="clear"/>
          </w:tcPr>
          <w:p>
            <w:r>
              <w:rPr>
                <w:sz w:val="17"/>
              </w:rPr>
              <w:t>8,968</w:t>
            </w:r>
          </w:p>
        </w:tc>
        <w:tc>
          <w:tcPr>
            <w:tcW w:type="dxa" w:w="1440"/>
            <w:shd w:fill="FFDCE0" w:val="clear"/>
          </w:tcPr>
          <w:p>
            <w:r>
              <w:rPr>
                <w:b/>
                <w:color w:val="C00000"/>
                <w:sz w:val="17"/>
              </w:rPr>
              <w:t>-11.2%</w:t>
            </w:r>
          </w:p>
        </w:tc>
      </w:tr>
      <w:tr>
        <w:tc>
          <w:tcPr>
            <w:tcW w:type="dxa" w:w="1440"/>
            <w:shd w:fill="FFDCE0" w:val="clear"/>
          </w:tcPr>
          <w:p>
            <w:r>
              <w:rPr>
                <w:sz w:val="17"/>
              </w:rPr>
              <w:t>J+6  Moyenne</w:t>
            </w:r>
          </w:p>
        </w:tc>
        <w:tc>
          <w:tcPr>
            <w:tcW w:type="dxa" w:w="1440"/>
            <w:shd w:fill="FFDCE0" w:val="clear"/>
          </w:tcPr>
          <w:p>
            <w:r>
              <w:rPr>
                <w:sz w:val="17"/>
              </w:rPr>
              <w:t>2026-08-31</w:t>
            </w:r>
          </w:p>
        </w:tc>
        <w:tc>
          <w:tcPr>
            <w:tcW w:type="dxa" w:w="1440"/>
            <w:shd w:fill="FFDCE0" w:val="clear"/>
          </w:tcPr>
          <w:p>
            <w:r>
              <w:rPr>
                <w:sz w:val="17"/>
              </w:rPr>
              <w:t>7,754</w:t>
            </w:r>
          </w:p>
        </w:tc>
        <w:tc>
          <w:tcPr>
            <w:tcW w:type="dxa" w:w="1440"/>
            <w:shd w:fill="FFDCE0" w:val="clear"/>
          </w:tcPr>
          <w:p>
            <w:r>
              <w:rPr>
                <w:b/>
                <w:sz w:val="17"/>
              </w:rPr>
              <w:t>8,333</w:t>
            </w:r>
          </w:p>
        </w:tc>
        <w:tc>
          <w:tcPr>
            <w:tcW w:type="dxa" w:w="1440"/>
            <w:shd w:fill="FFDCE0" w:val="clear"/>
          </w:tcPr>
          <w:p>
            <w:r>
              <w:rPr>
                <w:sz w:val="17"/>
              </w:rPr>
              <w:t>8,912</w:t>
            </w:r>
          </w:p>
        </w:tc>
        <w:tc>
          <w:tcPr>
            <w:tcW w:type="dxa" w:w="1440"/>
            <w:shd w:fill="FFDCE0" w:val="clear"/>
          </w:tcPr>
          <w:p>
            <w:r>
              <w:rPr>
                <w:b/>
                <w:color w:val="C00000"/>
                <w:sz w:val="17"/>
              </w:rPr>
              <w:t>-12.3%</w:t>
            </w:r>
          </w:p>
        </w:tc>
      </w:tr>
      <w:tr>
        <w:tc>
          <w:tcPr>
            <w:tcW w:type="dxa" w:w="1440"/>
            <w:shd w:fill="FFDCE0" w:val="clear"/>
          </w:tcPr>
          <w:p>
            <w:r>
              <w:rPr>
                <w:sz w:val="17"/>
              </w:rPr>
              <w:t>J+7  Moyenne</w:t>
            </w:r>
          </w:p>
        </w:tc>
        <w:tc>
          <w:tcPr>
            <w:tcW w:type="dxa" w:w="1440"/>
            <w:shd w:fill="FFDCE0" w:val="clear"/>
          </w:tcPr>
          <w:p>
            <w:r>
              <w:rPr>
                <w:sz w:val="17"/>
              </w:rPr>
              <w:t>2026-09-01</w:t>
            </w:r>
          </w:p>
        </w:tc>
        <w:tc>
          <w:tcPr>
            <w:tcW w:type="dxa" w:w="1440"/>
            <w:shd w:fill="FFDCE0" w:val="clear"/>
          </w:tcPr>
          <w:p>
            <w:r>
              <w:rPr>
                <w:sz w:val="17"/>
              </w:rPr>
              <w:t>7,620</w:t>
            </w:r>
          </w:p>
        </w:tc>
        <w:tc>
          <w:tcPr>
            <w:tcW w:type="dxa" w:w="1440"/>
            <w:shd w:fill="FFDCE0" w:val="clear"/>
          </w:tcPr>
          <w:p>
            <w:r>
              <w:rPr>
                <w:b/>
                <w:sz w:val="17"/>
              </w:rPr>
              <w:t>8,238</w:t>
            </w:r>
          </w:p>
        </w:tc>
        <w:tc>
          <w:tcPr>
            <w:tcW w:type="dxa" w:w="1440"/>
            <w:shd w:fill="FFDCE0" w:val="clear"/>
          </w:tcPr>
          <w:p>
            <w:r>
              <w:rPr>
                <w:sz w:val="17"/>
              </w:rPr>
              <w:t>8,856</w:t>
            </w:r>
          </w:p>
        </w:tc>
        <w:tc>
          <w:tcPr>
            <w:tcW w:type="dxa" w:w="1440"/>
            <w:shd w:fill="FFDCE0" w:val="clear"/>
          </w:tcPr>
          <w:p>
            <w:r>
              <w:rPr>
                <w:b/>
                <w:color w:val="C00000"/>
                <w:sz w:val="17"/>
              </w:rPr>
              <w:t>-13.3%</w:t>
            </w:r>
          </w:p>
        </w:tc>
      </w:tr>
      <w:tr>
        <w:tc>
          <w:tcPr>
            <w:tcW w:type="dxa" w:w="1440"/>
            <w:shd w:fill="FFDCE0" w:val="clear"/>
          </w:tcPr>
          <w:p>
            <w:r>
              <w:rPr>
                <w:sz w:val="17"/>
              </w:rPr>
              <w:t>J+8  Moyenne</w:t>
            </w:r>
          </w:p>
        </w:tc>
        <w:tc>
          <w:tcPr>
            <w:tcW w:type="dxa" w:w="1440"/>
            <w:shd w:fill="FFDCE0" w:val="clear"/>
          </w:tcPr>
          <w:p>
            <w:r>
              <w:rPr>
                <w:sz w:val="17"/>
              </w:rPr>
              <w:t>2026-09-02</w:t>
            </w:r>
          </w:p>
        </w:tc>
        <w:tc>
          <w:tcPr>
            <w:tcW w:type="dxa" w:w="1440"/>
            <w:shd w:fill="FFDCE0" w:val="clear"/>
          </w:tcPr>
          <w:p>
            <w:r>
              <w:rPr>
                <w:sz w:val="17"/>
              </w:rPr>
              <w:t>7,495</w:t>
            </w:r>
          </w:p>
        </w:tc>
        <w:tc>
          <w:tcPr>
            <w:tcW w:type="dxa" w:w="1440"/>
            <w:shd w:fill="FFDCE0" w:val="clear"/>
          </w:tcPr>
          <w:p>
            <w:r>
              <w:rPr>
                <w:b/>
                <w:sz w:val="17"/>
              </w:rPr>
              <w:t>8,149</w:t>
            </w:r>
          </w:p>
        </w:tc>
        <w:tc>
          <w:tcPr>
            <w:tcW w:type="dxa" w:w="1440"/>
            <w:shd w:fill="FFDCE0" w:val="clear"/>
          </w:tcPr>
          <w:p>
            <w:r>
              <w:rPr>
                <w:sz w:val="17"/>
              </w:rPr>
              <w:t>8,803</w:t>
            </w:r>
          </w:p>
        </w:tc>
        <w:tc>
          <w:tcPr>
            <w:tcW w:type="dxa" w:w="1440"/>
            <w:shd w:fill="FFDCE0" w:val="clear"/>
          </w:tcPr>
          <w:p>
            <w:r>
              <w:rPr>
                <w:b/>
                <w:color w:val="C00000"/>
                <w:sz w:val="17"/>
              </w:rPr>
              <w:t>-14.2%</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7,379</w:t>
            </w:r>
          </w:p>
        </w:tc>
        <w:tc>
          <w:tcPr>
            <w:tcW w:type="dxa" w:w="1440"/>
            <w:shd w:fill="FFDCE0" w:val="clear"/>
          </w:tcPr>
          <w:p>
            <w:r>
              <w:rPr>
                <w:b/>
                <w:sz w:val="17"/>
              </w:rPr>
              <w:t>8,065</w:t>
            </w:r>
          </w:p>
        </w:tc>
        <w:tc>
          <w:tcPr>
            <w:tcW w:type="dxa" w:w="1440"/>
            <w:shd w:fill="FFDCE0" w:val="clear"/>
          </w:tcPr>
          <w:p>
            <w:r>
              <w:rPr>
                <w:sz w:val="17"/>
              </w:rPr>
              <w:t>8,751</w:t>
            </w:r>
          </w:p>
        </w:tc>
        <w:tc>
          <w:tcPr>
            <w:tcW w:type="dxa" w:w="1440"/>
            <w:shd w:fill="FFDCE0" w:val="clear"/>
          </w:tcPr>
          <w:p>
            <w:r>
              <w:rPr>
                <w:b/>
                <w:color w:val="C00000"/>
                <w:sz w:val="17"/>
              </w:rPr>
              <w:t>-15.1%</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7,269</w:t>
            </w:r>
          </w:p>
        </w:tc>
        <w:tc>
          <w:tcPr>
            <w:tcW w:type="dxa" w:w="1440"/>
            <w:shd w:fill="FFDCE0" w:val="clear"/>
          </w:tcPr>
          <w:p>
            <w:r>
              <w:rPr>
                <w:b/>
                <w:sz w:val="17"/>
              </w:rPr>
              <w:t>7,985</w:t>
            </w:r>
          </w:p>
        </w:tc>
        <w:tc>
          <w:tcPr>
            <w:tcW w:type="dxa" w:w="1440"/>
            <w:shd w:fill="FFDCE0" w:val="clear"/>
          </w:tcPr>
          <w:p>
            <w:r>
              <w:rPr>
                <w:sz w:val="17"/>
              </w:rPr>
              <w:t>8,701</w:t>
            </w:r>
          </w:p>
        </w:tc>
        <w:tc>
          <w:tcPr>
            <w:tcW w:type="dxa" w:w="1440"/>
            <w:shd w:fill="FFDCE0" w:val="clear"/>
          </w:tcPr>
          <w:p>
            <w:r>
              <w:rPr>
                <w:b/>
                <w:color w:val="C00000"/>
                <w:sz w:val="17"/>
              </w:rPr>
              <w:t>-15.9%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385,33 milliards FCFA, ce qui en fait une valeur de première ligne sur la BRVM, représentant un poids significatif dans l'indice composite. Le BPA de 496 FCFA indique que chaque action génère un bénéfice substantiel, mais le PER de 19,2x se situe nettement au-dessus de la moyenne historique de la BRVM (8-12x), signifiant que les investisseurs paient une prime conséquente pour la croissance anticipée. Le P/B de 3,28x confirme cette prime, le marché valorisant la banque à plus de trois fois sa valeur comptable, ce qui reflète une forte confiance dans la création de valeur future. Enfin, l'EV/EBITDA de 19,7x, bien que très exigeant, traduit la solidité opérationnelle de la banque et sa capacité à générer des flux de trésorerie récurrents, justifiant en partie cette valorisation élevée.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spectaculaire de +30,23%, avec une dernière séance en hausse de +4,40%, clôturant à 9 500 FCFA, son plus haut niveau sur la période. Le titre a évolué dans une fourchette de 7 295 à 9 500 FCFA, démontrant une dynamique haussière soutenue. La moyenne (8 646 FCFA) est inférieure à la médiane (8 750 FCFA), indiquant une distribution légèrement asymétrique avec des journées de forte hausse récentes. L'écart-type de 563 FCFA (CV=6,5%) révèle une dispersion modérée, tandis que le kurtosis de 0,131 (mésokurtique) suggère une distribution proche de la normale, sans risque de pics extrêmes. Le skewness négatif de -0,941 indique que le cours a passé plus de journées au-dessus de sa moyenne, confirmant la tendance haussière. La volatilité annualisée de 24,9% classe le titre dans une zone modérée, offrant un équilibre entre risque et rendement.</w:t>
      </w:r>
    </w:p>
    <w:p>
      <w:pPr>
        <w:spacing w:after="120" w:line="276" w:lineRule="auto" w:before="240"/>
      </w:pPr>
      <w:r>
        <w:rPr>
          <w:b/>
          <w:color w:val="003366"/>
          <w:sz w:val="24"/>
        </w:rPr>
        <w:t>**PARTIE 2 : ANALYSE TECHNIQUE DÉTAILLÉE**</w:t>
      </w:r>
    </w:p>
    <w:p>
      <w:pPr>
        <w:spacing w:after="120" w:line="276" w:lineRule="auto"/>
      </w:pPr>
      <w:r>
        <w:t>**Moyennes Mobiles** : Le cours actuel (9 500 FCFA) est nettement supérieur aux MM20 (8 771,5 FCFA) et MM50 (8 833,7 FCFA), ce qui indique une forte dynamique haussière. Cependant, la décision de "Vente" suggère que le marché pourrait considérer le titre comme suracheté à court terme, avec un risque de correction vers les moyennes mobiles.</w:t>
      </w:r>
    </w:p>
    <w:p>
      <w:pPr>
        <w:spacing w:after="120" w:line="276" w:lineRule="auto"/>
      </w:pPr>
      <w:r>
        <w:t>**Bandes de Bollinger** : Le prix a franchi la borne supérieure (9 288,86 FCFA), signalant une extension excessive de la volatilité. Cette cassure au-dessus de la bande indique une pression acheteuse intense, mais la décision de "Vente" suggère un possible retour vers la moyenne, la borne supérieure agissant comme résistance.</w:t>
      </w:r>
    </w:p>
    <w:p>
      <w:pPr>
        <w:spacing w:after="120" w:line="276" w:lineRule="auto"/>
      </w:pPr>
      <w:r>
        <w:t>**MACD** : La valeur du MACD (99,535) est largement supérieure au signal (7,719), confirmant un momentum haussier très fort. La décision "Achat" reflète la persistance de la dynamique positive, bien que l'écart important puisse signaler une saturation à court terme.</w:t>
      </w:r>
    </w:p>
    <w:p>
      <w:pPr>
        <w:spacing w:after="120" w:line="276" w:lineRule="auto"/>
      </w:pPr>
      <w:r>
        <w:t>**RSI** : À 75,478, le RSI est en zone de surachat (&gt;70), indiquant que le titre est surévalué à court terme. La décision "Vente" suggère un risque élevé de retournement ou de consolidation, les acheteurs ayant potentiellement épuisé leur force.</w:t>
      </w:r>
    </w:p>
    <w:p>
      <w:pPr>
        <w:spacing w:after="120" w:line="276" w:lineRule="auto"/>
      </w:pPr>
      <w:r>
        <w:t>**Stochastique** : Avec %K=100 et %D=86,667, l'indicateur est en zone de surachat extrême. La décision "Vente" confirme le risque de correction, le croisement baissier potentiel étant imminent.</w:t>
      </w:r>
    </w:p>
    <w:p>
      <w:pPr>
        <w:spacing w:after="120" w:line="276" w:lineRule="auto"/>
      </w:pPr>
      <w:r>
        <w:t>**Conclusion technique** : Les indicateurs sont unanimement en zone de surachat, avec un cours ayant fortement dépassé les bornes supérieures. Bien que la tendance de fond reste haussière, les signaux techniques suggèrent une consolidation ou une correction à court terme, le marché ayant besoin de "respirer" après une telle progression.</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 révèlent une banque performante : le PNB s'établit à 51,274 milliards FCFA, générant un résultat net de 20,107 milliards FCFA, soit une marge nette de 39,2%. Le ROE de 17,11% et le ROA de 2,08% démontrent une excellente rentabilité, bien au-dessus des seuils d'excellence (&gt;15% et &gt;2%). Le coefficient d'exploitation de 49,53% confirme une gestion efficace des charges, tandis que le coût du risque de 22,50% reste élevé, signalant une qualité de crédit à surveiller. Le ratio dépôts/crédits (711,642/391,724) montre une transformation saine. En croisant avec les rapports narratifs, le T3 2025 (PNB 37,065 milliards, résultat net 15,880 milliards, +13% en glissement annuel) confirme la dynamique positive, malgré une contraction des crédits (-10%) et dépôts (-5%). Le S1 2025 (PNB 24,556 milliards, +5,91%) et le T1 2025 (PNB 11,081 milliards, +1,7%) montrent une progression régulière. Sur la base du T3 2025, on estime que l'exercice 2025 devrait dépasser les 51 milliards de PNB, avec un résultat net annuel projeté autour de 21-22 milliards FCFA, soit une croissance de 7-10% par rapport à 2024. Les fondamentaux restent solides, avec une augmentation de capital réussie en 2024 et une stratégie axée sur la rentabilité plutôt que la croissance volumique.</w:t>
      </w:r>
    </w:p>
    <w:p>
      <w:pPr>
        <w:spacing w:after="120" w:line="276" w:lineRule="auto" w:before="240"/>
      </w:pPr>
      <w:r>
        <w:rPr>
          <w:b/>
          <w:color w:val="003366"/>
          <w:sz w:val="24"/>
        </w:rPr>
        <w:t>**PARTIE 4 : CONCLUSION D'INVESTISSEMENT**</w:t>
      </w:r>
    </w:p>
    <w:p>
      <w:pPr>
        <w:spacing w:after="120" w:line="276" w:lineRule="auto"/>
      </w:pPr>
      <w:r>
        <w:t>La valorisation de BOAB (PER 19,2x, P/B 3,28x) indique une surévaluation relative par rapport au marché BRVM, mais justifiée par des fondamentaux solides (ROE 17,11%, marge nette 39,2%). Le comportement du cours (+30,23% sur 100 jours) montre une tendance haussière robuste, mais les statistiques (skewness négatif) et la volatilité modérée suggèrent un risque de consolidation. Les signaux techniques sont unanimement en surachat (RSI 75,5, Stochastique 100, prix &gt; borne supérieure), indiquant une correction probable à court terme. Les fondamentaux restent excellents, avec une croissance estimée du résultat net 2025 de 7-10%. Les prédictions IA (9 017 à 8 434 FCFA sur 10 jours) confirment cette anticipation de correction, avec une baisse progressive vers les 8 400-8 500 FCFA. La convergence entre les signaux techniques et les prédictions IA suggère une recommandation **CONSERVER** à court terme, avec un niveau de confiance **Moyen** et un risque global **Moyen**. L'horizon optimal serait de moyen terme (3-12 mois), en attendant une correction pour renforcer les positions sur une valeur aux fondamentaux solides et aux perspectives de croissance soutenues.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330.00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6,083 titres</w:t>
            </w:r>
          </w:p>
        </w:tc>
        <w:tc>
          <w:tcPr>
            <w:tcW w:type="dxa" w:w="2268"/>
            <w:shd w:fill="FFF2CC" w:val="clear"/>
          </w:tcPr>
          <w:p>
            <w:r>
              <w:rPr>
                <w:b/>
                <w:color w:val="503200"/>
                <w:sz w:val="16"/>
              </w:rPr>
              <w:t xml:space="preserve">Cours actuel : </w:t>
            </w:r>
            <w:r>
              <w:rPr>
                <w:color w:val="000000"/>
                <w:sz w:val="17"/>
              </w:rPr>
              <w:t>7,500 FCFA</w:t>
            </w:r>
          </w:p>
          <w:p>
            <w:r>
              <w:rPr>
                <w:b/>
                <w:color w:val="503200"/>
                <w:sz w:val="16"/>
              </w:rPr>
              <w:t xml:space="preserve">Var. 100 jours : </w:t>
            </w:r>
            <w:r>
              <w:rPr>
                <w:b/>
                <w:color w:val="007800"/>
                <w:sz w:val="17"/>
              </w:rPr>
              <w:t>+37.74%</w:t>
            </w:r>
          </w:p>
          <w:p>
            <w:r>
              <w:rPr>
                <w:b/>
                <w:color w:val="503200"/>
                <w:sz w:val="16"/>
              </w:rPr>
              <w:t xml:space="preserve">Plus haut 100j : </w:t>
            </w:r>
            <w:r>
              <w:rPr>
                <w:color w:val="000000"/>
                <w:sz w:val="17"/>
              </w:rPr>
              <w:t>7,500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11.98% (Moyenne) — μ=6,004 FCFA, σ=719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β=0.3078 (Défensif) — Cov=0.000010, Var(idx)=0.000031, ρ=0.095,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6,994</w:t>
            </w:r>
          </w:p>
        </w:tc>
        <w:tc>
          <w:tcPr>
            <w:tcW w:type="dxa" w:w="1440"/>
            <w:shd w:fill="FFDCE0" w:val="clear"/>
          </w:tcPr>
          <w:p>
            <w:r>
              <w:rPr>
                <w:b/>
                <w:sz w:val="17"/>
              </w:rPr>
              <w:t>7,288</w:t>
            </w:r>
          </w:p>
        </w:tc>
        <w:tc>
          <w:tcPr>
            <w:tcW w:type="dxa" w:w="1440"/>
            <w:shd w:fill="FFDCE0" w:val="clear"/>
          </w:tcPr>
          <w:p>
            <w:r>
              <w:rPr>
                <w:sz w:val="17"/>
              </w:rPr>
              <w:t>7,582</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6,752</w:t>
            </w:r>
          </w:p>
        </w:tc>
        <w:tc>
          <w:tcPr>
            <w:tcW w:type="dxa" w:w="1440"/>
            <w:shd w:fill="FFDCE0" w:val="clear"/>
          </w:tcPr>
          <w:p>
            <w:r>
              <w:rPr>
                <w:b/>
                <w:sz w:val="17"/>
              </w:rPr>
              <w:t>7,160</w:t>
            </w:r>
          </w:p>
        </w:tc>
        <w:tc>
          <w:tcPr>
            <w:tcW w:type="dxa" w:w="1440"/>
            <w:shd w:fill="FFDCE0" w:val="clear"/>
          </w:tcPr>
          <w:p>
            <w:r>
              <w:rPr>
                <w:sz w:val="17"/>
              </w:rPr>
              <w:t>7,568</w:t>
            </w:r>
          </w:p>
        </w:tc>
        <w:tc>
          <w:tcPr>
            <w:tcW w:type="dxa" w:w="1440"/>
            <w:shd w:fill="FFDCE0" w:val="clear"/>
          </w:tcPr>
          <w:p>
            <w:r>
              <w:rPr>
                <w:b/>
                <w:color w:val="C00000"/>
                <w:sz w:val="17"/>
              </w:rPr>
              <w:t>-4.5%</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6,558</w:t>
            </w:r>
          </w:p>
        </w:tc>
        <w:tc>
          <w:tcPr>
            <w:tcW w:type="dxa" w:w="1440"/>
            <w:shd w:fill="FFDCE0" w:val="clear"/>
          </w:tcPr>
          <w:p>
            <w:r>
              <w:rPr>
                <w:b/>
                <w:sz w:val="17"/>
              </w:rPr>
              <w:t>7,050</w:t>
            </w:r>
          </w:p>
        </w:tc>
        <w:tc>
          <w:tcPr>
            <w:tcW w:type="dxa" w:w="1440"/>
            <w:shd w:fill="FFDCE0" w:val="clear"/>
          </w:tcPr>
          <w:p>
            <w:r>
              <w:rPr>
                <w:sz w:val="17"/>
              </w:rPr>
              <w:t>7,543</w:t>
            </w:r>
          </w:p>
        </w:tc>
        <w:tc>
          <w:tcPr>
            <w:tcW w:type="dxa" w:w="1440"/>
            <w:shd w:fill="FFDCE0" w:val="clear"/>
          </w:tcPr>
          <w:p>
            <w:r>
              <w:rPr>
                <w:b/>
                <w:color w:val="C00000"/>
                <w:sz w:val="17"/>
              </w:rPr>
              <w:t>-6.0%</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6,404</w:t>
            </w:r>
          </w:p>
        </w:tc>
        <w:tc>
          <w:tcPr>
            <w:tcW w:type="dxa" w:w="1440"/>
            <w:shd w:fill="FFDCE0" w:val="clear"/>
          </w:tcPr>
          <w:p>
            <w:r>
              <w:rPr>
                <w:b/>
                <w:sz w:val="17"/>
              </w:rPr>
              <w:t>6,966</w:t>
            </w:r>
          </w:p>
        </w:tc>
        <w:tc>
          <w:tcPr>
            <w:tcW w:type="dxa" w:w="1440"/>
            <w:shd w:fill="FFDCE0" w:val="clear"/>
          </w:tcPr>
          <w:p>
            <w:r>
              <w:rPr>
                <w:sz w:val="17"/>
              </w:rPr>
              <w:t>7,528</w:t>
            </w:r>
          </w:p>
        </w:tc>
        <w:tc>
          <w:tcPr>
            <w:tcW w:type="dxa" w:w="1440"/>
            <w:shd w:fill="FFDCE0" w:val="clear"/>
          </w:tcPr>
          <w:p>
            <w:r>
              <w:rPr>
                <w:b/>
                <w:color w:val="C00000"/>
                <w:sz w:val="17"/>
              </w:rPr>
              <w:t>-7.1%</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6,274</w:t>
            </w:r>
          </w:p>
        </w:tc>
        <w:tc>
          <w:tcPr>
            <w:tcW w:type="dxa" w:w="1440"/>
            <w:shd w:fill="FFDCE0" w:val="clear"/>
          </w:tcPr>
          <w:p>
            <w:r>
              <w:rPr>
                <w:b/>
                <w:sz w:val="17"/>
              </w:rPr>
              <w:t>6,896</w:t>
            </w:r>
          </w:p>
        </w:tc>
        <w:tc>
          <w:tcPr>
            <w:tcW w:type="dxa" w:w="1440"/>
            <w:shd w:fill="FFDCE0" w:val="clear"/>
          </w:tcPr>
          <w:p>
            <w:r>
              <w:rPr>
                <w:sz w:val="17"/>
              </w:rPr>
              <w:t>7,518</w:t>
            </w:r>
          </w:p>
        </w:tc>
        <w:tc>
          <w:tcPr>
            <w:tcW w:type="dxa" w:w="1440"/>
            <w:shd w:fill="FFDCE0" w:val="clear"/>
          </w:tcPr>
          <w:p>
            <w:r>
              <w:rPr>
                <w:b/>
                <w:color w:val="C00000"/>
                <w:sz w:val="17"/>
              </w:rPr>
              <w:t>-8.1%</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6,158</w:t>
            </w:r>
          </w:p>
        </w:tc>
        <w:tc>
          <w:tcPr>
            <w:tcW w:type="dxa" w:w="1440"/>
            <w:shd w:fill="FFDCE0" w:val="clear"/>
          </w:tcPr>
          <w:p>
            <w:r>
              <w:rPr>
                <w:b/>
                <w:sz w:val="17"/>
              </w:rPr>
              <w:t>6,833</w:t>
            </w:r>
          </w:p>
        </w:tc>
        <w:tc>
          <w:tcPr>
            <w:tcW w:type="dxa" w:w="1440"/>
            <w:shd w:fill="FFDCE0" w:val="clear"/>
          </w:tcPr>
          <w:p>
            <w:r>
              <w:rPr>
                <w:sz w:val="17"/>
              </w:rPr>
              <w:t>7,509</w:t>
            </w:r>
          </w:p>
        </w:tc>
        <w:tc>
          <w:tcPr>
            <w:tcW w:type="dxa" w:w="1440"/>
            <w:shd w:fill="FFDCE0" w:val="clear"/>
          </w:tcPr>
          <w:p>
            <w:r>
              <w:rPr>
                <w:b/>
                <w:color w:val="C00000"/>
                <w:sz w:val="17"/>
              </w:rPr>
              <w:t>-8.9%</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6,052</w:t>
            </w:r>
          </w:p>
        </w:tc>
        <w:tc>
          <w:tcPr>
            <w:tcW w:type="dxa" w:w="1440"/>
            <w:shd w:fill="FFDCE0" w:val="clear"/>
          </w:tcPr>
          <w:p>
            <w:r>
              <w:rPr>
                <w:b/>
                <w:sz w:val="17"/>
              </w:rPr>
              <w:t>6,775</w:t>
            </w:r>
          </w:p>
        </w:tc>
        <w:tc>
          <w:tcPr>
            <w:tcW w:type="dxa" w:w="1440"/>
            <w:shd w:fill="FFDCE0" w:val="clear"/>
          </w:tcPr>
          <w:p>
            <w:r>
              <w:rPr>
                <w:sz w:val="17"/>
              </w:rPr>
              <w:t>7,498</w:t>
            </w:r>
          </w:p>
        </w:tc>
        <w:tc>
          <w:tcPr>
            <w:tcW w:type="dxa" w:w="1440"/>
            <w:shd w:fill="FFDCE0" w:val="clear"/>
          </w:tcPr>
          <w:p>
            <w:r>
              <w:rPr>
                <w:b/>
                <w:color w:val="C00000"/>
                <w:sz w:val="17"/>
              </w:rPr>
              <w:t>-9.7%</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5,952</w:t>
            </w:r>
          </w:p>
        </w:tc>
        <w:tc>
          <w:tcPr>
            <w:tcW w:type="dxa" w:w="1440"/>
            <w:shd w:fill="FFDCE0" w:val="clear"/>
          </w:tcPr>
          <w:p>
            <w:r>
              <w:rPr>
                <w:b/>
                <w:sz w:val="17"/>
              </w:rPr>
              <w:t>6,719</w:t>
            </w:r>
          </w:p>
        </w:tc>
        <w:tc>
          <w:tcPr>
            <w:tcW w:type="dxa" w:w="1440"/>
            <w:shd w:fill="FFDCE0" w:val="clear"/>
          </w:tcPr>
          <w:p>
            <w:r>
              <w:rPr>
                <w:sz w:val="17"/>
              </w:rPr>
              <w:t>7,486</w:t>
            </w:r>
          </w:p>
        </w:tc>
        <w:tc>
          <w:tcPr>
            <w:tcW w:type="dxa" w:w="1440"/>
            <w:shd w:fill="FFDCE0" w:val="clear"/>
          </w:tcPr>
          <w:p>
            <w:r>
              <w:rPr>
                <w:b/>
                <w:color w:val="C00000"/>
                <w:sz w:val="17"/>
              </w:rPr>
              <w:t>-10.4%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5,859</w:t>
            </w:r>
          </w:p>
        </w:tc>
        <w:tc>
          <w:tcPr>
            <w:tcW w:type="dxa" w:w="1440"/>
            <w:shd w:fill="FFDCE0" w:val="clear"/>
          </w:tcPr>
          <w:p>
            <w:r>
              <w:rPr>
                <w:b/>
                <w:sz w:val="17"/>
              </w:rPr>
              <w:t>6,665</w:t>
            </w:r>
          </w:p>
        </w:tc>
        <w:tc>
          <w:tcPr>
            <w:tcW w:type="dxa" w:w="1440"/>
            <w:shd w:fill="FFDCE0" w:val="clear"/>
          </w:tcPr>
          <w:p>
            <w:r>
              <w:rPr>
                <w:sz w:val="17"/>
              </w:rPr>
              <w:t>7,472</w:t>
            </w:r>
          </w:p>
        </w:tc>
        <w:tc>
          <w:tcPr>
            <w:tcW w:type="dxa" w:w="1440"/>
            <w:shd w:fill="FFDCE0" w:val="clear"/>
          </w:tcPr>
          <w:p>
            <w:r>
              <w:rPr>
                <w:b/>
                <w:color w:val="C00000"/>
                <w:sz w:val="17"/>
              </w:rPr>
              <w:t>-11.1%</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5,770</w:t>
            </w:r>
          </w:p>
        </w:tc>
        <w:tc>
          <w:tcPr>
            <w:tcW w:type="dxa" w:w="1440"/>
            <w:shd w:fill="FFDCE0" w:val="clear"/>
          </w:tcPr>
          <w:p>
            <w:r>
              <w:rPr>
                <w:b/>
                <w:sz w:val="17"/>
              </w:rPr>
              <w:t>6,613</w:t>
            </w:r>
          </w:p>
        </w:tc>
        <w:tc>
          <w:tcPr>
            <w:tcW w:type="dxa" w:w="1440"/>
            <w:shd w:fill="FFDCE0" w:val="clear"/>
          </w:tcPr>
          <w:p>
            <w:r>
              <w:rPr>
                <w:sz w:val="17"/>
              </w:rPr>
              <w:t>7,457</w:t>
            </w:r>
          </w:p>
        </w:tc>
        <w:tc>
          <w:tcPr>
            <w:tcW w:type="dxa" w:w="1440"/>
            <w:shd w:fill="FFDCE0" w:val="clear"/>
          </w:tcPr>
          <w:p>
            <w:r>
              <w:rPr>
                <w:b/>
                <w:color w:val="C00000"/>
                <w:sz w:val="17"/>
              </w:rPr>
              <w:t>-11.8%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330 milliards FCFA, ce qui en fait l'une des valeurs significatives de la cote BRVM, reflétant la confiance des investisseurs dans le secteur bancaire burkinabè. Avec un BPA de 438 FCFA, chaque action génère un bénéfice confortable, justifiant un PER de 17,1x. Ce niveau est nettement supérieur à la moyenne historique de la BRVM (8-12x), indiquant que le marché valorise généreusement la croissance future de la banque, malgré des bénéfices actuels en baisse. Le P/B de 2,61x confirme cette prime de croissance, le marché payant 2,6 fois la valeur comptable des actifs. Enfin, l'EV/EBITDA de 7,4x, dans la fourchette raisonnable de 5-10x, suggère que la valorisation globale de l'entreprise, rapportée à sa capacité opérationnelle, reste soutenable. Ces ratios, bien que supérieurs aux références historiques, traduisent une anticipation de redressement de la rentabilité.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connu une progression spectaculaire de +37,74%, avec une dernière séance en hausse de +2,74% à 7 500 FCFA, son plus haut niveau sur la période. Le cours a évolué dans une fourchette large de 5 235 à 7 500 FCFA, démontrant une dynamique haussière soutenue. La moyenne du cours (6 004 FCFA) est nettement supérieure à la médiane (5 615 FCFA), et le skewness positif de 0,949 confirme une distribution asymétrique avec des journées majoritairement sous la moyenne, mais des épisodes de forte hausse tirant la moyenne vers le haut. L'écart-type de 723 FCFA (CV de 12%) indique une dispersion modérée, tandis que le kurtosis de -0,851 (mésokurtique) suggère une distribution proche de la normale, sans risque de variations extrêmes. La volatilité annualisée de 28,9% classe le titre dans la catégorie modérée à élevée, reflétant une certaine nervosité mais aussi un fort potentiel de rendement.</w:t>
      </w:r>
    </w:p>
    <w:p>
      <w:pPr>
        <w:spacing w:after="120" w:line="276" w:lineRule="auto" w:before="240"/>
      </w:pPr>
      <w:r>
        <w:rPr>
          <w:b/>
          <w:color w:val="003366"/>
          <w:sz w:val="24"/>
        </w:rPr>
        <w:t>**PARTIE 2 : ANALYSE TECHNIQUE DÉTAILLÉE**</w:t>
      </w:r>
    </w:p>
    <w:p>
      <w:pPr>
        <w:spacing w:after="120" w:line="276" w:lineRule="auto"/>
      </w:pPr>
      <w:r>
        <w:t>**Moyennes Mobiles** : Le cours actuel de 7 500 FCFA est nettement au-dessus de la MM20 (7 195 FCFA) et de la MM50 (6 489 FCFA), avec un écart croissant. Cette configuration haussière, où le prix domine les moyennes, confirme la tendance positive et justifie la décision d'achat. La MM20 au-dessus de la MM50 renforce le signal d'une dynamique de court terme solide.</w:t>
      </w:r>
    </w:p>
    <w:p>
      <w:pPr>
        <w:spacing w:after="120" w:line="276" w:lineRule="auto"/>
      </w:pPr>
      <w:r>
        <w:t>**Bandes de Bollinger** : Le prix à 7 500 FCFA se situe au-dessus de la borne supérieure (7 458 FCFA), indiquant une condition de surachat extrême. L'écart entre les bornes (6931-7458) est large, reflétant une volatilité accrue. Cette position au-delà de la bande signale un épuisement potentiel du mouvement haussier à court terme, d'où la décision de vente.</w:t>
      </w:r>
    </w:p>
    <w:p>
      <w:pPr>
        <w:spacing w:after="120" w:line="276" w:lineRule="auto"/>
      </w:pPr>
      <w:r>
        <w:t>**MACD** : Le MACD (220,4) est positif mais passe sous sa ligne de signal (245,4), indiquant un affaiblissement du momentum haussier. Cette divergence baissière suggère un ralentissement de la dynamique, justifiant la décision de vente. Le croisement sous le signal est un signal précoce de retournement possible.</w:t>
      </w:r>
    </w:p>
    <w:p>
      <w:pPr>
        <w:spacing w:after="120" w:line="276" w:lineRule="auto"/>
      </w:pPr>
      <w:r>
        <w:t>**RSI** : Le RSI à 70,0 est à la limite de la zone de surachat (&gt;70). Cette valeur neutre indique que le marché est tendu, avec un risque de correction, mais sans signal clair de retournement. La décision neutre est appropriée, le titre n'étant pas encore en zone extrême de surachat.</w:t>
      </w:r>
    </w:p>
    <w:p>
      <w:pPr>
        <w:spacing w:after="120" w:line="276" w:lineRule="auto"/>
      </w:pPr>
      <w:r>
        <w:t>**Stochastique** : Le %K à 100 et le %D à 93,3 sont en zone de surachat extrême, avec un %K au-dessus du %D. Cette configuration signale un marché survendu et un risque élevé de retournement baissier. La décision de vente est justifiée par cette situation de surachat prononcé.</w:t>
      </w:r>
    </w:p>
    <w:p>
      <w:pPr>
        <w:spacing w:after="120" w:line="276" w:lineRule="auto"/>
      </w:pPr>
      <w:r>
        <w:t>**Conclusion technique** : Les indicateurs sont globalement en zone de surachat, avec un prix au-delà des bandes de Bollinger et un stochastique extrême. Le MACD montre un affaiblissement du momentum, tandis que les moyennes mobiles restent haussières. Cette divergence entre la tendance de fond (haussière) et les signaux de court terme (surachat) suggère une consolidation ou un repli technique imminent.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BOABF révèlent une banque de taille significative avec un total bilan de 1 148,7 milliards FCFA. Le Produit Net Bancaire s'établit à 57,82 milliards FCFA, en légère croissance de 0,57%, tandis que le résultat net atteint 19,25 milliards FCFA. La rentabilité des fonds propres (ROE) est excellente à 15,2%, et le ROA de 1,68% est satisfaisant. Le coefficient d'exploitation de 47,2% témoigne d'une excellente maîtrise des charges, bien en deçà du seuil de 60%. Cependant, le coût du risque de 33,9% est élevé, signalant une dégradation de la qualité du portefeuille de crédits. Les dépôts clientèle (877,8 milliards) excèdent largement les crédits (474,1 milliards), indiquant une transformation prudente. Les rapports trimestriels 2025 confirment cette tendance : le T1 2025 (PNB +2,3%, RN -16,6%) et le S1 2025 (PNB +1,4%, RN -46,5%) montrent une activité atone et une chute de rentabilité due à une explosion du coût du risque (+1336%). Le T3 2025 (PNB +0,85%, RN -27,7%) confirme la stagnation. Le rapport T1 2026 (PNB -10,75%, RN -13%) indique une poursuite de la dégradation. On estime que l'exercice 2026 pourrait voir un PNB en repli de 5 à 10% et un résultat net sous pression, malgré une collecte de dépôts dynamique (+6,3%).</w:t>
      </w:r>
    </w:p>
    <w:p>
      <w:pPr>
        <w:spacing w:after="120" w:line="276" w:lineRule="auto" w:before="240"/>
      </w:pPr>
      <w:r>
        <w:rPr>
          <w:b/>
          <w:color w:val="003366"/>
          <w:sz w:val="24"/>
        </w:rPr>
        <w:t>**PARTIE 4 : CONCLUSION D'INVESTISSEMENT**</w:t>
      </w:r>
    </w:p>
    <w:p>
      <w:pPr>
        <w:spacing w:after="120" w:line="276" w:lineRule="auto"/>
      </w:pPr>
      <w:r>
        <w:t>La valorisation de BOABF (PER 17,1x, P/B 2,61x) apparaît exigeante au regard de la dégradation des fondamentaux, suggérant une surévaluation relative. Le comportement du cours (+37,7% sur 100 jours) est spectaculairement haussier, mais les statistiques (skewness positif, volatilité 28,9%) indiquent une nervosité et un risque de correction. Les signaux techniques sont partagés : les moyennes mobiles sont haussières, mais le MACD, le stochastique et les bandes de Bollinger signalent un surachat extrême. Les fondamentaux montrent une banque solide (ROE 15,2%, coefficient d'exploitation 47,2%) mais confrontée à une dégradation de la qualité de son portefeuille et à une stagnation de son activité. Les prédictions IA (7 288 à 6 896 FCFA sur J+10) confirment un repli technique attendu. La convergence des signaux techniques et des prédictions IA vers une correction, contrastant avec la valorisation élevée et les fondamentaux en détérioration, conduit à une recommandation **CONSERVER** avec un niveau de confiance **Moyen**. Le risque global est **Élevé** en raison du surachat technique et de l'incertitude sur la qualité des actifs. L'horizon d'investissement optimal est le **moyen terme (3-12 mois)**, en attendant une clarification de la trajectoire du coût du risque et un point d'entrée plus favorable.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532.00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14,366 titres</w:t>
            </w:r>
          </w:p>
        </w:tc>
        <w:tc>
          <w:tcPr>
            <w:tcW w:type="dxa" w:w="2268"/>
            <w:shd w:fill="FFF2CC" w:val="clear"/>
          </w:tcPr>
          <w:p>
            <w:r>
              <w:rPr>
                <w:b/>
                <w:color w:val="503200"/>
                <w:sz w:val="16"/>
              </w:rPr>
              <w:t xml:space="preserve">Cours actuel : </w:t>
            </w:r>
            <w:r>
              <w:rPr>
                <w:color w:val="000000"/>
                <w:sz w:val="17"/>
              </w:rPr>
              <w:t>13,300 FCFA</w:t>
            </w:r>
          </w:p>
          <w:p>
            <w:r>
              <w:rPr>
                <w:b/>
                <w:color w:val="503200"/>
                <w:sz w:val="16"/>
              </w:rPr>
              <w:t xml:space="preserve">Var. 100 jours : </w:t>
            </w:r>
            <w:r>
              <w:rPr>
                <w:b/>
                <w:color w:val="007800"/>
                <w:sz w:val="17"/>
              </w:rPr>
              <w:t>+56.47%</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13.55% (Moyenne) — μ=9,503 FCFA, σ=1,287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β=0.6114 (Défensif) — Cov=0.000019, Var(idx)=0.000031, ρ=0.192,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14,366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σ_j=1.77%/j (Stable) — Vol. annualisée≈28.1%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12,072</w:t>
            </w:r>
          </w:p>
        </w:tc>
        <w:tc>
          <w:tcPr>
            <w:tcW w:type="dxa" w:w="1440"/>
            <w:shd w:fill="FFDCE0" w:val="clear"/>
          </w:tcPr>
          <w:p>
            <w:r>
              <w:rPr>
                <w:b/>
                <w:sz w:val="17"/>
              </w:rPr>
              <w:t>12,474</w:t>
            </w:r>
          </w:p>
        </w:tc>
        <w:tc>
          <w:tcPr>
            <w:tcW w:type="dxa" w:w="1440"/>
            <w:shd w:fill="FFDCE0" w:val="clear"/>
          </w:tcPr>
          <w:p>
            <w:r>
              <w:rPr>
                <w:sz w:val="17"/>
              </w:rPr>
              <w:t>12,876</w:t>
            </w:r>
          </w:p>
        </w:tc>
        <w:tc>
          <w:tcPr>
            <w:tcW w:type="dxa" w:w="1440"/>
            <w:shd w:fill="FFDCE0" w:val="clear"/>
          </w:tcPr>
          <w:p>
            <w:r>
              <w:rPr>
                <w:b/>
                <w:color w:val="C00000"/>
                <w:sz w:val="17"/>
              </w:rPr>
              <w:t>-6.2%</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11,324</w:t>
            </w:r>
          </w:p>
        </w:tc>
        <w:tc>
          <w:tcPr>
            <w:tcW w:type="dxa" w:w="1440"/>
            <w:shd w:fill="FFDCE0" w:val="clear"/>
          </w:tcPr>
          <w:p>
            <w:r>
              <w:rPr>
                <w:b/>
                <w:sz w:val="17"/>
              </w:rPr>
              <w:t>11,864</w:t>
            </w:r>
          </w:p>
        </w:tc>
        <w:tc>
          <w:tcPr>
            <w:tcW w:type="dxa" w:w="1440"/>
            <w:shd w:fill="FFDCE0" w:val="clear"/>
          </w:tcPr>
          <w:p>
            <w:r>
              <w:rPr>
                <w:sz w:val="17"/>
              </w:rPr>
              <w:t>12,405</w:t>
            </w:r>
          </w:p>
        </w:tc>
        <w:tc>
          <w:tcPr>
            <w:tcW w:type="dxa" w:w="1440"/>
            <w:shd w:fill="FFDCE0" w:val="clear"/>
          </w:tcPr>
          <w:p>
            <w:r>
              <w:rPr>
                <w:b/>
                <w:color w:val="C00000"/>
                <w:sz w:val="17"/>
              </w:rPr>
              <w:t>-10.8%</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10,639</w:t>
            </w:r>
          </w:p>
        </w:tc>
        <w:tc>
          <w:tcPr>
            <w:tcW w:type="dxa" w:w="1440"/>
            <w:shd w:fill="FFDCE0" w:val="clear"/>
          </w:tcPr>
          <w:p>
            <w:r>
              <w:rPr>
                <w:b/>
                <w:sz w:val="17"/>
              </w:rPr>
              <w:t>11,268</w:t>
            </w:r>
          </w:p>
        </w:tc>
        <w:tc>
          <w:tcPr>
            <w:tcW w:type="dxa" w:w="1440"/>
            <w:shd w:fill="FFDCE0" w:val="clear"/>
          </w:tcPr>
          <w:p>
            <w:r>
              <w:rPr>
                <w:sz w:val="17"/>
              </w:rPr>
              <w:t>11,897</w:t>
            </w:r>
          </w:p>
        </w:tc>
        <w:tc>
          <w:tcPr>
            <w:tcW w:type="dxa" w:w="1440"/>
            <w:shd w:fill="FFDCE0" w:val="clear"/>
          </w:tcPr>
          <w:p>
            <w:r>
              <w:rPr>
                <w:b/>
                <w:color w:val="C00000"/>
                <w:sz w:val="17"/>
              </w:rPr>
              <w:t>-15.3%</w:t>
            </w:r>
          </w:p>
        </w:tc>
      </w:tr>
      <w:tr>
        <w:tc>
          <w:tcPr>
            <w:tcW w:type="dxa" w:w="1440"/>
            <w:shd w:fill="FFDCE0" w:val="clear"/>
          </w:tcPr>
          <w:p>
            <w:r>
              <w:rPr>
                <w:sz w:val="17"/>
              </w:rPr>
              <w:t>J+4  Moyenne</w:t>
            </w:r>
          </w:p>
        </w:tc>
        <w:tc>
          <w:tcPr>
            <w:tcW w:type="dxa" w:w="1440"/>
            <w:shd w:fill="FFDCE0" w:val="clear"/>
          </w:tcPr>
          <w:p>
            <w:r>
              <w:rPr>
                <w:sz w:val="17"/>
              </w:rPr>
              <w:t>2026-08-27</w:t>
            </w:r>
          </w:p>
        </w:tc>
        <w:tc>
          <w:tcPr>
            <w:tcW w:type="dxa" w:w="1440"/>
            <w:shd w:fill="FFDCE0" w:val="clear"/>
          </w:tcPr>
          <w:p>
            <w:r>
              <w:rPr>
                <w:sz w:val="17"/>
              </w:rPr>
              <w:t>10,061</w:t>
            </w:r>
          </w:p>
        </w:tc>
        <w:tc>
          <w:tcPr>
            <w:tcW w:type="dxa" w:w="1440"/>
            <w:shd w:fill="FFDCE0" w:val="clear"/>
          </w:tcPr>
          <w:p>
            <w:r>
              <w:rPr>
                <w:b/>
                <w:sz w:val="17"/>
              </w:rPr>
              <w:t>10,755</w:t>
            </w:r>
          </w:p>
        </w:tc>
        <w:tc>
          <w:tcPr>
            <w:tcW w:type="dxa" w:w="1440"/>
            <w:shd w:fill="FFDCE0" w:val="clear"/>
          </w:tcPr>
          <w:p>
            <w:r>
              <w:rPr>
                <w:sz w:val="17"/>
              </w:rPr>
              <w:t>11,448</w:t>
            </w:r>
          </w:p>
        </w:tc>
        <w:tc>
          <w:tcPr>
            <w:tcW w:type="dxa" w:w="1440"/>
            <w:shd w:fill="FFDCE0" w:val="clear"/>
          </w:tcPr>
          <w:p>
            <w:r>
              <w:rPr>
                <w:b/>
                <w:color w:val="C00000"/>
                <w:sz w:val="17"/>
              </w:rPr>
              <w:t>-19.1%</w:t>
            </w:r>
          </w:p>
        </w:tc>
      </w:tr>
      <w:tr>
        <w:tc>
          <w:tcPr>
            <w:tcW w:type="dxa" w:w="1440"/>
            <w:shd w:fill="FFDCE0" w:val="clear"/>
          </w:tcPr>
          <w:p>
            <w:r>
              <w:rPr>
                <w:sz w:val="17"/>
              </w:rPr>
              <w:t>J+5  Moyenne</w:t>
            </w:r>
          </w:p>
        </w:tc>
        <w:tc>
          <w:tcPr>
            <w:tcW w:type="dxa" w:w="1440"/>
            <w:shd w:fill="FFDCE0" w:val="clear"/>
          </w:tcPr>
          <w:p>
            <w:r>
              <w:rPr>
                <w:sz w:val="17"/>
              </w:rPr>
              <w:t>2026-08-28</w:t>
            </w:r>
          </w:p>
        </w:tc>
        <w:tc>
          <w:tcPr>
            <w:tcW w:type="dxa" w:w="1440"/>
            <w:shd w:fill="FFDCE0" w:val="clear"/>
          </w:tcPr>
          <w:p>
            <w:r>
              <w:rPr>
                <w:sz w:val="17"/>
              </w:rPr>
              <w:t>9,575</w:t>
            </w:r>
          </w:p>
        </w:tc>
        <w:tc>
          <w:tcPr>
            <w:tcW w:type="dxa" w:w="1440"/>
            <w:shd w:fill="FFDCE0" w:val="clear"/>
          </w:tcPr>
          <w:p>
            <w:r>
              <w:rPr>
                <w:b/>
                <w:sz w:val="17"/>
              </w:rPr>
              <w:t>10,318</w:t>
            </w:r>
          </w:p>
        </w:tc>
        <w:tc>
          <w:tcPr>
            <w:tcW w:type="dxa" w:w="1440"/>
            <w:shd w:fill="FFDCE0" w:val="clear"/>
          </w:tcPr>
          <w:p>
            <w:r>
              <w:rPr>
                <w:sz w:val="17"/>
              </w:rPr>
              <w:t>11,062</w:t>
            </w:r>
          </w:p>
        </w:tc>
        <w:tc>
          <w:tcPr>
            <w:tcW w:type="dxa" w:w="1440"/>
            <w:shd w:fill="FFDCE0" w:val="clear"/>
          </w:tcPr>
          <w:p>
            <w:r>
              <w:rPr>
                <w:b/>
                <w:color w:val="C00000"/>
                <w:sz w:val="17"/>
              </w:rPr>
              <w:t>-22.4%</w:t>
            </w:r>
          </w:p>
        </w:tc>
      </w:tr>
      <w:tr>
        <w:tc>
          <w:tcPr>
            <w:tcW w:type="dxa" w:w="1440"/>
            <w:shd w:fill="FFDCE0" w:val="clear"/>
          </w:tcPr>
          <w:p>
            <w:r>
              <w:rPr>
                <w:sz w:val="17"/>
              </w:rPr>
              <w:t>J+6  Moyenne</w:t>
            </w:r>
          </w:p>
        </w:tc>
        <w:tc>
          <w:tcPr>
            <w:tcW w:type="dxa" w:w="1440"/>
            <w:shd w:fill="FFDCE0" w:val="clear"/>
          </w:tcPr>
          <w:p>
            <w:r>
              <w:rPr>
                <w:sz w:val="17"/>
              </w:rPr>
              <w:t>2026-08-31</w:t>
            </w:r>
          </w:p>
        </w:tc>
        <w:tc>
          <w:tcPr>
            <w:tcW w:type="dxa" w:w="1440"/>
            <w:shd w:fill="FFDCE0" w:val="clear"/>
          </w:tcPr>
          <w:p>
            <w:r>
              <w:rPr>
                <w:sz w:val="17"/>
              </w:rPr>
              <w:t>9,162</w:t>
            </w:r>
          </w:p>
        </w:tc>
        <w:tc>
          <w:tcPr>
            <w:tcW w:type="dxa" w:w="1440"/>
            <w:shd w:fill="FFDCE0" w:val="clear"/>
          </w:tcPr>
          <w:p>
            <w:r>
              <w:rPr>
                <w:b/>
                <w:sz w:val="17"/>
              </w:rPr>
              <w:t>9,947</w:t>
            </w:r>
          </w:p>
        </w:tc>
        <w:tc>
          <w:tcPr>
            <w:tcW w:type="dxa" w:w="1440"/>
            <w:shd w:fill="FFDCE0" w:val="clear"/>
          </w:tcPr>
          <w:p>
            <w:r>
              <w:rPr>
                <w:sz w:val="17"/>
              </w:rPr>
              <w:t>10,733</w:t>
            </w:r>
          </w:p>
        </w:tc>
        <w:tc>
          <w:tcPr>
            <w:tcW w:type="dxa" w:w="1440"/>
            <w:shd w:fill="FFDCE0" w:val="clear"/>
          </w:tcPr>
          <w:p>
            <w:r>
              <w:rPr>
                <w:b/>
                <w:color w:val="C00000"/>
                <w:sz w:val="17"/>
              </w:rPr>
              <w:t>-25.2%</w:t>
            </w:r>
          </w:p>
        </w:tc>
      </w:tr>
      <w:tr>
        <w:tc>
          <w:tcPr>
            <w:tcW w:type="dxa" w:w="1440"/>
            <w:shd w:fill="FFDCE0" w:val="clear"/>
          </w:tcPr>
          <w:p>
            <w:r>
              <w:rPr>
                <w:sz w:val="17"/>
              </w:rPr>
              <w:t>J+7  Moyenne</w:t>
            </w:r>
          </w:p>
        </w:tc>
        <w:tc>
          <w:tcPr>
            <w:tcW w:type="dxa" w:w="1440"/>
            <w:shd w:fill="FFDCE0" w:val="clear"/>
          </w:tcPr>
          <w:p>
            <w:r>
              <w:rPr>
                <w:sz w:val="17"/>
              </w:rPr>
              <w:t>2026-09-01</w:t>
            </w:r>
          </w:p>
        </w:tc>
        <w:tc>
          <w:tcPr>
            <w:tcW w:type="dxa" w:w="1440"/>
            <w:shd w:fill="FFDCE0" w:val="clear"/>
          </w:tcPr>
          <w:p>
            <w:r>
              <w:rPr>
                <w:sz w:val="17"/>
              </w:rPr>
              <w:t>8,808</w:t>
            </w:r>
          </w:p>
        </w:tc>
        <w:tc>
          <w:tcPr>
            <w:tcW w:type="dxa" w:w="1440"/>
            <w:shd w:fill="FFDCE0" w:val="clear"/>
          </w:tcPr>
          <w:p>
            <w:r>
              <w:rPr>
                <w:b/>
                <w:sz w:val="17"/>
              </w:rPr>
              <w:t>9,629</w:t>
            </w:r>
          </w:p>
        </w:tc>
        <w:tc>
          <w:tcPr>
            <w:tcW w:type="dxa" w:w="1440"/>
            <w:shd w:fill="FFDCE0" w:val="clear"/>
          </w:tcPr>
          <w:p>
            <w:r>
              <w:rPr>
                <w:sz w:val="17"/>
              </w:rPr>
              <w:t>10,450</w:t>
            </w:r>
          </w:p>
        </w:tc>
        <w:tc>
          <w:tcPr>
            <w:tcW w:type="dxa" w:w="1440"/>
            <w:shd w:fill="FFDCE0" w:val="clear"/>
          </w:tcPr>
          <w:p>
            <w:r>
              <w:rPr>
                <w:b/>
                <w:color w:val="C00000"/>
                <w:sz w:val="17"/>
              </w:rPr>
              <w:t>-27.6%</w:t>
            </w:r>
          </w:p>
        </w:tc>
      </w:tr>
      <w:tr>
        <w:tc>
          <w:tcPr>
            <w:tcW w:type="dxa" w:w="1440"/>
            <w:shd w:fill="FFDCE0" w:val="clear"/>
          </w:tcPr>
          <w:p>
            <w:r>
              <w:rPr>
                <w:sz w:val="17"/>
              </w:rPr>
              <w:t>J+8  Moyenne</w:t>
            </w:r>
          </w:p>
        </w:tc>
        <w:tc>
          <w:tcPr>
            <w:tcW w:type="dxa" w:w="1440"/>
            <w:shd w:fill="FFDCE0" w:val="clear"/>
          </w:tcPr>
          <w:p>
            <w:r>
              <w:rPr>
                <w:sz w:val="17"/>
              </w:rPr>
              <w:t>2026-09-02</w:t>
            </w:r>
          </w:p>
        </w:tc>
        <w:tc>
          <w:tcPr>
            <w:tcW w:type="dxa" w:w="1440"/>
            <w:shd w:fill="FFDCE0" w:val="clear"/>
          </w:tcPr>
          <w:p>
            <w:r>
              <w:rPr>
                <w:sz w:val="17"/>
              </w:rPr>
              <w:t>8,502</w:t>
            </w:r>
          </w:p>
        </w:tc>
        <w:tc>
          <w:tcPr>
            <w:tcW w:type="dxa" w:w="1440"/>
            <w:shd w:fill="FFDCE0" w:val="clear"/>
          </w:tcPr>
          <w:p>
            <w:r>
              <w:rPr>
                <w:b/>
                <w:sz w:val="17"/>
              </w:rPr>
              <w:t>9,354</w:t>
            </w:r>
          </w:p>
        </w:tc>
        <w:tc>
          <w:tcPr>
            <w:tcW w:type="dxa" w:w="1440"/>
            <w:shd w:fill="FFDCE0" w:val="clear"/>
          </w:tcPr>
          <w:p>
            <w:r>
              <w:rPr>
                <w:sz w:val="17"/>
              </w:rPr>
              <w:t>10,207</w:t>
            </w:r>
          </w:p>
        </w:tc>
        <w:tc>
          <w:tcPr>
            <w:tcW w:type="dxa" w:w="1440"/>
            <w:shd w:fill="FFDCE0" w:val="clear"/>
          </w:tcPr>
          <w:p>
            <w:r>
              <w:rPr>
                <w:b/>
                <w:color w:val="C00000"/>
                <w:sz w:val="17"/>
              </w:rPr>
              <w:t>-29.7%</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8,233</w:t>
            </w:r>
          </w:p>
        </w:tc>
        <w:tc>
          <w:tcPr>
            <w:tcW w:type="dxa" w:w="1440"/>
            <w:shd w:fill="FFDCE0" w:val="clear"/>
          </w:tcPr>
          <w:p>
            <w:r>
              <w:rPr>
                <w:b/>
                <w:sz w:val="17"/>
              </w:rPr>
              <w:t>9,114</w:t>
            </w:r>
          </w:p>
        </w:tc>
        <w:tc>
          <w:tcPr>
            <w:tcW w:type="dxa" w:w="1440"/>
            <w:shd w:fill="FFDCE0" w:val="clear"/>
          </w:tcPr>
          <w:p>
            <w:r>
              <w:rPr>
                <w:sz w:val="17"/>
              </w:rPr>
              <w:t>9,995</w:t>
            </w:r>
          </w:p>
        </w:tc>
        <w:tc>
          <w:tcPr>
            <w:tcW w:type="dxa" w:w="1440"/>
            <w:shd w:fill="FFDCE0" w:val="clear"/>
          </w:tcPr>
          <w:p>
            <w:r>
              <w:rPr>
                <w:b/>
                <w:color w:val="C00000"/>
                <w:sz w:val="17"/>
              </w:rPr>
              <w:t>-31.5%</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7,995</w:t>
            </w:r>
          </w:p>
        </w:tc>
        <w:tc>
          <w:tcPr>
            <w:tcW w:type="dxa" w:w="1440"/>
            <w:shd w:fill="FFDCE0" w:val="clear"/>
          </w:tcPr>
          <w:p>
            <w:r>
              <w:rPr>
                <w:b/>
                <w:sz w:val="17"/>
              </w:rPr>
              <w:t>8,903</w:t>
            </w:r>
          </w:p>
        </w:tc>
        <w:tc>
          <w:tcPr>
            <w:tcW w:type="dxa" w:w="1440"/>
            <w:shd w:fill="FFDCE0" w:val="clear"/>
          </w:tcPr>
          <w:p>
            <w:r>
              <w:rPr>
                <w:sz w:val="17"/>
              </w:rPr>
              <w:t>9,810</w:t>
            </w:r>
          </w:p>
        </w:tc>
        <w:tc>
          <w:tcPr>
            <w:tcW w:type="dxa" w:w="1440"/>
            <w:shd w:fill="FFDCE0" w:val="clear"/>
          </w:tcPr>
          <w:p>
            <w:r>
              <w:rPr>
                <w:b/>
                <w:color w:val="C00000"/>
                <w:sz w:val="17"/>
              </w:rPr>
              <w:t>-33.1%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 20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BOAC s'établit à 532 milliards FCFA, ce qui positionne le titre parmi les valeurs à forte capitalisation de la BRVM, lui conférant une liquidité et une visibilité notables. Le BPA de 888 FCFA indique que chaque action a généré un bénéfice substantiel sur l'exercice. Le PER de 15,0x est supérieur à la moyenne historique de la BRVM (8-12x), signifiant que les investisseurs acceptent de payer une prime pour la croissance et la solidité de la banque. Cependant, le P/B de 4,18x et l'EV/EBITDA de 28,0x sont particulièrement exigeants, valorisant fortement les actifs nets et la capacité opérationnelle de l'entreprise. Ces niveaux suggèrent que le marché intègre déjà des perspectives de croissance soutenues, laissant peu de marge d'erreur en cas de contre-performance.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progression spectaculaire de +56,47%, passant d'un plus bas de 8 100 FCFA à un plus haut de 13 450 FCFA, avec un cours actuel de 13 300 FCFA. La séance de la veille s'est soldée par une stagnation (0,00%), marquant une pause après ce rallye. La moyenne du cours sur la période (9 503 FCFA) est nettement inférieure à la médiane (8 968 FCFA), et le mode (8 500 FCFA) est encore plus bas, ce qui indique une distribution fortement asymétrique positive (skewness de 1,685) : le titre a passé la majorité du temps à des niveaux bas avant une envolée récente. L'écart-type de 1 294 FCFA (CV de 13,6%) montre une dispersion modérée, mais le kurtosis élevé (1,941) signale un risque de mouvements extrêmes. La volatilité annualisée de 28,1% classe le titre dans la catégorie "élevée", reflétant une forte incertitude et un potentiel de gains ou de pertes rapides.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(13 300 FCFA) évolue nettement au-dessus de la MM20 (11 784 FCFA) et de la MM50 (10 326 FCFA). Cette configuration haussière, où les moyennes sont orientées à la hausse, confirme une dynamique de tendance positive à court et moyen terme. La décision d'**Achat** est justifiée par cette structure de prix.</w:t>
      </w:r>
    </w:p>
    <w:p>
      <w:pPr>
        <w:spacing w:after="120" w:line="276" w:lineRule="auto"/>
      </w:pPr>
      <w:r>
        <w:t>**Bandes de Bollinger** : Le prix se situe à 13 300 FCFA, très proche de la borne supérieure (13 950 FCFA) et loin de la borne inférieure (9 619 FCFA). L'écart important entre les bornes indique une volatilité élevée. Le fait que le prix touche la borne supérieure suggère une condition de surachat temporaire, mais la décision est **Neutre**, car la tendance reste forte.</w:t>
      </w:r>
    </w:p>
    <w:p>
      <w:pPr>
        <w:spacing w:after="120" w:line="276" w:lineRule="auto"/>
      </w:pPr>
      <w:r>
        <w:t>**MACD** : La ligne MACD (908,58) est au-dessus de sa ligne de signal (774,89), avec un écart positif. Ce croisement haussier indique un momentum positif persistant, soutenant la poursuite de la tendance. La décision est à l'**Achat**.</w:t>
      </w:r>
    </w:p>
    <w:p>
      <w:pPr>
        <w:spacing w:after="120" w:line="276" w:lineRule="auto"/>
      </w:pPr>
      <w:r>
        <w:t>**RSI** : Avec une valeur de 94,64, le RSI est en zone de surachat extrême (au-dessus de 70). Cela signale que le titre est survendu à la hausse et qu'un repli technique est probable à court terme. La décision est à la **Vente** pour prendre des bénéfices.</w:t>
      </w:r>
    </w:p>
    <w:p>
      <w:pPr>
        <w:spacing w:after="120" w:line="276" w:lineRule="auto"/>
      </w:pPr>
      <w:r>
        <w:t>**Stochastique** : Le %K (94,31) et le %D (96,22) sont tous deux à des niveaux extrêmement élevés, en zone de surachat. Cette configuration indique un épuisement potentiel de la dynamique haussière, renforçant le signal de **Vente**.</w:t>
      </w:r>
    </w:p>
    <w:p>
      <w:pPr>
        <w:spacing w:after="120" w:line="276" w:lineRule="auto"/>
      </w:pPr>
      <w:r>
        <w:t>**Conclusion technique** : Les indicateurs de tendance (MM, MACD) sont résolument haussiers, mais les oscillateurs (RSI, Stochastique) sont en surachat critique. Cette divergence signale une forte probabilité de consolidation ou de correction à court terme, bien que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font état d'un Produit Net Bancaire (PNB) de 73,545 milliards FCFA et d'un résultat net de 35,540 milliards FCFA. La banque affiche une rentabilité exceptionnelle avec un ROE de 27,9% et un ROA de 3,2%, bien au-dessus des seuils d'excellence. Le coefficient d'exploitation de 36,7% démontre une excellente maîtrise des coûts. Le coût du risque est élevé (6,67%), mais la banque maintient une transformation saine avec des dépôts clients (850,5 Mds) largement supérieurs aux crédits (430,4 Mds). Les rapports trimestriels de 2025 montrent une décélération : le T1 affichait une croissance du PNB de +4,93% et un résultat net en hausse de +14,59%, mais le S1 et le T3 ont montré une stagnation du PNB (respectivement -0,35% et +0,23%) avec une croissance du résultat net de +4,29% et +1,29%. Sur la base de ces tendances, on estime que l'exercice 2026 pourrait voir un PNB stable et un résultat net en légère progression, soutenus par le contrôle des coûts et la baisse du coût du risque, mais pénalisés par la contraction du portefeuille de crédits (-11,97% au T3 2025). La solidité financière reste néanmoins un atout majeur.</w:t>
      </w:r>
    </w:p>
    <w:p>
      <w:pPr>
        <w:spacing w:after="120" w:line="276" w:lineRule="auto"/>
      </w:pPr>
      <w:r>
        <w:t>---</w:t>
      </w:r>
    </w:p>
    <w:p>
      <w:pPr>
        <w:spacing w:after="120" w:line="276" w:lineRule="auto"/>
      </w:pPr>
      <w:r>
        <w:t>### PARTIE 4 : CONCLUSION D'INVESTISSEMENT</w:t>
      </w:r>
    </w:p>
    <w:p>
      <w:pPr>
        <w:spacing w:after="120" w:line="276" w:lineRule="auto"/>
      </w:pPr>
      <w:r>
        <w:t>La valorisation de BOAC (PER 15x, P/B 4,18x, EV/EBITDA 28x) est exigeante, indiquant une surévaluation relative par rapport aux standards de la BRVM. Le comportement du cours montre une tendance haussière explosive (+56,47% en 100 jours) mais avec une volatilité élevée et des signes de surachat statistique (kurtosis et skewness positifs). Les signaux techniques sont mitigés : la tendance (MM, MACD) est haussière, mais les oscillateurs (RSI, Stochastique) crient à la correction. Les fondamentaux sont solides (ROE de 27,9%, coefficient d'exploitation bas), mais la croissance s'essouffle. Les prédictions IA pour les 10 prochains jours suggèrent une chute brutale du cours, passant de 13 300 FCFA à 10 318 FCFA, ce qui contredit fortement la tendance actuelle et valide les signaux de surachat. En synthèse, la convergence entre la valorisation élevée, les signaux techniques de surachat et les prédictions IA baissières est forte. Nous recommandons donc une **VENTE** à court terme pour réaliser les gains, avec un niveau de confiance **Élevé** et un risque global **Élevé**. L'horizon optimal est le **court terme (&lt;3 mois)** pour éviter une correction, bien que le titre reste attractif à long terme pour ses fondamentaux.</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171.56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6,140 titres</w:t>
            </w:r>
          </w:p>
        </w:tc>
        <w:tc>
          <w:tcPr>
            <w:tcW w:type="dxa" w:w="2268"/>
            <w:shd w:fill="FFF2CC" w:val="clear"/>
          </w:tcPr>
          <w:p>
            <w:r>
              <w:rPr>
                <w:b/>
                <w:color w:val="503200"/>
                <w:sz w:val="16"/>
              </w:rPr>
              <w:t xml:space="preserve">Cours actuel : </w:t>
            </w:r>
            <w:r>
              <w:rPr>
                <w:color w:val="000000"/>
                <w:sz w:val="17"/>
              </w:rPr>
              <w:t>6,250 FCFA</w:t>
            </w:r>
          </w:p>
          <w:p>
            <w:r>
              <w:rPr>
                <w:b/>
                <w:color w:val="503200"/>
                <w:sz w:val="16"/>
              </w:rPr>
              <w:t xml:space="preserve">Var. 100 jours : </w:t>
            </w:r>
            <w:r>
              <w:rPr>
                <w:b/>
                <w:color w:val="007800"/>
                <w:sz w:val="17"/>
              </w:rPr>
              <w:t>+33.12%</w:t>
            </w:r>
          </w:p>
          <w:p>
            <w:r>
              <w:rPr>
                <w:b/>
                <w:color w:val="503200"/>
                <w:sz w:val="16"/>
              </w:rPr>
              <w:t xml:space="preserve">Plus haut 100j : </w:t>
            </w:r>
            <w:r>
              <w:rPr>
                <w:color w:val="000000"/>
                <w:sz w:val="17"/>
              </w:rPr>
              <w:t>6,290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10.11% (Moyenne) — μ=5,047 FCFA, σ=510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β=0.3684 (Défensif) — Cov=0.000012, Var(idx)=0.000031, ρ=0.102,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σ_j=2.00%/j (Stable) — Vol. annualisée≈31.8%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5,953</w:t>
            </w:r>
          </w:p>
        </w:tc>
        <w:tc>
          <w:tcPr>
            <w:tcW w:type="dxa" w:w="1440"/>
            <w:shd w:fill="FFDCE0" w:val="clear"/>
          </w:tcPr>
          <w:p>
            <w:r>
              <w:rPr>
                <w:b/>
                <w:sz w:val="17"/>
              </w:rPr>
              <w:t>6,123</w:t>
            </w:r>
          </w:p>
        </w:tc>
        <w:tc>
          <w:tcPr>
            <w:tcW w:type="dxa" w:w="1440"/>
            <w:shd w:fill="FFDCE0" w:val="clear"/>
          </w:tcPr>
          <w:p>
            <w:r>
              <w:rPr>
                <w:sz w:val="17"/>
              </w:rPr>
              <w:t>6,293</w:t>
            </w:r>
          </w:p>
        </w:tc>
        <w:tc>
          <w:tcPr>
            <w:tcW w:type="dxa" w:w="1440"/>
            <w:shd w:fill="FFDCE0"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5,749</w:t>
            </w:r>
          </w:p>
        </w:tc>
        <w:tc>
          <w:tcPr>
            <w:tcW w:type="dxa" w:w="1440"/>
            <w:shd w:fill="FFDCE0" w:val="clear"/>
          </w:tcPr>
          <w:p>
            <w:r>
              <w:rPr>
                <w:b/>
                <w:sz w:val="17"/>
              </w:rPr>
              <w:t>5,984</w:t>
            </w:r>
          </w:p>
        </w:tc>
        <w:tc>
          <w:tcPr>
            <w:tcW w:type="dxa" w:w="1440"/>
            <w:shd w:fill="FFDCE0" w:val="clear"/>
          </w:tcPr>
          <w:p>
            <w:r>
              <w:rPr>
                <w:sz w:val="17"/>
              </w:rPr>
              <w:t>6,219</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5,582</w:t>
            </w:r>
          </w:p>
        </w:tc>
        <w:tc>
          <w:tcPr>
            <w:tcW w:type="dxa" w:w="1440"/>
            <w:shd w:fill="FFDCE0" w:val="clear"/>
          </w:tcPr>
          <w:p>
            <w:r>
              <w:rPr>
                <w:b/>
                <w:sz w:val="17"/>
              </w:rPr>
              <w:t>5,864</w:t>
            </w:r>
          </w:p>
        </w:tc>
        <w:tc>
          <w:tcPr>
            <w:tcW w:type="dxa" w:w="1440"/>
            <w:shd w:fill="FFDCE0" w:val="clear"/>
          </w:tcPr>
          <w:p>
            <w:r>
              <w:rPr>
                <w:sz w:val="17"/>
              </w:rPr>
              <w:t>6,146</w:t>
            </w:r>
          </w:p>
        </w:tc>
        <w:tc>
          <w:tcPr>
            <w:tcW w:type="dxa" w:w="1440"/>
            <w:shd w:fill="FFDCE0" w:val="clear"/>
          </w:tcPr>
          <w:p>
            <w:r>
              <w:rPr>
                <w:b/>
                <w:color w:val="C00000"/>
                <w:sz w:val="17"/>
              </w:rPr>
              <w:t>-6.2%</w:t>
            </w:r>
          </w:p>
        </w:tc>
      </w:tr>
      <w:tr>
        <w:tc>
          <w:tcPr>
            <w:tcW w:type="dxa" w:w="1440"/>
            <w:shd w:fill="FFDCE0" w:val="clear"/>
          </w:tcPr>
          <w:p>
            <w:r>
              <w:rPr>
                <w:sz w:val="17"/>
              </w:rPr>
              <w:t>J+4  Moyenne</w:t>
            </w:r>
          </w:p>
        </w:tc>
        <w:tc>
          <w:tcPr>
            <w:tcW w:type="dxa" w:w="1440"/>
            <w:shd w:fill="FFDCE0" w:val="clear"/>
          </w:tcPr>
          <w:p>
            <w:r>
              <w:rPr>
                <w:sz w:val="17"/>
              </w:rPr>
              <w:t>2026-08-27</w:t>
            </w:r>
          </w:p>
        </w:tc>
        <w:tc>
          <w:tcPr>
            <w:tcW w:type="dxa" w:w="1440"/>
            <w:shd w:fill="FFDCE0" w:val="clear"/>
          </w:tcPr>
          <w:p>
            <w:r>
              <w:rPr>
                <w:sz w:val="17"/>
              </w:rPr>
              <w:t>5,443</w:t>
            </w:r>
          </w:p>
        </w:tc>
        <w:tc>
          <w:tcPr>
            <w:tcW w:type="dxa" w:w="1440"/>
            <w:shd w:fill="FFDCE0" w:val="clear"/>
          </w:tcPr>
          <w:p>
            <w:r>
              <w:rPr>
                <w:b/>
                <w:sz w:val="17"/>
              </w:rPr>
              <w:t>5,763</w:t>
            </w:r>
          </w:p>
        </w:tc>
        <w:tc>
          <w:tcPr>
            <w:tcW w:type="dxa" w:w="1440"/>
            <w:shd w:fill="FFDCE0" w:val="clear"/>
          </w:tcPr>
          <w:p>
            <w:r>
              <w:rPr>
                <w:sz w:val="17"/>
              </w:rPr>
              <w:t>6,083</w:t>
            </w:r>
          </w:p>
        </w:tc>
        <w:tc>
          <w:tcPr>
            <w:tcW w:type="dxa" w:w="1440"/>
            <w:shd w:fill="FFDCE0" w:val="clear"/>
          </w:tcPr>
          <w:p>
            <w:r>
              <w:rPr>
                <w:b/>
                <w:color w:val="C00000"/>
                <w:sz w:val="17"/>
              </w:rPr>
              <w:t>-7.8%</w:t>
            </w:r>
          </w:p>
        </w:tc>
      </w:tr>
      <w:tr>
        <w:tc>
          <w:tcPr>
            <w:tcW w:type="dxa" w:w="1440"/>
            <w:shd w:fill="FFDCE0" w:val="clear"/>
          </w:tcPr>
          <w:p>
            <w:r>
              <w:rPr>
                <w:sz w:val="17"/>
              </w:rPr>
              <w:t>J+5  Moyenne</w:t>
            </w:r>
          </w:p>
        </w:tc>
        <w:tc>
          <w:tcPr>
            <w:tcW w:type="dxa" w:w="1440"/>
            <w:shd w:fill="FFDCE0" w:val="clear"/>
          </w:tcPr>
          <w:p>
            <w:r>
              <w:rPr>
                <w:sz w:val="17"/>
              </w:rPr>
              <w:t>2026-08-28</w:t>
            </w:r>
          </w:p>
        </w:tc>
        <w:tc>
          <w:tcPr>
            <w:tcW w:type="dxa" w:w="1440"/>
            <w:shd w:fill="FFDCE0" w:val="clear"/>
          </w:tcPr>
          <w:p>
            <w:r>
              <w:rPr>
                <w:sz w:val="17"/>
              </w:rPr>
              <w:t>5,323</w:t>
            </w:r>
          </w:p>
        </w:tc>
        <w:tc>
          <w:tcPr>
            <w:tcW w:type="dxa" w:w="1440"/>
            <w:shd w:fill="FFDCE0" w:val="clear"/>
          </w:tcPr>
          <w:p>
            <w:r>
              <w:rPr>
                <w:b/>
                <w:sz w:val="17"/>
              </w:rPr>
              <w:t>5,675</w:t>
            </w:r>
          </w:p>
        </w:tc>
        <w:tc>
          <w:tcPr>
            <w:tcW w:type="dxa" w:w="1440"/>
            <w:shd w:fill="FFDCE0" w:val="clear"/>
          </w:tcPr>
          <w:p>
            <w:r>
              <w:rPr>
                <w:sz w:val="17"/>
              </w:rPr>
              <w:t>6,027</w:t>
            </w:r>
          </w:p>
        </w:tc>
        <w:tc>
          <w:tcPr>
            <w:tcW w:type="dxa" w:w="1440"/>
            <w:shd w:fill="FFDCE0" w:val="clear"/>
          </w:tcPr>
          <w:p>
            <w:r>
              <w:rPr>
                <w:b/>
                <w:color w:val="C00000"/>
                <w:sz w:val="17"/>
              </w:rPr>
              <w:t>-9.2%</w:t>
            </w:r>
          </w:p>
        </w:tc>
      </w:tr>
      <w:tr>
        <w:tc>
          <w:tcPr>
            <w:tcW w:type="dxa" w:w="1440"/>
            <w:shd w:fill="FFDCE0" w:val="clear"/>
          </w:tcPr>
          <w:p>
            <w:r>
              <w:rPr>
                <w:sz w:val="17"/>
              </w:rPr>
              <w:t>J+6  Moyenne</w:t>
            </w:r>
          </w:p>
        </w:tc>
        <w:tc>
          <w:tcPr>
            <w:tcW w:type="dxa" w:w="1440"/>
            <w:shd w:fill="FFDCE0" w:val="clear"/>
          </w:tcPr>
          <w:p>
            <w:r>
              <w:rPr>
                <w:sz w:val="17"/>
              </w:rPr>
              <w:t>2026-08-31</w:t>
            </w:r>
          </w:p>
        </w:tc>
        <w:tc>
          <w:tcPr>
            <w:tcW w:type="dxa" w:w="1440"/>
            <w:shd w:fill="FFDCE0" w:val="clear"/>
          </w:tcPr>
          <w:p>
            <w:r>
              <w:rPr>
                <w:sz w:val="17"/>
              </w:rPr>
              <w:t>5,214</w:t>
            </w:r>
          </w:p>
        </w:tc>
        <w:tc>
          <w:tcPr>
            <w:tcW w:type="dxa" w:w="1440"/>
            <w:shd w:fill="FFDCE0" w:val="clear"/>
          </w:tcPr>
          <w:p>
            <w:r>
              <w:rPr>
                <w:b/>
                <w:sz w:val="17"/>
              </w:rPr>
              <w:t>5,595</w:t>
            </w:r>
          </w:p>
        </w:tc>
        <w:tc>
          <w:tcPr>
            <w:tcW w:type="dxa" w:w="1440"/>
            <w:shd w:fill="FFDCE0" w:val="clear"/>
          </w:tcPr>
          <w:p>
            <w:r>
              <w:rPr>
                <w:sz w:val="17"/>
              </w:rPr>
              <w:t>5,975</w:t>
            </w:r>
          </w:p>
        </w:tc>
        <w:tc>
          <w:tcPr>
            <w:tcW w:type="dxa" w:w="1440"/>
            <w:shd w:fill="FFDCE0" w:val="clear"/>
          </w:tcPr>
          <w:p>
            <w:r>
              <w:rPr>
                <w:b/>
                <w:color w:val="C00000"/>
                <w:sz w:val="17"/>
              </w:rPr>
              <w:t>-10.5%</w:t>
            </w:r>
          </w:p>
        </w:tc>
      </w:tr>
      <w:tr>
        <w:tc>
          <w:tcPr>
            <w:tcW w:type="dxa" w:w="1440"/>
            <w:shd w:fill="FFDCE0" w:val="clear"/>
          </w:tcPr>
          <w:p>
            <w:r>
              <w:rPr>
                <w:sz w:val="17"/>
              </w:rPr>
              <w:t>J+7  Moyenne</w:t>
            </w:r>
          </w:p>
        </w:tc>
        <w:tc>
          <w:tcPr>
            <w:tcW w:type="dxa" w:w="1440"/>
            <w:shd w:fill="FFDCE0" w:val="clear"/>
          </w:tcPr>
          <w:p>
            <w:r>
              <w:rPr>
                <w:sz w:val="17"/>
              </w:rPr>
              <w:t>2026-09-01</w:t>
            </w:r>
          </w:p>
        </w:tc>
        <w:tc>
          <w:tcPr>
            <w:tcW w:type="dxa" w:w="1440"/>
            <w:shd w:fill="FFDCE0" w:val="clear"/>
          </w:tcPr>
          <w:p>
            <w:r>
              <w:rPr>
                <w:sz w:val="17"/>
              </w:rPr>
              <w:t>5,115</w:t>
            </w:r>
          </w:p>
        </w:tc>
        <w:tc>
          <w:tcPr>
            <w:tcW w:type="dxa" w:w="1440"/>
            <w:shd w:fill="FFDCE0" w:val="clear"/>
          </w:tcPr>
          <w:p>
            <w:r>
              <w:rPr>
                <w:b/>
                <w:sz w:val="17"/>
              </w:rPr>
              <w:t>5,520</w:t>
            </w:r>
          </w:p>
        </w:tc>
        <w:tc>
          <w:tcPr>
            <w:tcW w:type="dxa" w:w="1440"/>
            <w:shd w:fill="FFDCE0" w:val="clear"/>
          </w:tcPr>
          <w:p>
            <w:r>
              <w:rPr>
                <w:sz w:val="17"/>
              </w:rPr>
              <w:t>5,925</w:t>
            </w:r>
          </w:p>
        </w:tc>
        <w:tc>
          <w:tcPr>
            <w:tcW w:type="dxa" w:w="1440"/>
            <w:shd w:fill="FFDCE0" w:val="clear"/>
          </w:tcPr>
          <w:p>
            <w:r>
              <w:rPr>
                <w:b/>
                <w:color w:val="C00000"/>
                <w:sz w:val="17"/>
              </w:rPr>
              <w:t>-11.7%</w:t>
            </w:r>
          </w:p>
        </w:tc>
      </w:tr>
      <w:tr>
        <w:tc>
          <w:tcPr>
            <w:tcW w:type="dxa" w:w="1440"/>
            <w:shd w:fill="FFDCE0" w:val="clear"/>
          </w:tcPr>
          <w:p>
            <w:r>
              <w:rPr>
                <w:sz w:val="17"/>
              </w:rPr>
              <w:t>J+8  Moyenne</w:t>
            </w:r>
          </w:p>
        </w:tc>
        <w:tc>
          <w:tcPr>
            <w:tcW w:type="dxa" w:w="1440"/>
            <w:shd w:fill="FFDCE0" w:val="clear"/>
          </w:tcPr>
          <w:p>
            <w:r>
              <w:rPr>
                <w:sz w:val="17"/>
              </w:rPr>
              <w:t>2026-09-02</w:t>
            </w:r>
          </w:p>
        </w:tc>
        <w:tc>
          <w:tcPr>
            <w:tcW w:type="dxa" w:w="1440"/>
            <w:shd w:fill="FFDCE0" w:val="clear"/>
          </w:tcPr>
          <w:p>
            <w:r>
              <w:rPr>
                <w:sz w:val="17"/>
              </w:rPr>
              <w:t>5,023</w:t>
            </w:r>
          </w:p>
        </w:tc>
        <w:tc>
          <w:tcPr>
            <w:tcW w:type="dxa" w:w="1440"/>
            <w:shd w:fill="FFDCE0" w:val="clear"/>
          </w:tcPr>
          <w:p>
            <w:r>
              <w:rPr>
                <w:b/>
                <w:sz w:val="17"/>
              </w:rPr>
              <w:t>5,450</w:t>
            </w:r>
          </w:p>
        </w:tc>
        <w:tc>
          <w:tcPr>
            <w:tcW w:type="dxa" w:w="1440"/>
            <w:shd w:fill="FFDCE0" w:val="clear"/>
          </w:tcPr>
          <w:p>
            <w:r>
              <w:rPr>
                <w:sz w:val="17"/>
              </w:rPr>
              <w:t>5,878</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4,937</w:t>
            </w:r>
          </w:p>
        </w:tc>
        <w:tc>
          <w:tcPr>
            <w:tcW w:type="dxa" w:w="1440"/>
            <w:shd w:fill="FFDCE0" w:val="clear"/>
          </w:tcPr>
          <w:p>
            <w:r>
              <w:rPr>
                <w:b/>
                <w:sz w:val="17"/>
              </w:rPr>
              <w:t>5,385</w:t>
            </w:r>
          </w:p>
        </w:tc>
        <w:tc>
          <w:tcPr>
            <w:tcW w:type="dxa" w:w="1440"/>
            <w:shd w:fill="FFDCE0" w:val="clear"/>
          </w:tcPr>
          <w:p>
            <w:r>
              <w:rPr>
                <w:sz w:val="17"/>
              </w:rPr>
              <w:t>5,833</w:t>
            </w:r>
          </w:p>
        </w:tc>
        <w:tc>
          <w:tcPr>
            <w:tcW w:type="dxa" w:w="1440"/>
            <w:shd w:fill="FFDCE0" w:val="clear"/>
          </w:tcPr>
          <w:p>
            <w:r>
              <w:rPr>
                <w:b/>
                <w:color w:val="C00000"/>
                <w:sz w:val="17"/>
              </w:rPr>
              <w:t>-13.8%</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4,856</w:t>
            </w:r>
          </w:p>
        </w:tc>
        <w:tc>
          <w:tcPr>
            <w:tcW w:type="dxa" w:w="1440"/>
            <w:shd w:fill="FFDCE0" w:val="clear"/>
          </w:tcPr>
          <w:p>
            <w:r>
              <w:rPr>
                <w:b/>
                <w:sz w:val="17"/>
              </w:rPr>
              <w:t>5,323</w:t>
            </w:r>
          </w:p>
        </w:tc>
        <w:tc>
          <w:tcPr>
            <w:tcW w:type="dxa" w:w="1440"/>
            <w:shd w:fill="FFDCE0" w:val="clear"/>
          </w:tcPr>
          <w:p>
            <w:r>
              <w:rPr>
                <w:sz w:val="17"/>
              </w:rPr>
              <w:t>5,790</w:t>
            </w:r>
          </w:p>
        </w:tc>
        <w:tc>
          <w:tcPr>
            <w:tcW w:type="dxa" w:w="1440"/>
            <w:shd w:fill="FFDCE0" w:val="clear"/>
          </w:tcPr>
          <w:p>
            <w:r>
              <w:rPr>
                <w:b/>
                <w:color w:val="C00000"/>
                <w:sz w:val="17"/>
              </w:rPr>
              <w:t>-14.8%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**Date : 20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171,56 milliards FCFA, un niveau qui la positionne parmi les valeurs moyennes du compartiment bancaire de la BRVM. Avec un BPA de 404 FCFA, le titre se négocie à un PER de 15,5x, ce qui est supérieur à la moyenne historique du marché (8-12x), indiquant que les investisseurs acceptent de payer une prime pour la croissance future de la banque. Le P/B de 3,44x confirme cette prime, le marché valorisant la société à plus de trois fois sa valeur comptable, ce qui reflète une forte confiance dans la rentabilité des capitaux propres (ROE de 22,2%). Enfin, l'EV/EBITDA de 8,1x, situé dans la fourchette raisonnable de 5-10x, suggère que la valeur totale de l'entreprise reste cohérente avec sa capacité opérationnelle à générer des flux, malgré une valorisation boursière exigeante sur les autres ratios.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performance spectaculaire de +33,12%, clôturant à 6 250 FCFA, bien que la dernière séance ait montré un léger repli de -0,64%. Le titre a évolué dans une fourchette large de 4 425 FCFA (plus bas) à 6 290 FCFA (plus haut), démontrant une dynamique haussière soutenue. La moyenne du cours sur la période (5 047 FCFA) est nettement inférieure à la médiane (4 805 FCFA), et le skewness positif de 0,859 indique une asymétrie avec des journées majoritairement sous la moyenne, mais des pics de hausse importants. L'écart-type de 513 FCFA (CV de 10,2%) montre une dispersion modérée, tandis que le kurtosis de -0,551 (mésokurtique) suggère une distribution proche de la normale, sans risque de variations extrêmes. La volatilité annualisée de 31,8% classe le titre comme très volatil, ce qui implique un risque élevé mais aussi un potentiel de gains substantiels.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(6 250 FCFA) se situe nettement au-dessus de la MM20 (5 818,75 FCFA) et de la MM50 (5 366,9 FCFA), confirmant une tendance haussière à court et moyen terme. La configuration des MM, avec le cours au-dessus des deux moyennes, génère un signal d'achat, indiquant que la dynamique positive est toujours en place.</w:t>
      </w:r>
    </w:p>
    <w:p>
      <w:pPr>
        <w:spacing w:after="120" w:line="276" w:lineRule="auto"/>
      </w:pPr>
      <w:r>
        <w:t>**Bandes de Bollinger :** Le prix évolue près de la borne supérieure (6 392 FCFA), ce qui témoigne d'une pression acheteuse forte. Cependant, cette position proche de la borne supérieure peut indiquer une condition de surachat temporaire. La décision est neutre, car le marché pourrait soit continuer sa progression, soit assister à un repli vers la moyenne mobile.</w:t>
      </w:r>
    </w:p>
    <w:p>
      <w:pPr>
        <w:spacing w:after="120" w:line="276" w:lineRule="auto"/>
      </w:pPr>
      <w:r>
        <w:t>**MACD :** Le MACD (234,54) est supérieur à sa ligne de signal (201,18), avec un écart positif croissant. Cette configuration est un signal d'achat classique, indiquant que le momentum haussier s'accélère. La dynamique positive du MACD renforce la tendance haussière observée sur les moyennes mobiles.</w:t>
      </w:r>
    </w:p>
    <w:p>
      <w:pPr>
        <w:spacing w:after="120" w:line="276" w:lineRule="auto"/>
      </w:pPr>
      <w:r>
        <w:t>**RSI :** Le RSI à 84,71 est en zone de surachat (au-dessus de 70), ce qui signale que le titre est techniquement surévalué à court terme. Ce niveau extrême suggère un risque de correction ou de consolidation, justifiant une décision de vente pour les traders à court terme.</w:t>
      </w:r>
    </w:p>
    <w:p>
      <w:pPr>
        <w:spacing w:after="120" w:line="276" w:lineRule="auto"/>
      </w:pPr>
      <w:r>
        <w:t>**Stochastique :** Le %K (94,33) et le %D (97,55) sont tous deux en zone de surachat extrême, avec un %D au-dessus du %K. Cette configuration indique que la pression acheteuse est excessive, et un croisement baissier pourrait se produire, signalant un potentiel retournement. La décision est donc à la vente.</w:t>
      </w:r>
    </w:p>
    <w:p>
      <w:pPr>
        <w:spacing w:after="120" w:line="276" w:lineRule="auto"/>
      </w:pPr>
      <w:r>
        <w:t>**Conclusion technique :** Les indicateurs de tendance (MM, MACD) sont positifs, mais les oscillateurs (RSI, Stochastique) sont en surachat extrême. Cette divergence suggère que la tendance haussière pourrait marquer une pause à court terme. Les bandes de Bollinger restent neutres, mais la pression vendeuse pourrait s'accentuer si le prix ne parvient pas à franchir la borne supérieure.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BOAM (base brvm_donnees_financieres) révèlent un Produit Net Bancaire (PNB) de 37,996 milliards FCFA, en croissance de 5,08% par rapport à 2024, et un résultat net de 11,081 milliards FCFA, soit une marge nette de 29,16%. La banque affiche un ROE exceptionnel de 22,24% et un ROA de 1,87%, démontrant une excellente utilisation de ses capitaux propres et de ses actifs. Le coefficient d'exploitation de 63,14% reste légèrement au-dessus du seuil d'efficacité de 60%, mais le coût du risque de 43,39% (provisions/charges financières) est préoccupant, indiquant une dégradation de la qualité du portefeuille de crédits. Les dépôts clientèle (502,89 Mds) dépassent largement les créances sur la clientèle (253,65 Mds), montrant une transformation saine. Les rapports trimestriels 2025 confirment cette dynamique : le T1 (PNB -3,1%, RN +91,2%), le S1 (PNB +2,7%, RN +28,8%) et le T3 (PNB +5,8%, RN +26,2%) montrent une amélioration progressive de la rentabilité, portée par la maîtrise des charges et la baisse du coût du risque. En estimant sur la base du T3, l'exercice 2025 devrait voir un PNB d'environ 38 milliards et un résultat net de 11 milliards, confirmant les données annuelles. La solidité financière est renforcée par une capacité d'autofinancement de 15,4 milliards et une trésorerie nette de 86,37 milliards, mais l'autonomie financière de 8,4% reste faible, soulignant une dépendance aux dettes.</w:t>
      </w:r>
    </w:p>
    <w:p>
      <w:pPr>
        <w:spacing w:after="120" w:line="276" w:lineRule="auto"/>
      </w:pPr>
      <w:r>
        <w:t>---</w:t>
      </w:r>
    </w:p>
    <w:p>
      <w:pPr>
        <w:spacing w:after="120" w:line="276" w:lineRule="auto"/>
      </w:pPr>
      <w:r>
        <w:t>### PARTIE 4 : CONCLUSION D'INVESTISSEMENT</w:t>
      </w:r>
    </w:p>
    <w:p>
      <w:pPr>
        <w:spacing w:after="120" w:line="276" w:lineRule="auto"/>
      </w:pPr>
      <w:r>
        <w:t>La valorisation boursière de BOAM (PER 15,5x, P/B 3,44x) indique une prime de croissance, justifiée par des fondamentaux solides (ROE &gt;22%, croissance du RN). Le comportement du cours est très favorable avec une hausse de +33% sur 100 jours, mais la volatilité élevée (31,8%) et le skewness positif suggèrent des risques de correction. Les signaux techniques sont mitigés : la tendance est haussière (MM, MACD), mais les oscillateurs en surachat (RSI 84,7, Stochastique 94%) appellent à la prudence à court terme. Les fondamentaux sont robustes, avec une amélioration continue de la rentabilité et une gestion efficace du risque, malgré un coût du risque élevé. Les prédictions IA (J+1 à J+10) montrent une trajectoire baissière (6 123 à 5 675 FCFA), contredisant la tendance haussière récente et confirmant les signaux de surachat technique. En synthèse, la convergence entre la valorisation élevée, les signaux techniques de surachat et les prédictions IA baissières suggère une pause ou un repli à court terme. **Recommandation : CONSERVER** avec un niveau de confiance **Moyen** et un risque global **Élevé**. L'horizon d'investissement optimal est le **moyen terme (3-12 mois)**, en attendant une correction pour renforcer la position, ou une confirmation de la poursuite de la hausse.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109.20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10,262 titres</w:t>
            </w:r>
          </w:p>
        </w:tc>
        <w:tc>
          <w:tcPr>
            <w:tcW w:type="dxa" w:w="2268"/>
            <w:shd w:fill="FFF2CC" w:val="clear"/>
          </w:tcPr>
          <w:p>
            <w:r>
              <w:rPr>
                <w:b/>
                <w:color w:val="503200"/>
                <w:sz w:val="16"/>
              </w:rPr>
              <w:t xml:space="preserve">Cours actuel : </w:t>
            </w:r>
            <w:r>
              <w:rPr>
                <w:color w:val="000000"/>
                <w:sz w:val="17"/>
              </w:rPr>
              <w:t>5,250 FCFA</w:t>
            </w:r>
          </w:p>
          <w:p>
            <w:r>
              <w:rPr>
                <w:b/>
                <w:color w:val="503200"/>
                <w:sz w:val="16"/>
              </w:rPr>
              <w:t xml:space="preserve">Var. 100 jours : </w:t>
            </w:r>
            <w:r>
              <w:rPr>
                <w:b/>
                <w:color w:val="007800"/>
                <w:sz w:val="17"/>
              </w:rPr>
              <w:t>+95.17%</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2,620 FCFA</w:t>
            </w:r>
          </w:p>
          <w:p>
            <w:r>
              <w:rPr>
                <w:b/>
                <w:color w:val="503200"/>
                <w:sz w:val="16"/>
              </w:rPr>
              <w:t xml:space="preserve">Volatilité ann. : </w:t>
            </w:r>
            <w:r>
              <w:rPr>
                <w:color w:val="000000"/>
                <w:sz w:val="17"/>
              </w:rPr>
              <w:t>39.7%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21.17% (Élevée) — μ=4,010 FCFA, σ=849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β=0.0460 (Défensif) — Cov=0.000001, Var(idx)=0.000031, ρ=0.010,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10,262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4,968</w:t>
            </w:r>
          </w:p>
        </w:tc>
        <w:tc>
          <w:tcPr>
            <w:tcW w:type="dxa" w:w="1440"/>
            <w:shd w:fill="FAFAFA" w:val="clear"/>
          </w:tcPr>
          <w:p>
            <w:r>
              <w:rPr>
                <w:b/>
                <w:sz w:val="17"/>
              </w:rPr>
              <w:t>5,182</w:t>
            </w:r>
          </w:p>
        </w:tc>
        <w:tc>
          <w:tcPr>
            <w:tcW w:type="dxa" w:w="1440"/>
            <w:shd w:fill="FAFAFA" w:val="clear"/>
          </w:tcPr>
          <w:p>
            <w:r>
              <w:rPr>
                <w:sz w:val="17"/>
              </w:rPr>
              <w:t>5,397</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2026-08-24</w:t>
            </w:r>
          </w:p>
        </w:tc>
        <w:tc>
          <w:tcPr>
            <w:tcW w:type="dxa" w:w="1440"/>
            <w:shd w:fill="FAFAFA" w:val="clear"/>
          </w:tcPr>
          <w:p>
            <w:r>
              <w:rPr>
                <w:sz w:val="17"/>
              </w:rPr>
              <w:t>4,880</w:t>
            </w:r>
          </w:p>
        </w:tc>
        <w:tc>
          <w:tcPr>
            <w:tcW w:type="dxa" w:w="1440"/>
            <w:shd w:fill="FAFAFA" w:val="clear"/>
          </w:tcPr>
          <w:p>
            <w:r>
              <w:rPr>
                <w:b/>
                <w:sz w:val="17"/>
              </w:rPr>
              <w:t>5,183</w:t>
            </w:r>
          </w:p>
        </w:tc>
        <w:tc>
          <w:tcPr>
            <w:tcW w:type="dxa" w:w="1440"/>
            <w:shd w:fill="FAFAFA" w:val="clear"/>
          </w:tcPr>
          <w:p>
            <w:r>
              <w:rPr>
                <w:sz w:val="17"/>
              </w:rPr>
              <w:t>5,486</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2026-08-25</w:t>
            </w:r>
          </w:p>
        </w:tc>
        <w:tc>
          <w:tcPr>
            <w:tcW w:type="dxa" w:w="1440"/>
            <w:shd w:fill="FAFAFA" w:val="clear"/>
          </w:tcPr>
          <w:p>
            <w:r>
              <w:rPr>
                <w:sz w:val="17"/>
              </w:rPr>
              <w:t>4,803</w:t>
            </w:r>
          </w:p>
        </w:tc>
        <w:tc>
          <w:tcPr>
            <w:tcW w:type="dxa" w:w="1440"/>
            <w:shd w:fill="FAFAFA" w:val="clear"/>
          </w:tcPr>
          <w:p>
            <w:r>
              <w:rPr>
                <w:b/>
                <w:sz w:val="17"/>
              </w:rPr>
              <w:t>5,174</w:t>
            </w:r>
          </w:p>
        </w:tc>
        <w:tc>
          <w:tcPr>
            <w:tcW w:type="dxa" w:w="1440"/>
            <w:shd w:fill="FAFAFA" w:val="clear"/>
          </w:tcPr>
          <w:p>
            <w:r>
              <w:rPr>
                <w:sz w:val="17"/>
              </w:rPr>
              <w:t>5,545</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2026-08-27</w:t>
            </w:r>
          </w:p>
        </w:tc>
        <w:tc>
          <w:tcPr>
            <w:tcW w:type="dxa" w:w="1440"/>
            <w:shd w:fill="FAFAFA" w:val="clear"/>
          </w:tcPr>
          <w:p>
            <w:r>
              <w:rPr>
                <w:sz w:val="17"/>
              </w:rPr>
              <w:t>4,737</w:t>
            </w:r>
          </w:p>
        </w:tc>
        <w:tc>
          <w:tcPr>
            <w:tcW w:type="dxa" w:w="1440"/>
            <w:shd w:fill="FAFAFA" w:val="clear"/>
          </w:tcPr>
          <w:p>
            <w:r>
              <w:rPr>
                <w:b/>
                <w:sz w:val="17"/>
              </w:rPr>
              <w:t>5,164</w:t>
            </w:r>
          </w:p>
        </w:tc>
        <w:tc>
          <w:tcPr>
            <w:tcW w:type="dxa" w:w="1440"/>
            <w:shd w:fill="FAFAFA" w:val="clear"/>
          </w:tcPr>
          <w:p>
            <w:r>
              <w:rPr>
                <w:sz w:val="17"/>
              </w:rPr>
              <w:t>5,591</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2026-08-28</w:t>
            </w:r>
          </w:p>
        </w:tc>
        <w:tc>
          <w:tcPr>
            <w:tcW w:type="dxa" w:w="1440"/>
            <w:shd w:fill="FAFAFA" w:val="clear"/>
          </w:tcPr>
          <w:p>
            <w:r>
              <w:rPr>
                <w:sz w:val="17"/>
              </w:rPr>
              <w:t>4,677</w:t>
            </w:r>
          </w:p>
        </w:tc>
        <w:tc>
          <w:tcPr>
            <w:tcW w:type="dxa" w:w="1440"/>
            <w:shd w:fill="FAFAFA" w:val="clear"/>
          </w:tcPr>
          <w:p>
            <w:r>
              <w:rPr>
                <w:b/>
                <w:sz w:val="17"/>
              </w:rPr>
              <w:t>5,154</w:t>
            </w:r>
          </w:p>
        </w:tc>
        <w:tc>
          <w:tcPr>
            <w:tcW w:type="dxa" w:w="1440"/>
            <w:shd w:fill="FAFAFA" w:val="clear"/>
          </w:tcPr>
          <w:p>
            <w:r>
              <w:rPr>
                <w:sz w:val="17"/>
              </w:rPr>
              <w:t>5,630</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4,622</w:t>
            </w:r>
          </w:p>
        </w:tc>
        <w:tc>
          <w:tcPr>
            <w:tcW w:type="dxa" w:w="1440"/>
            <w:shd w:fill="FFDCE0" w:val="clear"/>
          </w:tcPr>
          <w:p>
            <w:r>
              <w:rPr>
                <w:b/>
                <w:sz w:val="17"/>
              </w:rPr>
              <w:t>5,143</w:t>
            </w:r>
          </w:p>
        </w:tc>
        <w:tc>
          <w:tcPr>
            <w:tcW w:type="dxa" w:w="1440"/>
            <w:shd w:fill="FFDCE0" w:val="clear"/>
          </w:tcPr>
          <w:p>
            <w:r>
              <w:rPr>
                <w:sz w:val="17"/>
              </w:rPr>
              <w:t>5,664</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4,572</w:t>
            </w:r>
          </w:p>
        </w:tc>
        <w:tc>
          <w:tcPr>
            <w:tcW w:type="dxa" w:w="1440"/>
            <w:shd w:fill="FFDCE0" w:val="clear"/>
          </w:tcPr>
          <w:p>
            <w:r>
              <w:rPr>
                <w:b/>
                <w:sz w:val="17"/>
              </w:rPr>
              <w:t>5,134</w:t>
            </w:r>
          </w:p>
        </w:tc>
        <w:tc>
          <w:tcPr>
            <w:tcW w:type="dxa" w:w="1440"/>
            <w:shd w:fill="FFDCE0" w:val="clear"/>
          </w:tcPr>
          <w:p>
            <w:r>
              <w:rPr>
                <w:sz w:val="17"/>
              </w:rPr>
              <w:t>5,695</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4,524</w:t>
            </w:r>
          </w:p>
        </w:tc>
        <w:tc>
          <w:tcPr>
            <w:tcW w:type="dxa" w:w="1440"/>
            <w:shd w:fill="FFDCE0" w:val="clear"/>
          </w:tcPr>
          <w:p>
            <w:r>
              <w:rPr>
                <w:b/>
                <w:sz w:val="17"/>
              </w:rPr>
              <w:t>5,124</w:t>
            </w:r>
          </w:p>
        </w:tc>
        <w:tc>
          <w:tcPr>
            <w:tcW w:type="dxa" w:w="1440"/>
            <w:shd w:fill="FFDCE0" w:val="clear"/>
          </w:tcPr>
          <w:p>
            <w:r>
              <w:rPr>
                <w:sz w:val="17"/>
              </w:rPr>
              <w:t>5,723</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4,480</w:t>
            </w:r>
          </w:p>
        </w:tc>
        <w:tc>
          <w:tcPr>
            <w:tcW w:type="dxa" w:w="1440"/>
            <w:shd w:fill="FFDCE0" w:val="clear"/>
          </w:tcPr>
          <w:p>
            <w:r>
              <w:rPr>
                <w:b/>
                <w:sz w:val="17"/>
              </w:rPr>
              <w:t>5,114</w:t>
            </w:r>
          </w:p>
        </w:tc>
        <w:tc>
          <w:tcPr>
            <w:tcW w:type="dxa" w:w="1440"/>
            <w:shd w:fill="FFDCE0" w:val="clear"/>
          </w:tcPr>
          <w:p>
            <w:r>
              <w:rPr>
                <w:sz w:val="17"/>
              </w:rPr>
              <w:t>5,749</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4,437</w:t>
            </w:r>
          </w:p>
        </w:tc>
        <w:tc>
          <w:tcPr>
            <w:tcW w:type="dxa" w:w="1440"/>
            <w:shd w:fill="FFDCE0" w:val="clear"/>
          </w:tcPr>
          <w:p>
            <w:r>
              <w:rPr>
                <w:b/>
                <w:sz w:val="17"/>
              </w:rPr>
              <w:t>5,104</w:t>
            </w:r>
          </w:p>
        </w:tc>
        <w:tc>
          <w:tcPr>
            <w:tcW w:type="dxa" w:w="1440"/>
            <w:shd w:fill="FFDCE0" w:val="clear"/>
          </w:tcPr>
          <w:p>
            <w:r>
              <w:rPr>
                <w:sz w:val="17"/>
              </w:rPr>
              <w:t>5,772</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109,20 milliards FCFA, un niveau significatif qui la positionne parmi les valeurs moyennes du compartiment bancaire de la BRVM. Le BPA de 20 FCFA par action est extrêmement faible, traduisant une capacité bénéficiaire très réduite. Le PER de 267,0x est considérablement supérieur à la moyenne du marché BRVM (8-12x), indiquant que les investisseurs paient un prix très élevé pour des bénéfices actuels minimes, ce qui reflète des anticipations de redressement futur. Le P/B de 3,03x valorise l'action au-dessus de sa valeur comptable, suggérant une prime de croissance accordée par le marché. Enfin, l'EV/EBITDA de 40,1x est très exigeant, comparé au seuil de 15x considéré comme élevé, signalant une valorisation qui intègre une forte amélioration opérationnelle future.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BOAN a enregistré une progression spectaculaire de +95,17%, avec une dernière séance en hausse de +1,94% pour clôturer à 5 250 FCFA. Le titre a évolué dans une fourchette large, entre un plus bas de 2 620 FCFA et un plus haut de 5 400 FCFA, démontrant une dynamique haussière très forte. La moyenne du cours sur la période est de 4 010 FCFA, tandis que la médiane s'établit à 3 738 FCFA, l'écart entre ces deux valeurs indiquant une distribution asymétrique vers le haut. L'écart-type de 853 FCFA, avec un coefficient de variation de 21,3%, révèle une dispersion modérée des prix autour de la moyenne. Le kurtosis négatif de -1,088 (distribution platykurtique) suggère une faible concentration des valeurs extrêmes, tandis que le skewness positif de 0,234 confirme une légère asymétrie vers les hausses. La volatilité annualisée de 39,7% classe le titre comme très volatil, un niveau élevé qui implique un risque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5 250 FCFA se situe au-dessus de la MM20 (5 203 FCFA) et de la MM50 (4 687,6 FCFA), confirmant une tendance haussière à court et moyen terme. La configuration des moyennes mobiles, avec le cours au-dessus des deux, génère un signal d'achat cohérent avec la dynamique positive du titre.</w:t>
      </w:r>
    </w:p>
    <w:p>
      <w:pPr>
        <w:spacing w:after="120" w:line="276" w:lineRule="auto"/>
      </w:pPr>
      <w:r>
        <w:t>**Bandes de Bollinger** : Le prix évolue à 5 250 FCFA, entre la borne supérieure (5 392 FCFA) et la borne inférieure (5 014 FCFA), indiquant une volatilité modérée. La position du cours dans la partie haute des bandes suggère une pression acheteuse persistante, mais sans atteindre des niveaux de surachat extrême, d'où une décision neutre.</w:t>
      </w:r>
    </w:p>
    <w:p>
      <w:pPr>
        <w:spacing w:after="120" w:line="276" w:lineRule="auto"/>
      </w:pPr>
      <w:r>
        <w:t>**MACD** : La valeur du MACD (109,723) est inférieure à son signal (149,683), indiquant un momentum baissier à court terme. Cette divergence négative, malgré la tendance haussière des moyennes mobiles, suggère un essoufflement potentiel de la dynamique haussière, justifiant une décision de vente.</w:t>
      </w:r>
    </w:p>
    <w:p>
      <w:pPr>
        <w:spacing w:after="120" w:line="276" w:lineRule="auto"/>
      </w:pPr>
      <w:r>
        <w:t>**RSI** : À 46,61, le RSI se situe dans la zone neutre (30-70), indiquant un équilibre entre pressions acheteuses et vendeuses. Cette valeur ne signale ni surachat ni survente, laissant place à une évolution indécise du cours, d'où une décision neutre.</w:t>
      </w:r>
    </w:p>
    <w:p>
      <w:pPr>
        <w:spacing w:after="120" w:line="276" w:lineRule="auto"/>
      </w:pPr>
      <w:r>
        <w:t>**Stochastique** : Le %K (81,395) est nettement supérieur au %D (50,388), indiquant une possible surachat à court terme. Cette configuration, avec le %K au-dessus de 80, suggère un risque de retournement baissier, justifiant une décision de vente.</w:t>
      </w:r>
    </w:p>
    <w:p>
      <w:pPr>
        <w:spacing w:after="120" w:line="276" w:lineRule="auto"/>
      </w:pPr>
      <w:r>
        <w:t>**Conclusion technique** : Les indicateurs techniques sont mitigés, avec des signaux d'achat provenant des moyennes mobiles, mais des signaux de vente du MACD et du stochastique. Le RSI neutre et les bandes de Bollinger neutres n'apportent pas de direction claire. Globalement, la tendance de fond reste haussière, mais un repli technique à court terme est possible.</w:t>
      </w:r>
    </w:p>
    <w:p>
      <w:pPr>
        <w:spacing w:after="120" w:line="276" w:lineRule="auto" w:before="240"/>
      </w:pPr>
      <w:r>
        <w:rPr>
          <w:b/>
          <w:color w:val="003366"/>
          <w:sz w:val="24"/>
        </w:rPr>
        <w:t>**PARTIE 3 : ANALYSE FONDAMENTALE (SECTION CRITIQUE)**</w:t>
      </w:r>
    </w:p>
    <w:p>
      <w:pPr>
        <w:spacing w:after="120" w:line="276" w:lineRule="auto"/>
      </w:pPr>
      <w:r>
        <w:t>En 2025, les données structurées de BOAN révèlent une situation financière très dégradée. Le Produit Net Bancaire s'établit à 21,125 milliards FCFA, en légère baisse de -1,2% par rapport à 2024 (21,380 milliards FCFA). Le résultat net s'effondre à 409 millions FCFA, contre 5 002 millions FCFA en 2024, soit une chute de 91,8%. La rentabilité est au plus bas avec un ROE de 1,13% et un ROA de 0,14%, contre respectivement 11,39% et 1,49% en 2024. Le coefficient d'exploitation de 74,37% est élevé, indiquant une efficacité opérationnelle insuffisante (seuil de référence &lt;60%). Le coût du risque de 67,30% est très préoccupant, reflétant un portefeuille de crédits de mauvaise qualité. Les dépôts clientèle (183,280 milliards FCFA) dépassent largement les créances sur la clientèle (128,447 milliards FCFA), montrant une transformation bancaire adéquate. Selon les rapports narratifs (rapport annuel 2025 analysé en mars 2026), la banque a subi les effets des sanctions post-coup d'État au Niger, avec un taux de créances en souffrance sectoriel de 24%. Le rapport du T1 2026 (daté de 2026) montre une amélioration notable : résultat net en hausse de 28,9% à 1 467,3 millions FCFA, PNB en progression de 7,9% à 5 170 millions FCFA, et coefficient d'exploitation amélioré à 56,2%. Sur cette base, on estime que l'exercice 2026 pourrait voir un résultat net annuel de l'ordre de 5,5 à 6 milliards FCFA, soit une multiplication par plus de 13 par rapport à 2025. La banque bénéficie du soutien du groupe BOA et d'un ratio de solvabilité de 14,06%, conforme aux exigences réglementaires.</w:t>
      </w:r>
    </w:p>
    <w:p>
      <w:pPr>
        <w:spacing w:after="120" w:line="276" w:lineRule="auto" w:before="240"/>
      </w:pPr>
      <w:r>
        <w:rPr>
          <w:b/>
          <w:color w:val="003366"/>
          <w:sz w:val="24"/>
        </w:rPr>
        <w:t>**PARTIE 4 : CONCLUSION D'INVESTISSEMENT**</w:t>
      </w:r>
    </w:p>
    <w:p>
      <w:pPr>
        <w:spacing w:after="120" w:line="276" w:lineRule="auto"/>
      </w:pPr>
      <w:r>
        <w:t>La valorisation de BOAN est extrêmement exigeante avec un PER de 267x et un EV/EBITDA de 40,1x, indiquant une nette surévaluation par rapport aux bénéfices actuels. Le comportement du cours, avec une hausse de +95,17% sur 100 jours et une volatilité de 39,7%, montre une dynamique spéculative forte, mais les statistiques (kurtosis platykurtique, skewness légèrement positif) suggèrent une distribution des rendements relativement stable. Les signaux techniques sont mitigés, avec une tendance haussière confirmée par les moyennes mobiles, mais des indicateurs de momentum (MACD, stochastique) signalant un possible essoufflement. Les fondamentaux, bien que très faibles en 2025, montrent des signes d'amélioration au T1 2026, avec une estimation de résultat net en forte hausse pour 2026. Les prédictions IA (5 182 FCFA à J+1, puis 5 154 FCFA à J+10) indiquent une légère correction à court terme, contredisant partiellement la tendance haussière récente. En synthèse, la recommandation est **CONSERVER** avec un niveau de confiance **Moyen** et un risque global **Élevé**. L'horizon d'investissement optimal est le **moyen terme (3-12 mois)**, en attendant la confirmation du redressement fondamental et une meilleure adéquation entre le cours et les bénéfices futurs.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288.00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9,160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+22.14%</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6,550 FCFA</w:t>
            </w:r>
          </w:p>
          <w:p>
            <w:r>
              <w:rPr>
                <w:b/>
                <w:color w:val="503200"/>
                <w:sz w:val="16"/>
              </w:rPr>
              <w:t xml:space="preserve">Volatilité ann. : </w:t>
            </w:r>
            <w:r>
              <w:rPr>
                <w:color w:val="000000"/>
                <w:sz w:val="17"/>
              </w:rPr>
              <w:t>22.8%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5.28% (Moyenne) — μ=7,336 FCFA, σ=387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β=0.3999 (Défensif) — Cov=0.000013, Var(idx)=0.000031, ρ=0.156,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9,160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σ_j=1.44%/j (Stable) — Vol. annualisée≈22.8%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7,572</w:t>
            </w:r>
          </w:p>
        </w:tc>
        <w:tc>
          <w:tcPr>
            <w:tcW w:type="dxa" w:w="1440"/>
            <w:shd w:fill="FFDCE0" w:val="clear"/>
          </w:tcPr>
          <w:p>
            <w:r>
              <w:rPr>
                <w:b/>
                <w:sz w:val="17"/>
              </w:rPr>
              <w:t>7,754</w:t>
            </w:r>
          </w:p>
        </w:tc>
        <w:tc>
          <w:tcPr>
            <w:tcW w:type="dxa" w:w="1440"/>
            <w:shd w:fill="FFDCE0" w:val="clear"/>
          </w:tcPr>
          <w:p>
            <w:r>
              <w:rPr>
                <w:sz w:val="17"/>
              </w:rPr>
              <w:t>7,936</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7,380</w:t>
            </w:r>
          </w:p>
        </w:tc>
        <w:tc>
          <w:tcPr>
            <w:tcW w:type="dxa" w:w="1440"/>
            <w:shd w:fill="FFDCE0" w:val="clear"/>
          </w:tcPr>
          <w:p>
            <w:r>
              <w:rPr>
                <w:b/>
                <w:sz w:val="17"/>
              </w:rPr>
              <w:t>7,633</w:t>
            </w:r>
          </w:p>
        </w:tc>
        <w:tc>
          <w:tcPr>
            <w:tcW w:type="dxa" w:w="1440"/>
            <w:shd w:fill="FFDCE0" w:val="clear"/>
          </w:tcPr>
          <w:p>
            <w:r>
              <w:rPr>
                <w:sz w:val="17"/>
              </w:rPr>
              <w:t>7,887</w:t>
            </w:r>
          </w:p>
        </w:tc>
        <w:tc>
          <w:tcPr>
            <w:tcW w:type="dxa" w:w="1440"/>
            <w:shd w:fill="FFDCE0" w:val="clear"/>
          </w:tcPr>
          <w:p>
            <w:r>
              <w:rPr>
                <w:b/>
                <w:color w:val="C00000"/>
                <w:sz w:val="17"/>
              </w:rPr>
              <w:t>-4.6%</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7,204</w:t>
            </w:r>
          </w:p>
        </w:tc>
        <w:tc>
          <w:tcPr>
            <w:tcW w:type="dxa" w:w="1440"/>
            <w:shd w:fill="FFDCE0" w:val="clear"/>
          </w:tcPr>
          <w:p>
            <w:r>
              <w:rPr>
                <w:b/>
                <w:sz w:val="17"/>
              </w:rPr>
              <w:t>7,509</w:t>
            </w:r>
          </w:p>
        </w:tc>
        <w:tc>
          <w:tcPr>
            <w:tcW w:type="dxa" w:w="1440"/>
            <w:shd w:fill="FFDCE0" w:val="clear"/>
          </w:tcPr>
          <w:p>
            <w:r>
              <w:rPr>
                <w:sz w:val="17"/>
              </w:rPr>
              <w:t>7,814</w:t>
            </w:r>
          </w:p>
        </w:tc>
        <w:tc>
          <w:tcPr>
            <w:tcW w:type="dxa" w:w="1440"/>
            <w:shd w:fill="FFDCE0" w:val="clear"/>
          </w:tcPr>
          <w:p>
            <w:r>
              <w:rPr>
                <w:b/>
                <w:color w:val="C00000"/>
                <w:sz w:val="17"/>
              </w:rPr>
              <w:t>-6.1%</w:t>
            </w:r>
          </w:p>
        </w:tc>
      </w:tr>
      <w:tr>
        <w:tc>
          <w:tcPr>
            <w:tcW w:type="dxa" w:w="1440"/>
            <w:shd w:fill="FFDCE0" w:val="clear"/>
          </w:tcPr>
          <w:p>
            <w:r>
              <w:rPr>
                <w:sz w:val="17"/>
              </w:rPr>
              <w:t>J+4  Moyenne</w:t>
            </w:r>
          </w:p>
        </w:tc>
        <w:tc>
          <w:tcPr>
            <w:tcW w:type="dxa" w:w="1440"/>
            <w:shd w:fill="FFDCE0" w:val="clear"/>
          </w:tcPr>
          <w:p>
            <w:r>
              <w:rPr>
                <w:sz w:val="17"/>
              </w:rPr>
              <w:t>2026-08-27</w:t>
            </w:r>
          </w:p>
        </w:tc>
        <w:tc>
          <w:tcPr>
            <w:tcW w:type="dxa" w:w="1440"/>
            <w:shd w:fill="FFDCE0" w:val="clear"/>
          </w:tcPr>
          <w:p>
            <w:r>
              <w:rPr>
                <w:sz w:val="17"/>
              </w:rPr>
              <w:t>7,050</w:t>
            </w:r>
          </w:p>
        </w:tc>
        <w:tc>
          <w:tcPr>
            <w:tcW w:type="dxa" w:w="1440"/>
            <w:shd w:fill="FFDCE0" w:val="clear"/>
          </w:tcPr>
          <w:p>
            <w:r>
              <w:rPr>
                <w:b/>
                <w:sz w:val="17"/>
              </w:rPr>
              <w:t>7,397</w:t>
            </w:r>
          </w:p>
        </w:tc>
        <w:tc>
          <w:tcPr>
            <w:tcW w:type="dxa" w:w="1440"/>
            <w:shd w:fill="FFDCE0" w:val="clear"/>
          </w:tcPr>
          <w:p>
            <w:r>
              <w:rPr>
                <w:sz w:val="17"/>
              </w:rPr>
              <w:t>7,744</w:t>
            </w:r>
          </w:p>
        </w:tc>
        <w:tc>
          <w:tcPr>
            <w:tcW w:type="dxa" w:w="1440"/>
            <w:shd w:fill="FFDCE0" w:val="clear"/>
          </w:tcPr>
          <w:p>
            <w:r>
              <w:rPr>
                <w:b/>
                <w:color w:val="C00000"/>
                <w:sz w:val="17"/>
              </w:rPr>
              <w:t>-7.5%</w:t>
            </w:r>
          </w:p>
        </w:tc>
      </w:tr>
      <w:tr>
        <w:tc>
          <w:tcPr>
            <w:tcW w:type="dxa" w:w="1440"/>
            <w:shd w:fill="FFDCE0" w:val="clear"/>
          </w:tcPr>
          <w:p>
            <w:r>
              <w:rPr>
                <w:sz w:val="17"/>
              </w:rPr>
              <w:t>J+5  Moyenne</w:t>
            </w:r>
          </w:p>
        </w:tc>
        <w:tc>
          <w:tcPr>
            <w:tcW w:type="dxa" w:w="1440"/>
            <w:shd w:fill="FFDCE0" w:val="clear"/>
          </w:tcPr>
          <w:p>
            <w:r>
              <w:rPr>
                <w:sz w:val="17"/>
              </w:rPr>
              <w:t>2026-08-28</w:t>
            </w:r>
          </w:p>
        </w:tc>
        <w:tc>
          <w:tcPr>
            <w:tcW w:type="dxa" w:w="1440"/>
            <w:shd w:fill="FFDCE0" w:val="clear"/>
          </w:tcPr>
          <w:p>
            <w:r>
              <w:rPr>
                <w:sz w:val="17"/>
              </w:rPr>
              <w:t>6,910</w:t>
            </w:r>
          </w:p>
        </w:tc>
        <w:tc>
          <w:tcPr>
            <w:tcW w:type="dxa" w:w="1440"/>
            <w:shd w:fill="FFDCE0" w:val="clear"/>
          </w:tcPr>
          <w:p>
            <w:r>
              <w:rPr>
                <w:b/>
                <w:sz w:val="17"/>
              </w:rPr>
              <w:t>7,293</w:t>
            </w:r>
          </w:p>
        </w:tc>
        <w:tc>
          <w:tcPr>
            <w:tcW w:type="dxa" w:w="1440"/>
            <w:shd w:fill="FFDCE0" w:val="clear"/>
          </w:tcPr>
          <w:p>
            <w:r>
              <w:rPr>
                <w:sz w:val="17"/>
              </w:rPr>
              <w:t>7,675</w:t>
            </w:r>
          </w:p>
        </w:tc>
        <w:tc>
          <w:tcPr>
            <w:tcW w:type="dxa" w:w="1440"/>
            <w:shd w:fill="FFDCE0" w:val="clear"/>
          </w:tcPr>
          <w:p>
            <w:r>
              <w:rPr>
                <w:b/>
                <w:color w:val="C00000"/>
                <w:sz w:val="17"/>
              </w:rPr>
              <w:t>-8.8%</w:t>
            </w:r>
          </w:p>
        </w:tc>
      </w:tr>
      <w:tr>
        <w:tc>
          <w:tcPr>
            <w:tcW w:type="dxa" w:w="1440"/>
            <w:shd w:fill="FFDCE0" w:val="clear"/>
          </w:tcPr>
          <w:p>
            <w:r>
              <w:rPr>
                <w:sz w:val="17"/>
              </w:rPr>
              <w:t>J+6  Moyenne</w:t>
            </w:r>
          </w:p>
        </w:tc>
        <w:tc>
          <w:tcPr>
            <w:tcW w:type="dxa" w:w="1440"/>
            <w:shd w:fill="FFDCE0" w:val="clear"/>
          </w:tcPr>
          <w:p>
            <w:r>
              <w:rPr>
                <w:sz w:val="17"/>
              </w:rPr>
              <w:t>2026-08-31</w:t>
            </w:r>
          </w:p>
        </w:tc>
        <w:tc>
          <w:tcPr>
            <w:tcW w:type="dxa" w:w="1440"/>
            <w:shd w:fill="FFDCE0" w:val="clear"/>
          </w:tcPr>
          <w:p>
            <w:r>
              <w:rPr>
                <w:sz w:val="17"/>
              </w:rPr>
              <w:t>6,781</w:t>
            </w:r>
          </w:p>
        </w:tc>
        <w:tc>
          <w:tcPr>
            <w:tcW w:type="dxa" w:w="1440"/>
            <w:shd w:fill="FFDCE0" w:val="clear"/>
          </w:tcPr>
          <w:p>
            <w:r>
              <w:rPr>
                <w:b/>
                <w:sz w:val="17"/>
              </w:rPr>
              <w:t>7,194</w:t>
            </w:r>
          </w:p>
        </w:tc>
        <w:tc>
          <w:tcPr>
            <w:tcW w:type="dxa" w:w="1440"/>
            <w:shd w:fill="FFDCE0" w:val="clear"/>
          </w:tcPr>
          <w:p>
            <w:r>
              <w:rPr>
                <w:sz w:val="17"/>
              </w:rPr>
              <w:t>7,608</w:t>
            </w:r>
          </w:p>
        </w:tc>
        <w:tc>
          <w:tcPr>
            <w:tcW w:type="dxa" w:w="1440"/>
            <w:shd w:fill="FFDCE0" w:val="clear"/>
          </w:tcPr>
          <w:p>
            <w:r>
              <w:rPr>
                <w:b/>
                <w:color w:val="C00000"/>
                <w:sz w:val="17"/>
              </w:rPr>
              <w:t>-10.1%</w:t>
            </w:r>
          </w:p>
        </w:tc>
      </w:tr>
      <w:tr>
        <w:tc>
          <w:tcPr>
            <w:tcW w:type="dxa" w:w="1440"/>
            <w:shd w:fill="FFDCE0" w:val="clear"/>
          </w:tcPr>
          <w:p>
            <w:r>
              <w:rPr>
                <w:sz w:val="17"/>
              </w:rPr>
              <w:t>J+7  Moyenne</w:t>
            </w:r>
          </w:p>
        </w:tc>
        <w:tc>
          <w:tcPr>
            <w:tcW w:type="dxa" w:w="1440"/>
            <w:shd w:fill="FFDCE0" w:val="clear"/>
          </w:tcPr>
          <w:p>
            <w:r>
              <w:rPr>
                <w:sz w:val="17"/>
              </w:rPr>
              <w:t>2026-09-01</w:t>
            </w:r>
          </w:p>
        </w:tc>
        <w:tc>
          <w:tcPr>
            <w:tcW w:type="dxa" w:w="1440"/>
            <w:shd w:fill="FFDCE0" w:val="clear"/>
          </w:tcPr>
          <w:p>
            <w:r>
              <w:rPr>
                <w:sz w:val="17"/>
              </w:rPr>
              <w:t>6,661</w:t>
            </w:r>
          </w:p>
        </w:tc>
        <w:tc>
          <w:tcPr>
            <w:tcW w:type="dxa" w:w="1440"/>
            <w:shd w:fill="FFDCE0" w:val="clear"/>
          </w:tcPr>
          <w:p>
            <w:r>
              <w:rPr>
                <w:b/>
                <w:sz w:val="17"/>
              </w:rPr>
              <w:t>7,101</w:t>
            </w:r>
          </w:p>
        </w:tc>
        <w:tc>
          <w:tcPr>
            <w:tcW w:type="dxa" w:w="1440"/>
            <w:shd w:fill="FFDCE0" w:val="clear"/>
          </w:tcPr>
          <w:p>
            <w:r>
              <w:rPr>
                <w:sz w:val="17"/>
              </w:rPr>
              <w:t>7,542</w:t>
            </w:r>
          </w:p>
        </w:tc>
        <w:tc>
          <w:tcPr>
            <w:tcW w:type="dxa" w:w="1440"/>
            <w:shd w:fill="FFDCE0" w:val="clear"/>
          </w:tcPr>
          <w:p>
            <w:r>
              <w:rPr>
                <w:b/>
                <w:color w:val="C00000"/>
                <w:sz w:val="17"/>
              </w:rPr>
              <w:t>-11.2%</w:t>
            </w:r>
          </w:p>
        </w:tc>
      </w:tr>
      <w:tr>
        <w:tc>
          <w:tcPr>
            <w:tcW w:type="dxa" w:w="1440"/>
            <w:shd w:fill="FFDCE0" w:val="clear"/>
          </w:tcPr>
          <w:p>
            <w:r>
              <w:rPr>
                <w:sz w:val="17"/>
              </w:rPr>
              <w:t>J+8  Moyenne</w:t>
            </w:r>
          </w:p>
        </w:tc>
        <w:tc>
          <w:tcPr>
            <w:tcW w:type="dxa" w:w="1440"/>
            <w:shd w:fill="FFDCE0" w:val="clear"/>
          </w:tcPr>
          <w:p>
            <w:r>
              <w:rPr>
                <w:sz w:val="17"/>
              </w:rPr>
              <w:t>2026-09-02</w:t>
            </w:r>
          </w:p>
        </w:tc>
        <w:tc>
          <w:tcPr>
            <w:tcW w:type="dxa" w:w="1440"/>
            <w:shd w:fill="FFDCE0" w:val="clear"/>
          </w:tcPr>
          <w:p>
            <w:r>
              <w:rPr>
                <w:sz w:val="17"/>
              </w:rPr>
              <w:t>6,548</w:t>
            </w:r>
          </w:p>
        </w:tc>
        <w:tc>
          <w:tcPr>
            <w:tcW w:type="dxa" w:w="1440"/>
            <w:shd w:fill="FFDCE0" w:val="clear"/>
          </w:tcPr>
          <w:p>
            <w:r>
              <w:rPr>
                <w:b/>
                <w:sz w:val="17"/>
              </w:rPr>
              <w:t>7,013</w:t>
            </w:r>
          </w:p>
        </w:tc>
        <w:tc>
          <w:tcPr>
            <w:tcW w:type="dxa" w:w="1440"/>
            <w:shd w:fill="FFDCE0" w:val="clear"/>
          </w:tcPr>
          <w:p>
            <w:r>
              <w:rPr>
                <w:sz w:val="17"/>
              </w:rPr>
              <w:t>7,478</w:t>
            </w:r>
          </w:p>
        </w:tc>
        <w:tc>
          <w:tcPr>
            <w:tcW w:type="dxa" w:w="1440"/>
            <w:shd w:fill="FFDCE0" w:val="clear"/>
          </w:tcPr>
          <w:p>
            <w:r>
              <w:rPr>
                <w:b/>
                <w:color w:val="C00000"/>
                <w:sz w:val="17"/>
              </w:rPr>
              <w:t>-12.3%</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6,442</w:t>
            </w:r>
          </w:p>
        </w:tc>
        <w:tc>
          <w:tcPr>
            <w:tcW w:type="dxa" w:w="1440"/>
            <w:shd w:fill="FFDCE0" w:val="clear"/>
          </w:tcPr>
          <w:p>
            <w:r>
              <w:rPr>
                <w:b/>
                <w:sz w:val="17"/>
              </w:rPr>
              <w:t>6,930</w:t>
            </w:r>
          </w:p>
        </w:tc>
        <w:tc>
          <w:tcPr>
            <w:tcW w:type="dxa" w:w="1440"/>
            <w:shd w:fill="FFDCE0" w:val="clear"/>
          </w:tcPr>
          <w:p>
            <w:r>
              <w:rPr>
                <w:sz w:val="17"/>
              </w:rPr>
              <w:t>7,417</w:t>
            </w:r>
          </w:p>
        </w:tc>
        <w:tc>
          <w:tcPr>
            <w:tcW w:type="dxa" w:w="1440"/>
            <w:shd w:fill="FFDCE0" w:val="clear"/>
          </w:tcPr>
          <w:p>
            <w:r>
              <w:rPr>
                <w:b/>
                <w:color w:val="C00000"/>
                <w:sz w:val="17"/>
              </w:rPr>
              <w:t>-13.4%</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6,342</w:t>
            </w:r>
          </w:p>
        </w:tc>
        <w:tc>
          <w:tcPr>
            <w:tcW w:type="dxa" w:w="1440"/>
            <w:shd w:fill="FFDCE0" w:val="clear"/>
          </w:tcPr>
          <w:p>
            <w:r>
              <w:rPr>
                <w:b/>
                <w:sz w:val="17"/>
              </w:rPr>
              <w:t>6,850</w:t>
            </w:r>
          </w:p>
        </w:tc>
        <w:tc>
          <w:tcPr>
            <w:tcW w:type="dxa" w:w="1440"/>
            <w:shd w:fill="FFDCE0" w:val="clear"/>
          </w:tcPr>
          <w:p>
            <w:r>
              <w:rPr>
                <w:sz w:val="17"/>
              </w:rPr>
              <w:t>7,358</w:t>
            </w:r>
          </w:p>
        </w:tc>
        <w:tc>
          <w:tcPr>
            <w:tcW w:type="dxa" w:w="1440"/>
            <w:shd w:fill="FFDCE0" w:val="clear"/>
          </w:tcPr>
          <w:p>
            <w:r>
              <w:rPr>
                <w:b/>
                <w:color w:val="C00000"/>
                <w:sz w:val="17"/>
              </w:rPr>
              <w:t>-14.4%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 20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288 milliards FCFA, ce qui en fait l'une des valeurs les plus significatives de la BRVM, reflétant la confiance des investisseurs dans le secteur bancaire sénégalais. Avec un BPA de 608 FCFA, chaque action génère un bénéfice substantiel, justifiant un PER de 13,1x. Ce ratio, légèrement supérieur à la moyenne historique de la BRVM (8-12x), indique que le marché accepte de payer une prime raisonnable pour la qualité des bénéfices de la banque. Le P/B de 2,98x confirme cette prime de croissance, le marché valorisant la société près de trois fois sa valeur comptable, signe d'une forte création de valeur attendue. Enfin, l'EV/EBITDA de 8,5x, situé dans la fourchette raisonnable (5-10x), suggère que la valorisation globale de l'entreprise, rapportée à sa capacité opérationnelle, demeure équilibrée et non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enregistré une progression remarquable de +22,14%, avec une dernière séance en hausse de +2,56% pour clôturer à 8 000 FCFA. Le titre a évolué dans une fourchette de 6 550 à 8 050 FCFA, démontrant une dynamique haussière soutenue. La moyenne du cours sur la période (7 336 FCFA) est légèrement inférieure à la médiane (7 350 FCFA), indiquant une distribution quasi symétrique, confirmée par un skewness de -0,305. L'écart-type de 389 FCFA (CV=5,3%) révèle une dispersion modérée des prix autour de la moyenne. Le kurtosis de -0,751 (mésokurtique) suggère une absence de pics extrêmes, réduisant le risque de mouvements violents. La volatilité annualisée de 22,8% classe le titre dans la catégorie modérée (15-30%), offrant un équilibre entre potentiel de rendement et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(8 000 FCFA) se positionne nettement au-dessus de la MM20 (7 767,5 FCFA) et de la MM50 (7 526,4 FCFA), confirmant une tendance haussière solide. L'écart croissant entre les deux moyennes témoigne d'un momentum positif, justifiant la décision d'achat.</w:t>
      </w:r>
    </w:p>
    <w:p>
      <w:pPr>
        <w:spacing w:after="120" w:line="276" w:lineRule="auto"/>
      </w:pPr>
      <w:r>
        <w:t>**Bandes de Bollinger** : Le prix évolue à la borne supérieure (8 000 FCFA vs 7 999,5 FCFA), signalant une condition de surachat à court terme. Cette position extrême suggère une possible consolidation ou correction technique, d'où la décision de vente, bien que la tendance de fond reste haussière.</w:t>
      </w:r>
    </w:p>
    <w:p>
      <w:pPr>
        <w:spacing w:after="120" w:line="276" w:lineRule="auto"/>
      </w:pPr>
      <w:r>
        <w:t>**MACD** : Avec une valeur de 82,34 au-dessus de sa ligne de signal (72,25), le MACD confirme un momentum haussier robuste. La divergence positive indique une accélération de la dynamique, justifiant la décision d'achat.</w:t>
      </w:r>
    </w:p>
    <w:p>
      <w:pPr>
        <w:spacing w:after="120" w:line="276" w:lineRule="auto"/>
      </w:pPr>
      <w:r>
        <w:t>**RSI** : À 68,07, le RSI se situe en zone neutre, proche du seuil de surachat (70). Cela reflète une pression acheteuse soutenue sans signal d'épuisement immédiat, d'où une décision neutre.</w:t>
      </w:r>
    </w:p>
    <w:p>
      <w:pPr>
        <w:spacing w:after="120" w:line="276" w:lineRule="auto"/>
      </w:pPr>
      <w:r>
        <w:t>**Stochastique** : Le %K à 100 et le %D à 84,93 indiquent une condition de surachat extrême. Le croisement potentiel à la baisse du %K sous le %D pourrait signaler un retournement, justifiant la décision de vente.</w:t>
      </w:r>
    </w:p>
    <w:p>
      <w:pPr>
        <w:spacing w:after="120" w:line="276" w:lineRule="auto"/>
      </w:pPr>
      <w:r>
        <w:t>**Conclusion technique** : Les indicateurs sont partagés entre signaux d'achat (MM, MACD) et de vente (Bollinger, Stochastique), avec un RSI neutre. Cette divergence suggère une tendance haussière sous-jacente mais un risque de correction à court terme. Les investisseurs devraient surveiller une possible consolidation avant une nouvelle impulsion.</w:t>
      </w:r>
    </w:p>
    <w:p>
      <w:pPr>
        <w:spacing w:after="120" w:line="276" w:lineRule="auto"/>
      </w:pPr>
      <w:r>
        <w:t>---</w:t>
      </w:r>
    </w:p>
    <w:p>
      <w:pPr>
        <w:spacing w:after="120" w:line="276" w:lineRule="auto"/>
      </w:pPr>
      <w:r>
        <w:t>### PARTIE 3 : ANALYSE FONDAMENTALE (SECTION CRITIQUE)</w:t>
      </w:r>
    </w:p>
    <w:p>
      <w:pPr>
        <w:spacing w:after="120" w:line="276" w:lineRule="auto"/>
      </w:pPr>
      <w:r>
        <w:t>En 2025, BOAS affiche des fondamentaux solides avec un Produit Net Bancaire (PNB) de 51,926 milliards FCFA et un résultat net de 21,905 milliards FCFA, démontrant une marge nette de 42,19%. Le ROE de 22,69% et le ROA de 2,62% confirment une excellente rentabilité des fonds propres et des actifs. Le coefficient d'exploitation de 44,02% témoigne d'une efficacité opérationnelle remarquable (bien en dessous du seuil de 60%). Le coût du risque de 23,31% reste élevé, nécessitant une surveillance, mais les provisions de 4,346 milliards FCFA montrent une gestion prudente. Les dépôts clients (686,927 milliards FCFA) dépassent largement les créances sur la clientèle (386,424 milliards FCFA), indiquant une transformation saine. Les rapports trimestriels 2025 confirment cette dynamique : le T1 affiche un PNB de 11,78 milliards (+2,36%), le S1 atteint 25,37 milliards (+6,77%), et le T3 cumulé s'établit à 37,44 milliards (+6,71%). Le résultat net cumulé sur neuf mois progresse de 10,01% à 16,37 milliards FCFA. Sur la base de ces tendances, on estime que l'exercice 2025 devrait dépasser les 52 milliards de PNB et atteindre environ 22 milliards de résultat net. Le rapport T1 2026 confirme cette trajectoire avec un PNB de 12,58 milliards (+6,82%) et un résultat net de 5,741 milliards (+9,78%), laissant présager une poursuite de la croissance pour 2026.</w:t>
      </w:r>
    </w:p>
    <w:p>
      <w:pPr>
        <w:spacing w:after="120" w:line="276" w:lineRule="auto"/>
      </w:pPr>
      <w:r>
        <w:t>---</w:t>
      </w:r>
    </w:p>
    <w:p>
      <w:pPr>
        <w:spacing w:after="120" w:line="276" w:lineRule="auto"/>
      </w:pPr>
      <w:r>
        <w:t>### PARTIE 4 : CONCLUSION D'INVESTISSEMENT</w:t>
      </w:r>
    </w:p>
    <w:p>
      <w:pPr>
        <w:spacing w:after="120" w:line="276" w:lineRule="auto"/>
      </w:pPr>
      <w:r>
        <w:t>La valorisation de BOAS (PER 13,1x, P/B 2,98x, EV/EBITDA 8,5x) indique une prime de croissance justifiée par des fondamentaux solides, sans surévaluation excessive. Le comportement du cours (+22,14% sur 100 jours) avec une volatilité modérée (22,8%) et une distribution symétrique (kurtosis mésokurtique) reflète une progression saine. Les signaux techniques sont mitigés : les moyennes mobiles et le MACD soutiennent la tendance haussière, tandis que les bandes de Bollinger et le stochastique signalent un risque de correction à court terme. Les fondamentaux restent excellents avec un ROE de 22,69%, un coefficient d'exploitation de 44% et une croissance soutenue du PNB et du résultat net. Les prédictions IA (7 754 à 7 293 FCFA sur J+1 à J+10) suggèrent une consolidation, contredisant légèrement la tendance haussière mais confirmant le risque technique de surachat. En synthèse, la convergence entre fondamentaux solides et valorisation raisonnable, malgré des signaux techniques mixtes, conduit à une recommandation **ACHAT** avec un niveau de confiance **Moyen** et un risque global **Moyen**. L'horizon d'investissement optimal serait le **moyen terme (3-12 mois)**, permettant d'absorber une éventuelle correction technique avant de bénéficier de la poursuite de la croissance fondamentale.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21.93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2,337 titres</w:t>
            </w:r>
          </w:p>
        </w:tc>
        <w:tc>
          <w:tcPr>
            <w:tcW w:type="dxa" w:w="2268"/>
            <w:shd w:fill="FFF2CC" w:val="clear"/>
          </w:tcPr>
          <w:p>
            <w:r>
              <w:rPr>
                <w:b/>
                <w:color w:val="503200"/>
                <w:sz w:val="16"/>
              </w:rPr>
              <w:t xml:space="preserve">Cours actuel : </w:t>
            </w:r>
            <w:r>
              <w:rPr>
                <w:color w:val="000000"/>
                <w:sz w:val="17"/>
              </w:rPr>
              <w:t>3,705 FCFA</w:t>
            </w:r>
          </w:p>
          <w:p>
            <w:r>
              <w:rPr>
                <w:b/>
                <w:color w:val="503200"/>
                <w:sz w:val="16"/>
              </w:rPr>
              <w:t xml:space="preserve">Var. 100 jours : </w:t>
            </w:r>
            <w:r>
              <w:rPr>
                <w:b/>
                <w:color w:val="007800"/>
                <w:sz w:val="17"/>
              </w:rPr>
              <w:t>+15.78%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7.91% (Moyenne) — μ=3,763 FCFA, σ=298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β=0.0321 (Défensif) — Cov=0.000001, Var(idx)=0.000031, ρ=0.005,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σ_j=3.51%/j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2026-08-21</w:t>
            </w:r>
          </w:p>
        </w:tc>
        <w:tc>
          <w:tcPr>
            <w:tcW w:type="dxa" w:w="1440"/>
            <w:shd w:fill="C6EFCE" w:val="clear"/>
          </w:tcPr>
          <w:p>
            <w:r>
              <w:rPr>
                <w:sz w:val="17"/>
              </w:rPr>
              <w:t>3,718</w:t>
            </w:r>
          </w:p>
        </w:tc>
        <w:tc>
          <w:tcPr>
            <w:tcW w:type="dxa" w:w="1440"/>
            <w:shd w:fill="C6EFCE" w:val="clear"/>
          </w:tcPr>
          <w:p>
            <w:r>
              <w:rPr>
                <w:b/>
                <w:sz w:val="17"/>
              </w:rPr>
              <w:t>3,876</w:t>
            </w:r>
          </w:p>
        </w:tc>
        <w:tc>
          <w:tcPr>
            <w:tcW w:type="dxa" w:w="1440"/>
            <w:shd w:fill="C6EFCE" w:val="clear"/>
          </w:tcPr>
          <w:p>
            <w:r>
              <w:rPr>
                <w:sz w:val="17"/>
              </w:rPr>
              <w:t>4,035</w:t>
            </w:r>
          </w:p>
        </w:tc>
        <w:tc>
          <w:tcPr>
            <w:tcW w:type="dxa" w:w="1440"/>
            <w:shd w:fill="C6EFCE" w:val="clear"/>
          </w:tcPr>
          <w:p>
            <w:r>
              <w:rPr>
                <w:b/>
                <w:color w:val="008000"/>
                <w:sz w:val="17"/>
              </w:rPr>
              <w:t>+4.6%</w:t>
            </w:r>
          </w:p>
        </w:tc>
      </w:tr>
      <w:tr>
        <w:tc>
          <w:tcPr>
            <w:tcW w:type="dxa" w:w="1440"/>
            <w:shd w:fill="C6EFCE" w:val="clear"/>
          </w:tcPr>
          <w:p>
            <w:r>
              <w:rPr>
                <w:sz w:val="17"/>
              </w:rPr>
              <w:t>J+2  Moyenne</w:t>
            </w:r>
          </w:p>
        </w:tc>
        <w:tc>
          <w:tcPr>
            <w:tcW w:type="dxa" w:w="1440"/>
            <w:shd w:fill="C6EFCE" w:val="clear"/>
          </w:tcPr>
          <w:p>
            <w:r>
              <w:rPr>
                <w:sz w:val="17"/>
              </w:rPr>
              <w:t>2026-08-24</w:t>
            </w:r>
          </w:p>
        </w:tc>
        <w:tc>
          <w:tcPr>
            <w:tcW w:type="dxa" w:w="1440"/>
            <w:shd w:fill="C6EFCE" w:val="clear"/>
          </w:tcPr>
          <w:p>
            <w:r>
              <w:rPr>
                <w:sz w:val="17"/>
              </w:rPr>
              <w:t>3,811</w:t>
            </w:r>
          </w:p>
        </w:tc>
        <w:tc>
          <w:tcPr>
            <w:tcW w:type="dxa" w:w="1440"/>
            <w:shd w:fill="C6EFCE" w:val="clear"/>
          </w:tcPr>
          <w:p>
            <w:r>
              <w:rPr>
                <w:b/>
                <w:sz w:val="17"/>
              </w:rPr>
              <w:t>4,045</w:t>
            </w:r>
          </w:p>
        </w:tc>
        <w:tc>
          <w:tcPr>
            <w:tcW w:type="dxa" w:w="1440"/>
            <w:shd w:fill="C6EFCE" w:val="clear"/>
          </w:tcPr>
          <w:p>
            <w:r>
              <w:rPr>
                <w:sz w:val="17"/>
              </w:rPr>
              <w:t>4,279</w:t>
            </w:r>
          </w:p>
        </w:tc>
        <w:tc>
          <w:tcPr>
            <w:tcW w:type="dxa" w:w="1440"/>
            <w:shd w:fill="C6EFCE" w:val="clear"/>
          </w:tcPr>
          <w:p>
            <w:r>
              <w:rPr>
                <w:b/>
                <w:color w:val="008000"/>
                <w:sz w:val="17"/>
              </w:rPr>
              <w:t>+9.2%</w:t>
            </w:r>
          </w:p>
        </w:tc>
      </w:tr>
      <w:tr>
        <w:tc>
          <w:tcPr>
            <w:tcW w:type="dxa" w:w="1440"/>
            <w:shd w:fill="C6EFCE" w:val="clear"/>
          </w:tcPr>
          <w:p>
            <w:r>
              <w:rPr>
                <w:sz w:val="17"/>
              </w:rPr>
              <w:t>J+3  Moyenne</w:t>
            </w:r>
          </w:p>
        </w:tc>
        <w:tc>
          <w:tcPr>
            <w:tcW w:type="dxa" w:w="1440"/>
            <w:shd w:fill="C6EFCE" w:val="clear"/>
          </w:tcPr>
          <w:p>
            <w:r>
              <w:rPr>
                <w:sz w:val="17"/>
              </w:rPr>
              <w:t>2026-08-25</w:t>
            </w:r>
          </w:p>
        </w:tc>
        <w:tc>
          <w:tcPr>
            <w:tcW w:type="dxa" w:w="1440"/>
            <w:shd w:fill="C6EFCE" w:val="clear"/>
          </w:tcPr>
          <w:p>
            <w:r>
              <w:rPr>
                <w:sz w:val="17"/>
              </w:rPr>
              <w:t>3,946</w:t>
            </w:r>
          </w:p>
        </w:tc>
        <w:tc>
          <w:tcPr>
            <w:tcW w:type="dxa" w:w="1440"/>
            <w:shd w:fill="C6EFCE" w:val="clear"/>
          </w:tcPr>
          <w:p>
            <w:r>
              <w:rPr>
                <w:b/>
                <w:sz w:val="17"/>
              </w:rPr>
              <w:t>4,247</w:t>
            </w:r>
          </w:p>
        </w:tc>
        <w:tc>
          <w:tcPr>
            <w:tcW w:type="dxa" w:w="1440"/>
            <w:shd w:fill="C6EFCE" w:val="clear"/>
          </w:tcPr>
          <w:p>
            <w:r>
              <w:rPr>
                <w:sz w:val="17"/>
              </w:rPr>
              <w:t>4,548</w:t>
            </w:r>
          </w:p>
        </w:tc>
        <w:tc>
          <w:tcPr>
            <w:tcW w:type="dxa" w:w="1440"/>
            <w:shd w:fill="C6EFCE" w:val="clear"/>
          </w:tcPr>
          <w:p>
            <w:r>
              <w:rPr>
                <w:b/>
                <w:color w:val="008000"/>
                <w:sz w:val="17"/>
              </w:rPr>
              <w:t>+14.6%</w:t>
            </w:r>
          </w:p>
        </w:tc>
      </w:tr>
      <w:tr>
        <w:tc>
          <w:tcPr>
            <w:tcW w:type="dxa" w:w="1440"/>
            <w:shd w:fill="C6EFCE" w:val="clear"/>
          </w:tcPr>
          <w:p>
            <w:r>
              <w:rPr>
                <w:sz w:val="17"/>
              </w:rPr>
              <w:t>J+4  ⭐</w:t>
            </w:r>
          </w:p>
        </w:tc>
        <w:tc>
          <w:tcPr>
            <w:tcW w:type="dxa" w:w="1440"/>
            <w:shd w:fill="C6EFCE" w:val="clear"/>
          </w:tcPr>
          <w:p>
            <w:r>
              <w:rPr>
                <w:sz w:val="17"/>
              </w:rPr>
              <w:t>2026-08-27</w:t>
            </w:r>
          </w:p>
        </w:tc>
        <w:tc>
          <w:tcPr>
            <w:tcW w:type="dxa" w:w="1440"/>
            <w:shd w:fill="C6EFCE" w:val="clear"/>
          </w:tcPr>
          <w:p>
            <w:r>
              <w:rPr>
                <w:sz w:val="17"/>
              </w:rPr>
              <w:t>4,114</w:t>
            </w:r>
          </w:p>
        </w:tc>
        <w:tc>
          <w:tcPr>
            <w:tcW w:type="dxa" w:w="1440"/>
            <w:shd w:fill="C6EFCE" w:val="clear"/>
          </w:tcPr>
          <w:p>
            <w:r>
              <w:rPr>
                <w:b/>
                <w:sz w:val="17"/>
              </w:rPr>
              <w:t>4,481</w:t>
            </w:r>
          </w:p>
        </w:tc>
        <w:tc>
          <w:tcPr>
            <w:tcW w:type="dxa" w:w="1440"/>
            <w:shd w:fill="C6EFCE" w:val="clear"/>
          </w:tcPr>
          <w:p>
            <w:r>
              <w:rPr>
                <w:sz w:val="17"/>
              </w:rPr>
              <w:t>4,847</w:t>
            </w:r>
          </w:p>
        </w:tc>
        <w:tc>
          <w:tcPr>
            <w:tcW w:type="dxa" w:w="1440"/>
            <w:shd w:fill="C6EFCE" w:val="clear"/>
          </w:tcPr>
          <w:p>
            <w:r>
              <w:rPr>
                <w:b/>
                <w:color w:val="008000"/>
                <w:sz w:val="17"/>
              </w:rPr>
              <w:t>+20.9%</w:t>
            </w:r>
          </w:p>
        </w:tc>
      </w:tr>
      <w:tr>
        <w:tc>
          <w:tcPr>
            <w:tcW w:type="dxa" w:w="1440"/>
            <w:shd w:fill="C6EFCE" w:val="clear"/>
          </w:tcPr>
          <w:p>
            <w:r>
              <w:rPr>
                <w:sz w:val="17"/>
              </w:rPr>
              <w:t>J+5  ⭐</w:t>
            </w:r>
          </w:p>
        </w:tc>
        <w:tc>
          <w:tcPr>
            <w:tcW w:type="dxa" w:w="1440"/>
            <w:shd w:fill="C6EFCE" w:val="clear"/>
          </w:tcPr>
          <w:p>
            <w:r>
              <w:rPr>
                <w:sz w:val="17"/>
              </w:rPr>
              <w:t>2026-08-28</w:t>
            </w:r>
          </w:p>
        </w:tc>
        <w:tc>
          <w:tcPr>
            <w:tcW w:type="dxa" w:w="1440"/>
            <w:shd w:fill="C6EFCE" w:val="clear"/>
          </w:tcPr>
          <w:p>
            <w:r>
              <w:rPr>
                <w:sz w:val="17"/>
              </w:rPr>
              <w:t>4,316</w:t>
            </w:r>
          </w:p>
        </w:tc>
        <w:tc>
          <w:tcPr>
            <w:tcW w:type="dxa" w:w="1440"/>
            <w:shd w:fill="C6EFCE" w:val="clear"/>
          </w:tcPr>
          <w:p>
            <w:r>
              <w:rPr>
                <w:b/>
                <w:sz w:val="17"/>
              </w:rPr>
              <w:t>4,751</w:t>
            </w:r>
          </w:p>
        </w:tc>
        <w:tc>
          <w:tcPr>
            <w:tcW w:type="dxa" w:w="1440"/>
            <w:shd w:fill="C6EFCE" w:val="clear"/>
          </w:tcPr>
          <w:p>
            <w:r>
              <w:rPr>
                <w:sz w:val="17"/>
              </w:rPr>
              <w:t>5,185</w:t>
            </w:r>
          </w:p>
        </w:tc>
        <w:tc>
          <w:tcPr>
            <w:tcW w:type="dxa" w:w="1440"/>
            <w:shd w:fill="C6EFCE" w:val="clear"/>
          </w:tcPr>
          <w:p>
            <w:r>
              <w:rPr>
                <w:b/>
                <w:color w:val="008000"/>
                <w:sz w:val="17"/>
              </w:rPr>
              <w:t>+28.2%</w:t>
            </w:r>
          </w:p>
        </w:tc>
      </w:tr>
      <w:tr>
        <w:tc>
          <w:tcPr>
            <w:tcW w:type="dxa" w:w="1440"/>
            <w:shd w:fill="C6EFCE" w:val="clear"/>
          </w:tcPr>
          <w:p>
            <w:r>
              <w:rPr>
                <w:sz w:val="17"/>
              </w:rPr>
              <w:t>J+6  ⭐</w:t>
            </w:r>
          </w:p>
        </w:tc>
        <w:tc>
          <w:tcPr>
            <w:tcW w:type="dxa" w:w="1440"/>
            <w:shd w:fill="C6EFCE" w:val="clear"/>
          </w:tcPr>
          <w:p>
            <w:r>
              <w:rPr>
                <w:sz w:val="17"/>
              </w:rPr>
              <w:t>2026-08-31</w:t>
            </w:r>
          </w:p>
        </w:tc>
        <w:tc>
          <w:tcPr>
            <w:tcW w:type="dxa" w:w="1440"/>
            <w:shd w:fill="C6EFCE" w:val="clear"/>
          </w:tcPr>
          <w:p>
            <w:r>
              <w:rPr>
                <w:sz w:val="17"/>
              </w:rPr>
              <w:t>4,559</w:t>
            </w:r>
          </w:p>
        </w:tc>
        <w:tc>
          <w:tcPr>
            <w:tcW w:type="dxa" w:w="1440"/>
            <w:shd w:fill="C6EFCE" w:val="clear"/>
          </w:tcPr>
          <w:p>
            <w:r>
              <w:rPr>
                <w:b/>
                <w:sz w:val="17"/>
              </w:rPr>
              <w:t>5,066</w:t>
            </w:r>
          </w:p>
        </w:tc>
        <w:tc>
          <w:tcPr>
            <w:tcW w:type="dxa" w:w="1440"/>
            <w:shd w:fill="C6EFCE" w:val="clear"/>
          </w:tcPr>
          <w:p>
            <w:r>
              <w:rPr>
                <w:sz w:val="17"/>
              </w:rPr>
              <w:t>5,574</w:t>
            </w:r>
          </w:p>
        </w:tc>
        <w:tc>
          <w:tcPr>
            <w:tcW w:type="dxa" w:w="1440"/>
            <w:shd w:fill="C6EFCE" w:val="clear"/>
          </w:tcPr>
          <w:p>
            <w:r>
              <w:rPr>
                <w:b/>
                <w:color w:val="008000"/>
                <w:sz w:val="17"/>
              </w:rPr>
              <w:t>+36.7%</w:t>
            </w:r>
          </w:p>
        </w:tc>
      </w:tr>
      <w:tr>
        <w:tc>
          <w:tcPr>
            <w:tcW w:type="dxa" w:w="1440"/>
            <w:shd w:fill="C6EFCE" w:val="clear"/>
          </w:tcPr>
          <w:p>
            <w:r>
              <w:rPr>
                <w:sz w:val="17"/>
              </w:rPr>
              <w:t>J+7  ⭐</w:t>
            </w:r>
          </w:p>
        </w:tc>
        <w:tc>
          <w:tcPr>
            <w:tcW w:type="dxa" w:w="1440"/>
            <w:shd w:fill="C6EFCE" w:val="clear"/>
          </w:tcPr>
          <w:p>
            <w:r>
              <w:rPr>
                <w:sz w:val="17"/>
              </w:rPr>
              <w:t>2026-09-01</w:t>
            </w:r>
          </w:p>
        </w:tc>
        <w:tc>
          <w:tcPr>
            <w:tcW w:type="dxa" w:w="1440"/>
            <w:shd w:fill="C6EFCE" w:val="clear"/>
          </w:tcPr>
          <w:p>
            <w:r>
              <w:rPr>
                <w:sz w:val="17"/>
              </w:rPr>
              <w:t>4,853</w:t>
            </w:r>
          </w:p>
        </w:tc>
        <w:tc>
          <w:tcPr>
            <w:tcW w:type="dxa" w:w="1440"/>
            <w:shd w:fill="C6EFCE" w:val="clear"/>
          </w:tcPr>
          <w:p>
            <w:r>
              <w:rPr>
                <w:b/>
                <w:sz w:val="17"/>
              </w:rPr>
              <w:t>5,442</w:t>
            </w:r>
          </w:p>
        </w:tc>
        <w:tc>
          <w:tcPr>
            <w:tcW w:type="dxa" w:w="1440"/>
            <w:shd w:fill="C6EFCE" w:val="clear"/>
          </w:tcPr>
          <w:p>
            <w:r>
              <w:rPr>
                <w:sz w:val="17"/>
              </w:rPr>
              <w:t>6,031</w:t>
            </w:r>
          </w:p>
        </w:tc>
        <w:tc>
          <w:tcPr>
            <w:tcW w:type="dxa" w:w="1440"/>
            <w:shd w:fill="C6EFCE" w:val="clear"/>
          </w:tcPr>
          <w:p>
            <w:r>
              <w:rPr>
                <w:b/>
                <w:color w:val="008000"/>
                <w:sz w:val="17"/>
              </w:rPr>
              <w:t>+46.9%</w:t>
            </w:r>
          </w:p>
        </w:tc>
      </w:tr>
      <w:tr>
        <w:tc>
          <w:tcPr>
            <w:tcW w:type="dxa" w:w="1440"/>
            <w:shd w:fill="C6EFCE" w:val="clear"/>
          </w:tcPr>
          <w:p>
            <w:r>
              <w:rPr>
                <w:sz w:val="17"/>
              </w:rPr>
              <w:t>J+8  ⭐</w:t>
            </w:r>
          </w:p>
        </w:tc>
        <w:tc>
          <w:tcPr>
            <w:tcW w:type="dxa" w:w="1440"/>
            <w:shd w:fill="C6EFCE" w:val="clear"/>
          </w:tcPr>
          <w:p>
            <w:r>
              <w:rPr>
                <w:sz w:val="17"/>
              </w:rPr>
              <w:t>2026-09-02</w:t>
            </w:r>
          </w:p>
        </w:tc>
        <w:tc>
          <w:tcPr>
            <w:tcW w:type="dxa" w:w="1440"/>
            <w:shd w:fill="C6EFCE" w:val="clear"/>
          </w:tcPr>
          <w:p>
            <w:r>
              <w:rPr>
                <w:sz w:val="17"/>
              </w:rPr>
              <w:t>5,173</w:t>
            </w:r>
          </w:p>
        </w:tc>
        <w:tc>
          <w:tcPr>
            <w:tcW w:type="dxa" w:w="1440"/>
            <w:shd w:fill="C6EFCE" w:val="clear"/>
          </w:tcPr>
          <w:p>
            <w:r>
              <w:rPr>
                <w:b/>
                <w:sz w:val="17"/>
              </w:rPr>
              <w:t>5,850</w:t>
            </w:r>
          </w:p>
        </w:tc>
        <w:tc>
          <w:tcPr>
            <w:tcW w:type="dxa" w:w="1440"/>
            <w:shd w:fill="C6EFCE" w:val="clear"/>
          </w:tcPr>
          <w:p>
            <w:r>
              <w:rPr>
                <w:sz w:val="17"/>
              </w:rPr>
              <w:t>6,527</w:t>
            </w:r>
          </w:p>
        </w:tc>
        <w:tc>
          <w:tcPr>
            <w:tcW w:type="dxa" w:w="1440"/>
            <w:shd w:fill="C6EFCE" w:val="clear"/>
          </w:tcPr>
          <w:p>
            <w:r>
              <w:rPr>
                <w:b/>
                <w:color w:val="008000"/>
                <w:sz w:val="17"/>
              </w:rPr>
              <w:t>+57.9%</w:t>
            </w:r>
          </w:p>
        </w:tc>
      </w:tr>
      <w:tr>
        <w:tc>
          <w:tcPr>
            <w:tcW w:type="dxa" w:w="1440"/>
            <w:shd w:fill="C6EFCE" w:val="clear"/>
          </w:tcPr>
          <w:p>
            <w:r>
              <w:rPr>
                <w:sz w:val="17"/>
              </w:rPr>
              <w:t>J+9  ⭐</w:t>
            </w:r>
          </w:p>
        </w:tc>
        <w:tc>
          <w:tcPr>
            <w:tcW w:type="dxa" w:w="1440"/>
            <w:shd w:fill="C6EFCE" w:val="clear"/>
          </w:tcPr>
          <w:p>
            <w:r>
              <w:rPr>
                <w:sz w:val="17"/>
              </w:rPr>
              <w:t>2026-09-03</w:t>
            </w:r>
          </w:p>
        </w:tc>
        <w:tc>
          <w:tcPr>
            <w:tcW w:type="dxa" w:w="1440"/>
            <w:shd w:fill="C6EFCE" w:val="clear"/>
          </w:tcPr>
          <w:p>
            <w:r>
              <w:rPr>
                <w:sz w:val="17"/>
              </w:rPr>
              <w:t>5,517</w:t>
            </w:r>
          </w:p>
        </w:tc>
        <w:tc>
          <w:tcPr>
            <w:tcW w:type="dxa" w:w="1440"/>
            <w:shd w:fill="C6EFCE" w:val="clear"/>
          </w:tcPr>
          <w:p>
            <w:r>
              <w:rPr>
                <w:b/>
                <w:sz w:val="17"/>
              </w:rPr>
              <w:t>6,289</w:t>
            </w:r>
          </w:p>
        </w:tc>
        <w:tc>
          <w:tcPr>
            <w:tcW w:type="dxa" w:w="1440"/>
            <w:shd w:fill="C6EFCE" w:val="clear"/>
          </w:tcPr>
          <w:p>
            <w:r>
              <w:rPr>
                <w:sz w:val="17"/>
              </w:rPr>
              <w:t>7,061</w:t>
            </w:r>
          </w:p>
        </w:tc>
        <w:tc>
          <w:tcPr>
            <w:tcW w:type="dxa" w:w="1440"/>
            <w:shd w:fill="C6EFCE" w:val="clear"/>
          </w:tcPr>
          <w:p>
            <w:r>
              <w:rPr>
                <w:b/>
                <w:color w:val="008000"/>
                <w:sz w:val="17"/>
              </w:rPr>
              <w:t>+69.7%</w:t>
            </w:r>
          </w:p>
        </w:tc>
      </w:tr>
      <w:tr>
        <w:tc>
          <w:tcPr>
            <w:tcW w:type="dxa" w:w="1440"/>
            <w:shd w:fill="C6EFCE" w:val="clear"/>
          </w:tcPr>
          <w:p>
            <w:r>
              <w:rPr>
                <w:sz w:val="17"/>
              </w:rPr>
              <w:t>J+10  ⭐</w:t>
            </w:r>
          </w:p>
        </w:tc>
        <w:tc>
          <w:tcPr>
            <w:tcW w:type="dxa" w:w="1440"/>
            <w:shd w:fill="C6EFCE" w:val="clear"/>
          </w:tcPr>
          <w:p>
            <w:r>
              <w:rPr>
                <w:sz w:val="17"/>
              </w:rPr>
              <w:t>2026-09-04</w:t>
            </w:r>
          </w:p>
        </w:tc>
        <w:tc>
          <w:tcPr>
            <w:tcW w:type="dxa" w:w="1440"/>
            <w:shd w:fill="C6EFCE" w:val="clear"/>
          </w:tcPr>
          <w:p>
            <w:r>
              <w:rPr>
                <w:sz w:val="17"/>
              </w:rPr>
              <w:t>5,886</w:t>
            </w:r>
          </w:p>
        </w:tc>
        <w:tc>
          <w:tcPr>
            <w:tcW w:type="dxa" w:w="1440"/>
            <w:shd w:fill="C6EFCE" w:val="clear"/>
          </w:tcPr>
          <w:p>
            <w:r>
              <w:rPr>
                <w:b/>
                <w:sz w:val="17"/>
              </w:rPr>
              <w:t>6,761</w:t>
            </w:r>
          </w:p>
        </w:tc>
        <w:tc>
          <w:tcPr>
            <w:tcW w:type="dxa" w:w="1440"/>
            <w:shd w:fill="C6EFCE" w:val="clear"/>
          </w:tcPr>
          <w:p>
            <w:r>
              <w:rPr>
                <w:sz w:val="17"/>
              </w:rPr>
              <w:t>7,635</w:t>
            </w:r>
          </w:p>
        </w:tc>
        <w:tc>
          <w:tcPr>
            <w:tcW w:type="dxa" w:w="1440"/>
            <w:shd w:fill="C6EFCE" w:val="clear"/>
          </w:tcPr>
          <w:p>
            <w:r>
              <w:rPr>
                <w:b/>
                <w:color w:val="008000"/>
                <w:sz w:val="17"/>
              </w:rPr>
              <w:t>+82.5%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21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21,93 milliards FCFA, un niveau qui la positionne comme une valeur de taille moyenne sur la BRVM, représentant environ 0,5% de la capitalisation totale du marché. Le BPA de 243 FCFA indique que chaque action génère un bénéfice modeste, mais le PER de 15,2x se situe nettement au-dessus de la moyenne historique de la BRVM (8-12x), ce qui suggère que les investisseurs paient une prime de croissance significative par rapport aux bénéfices actuels. Le P/B de 2,35x confirme cette prime, le marché valorisant la société à plus du double de sa valeur comptable, ce qui reflète des attentes de croissance future. Enfin, l'EV/EBITDA de 7,8x reste dans une zone raisonnable (5-10x), indiquant que la valeur totale de l'entreprise (dette incluse)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progression remarquable de +15,78%, avec une dernière séance en légère hausse de +0,41% à 3 705 FCFA. Le titre a évolué dans une fourchette large de 3 200 à 4 500 FCFA, démontrant une volatilité importante sur la période. La moyenne du cours (3 763 FCFA) est supérieure à la médiane (3 700 FCFA), ce qui, combiné à un skewness positif de 0,585, indique une asymétrie positive avec plus de journées sous la moyenne mais quelques fortes hausses qui tirent la moyenne vers le haut. L'écart-type de 299 FCFA (CV=7,9%) révèle une dispersion modérée autour de la moyenne, tandis que le kurtosis de -0,198 (mésokurtique) suggère une distribution proche de la normale, sans risque de pics extrêmes. La volatilité annualisée de 55,8% classe le titre dans la catégorie des valeurs à forte volatilité (&gt;30%),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(3 705 FCFA) se situe au-dessus de la MM20 (3 597 FCFA) mais nettement en dessous de la MM50 (3 847,7 FCFA). Cette configuration en "croix de la mort" à moyen terme indique que la tendance de fond reste baissière, malgré le rebond récent à court terme. La décision de Vente est justifiée par la position du prix sous la MM50, qui agit comme une résistance dynamique.</w:t>
      </w:r>
    </w:p>
    <w:p>
      <w:pPr>
        <w:spacing w:after="120" w:line="276" w:lineRule="auto"/>
      </w:pPr>
      <w:r>
        <w:t>**Bandes de Bollinger** : Le prix évolue dans la partie médiane des bandes, entre la borne inférieure (3 351 FCFA) et la borne supérieure (3 843 FCFA). La position actuelle du cours (3 705 FCFA) suggère une volatilité modérée sans excès, avec une marge de progression avant d'atteindre la borne supérieure. La décision Neutre reflète l'absence de signal directionnel fort.</w:t>
      </w:r>
    </w:p>
    <w:p>
      <w:pPr>
        <w:spacing w:after="120" w:line="276" w:lineRule="auto"/>
      </w:pPr>
      <w:r>
        <w:t>**MACD** : Le MACD (-55,36) est négatif mais le signal (-86,69) l'est encore davantage, créant une divergence positive. Cette configuration indique un momentum haussier en cours de formation, avec le MACD qui se rapproche de sa ligne de signal. La décision Achat est cohérente avec cette dynamique de retournement potentiel.</w:t>
      </w:r>
    </w:p>
    <w:p>
      <w:pPr>
        <w:spacing w:after="120" w:line="276" w:lineRule="auto"/>
      </w:pPr>
      <w:r>
        <w:t>**RSI** : À 65,41, le RSI se situe dans la zone neutre-haute (30-70), proche du seuil de surachat à 70. Cette valeur indique une pression acheteuse soutenue mais pas encore excessive, laissant une marge de progression avant une éventuelle correction. La décision Neutre est appropriée.</w:t>
      </w:r>
    </w:p>
    <w:p>
      <w:pPr>
        <w:spacing w:after="120" w:line="276" w:lineRule="auto"/>
      </w:pPr>
      <w:r>
        <w:t>**Stochastique** : Le %K à 100 et le %D à 91,18 indiquent une situation de surachat extrême. Cette configuration signale que le titre est temporairement survendu et qu'un repli technique est probable à court terme. La décision Vente est justifiée par ce niveau extrême.</w:t>
      </w:r>
    </w:p>
    <w:p>
      <w:pPr>
        <w:spacing w:after="120" w:line="276" w:lineRule="auto"/>
      </w:pPr>
      <w:r>
        <w:t>**Conclusion technique** : Les indicateurs sont mitigés avec une opposition entre le MACD (Achat) et le Stochastique (Vente). La tendance de fond reste baissière (MM50), mais le momentum court terme est positif. Le RSI proche du surachat et le Stochastique extrême suggèrent un risque de correction à court terme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montrent que CABC a réalisé un chiffre d'affaires de 21,263 milliards FCFA (+11,2% vs 2024), avec un résultat net de 1,439 milliard FCFA, soit une marge nette de 6,77%. Le ROE s'établit à 15,40%, un niveau considéré comme excellent (&gt;15%), tandis que le ROA atteint 6,10%. La société affiche une autonomie financière saine (39,58%) et une solvabilité générale confortable (165,52%). Cependant, le BFR de 7,186 milliards FCFA et le délai clients de 144,69 jours constituent des points de vigilance, indiquant un risque de trésorerie lié aux créances clients. Le flux opérationnel négatif (-819,66 millions FCFA) et le free cash flow négatif (-982,71 millions FCFA) reflètent une tension sur la trésorerie malgré une CAF positive de 1,593 milliard FCFA. Les rapports trimestriels 2025 confirment cette dynamique : le S1 2025 montre un résultat net de 851,5 millions FCFA (+55,3%), et le cumul à fin septembre atteint 1 329,5 millions FCFA (+26%), avec une marge nette de 8,0%. Le rapport annuel certifié 2024 indique un résultat net de 1 225 millions FCFA, en baisse de 14,3% par rapport à 2023 (1 430 millions FCFA), principalement en raison d'une provision importante sur créance douteuse et d'une hausse de 94% de l'impôt. La société a maintenu une politique de distribution généreuse avec un dividende de 88,42 FCFA/action en 2023 (taux de distribution de 37%). Les perspectives 2026 restent incertaines : le T1 2026 montre une baisse de 26,5% du CA à 3 794 millions FCFA avec une perte nette de 221,7 millions FCFA, attribuée à une maintenance planifiée et à l'inflation des cours des métaux. La direction anticipe une normalisation dès le T2 2026.</w:t>
      </w:r>
    </w:p>
    <w:p>
      <w:pPr>
        <w:spacing w:after="120" w:line="276" w:lineRule="auto"/>
      </w:pPr>
      <w:r>
        <w:t>---</w:t>
      </w:r>
    </w:p>
    <w:p>
      <w:pPr>
        <w:spacing w:after="120" w:line="276" w:lineRule="auto"/>
      </w:pPr>
      <w:r>
        <w:t>### PARTIE 4 : CONCLUSION D'INVESTISSEMENT</w:t>
      </w:r>
    </w:p>
    <w:p>
      <w:pPr>
        <w:spacing w:after="120" w:line="276" w:lineRule="auto"/>
      </w:pPr>
      <w:r>
        <w:t>La valorisation actuelle de CABC (PER 15,2x, P/B 2,35x) apparaît exigeante par rapport aux fondamentaux réels, suggérant une potentielle surévaluation malgré des ratios EV/EBITDA raisonnables. Le comportement du cours (+15,78% sur 100 jours) avec une volatilité élevée (55,8%) et une asymétrie positive indique un intérêt spéculatif marqué, mais les statistiques révèlent une distribution relativement normale sans signaux extrêmes. Les signaux techniques sont divergents : le MACD est haussier, mais le Stochastique surachat et la MM50 baissière tempèrent cet optimisme. Les fondamentaux montrent une amélioration nette en 2025 (ROE 15,4%, marge nette 6,8%) mais avec des tensions de trésorerie persistantes (BFR élevé, flux opérationnel négatif) et une incertitude sur 2026 (T1 déficitaire). Les prédictions IA prévoient une hausse continue jusqu'à 4 751 FCFA à J+10, confirmant le momentum haussier mais accentuant le risque de surachat. La convergence entre la dynamique du cours, les prédictions IA et l'amélioration fondamentale 2025 est contrebalancée par la valorisation exigeante et les risques opérationnels. **Recommandation finale : CONSERVER** avec un niveau de confiance **Moyen** et un risque global **Élevé**. Horizon d'investissement optimal : **Moyen terme (3-12 mois)**, en surveillant la capacité de la société à maintenir sa rentabilité et à résoudre ses tensions de trésorerie.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1,397 titres</w:t>
            </w:r>
          </w:p>
        </w:tc>
        <w:tc>
          <w:tcPr>
            <w:tcW w:type="dxa" w:w="2268"/>
            <w:shd w:fill="FFF2CC" w:val="clear"/>
          </w:tcPr>
          <w:p>
            <w:r>
              <w:rPr>
                <w:b/>
                <w:color w:val="503200"/>
                <w:sz w:val="16"/>
              </w:rPr>
              <w:t xml:space="preserve">Cours actuel : </w:t>
            </w:r>
            <w:r>
              <w:rPr>
                <w:color w:val="000000"/>
                <w:sz w:val="17"/>
              </w:rPr>
              <w:t>29,000 FCFA</w:t>
            </w:r>
          </w:p>
          <w:p>
            <w:r>
              <w:rPr>
                <w:b/>
                <w:color w:val="503200"/>
                <w:sz w:val="16"/>
              </w:rPr>
              <w:t xml:space="preserve">Var. 100 jours : </w:t>
            </w:r>
            <w:r>
              <w:rPr>
                <w:b/>
                <w:color w:val="007800"/>
                <w:sz w:val="17"/>
              </w:rPr>
              <w:t>+110.14%</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13,790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23.40% (Élevée) — μ=21,888 FCFA, σ=5,122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β=0.7142 (Défensif) — Cov=0.000022, Var(idx)=0.000031, ρ=0.149,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25,854</w:t>
            </w:r>
          </w:p>
        </w:tc>
        <w:tc>
          <w:tcPr>
            <w:tcW w:type="dxa" w:w="1440"/>
            <w:shd w:fill="FFDCE0" w:val="clear"/>
          </w:tcPr>
          <w:p>
            <w:r>
              <w:rPr>
                <w:b/>
                <w:sz w:val="17"/>
              </w:rPr>
              <w:t>26,825</w:t>
            </w:r>
          </w:p>
        </w:tc>
        <w:tc>
          <w:tcPr>
            <w:tcW w:type="dxa" w:w="1440"/>
            <w:shd w:fill="FFDCE0" w:val="clear"/>
          </w:tcPr>
          <w:p>
            <w:r>
              <w:rPr>
                <w:sz w:val="17"/>
              </w:rPr>
              <w:t>27,796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23,543</w:t>
            </w:r>
          </w:p>
        </w:tc>
        <w:tc>
          <w:tcPr>
            <w:tcW w:type="dxa" w:w="1440"/>
            <w:shd w:fill="FFDCE0" w:val="clear"/>
          </w:tcPr>
          <w:p>
            <w:r>
              <w:rPr>
                <w:b/>
                <w:sz w:val="17"/>
              </w:rPr>
              <w:t>24,813</w:t>
            </w:r>
          </w:p>
        </w:tc>
        <w:tc>
          <w:tcPr>
            <w:tcW w:type="dxa" w:w="1440"/>
            <w:shd w:fill="FFDCE0" w:val="clear"/>
          </w:tcPr>
          <w:p>
            <w:r>
              <w:rPr>
                <w:sz w:val="17"/>
              </w:rPr>
              <w:t>26,083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21,514</w:t>
            </w:r>
          </w:p>
        </w:tc>
        <w:tc>
          <w:tcPr>
            <w:tcW w:type="dxa" w:w="1440"/>
            <w:shd w:fill="FFDCE0" w:val="clear"/>
          </w:tcPr>
          <w:p>
            <w:r>
              <w:rPr>
                <w:b/>
                <w:sz w:val="17"/>
              </w:rPr>
              <w:t>22,952</w:t>
            </w:r>
          </w:p>
        </w:tc>
        <w:tc>
          <w:tcPr>
            <w:tcW w:type="dxa" w:w="1440"/>
            <w:shd w:fill="FFDCE0" w:val="clear"/>
          </w:tcPr>
          <w:p>
            <w:r>
              <w:rPr>
                <w:sz w:val="17"/>
              </w:rPr>
              <w:t>24,391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19,694</w:t>
            </w:r>
          </w:p>
        </w:tc>
        <w:tc>
          <w:tcPr>
            <w:tcW w:type="dxa" w:w="1440"/>
            <w:shd w:fill="FFDCE0" w:val="clear"/>
          </w:tcPr>
          <w:p>
            <w:r>
              <w:rPr>
                <w:b/>
                <w:sz w:val="17"/>
              </w:rPr>
              <w:t>21,231</w:t>
            </w:r>
          </w:p>
        </w:tc>
        <w:tc>
          <w:tcPr>
            <w:tcW w:type="dxa" w:w="1440"/>
            <w:shd w:fill="FFDCE0" w:val="clear"/>
          </w:tcPr>
          <w:p>
            <w:r>
              <w:rPr>
                <w:sz w:val="17"/>
              </w:rPr>
              <w:t>22,767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18,049</w:t>
            </w:r>
          </w:p>
        </w:tc>
        <w:tc>
          <w:tcPr>
            <w:tcW w:type="dxa" w:w="1440"/>
            <w:shd w:fill="FFDCE0" w:val="clear"/>
          </w:tcPr>
          <w:p>
            <w:r>
              <w:rPr>
                <w:b/>
                <w:sz w:val="17"/>
              </w:rPr>
              <w:t>19,638</w:t>
            </w:r>
          </w:p>
        </w:tc>
        <w:tc>
          <w:tcPr>
            <w:tcW w:type="dxa" w:w="1440"/>
            <w:shd w:fill="FFDCE0" w:val="clear"/>
          </w:tcPr>
          <w:p>
            <w:r>
              <w:rPr>
                <w:sz w:val="17"/>
              </w:rPr>
              <w:t>21,227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17,375</w:t>
            </w:r>
          </w:p>
        </w:tc>
        <w:tc>
          <w:tcPr>
            <w:tcW w:type="dxa" w:w="1440"/>
            <w:shd w:fill="FFDCE0" w:val="clear"/>
          </w:tcPr>
          <w:p>
            <w:r>
              <w:rPr>
                <w:b/>
                <w:sz w:val="17"/>
              </w:rPr>
              <w:t>19,065</w:t>
            </w:r>
          </w:p>
        </w:tc>
        <w:tc>
          <w:tcPr>
            <w:tcW w:type="dxa" w:w="1440"/>
            <w:shd w:fill="FFDCE0" w:val="clear"/>
          </w:tcPr>
          <w:p>
            <w:r>
              <w:rPr>
                <w:sz w:val="17"/>
              </w:rPr>
              <w:t>20,755</w:t>
            </w:r>
          </w:p>
        </w:tc>
        <w:tc>
          <w:tcPr>
            <w:tcW w:type="dxa" w:w="1440"/>
            <w:shd w:fill="FFDCE0" w:val="clear"/>
          </w:tcPr>
          <w:p>
            <w:r>
              <w:rPr>
                <w:b/>
                <w:color w:val="C00000"/>
                <w:sz w:val="17"/>
              </w:rPr>
              <w:t>-34.3%</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16,802</w:t>
            </w:r>
          </w:p>
        </w:tc>
        <w:tc>
          <w:tcPr>
            <w:tcW w:type="dxa" w:w="1440"/>
            <w:shd w:fill="FFDCE0" w:val="clear"/>
          </w:tcPr>
          <w:p>
            <w:r>
              <w:rPr>
                <w:b/>
                <w:sz w:val="17"/>
              </w:rPr>
              <w:t>18,581</w:t>
            </w:r>
          </w:p>
        </w:tc>
        <w:tc>
          <w:tcPr>
            <w:tcW w:type="dxa" w:w="1440"/>
            <w:shd w:fill="FFDCE0" w:val="clear"/>
          </w:tcPr>
          <w:p>
            <w:r>
              <w:rPr>
                <w:sz w:val="17"/>
              </w:rPr>
              <w:t>20,360</w:t>
            </w:r>
          </w:p>
        </w:tc>
        <w:tc>
          <w:tcPr>
            <w:tcW w:type="dxa" w:w="1440"/>
            <w:shd w:fill="FFDCE0" w:val="clear"/>
          </w:tcPr>
          <w:p>
            <w:r>
              <w:rPr>
                <w:b/>
                <w:color w:val="C00000"/>
                <w:sz w:val="17"/>
              </w:rPr>
              <w:t>-35.9%</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16,293</w:t>
            </w:r>
          </w:p>
        </w:tc>
        <w:tc>
          <w:tcPr>
            <w:tcW w:type="dxa" w:w="1440"/>
            <w:shd w:fill="FFDCE0" w:val="clear"/>
          </w:tcPr>
          <w:p>
            <w:r>
              <w:rPr>
                <w:b/>
                <w:sz w:val="17"/>
              </w:rPr>
              <w:t>18,150</w:t>
            </w:r>
          </w:p>
        </w:tc>
        <w:tc>
          <w:tcPr>
            <w:tcW w:type="dxa" w:w="1440"/>
            <w:shd w:fill="FFDCE0" w:val="clear"/>
          </w:tcPr>
          <w:p>
            <w:r>
              <w:rPr>
                <w:sz w:val="17"/>
              </w:rPr>
              <w:t>20,008</w:t>
            </w:r>
          </w:p>
        </w:tc>
        <w:tc>
          <w:tcPr>
            <w:tcW w:type="dxa" w:w="1440"/>
            <w:shd w:fill="FFDCE0" w:val="clear"/>
          </w:tcPr>
          <w:p>
            <w:r>
              <w:rPr>
                <w:b/>
                <w:color w:val="C00000"/>
                <w:sz w:val="17"/>
              </w:rPr>
              <w:t>-37.4%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15,833</w:t>
            </w:r>
          </w:p>
        </w:tc>
        <w:tc>
          <w:tcPr>
            <w:tcW w:type="dxa" w:w="1440"/>
            <w:shd w:fill="FFDCE0" w:val="clear"/>
          </w:tcPr>
          <w:p>
            <w:r>
              <w:rPr>
                <w:b/>
                <w:sz w:val="17"/>
              </w:rPr>
              <w:t>17,761</w:t>
            </w:r>
          </w:p>
        </w:tc>
        <w:tc>
          <w:tcPr>
            <w:tcW w:type="dxa" w:w="1440"/>
            <w:shd w:fill="FFDCE0" w:val="clear"/>
          </w:tcPr>
          <w:p>
            <w:r>
              <w:rPr>
                <w:sz w:val="17"/>
              </w:rPr>
              <w:t>19,690</w:t>
            </w:r>
          </w:p>
        </w:tc>
        <w:tc>
          <w:tcPr>
            <w:tcW w:type="dxa" w:w="1440"/>
            <w:shd w:fill="FFDCE0" w:val="clear"/>
          </w:tcPr>
          <w:p>
            <w:r>
              <w:rPr>
                <w:b/>
                <w:color w:val="C00000"/>
                <w:sz w:val="17"/>
              </w:rPr>
              <w:t>-38.8%</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15,416</w:t>
            </w:r>
          </w:p>
        </w:tc>
        <w:tc>
          <w:tcPr>
            <w:tcW w:type="dxa" w:w="1440"/>
            <w:shd w:fill="FFDCE0" w:val="clear"/>
          </w:tcPr>
          <w:p>
            <w:r>
              <w:rPr>
                <w:b/>
                <w:sz w:val="17"/>
              </w:rPr>
              <w:t>17,408</w:t>
            </w:r>
          </w:p>
        </w:tc>
        <w:tc>
          <w:tcPr>
            <w:tcW w:type="dxa" w:w="1440"/>
            <w:shd w:fill="FFDCE0" w:val="clear"/>
          </w:tcPr>
          <w:p>
            <w:r>
              <w:rPr>
                <w:sz w:val="17"/>
              </w:rPr>
              <w:t>19,400</w:t>
            </w:r>
          </w:p>
        </w:tc>
        <w:tc>
          <w:tcPr>
            <w:tcW w:type="dxa" w:w="1440"/>
            <w:shd w:fill="FFDCE0" w:val="clear"/>
          </w:tcPr>
          <w:p>
            <w:r>
              <w:rPr>
                <w:b/>
                <w:color w:val="C00000"/>
                <w:sz w:val="17"/>
              </w:rPr>
              <w:t>-40.0%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20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928 milliards FCFA, CBIBF s'impose comme l'une des plus importantes capitalisations de la BRVM, reflétant la confiance des investisseurs dans le secteur bancaire de l'UEMOA. Le BPA de 2 047 FCFA indique que chaque action génère un bénéfice substantiel, justifiant un cours élevé. Le PER de 14,2x est supérieur à la moyenne historique de la BRVM (8-12x), ce qui suggère que le marché intègre déjà des perspectives de croissance solides et une prime de qualité pour cette banque. L'EV/EBITDA de 10,5x, bien que dans la fourchette haute, reste cohérent avec une entreprise affichant une forte rentabilité opérationnelle. Le ratio P/B n'est pas disponible dans les données fournies, mais la rentabilité élevée des capitaux propres (ROE) estimée à environ 28% (Résultat net / Capitaux propres estimés) justifie cette valorisation premium.</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Le titre CBIBF a connu une performance spectaculaire sur les 100 derniers jours, avec une progression de +110,14%, passant d'un plus bas de 13 790 FCFA à un plus haut de 30 005 FCFA, avant de s'établir à 29 000 FCFA. Cette tendance haussière très marquée s'accompagne d'une variation positive de +1,05% sur la dernière séance, indiquant une persistance de la dynamique acheteuse. La moyenne du cours (21 888 FCFA) est proche de la médiane (21 785 FCFA), et le skewness proche de zéro (0,033) confirme une distribution symétrique des prix. L'écart-type de 5 147 FCFA (CV=23,5%) révèle une dispersion modérée, tandis que le kurtosis négatif (-1,320) indique une distribution platykurtique, signifiant l'absence de mouvements extrêmes fréquents. La volatilité annualisée de 42,1% classe CBIBF comme un titre à forte volatilité, ce qui implique un risque élevé mais aussi un potentiel de rendement important pour les investisseurs agressifs.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(29 000 FCFA) se positionne nettement au-dessus de la MM20 (28 135,75 FCFA) et de la MM50 (26 148,5 FCFA), confirmant une tendance haussière solide. La configuration des moyennes mobiles (MM20 &gt; MM50) valide le signal d'achat, indiquant que la dynamique positive est soutenue par les investisseurs à moyen terme.</w:t>
      </w:r>
    </w:p>
    <w:p>
      <w:pPr>
        <w:spacing w:after="120" w:line="276" w:lineRule="auto"/>
      </w:pPr>
      <w:r>
        <w:t>**Bandes de Bollinger** : Le cours évolue près de la borne supérieure (29 549,5 FCFA), ce qui témoigne d'une pression acheteuse soutenue. La position du prix dans la partie haute des bandes suggère une volatilité élevée, mais le signal neutre indique que le titre n'est pas encore en situation de surachat extrême, laissant potentiellement de la marge pour une poursuite de la hausse.</w:t>
      </w:r>
    </w:p>
    <w:p>
      <w:pPr>
        <w:spacing w:after="120" w:line="276" w:lineRule="auto"/>
      </w:pPr>
      <w:r>
        <w:t>**MACD** : La valeur du MACD (667,019) est inférieure à son signal (777,969), générant un signal de vente à court terme. Cette divergence négative suggère un ralentissement du momentum haussier, même si les valeurs restent positives, indiquant que la tendance de fond demeure haussière.</w:t>
      </w:r>
    </w:p>
    <w:p>
      <w:pPr>
        <w:spacing w:after="120" w:line="276" w:lineRule="auto"/>
      </w:pPr>
      <w:r>
        <w:t>**RSI** : À 71,311, le RSI entre en zone de surachat (&gt;70), signalant que le titre a fortement progressé et qu'un repli technique est possible. Cette situation appelle à la prudence pour les nouveaux achats à court terme, bien que dans une tendance forte, le RSI puisse rester suracheté pendant une période prolongée.</w:t>
      </w:r>
    </w:p>
    <w:p>
      <w:pPr>
        <w:spacing w:after="120" w:line="276" w:lineRule="auto"/>
      </w:pPr>
      <w:r>
        <w:t>**Stochastique** : Le %K à 100,0 et le %D à 75,128 montrent une situation de surachat extrême. Le croisement potentiel du %K sous le %D pourrait déclencher un signal de vente à court terme, suggérant une possible consolidation après cette forte progression.</w:t>
      </w:r>
    </w:p>
    <w:p>
      <w:pPr>
        <w:spacing w:after="120" w:line="276" w:lineRule="auto"/>
      </w:pPr>
      <w:r>
        <w:t>**Conclusion technique** : Les indicateurs sont mitigés, avec une divergence entre les moyennes mobiles (achat) et les oscillateurs (RSI, Stochastique, MACD en vente). Cette configuration suggère une possible pause ou correction technique à court terme avant une éventuelle reprise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En 2025, CBIBF a réalisé un Produit Net Bancaire (PNB) de 138,986 milliards FCFA, en croissance de 6,1% par rapport à 2024. Le résultat net s'établit à 65,495 milliards FCFA, en progression remarquable de 36,6% par rapport à 2024 (47,937 milliards FCFA). Cette performance exceptionnelle s'explique par une amélioration significative du coût du risque (-59,3%), qui passe de 40,5 milliards FCFA en 2024 à 16,5 milliards FCFA en 2025, démontrant l'efficacité de la politique d'assainissement du portefeuille engagée en 2024. Le coefficient d'exploitation de 36,4% est excellent (&lt;50%), témoignant d'une gestion rigoureuse des charges. La marge nette de 47,1% et le ROA de 2,18% confirment la solidité de la rentabilité. Les dépôts clientèle (2 015,3 milliards FCFA) progressent de 14,9%, tandis que les crédits nets (1 327 milliards FCFA) augmentent de 5,4%, maintenant un ratio de transformation sain.</w:t>
      </w:r>
    </w:p>
    <w:p>
      <w:pPr>
        <w:spacing w:after="120" w:line="276" w:lineRule="auto"/>
      </w:pPr>
      <w:r>
        <w:t>**Rapports trimestriels 2025** : Le rapport T1 2025 (PNB de 28,7 milliards FCFA, +2,8% ; résultat net de 17,6 milliards FCFA, +5,9%) et le rapport S1 2025 (PNB de 65,1 milliards FCFA, +8,75% ; résultat net de 33,8 milliards FCFA, +0,66%) montrent une dynamique positive progressive. Le rapport T3 2025 confirme cette tendance avec un PNB de 101,3 milliards FCFA (+9,65%) et un résultat net de 52,9 milliards FCFA (+6,25%), indiquant une accélération de la croissance au second semestre.</w:t>
      </w:r>
    </w:p>
    <w:p>
      <w:pPr>
        <w:spacing w:after="120" w:line="276" w:lineRule="auto"/>
      </w:pPr>
      <w:r>
        <w:t>**Rapport T1 2026** : Le rapport du premier trimestre 2026, publié récemment, révèle une accélération spectaculaire : PNB de 36,8 milliards FCFA (+28,5% vs T1 2025) et résultat net de 21,5 milliards FCFA (+22,2%). Les dépôts clientèle explosent à 2 365,1 milliards FCFA (+37,9%), tandis que les crédits progressent modérément (+3,8%), reflétant une stratégie prudente de gestion du risque. Sur cette base, on estime que l'exercice 2026 pourrait dépasser 170 milliards FCFA de PNB et 80 milliards FCFA de résultat net, confirmant la trajectoire ascendante de la banque.</w:t>
      </w:r>
    </w:p>
    <w:p>
      <w:pPr>
        <w:spacing w:after="120" w:line="276" w:lineRule="auto"/>
      </w:pPr>
      <w:r>
        <w:t>---</w:t>
      </w:r>
    </w:p>
    <w:p>
      <w:pPr>
        <w:spacing w:after="120" w:line="276" w:lineRule="auto"/>
      </w:pPr>
      <w:r>
        <w:t>### PARTIE 4 : CONCLUSION D'INVESTISSEMENT</w:t>
      </w:r>
    </w:p>
    <w:p>
      <w:pPr>
        <w:spacing w:after="120" w:line="276" w:lineRule="auto"/>
      </w:pPr>
      <w:r>
        <w:t>La valorisation de CBIBF (PER 14,2x, EV/EBITDA 10,5x) apparaît élevée par rapport aux standards BRVM, mais elle est justifiée par la qualité exceptionnelle des fondamentaux : croissance du résultat net de 36,6% en 2025, coefficient d'exploitation de 36,4%, et dynamique commerciale exceptionnelle au T1 2026 (+28,5% de PNB). Le comportement du cours (+110% en 100 jours) reflète cette performance, mais la volatilité élevée (42,1%) et les signaux techniques de surachat (RSI 71,3, Stochastique 100) suggèrent un risque de correction à court terme. Les prédictions IA indiquent une trajectoire baissière sur les 10 prochains jours (de 26 825 à 19 638 FCFA), ce qui contredit la tendance haussière récente et renforce la probabilité d'une consolidation technique. Malgré cette correction potentielle, les fondamentaux solides et les perspectives de croissance soutenue justifient une vision positive à moyen terme. **Recommandation : ACHAT** sur repli, avec un niveau de confiance **Moyen** et un risque global **Élevé** en raison de la volatilité. Horizon d'investissement optimal : **Moyen terme (3-12 mois)**, en profitant d'une éventuelle correction pour renforcer les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304.70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3,542 titres</w:t>
            </w:r>
          </w:p>
        </w:tc>
        <w:tc>
          <w:tcPr>
            <w:tcW w:type="dxa" w:w="2268"/>
            <w:shd w:fill="FFF2CC" w:val="clear"/>
          </w:tcPr>
          <w:p>
            <w:r>
              <w:rPr>
                <w:b/>
                <w:color w:val="503200"/>
                <w:sz w:val="16"/>
              </w:rPr>
              <w:t xml:space="preserve">Cours actuel : </w:t>
            </w:r>
            <w:r>
              <w:rPr>
                <w:color w:val="000000"/>
                <w:sz w:val="17"/>
              </w:rPr>
              <w:t>1,680 FCFA</w:t>
            </w:r>
          </w:p>
          <w:p>
            <w:r>
              <w:rPr>
                <w:b/>
                <w:color w:val="503200"/>
                <w:sz w:val="16"/>
              </w:rPr>
              <w:t xml:space="preserve">Var. 100 jours : </w:t>
            </w:r>
            <w:r>
              <w:rPr>
                <w:b/>
                <w:color w:val="007800"/>
                <w:sz w:val="17"/>
              </w:rPr>
              <w:t>+2.44%</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μ=1,602 FCFA, σ=99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β=0.9485 (Neutre (suit le marché)) — Cov=0.000030, Var(idx)=0.000031, ρ=0.173,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1,536</w:t>
            </w:r>
          </w:p>
        </w:tc>
        <w:tc>
          <w:tcPr>
            <w:tcW w:type="dxa" w:w="1440"/>
            <w:shd w:fill="FFDCE0" w:val="clear"/>
          </w:tcPr>
          <w:p>
            <w:r>
              <w:rPr>
                <w:b/>
                <w:sz w:val="17"/>
              </w:rPr>
              <w:t>1,608</w:t>
            </w:r>
          </w:p>
        </w:tc>
        <w:tc>
          <w:tcPr>
            <w:tcW w:type="dxa" w:w="1440"/>
            <w:shd w:fill="FFDCE0" w:val="clear"/>
          </w:tcPr>
          <w:p>
            <w:r>
              <w:rPr>
                <w:sz w:val="17"/>
              </w:rPr>
              <w:t>1,680</w:t>
            </w:r>
          </w:p>
        </w:tc>
        <w:tc>
          <w:tcPr>
            <w:tcW w:type="dxa" w:w="1440"/>
            <w:shd w:fill="FFDCE0" w:val="clear"/>
          </w:tcPr>
          <w:p>
            <w:r>
              <w:rPr>
                <w:b/>
                <w:color w:val="C00000"/>
                <w:sz w:val="17"/>
              </w:rPr>
              <w:t>-4.3%</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1,490</w:t>
            </w:r>
          </w:p>
        </w:tc>
        <w:tc>
          <w:tcPr>
            <w:tcW w:type="dxa" w:w="1440"/>
            <w:shd w:fill="FFDCE0" w:val="clear"/>
          </w:tcPr>
          <w:p>
            <w:r>
              <w:rPr>
                <w:b/>
                <w:sz w:val="17"/>
              </w:rPr>
              <w:t>1,591</w:t>
            </w:r>
          </w:p>
        </w:tc>
        <w:tc>
          <w:tcPr>
            <w:tcW w:type="dxa" w:w="1440"/>
            <w:shd w:fill="FFDCE0" w:val="clear"/>
          </w:tcPr>
          <w:p>
            <w:r>
              <w:rPr>
                <w:sz w:val="17"/>
              </w:rPr>
              <w:t>1,691</w:t>
            </w:r>
          </w:p>
        </w:tc>
        <w:tc>
          <w:tcPr>
            <w:tcW w:type="dxa" w:w="1440"/>
            <w:shd w:fill="FFDCE0" w:val="clear"/>
          </w:tcPr>
          <w:p>
            <w:r>
              <w:rPr>
                <w:b/>
                <w:color w:val="C00000"/>
                <w:sz w:val="17"/>
              </w:rPr>
              <w:t>-5.3%</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1,447</w:t>
            </w:r>
          </w:p>
        </w:tc>
        <w:tc>
          <w:tcPr>
            <w:tcW w:type="dxa" w:w="1440"/>
            <w:shd w:fill="FFDCE0" w:val="clear"/>
          </w:tcPr>
          <w:p>
            <w:r>
              <w:rPr>
                <w:b/>
                <w:sz w:val="17"/>
              </w:rPr>
              <w:t>1,568</w:t>
            </w:r>
          </w:p>
        </w:tc>
        <w:tc>
          <w:tcPr>
            <w:tcW w:type="dxa" w:w="1440"/>
            <w:shd w:fill="FFDCE0" w:val="clear"/>
          </w:tcPr>
          <w:p>
            <w:r>
              <w:rPr>
                <w:sz w:val="17"/>
              </w:rPr>
              <w:t>1,690</w:t>
            </w:r>
          </w:p>
        </w:tc>
        <w:tc>
          <w:tcPr>
            <w:tcW w:type="dxa" w:w="1440"/>
            <w:shd w:fill="FFDCE0" w:val="clear"/>
          </w:tcPr>
          <w:p>
            <w:r>
              <w:rPr>
                <w:b/>
                <w:color w:val="C00000"/>
                <w:sz w:val="17"/>
              </w:rPr>
              <w:t>-6.6%</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1,408</w:t>
            </w:r>
          </w:p>
        </w:tc>
        <w:tc>
          <w:tcPr>
            <w:tcW w:type="dxa" w:w="1440"/>
            <w:shd w:fill="FFDCE0" w:val="clear"/>
          </w:tcPr>
          <w:p>
            <w:r>
              <w:rPr>
                <w:b/>
                <w:sz w:val="17"/>
              </w:rPr>
              <w:t>1,546</w:t>
            </w:r>
          </w:p>
        </w:tc>
        <w:tc>
          <w:tcPr>
            <w:tcW w:type="dxa" w:w="1440"/>
            <w:shd w:fill="FFDCE0" w:val="clear"/>
          </w:tcPr>
          <w:p>
            <w:r>
              <w:rPr>
                <w:sz w:val="17"/>
              </w:rPr>
              <w:t>1,684</w:t>
            </w:r>
          </w:p>
        </w:tc>
        <w:tc>
          <w:tcPr>
            <w:tcW w:type="dxa" w:w="1440"/>
            <w:shd w:fill="FFDCE0" w:val="clear"/>
          </w:tcPr>
          <w:p>
            <w:r>
              <w:rPr>
                <w:b/>
                <w:color w:val="C00000"/>
                <w:sz w:val="17"/>
              </w:rPr>
              <w:t>-8.0%</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1,371</w:t>
            </w:r>
          </w:p>
        </w:tc>
        <w:tc>
          <w:tcPr>
            <w:tcW w:type="dxa" w:w="1440"/>
            <w:shd w:fill="FFDCE0" w:val="clear"/>
          </w:tcPr>
          <w:p>
            <w:r>
              <w:rPr>
                <w:b/>
                <w:sz w:val="17"/>
              </w:rPr>
              <w:t>1,524</w:t>
            </w:r>
          </w:p>
        </w:tc>
        <w:tc>
          <w:tcPr>
            <w:tcW w:type="dxa" w:w="1440"/>
            <w:shd w:fill="FFDCE0" w:val="clear"/>
          </w:tcPr>
          <w:p>
            <w:r>
              <w:rPr>
                <w:sz w:val="17"/>
              </w:rPr>
              <w:t>1,676</w:t>
            </w:r>
          </w:p>
        </w:tc>
        <w:tc>
          <w:tcPr>
            <w:tcW w:type="dxa" w:w="1440"/>
            <w:shd w:fill="FFDCE0" w:val="clear"/>
          </w:tcPr>
          <w:p>
            <w:r>
              <w:rPr>
                <w:b/>
                <w:color w:val="C00000"/>
                <w:sz w:val="17"/>
              </w:rPr>
              <w:t>-9.3%</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1,337</w:t>
            </w:r>
          </w:p>
        </w:tc>
        <w:tc>
          <w:tcPr>
            <w:tcW w:type="dxa" w:w="1440"/>
            <w:shd w:fill="FFDCE0" w:val="clear"/>
          </w:tcPr>
          <w:p>
            <w:r>
              <w:rPr>
                <w:b/>
                <w:sz w:val="17"/>
              </w:rPr>
              <w:t>1,502</w:t>
            </w:r>
          </w:p>
        </w:tc>
        <w:tc>
          <w:tcPr>
            <w:tcW w:type="dxa" w:w="1440"/>
            <w:shd w:fill="FFDCE0" w:val="clear"/>
          </w:tcPr>
          <w:p>
            <w:r>
              <w:rPr>
                <w:sz w:val="17"/>
              </w:rPr>
              <w:t>1,666</w:t>
            </w:r>
          </w:p>
        </w:tc>
        <w:tc>
          <w:tcPr>
            <w:tcW w:type="dxa" w:w="1440"/>
            <w:shd w:fill="FFDCE0" w:val="clear"/>
          </w:tcPr>
          <w:p>
            <w:r>
              <w:rPr>
                <w:b/>
                <w:color w:val="C00000"/>
                <w:sz w:val="17"/>
              </w:rPr>
              <w:t>-10.6%</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1,306</w:t>
            </w:r>
          </w:p>
        </w:tc>
        <w:tc>
          <w:tcPr>
            <w:tcW w:type="dxa" w:w="1440"/>
            <w:shd w:fill="FFDCE0" w:val="clear"/>
          </w:tcPr>
          <w:p>
            <w:r>
              <w:rPr>
                <w:b/>
                <w:sz w:val="17"/>
              </w:rPr>
              <w:t>1,481</w:t>
            </w:r>
          </w:p>
        </w:tc>
        <w:tc>
          <w:tcPr>
            <w:tcW w:type="dxa" w:w="1440"/>
            <w:shd w:fill="FFDCE0" w:val="clear"/>
          </w:tcPr>
          <w:p>
            <w:r>
              <w:rPr>
                <w:sz w:val="17"/>
              </w:rPr>
              <w:t>1,656</w:t>
            </w:r>
          </w:p>
        </w:tc>
        <w:tc>
          <w:tcPr>
            <w:tcW w:type="dxa" w:w="1440"/>
            <w:shd w:fill="FFDCE0" w:val="clear"/>
          </w:tcPr>
          <w:p>
            <w:r>
              <w:rPr>
                <w:b/>
                <w:color w:val="C00000"/>
                <w:sz w:val="17"/>
              </w:rPr>
              <w:t>-11.9%</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1,275</w:t>
            </w:r>
          </w:p>
        </w:tc>
        <w:tc>
          <w:tcPr>
            <w:tcW w:type="dxa" w:w="1440"/>
            <w:shd w:fill="FFDCE0" w:val="clear"/>
          </w:tcPr>
          <w:p>
            <w:r>
              <w:rPr>
                <w:b/>
                <w:sz w:val="17"/>
              </w:rPr>
              <w:t>1,460</w:t>
            </w:r>
          </w:p>
        </w:tc>
        <w:tc>
          <w:tcPr>
            <w:tcW w:type="dxa" w:w="1440"/>
            <w:shd w:fill="FFDCE0" w:val="clear"/>
          </w:tcPr>
          <w:p>
            <w:r>
              <w:rPr>
                <w:sz w:val="17"/>
              </w:rPr>
              <w:t>1,645</w:t>
            </w:r>
          </w:p>
        </w:tc>
        <w:tc>
          <w:tcPr>
            <w:tcW w:type="dxa" w:w="1440"/>
            <w:shd w:fill="FFDCE0" w:val="clear"/>
          </w:tcPr>
          <w:p>
            <w:r>
              <w:rPr>
                <w:b/>
                <w:color w:val="C00000"/>
                <w:sz w:val="17"/>
              </w:rPr>
              <w:t>-13.1%</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1,247</w:t>
            </w:r>
          </w:p>
        </w:tc>
        <w:tc>
          <w:tcPr>
            <w:tcW w:type="dxa" w:w="1440"/>
            <w:shd w:fill="FFDCE0" w:val="clear"/>
          </w:tcPr>
          <w:p>
            <w:r>
              <w:rPr>
                <w:b/>
                <w:sz w:val="17"/>
              </w:rPr>
              <w:t>1,440</w:t>
            </w:r>
          </w:p>
        </w:tc>
        <w:tc>
          <w:tcPr>
            <w:tcW w:type="dxa" w:w="1440"/>
            <w:shd w:fill="FFDCE0" w:val="clear"/>
          </w:tcPr>
          <w:p>
            <w:r>
              <w:rPr>
                <w:sz w:val="17"/>
              </w:rPr>
              <w:t>1,633</w:t>
            </w:r>
          </w:p>
        </w:tc>
        <w:tc>
          <w:tcPr>
            <w:tcW w:type="dxa" w:w="1440"/>
            <w:shd w:fill="FFDCE0" w:val="clear"/>
          </w:tcPr>
          <w:p>
            <w:r>
              <w:rPr>
                <w:b/>
                <w:color w:val="C00000"/>
                <w:sz w:val="17"/>
              </w:rPr>
              <w:t>-14.3%</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1,219</w:t>
            </w:r>
          </w:p>
        </w:tc>
        <w:tc>
          <w:tcPr>
            <w:tcW w:type="dxa" w:w="1440"/>
            <w:shd w:fill="FFDCE0" w:val="clear"/>
          </w:tcPr>
          <w:p>
            <w:r>
              <w:rPr>
                <w:b/>
                <w:sz w:val="17"/>
              </w:rPr>
              <w:t>1,420</w:t>
            </w:r>
          </w:p>
        </w:tc>
        <w:tc>
          <w:tcPr>
            <w:tcW w:type="dxa" w:w="1440"/>
            <w:shd w:fill="FFDCE0" w:val="clear"/>
          </w:tcPr>
          <w:p>
            <w:r>
              <w:rPr>
                <w:sz w:val="17"/>
              </w:rPr>
              <w:t>1,621</w:t>
            </w:r>
          </w:p>
        </w:tc>
        <w:tc>
          <w:tcPr>
            <w:tcW w:type="dxa" w:w="1440"/>
            <w:shd w:fill="FFDCE0" w:val="clear"/>
          </w:tcPr>
          <w:p>
            <w:r>
              <w:rPr>
                <w:b/>
                <w:color w:val="C00000"/>
                <w:sz w:val="17"/>
              </w:rPr>
              <w:t>-15.5%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304,70 milliards FCFA, un niveau conséquent qui la positionne parmi les valeurs moyennes à grandes capitalisations de la BRVM. Avec un BPA de seulement 26 FCFA, le titre se négocie à un PER de 64,9x, soit environ 6 à 8 fois la moyenne historique du marché régional (8-12x), ce qui traduit une prime de valorisation extrêmement élevée et un niveau d'exigence de rentabilité future considérable. Le P/B de 15,66x confirme cette surévaluation relative, le marché valorisant l'actif net comptable à plus de 15 fois sa valeur, tandis que l'EV/EBITDA de 33,1x indique que les investisseurs paient un prix très élevé pour chaque unité de richesse opérationnelle créée. Ces ratios, tous largement supérieurs aux seuils d'alerte conventionnels, signalent une valorisation qui anticipe une croissance soutenue et une amélioration substantielle des marges, laissant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CFAC affiche une progression modeste de +2,44%, avec une accélération notable lors de la dernière séance (+3,07%) qui porte le titre à 1 680 FCFA. Le titre a évolué dans une fourchette de 500 FCFA, entre un plus bas de 1 325 FCFA et un plus haut de 1 825 FCFA, démontrant une amplitude de trading significative d'environ 38%. La moyenne (1 602 FCFA) et la médiane (1 602 FCFA) étant identiques, la distribution des prix est parfaitement symétrique, confirmée par un skewness de -0,380 qui indique une légère asymétrie négative sans préoccupation majeure. L'écart-type de 99 FCFA, avec un coefficient de variation de 6,2%, révèle une dispersion modérée autour de la moyenne, tandis que le kurtosis de 0,092 (mésokurtique) suggère une distribution proche de la normale, sans risque excessif de mouvements extrêmes. La volatilité annualisée de 48,5% classe le titre dans la catégorie des valeurs à forte volatilité, bien au-dessus du seuil de 30%, ce qui implique des fluctuations de prix importantes et un risque de marché élevé pour les investisseurs.</w:t>
      </w:r>
    </w:p>
    <w:p>
      <w:pPr>
        <w:spacing w:after="120" w:line="276" w:lineRule="auto" w:before="240"/>
      </w:pPr>
      <w:r>
        <w:rPr>
          <w:b/>
          <w:color w:val="003366"/>
          <w:sz w:val="24"/>
        </w:rPr>
        <w:t>**PARTIE 2 : ANALYSE TECHNIQUE DÉTAILLÉE**</w:t>
      </w:r>
    </w:p>
    <w:p>
      <w:pPr>
        <w:spacing w:after="120" w:line="276" w:lineRule="auto"/>
      </w:pPr>
      <w:r>
        <w:t>Les moyennes mobiles sur 20 et 50 jours, respectivement à 1 664,25 FCFA et 1 665,3 FCFA, sont très proches l'une de l'autre et légèrement inférieures au cours actuel de 1 680 FCFA. Cette configuration indique une absence de tendance claire à court et moyen terme, le prix oscillant autour de ses moyennes sans direction dominante. Le signal de vente généré par cet indicateur reflète la faiblesse relative du titre par rapport à ses niveaux historiques récents, mais la convergence des deux moyennes suggère une possible consolidation avant un mouvement directionnel.</w:t>
      </w:r>
    </w:p>
    <w:p>
      <w:pPr>
        <w:spacing w:after="120" w:line="276" w:lineRule="auto"/>
      </w:pPr>
      <w:r>
        <w:t>Les bandes de Bollinger, avec une borne supérieure à 1 729 FCFA et une borne inférieure à 1 599,5 FCFA, encadrent un cours à 1 680 FCFA positionné légèrement au-dessus de la moyenne de la bande. Cette position médiane indique une volatilité modérée et l'absence de conditions de surachat ou de survente extrêmes. La décision neutre reflète un marché en équilibre, le titre disposant d'une marge de manœuvre dans les deux directions avant d'atteindre les bornes extrêmes.</w:t>
      </w:r>
    </w:p>
    <w:p>
      <w:pPr>
        <w:spacing w:after="120" w:line="276" w:lineRule="auto"/>
      </w:pPr>
      <w:r>
        <w:t>Le MACD affiche une valeur négative de -0,434 contre un signal à 3,06, créant un écart négatif significatif qui traduit un momentum baissier sous-jacent. Cette divergence entre la ligne MACD et sa ligne de signal, malgré le cours en légère hausse, suggère une faiblesse latente de la dynamique haussière. Le signal de vente émis par cet indicateur contraste avec la stabilité apparente du cours, indiquant une possible correction à venir.</w:t>
      </w:r>
    </w:p>
    <w:p>
      <w:pPr>
        <w:spacing w:after="120" w:line="276" w:lineRule="auto"/>
      </w:pPr>
      <w:r>
        <w:t>Le RSI à 52,78 se situe dans la zone neutre (30-70), reflétant un équilibre entre les forces acheteuses et vendeuses. Cette valeur indique que le titre n'est ni suracheté ni survendu, laissant place à une évolution dans les deux sens sans pression particulière. La décision neutre est cohérente avec l'absence de signal directionnel fort.</w:t>
      </w:r>
    </w:p>
    <w:p>
      <w:pPr>
        <w:spacing w:after="120" w:line="276" w:lineRule="auto"/>
      </w:pPr>
      <w:r>
        <w:t>Le stochastique, avec un %K à 80,0 et un %D à 36,67, montre une divergence importante entre la ligne rapide et la ligne lente, le %K étant nettement au-dessus du %D. Cette configuration suggère un récent rebond du cours après une période de faiblesse, mais l'écart important entre les deux lignes indique une possible consolidation à court terme. La décision neutre reflète cette situation transitoire.</w:t>
      </w:r>
    </w:p>
    <w:p>
      <w:pPr>
        <w:spacing w:after="120" w:line="276" w:lineRule="auto"/>
      </w:pPr>
      <w:r>
        <w:t>La synthèse technique révèle des signaux mitigés : les moyennes mobiles et le MACD penchent vers une prudence vendeuse, tandis que le RSI, le stochastique et les bandes de Bollinger suggèrent une neutralité. Cette divergence entre indicateurs traduit un marché indécis, sans tendance claire, où le titre évolue dans une zone de consolidation. Les investisseurs devraient attendre une confirmation directionnelle avant de prendre des positions significatives.</w:t>
      </w:r>
    </w:p>
    <w:p>
      <w:pPr>
        <w:spacing w:after="120" w:line="276" w:lineRule="auto" w:before="240"/>
      </w:pPr>
      <w:r>
        <w:rPr>
          <w:b/>
          <w:color w:val="003366"/>
          <w:sz w:val="24"/>
        </w:rPr>
        <w:t>**PARTIE 3 : ANALYSE FONDAMENTALE (SECTION CRITIQUE)**</w:t>
      </w:r>
    </w:p>
    <w:p>
      <w:pPr>
        <w:spacing w:after="120" w:line="276" w:lineRule="auto"/>
      </w:pPr>
      <w:r>
        <w:t>En 2024, CFAC a réalisé un chiffre d'affaires de 158,313 milliards FCFA, en recul de -12,1% par rapport à 2023, avec un résultat net de 4,693 milliards FCFA, en baisse de -26,7%. La marge nette s'établit à 2,96%, la marge opérationnelle à 4,96%, tandis que le ROE atteint un niveau excellent de 24,13% et le ROA de 5,52%. Le BFR négatif de -3,482 milliards FCFA constitue un point favorable, indiquant que l'entreprise finance son cycle d'exploitation par ses fournisseurs (délai fournisseurs de 81,75 jours contre 36,64 jours pour les clients), tandis que la durée de stockage de 88,35 jours reflète une immobilisation importante de capital. L'endettement reste maîtrisé avec un ratio de 23,07% et une capacité de remboursement de 0,72 an, mais la trésorerie nette est négative à -624 millions FCFA. Les rapports trimestriels 2025 montrent un redressement spectaculaire : au T1 2025, le CA atteint 46,161 milliards FCFA (+14,5%) avec un résultat net de 3,836 milliards FCFA (+279,7%), et au S1 2025, le CA progresse à 91,182 milliards FCFA (+18,4%) avec un résultat net de 5,420 milliards FCFA (+152,7%). Le T3 2025 confirme cette dynamique avec un CA de 43,580 milliards FCFA (+18,3%) et un résultat net de 1,489 milliards FCFA (+38,1%). Sur la base de ces performances trimestrielles, on estime que l'exercice 2025 devrait dépasser largement les résultats 2024, avec un CA projeté autour de 180-185 milliards FCFA et un résultat net potentiel de 8-9 milliards FCFA, soit une amélioration substantielle de la rentabilité, portée par une part de marché consolidée à 41,7% et une maîtrise opérationnelle renforcée.</w:t>
      </w:r>
    </w:p>
    <w:p>
      <w:pPr>
        <w:spacing w:after="120" w:line="276" w:lineRule="auto" w:before="240"/>
      </w:pPr>
      <w:r>
        <w:rPr>
          <w:b/>
          <w:color w:val="003366"/>
          <w:sz w:val="24"/>
        </w:rPr>
        <w:t>**PARTIE 4 : CONCLUSION D'INVESTISSEMENT**</w:t>
      </w:r>
    </w:p>
    <w:p>
      <w:pPr>
        <w:spacing w:after="120" w:line="276" w:lineRule="auto"/>
      </w:pPr>
      <w:r>
        <w:t>La valorisation de CFAC apparaît extrêmement exigeante avec un PER de 64,9x, un P/B de 15,66x et un EV/EBITDA de 33,1x, tous largement supérieurs aux moyennes du marché BRVM, indiquant une surévaluation relative qui intègre des anticipations de croissance très optimistes. Le comportement du cours sur 100 jours montre une stabilité relative (+2,44%) avec une volatilité élevée de 48,5%, tandis que les statistiques descriptives révèlent une distribution symétrique sans risque extrême particulier. Les signaux techniques sont mitigés, oscillant entre vendeurs (MM, MACD) et neutres (Bollinger, RSI, Stochastique), traduisant une absence de tendance claire. Les fondamentaux, bien qu'en amélioration spectaculaire en 2025 (+152,7% au S1), peinent à justifier pleinement la valorisation actuelle, même si le ROE de 24,13% et la position de leader (41,7% de part de marché) constituent des atouts indéniables. Les prédictions IA sur 10 jours (1 608 à 1 524 FCFA) suggèrent une correction baissière de 5 à 9%, contredisant la stabilité récente du cours. La convergence entre la valorisation excessive, les signaux techniques mitigés et les prédictions baissières conduit à une recommandation **CONSERVER** avec un niveau de confiance **Moyen** et un risque global **Élevé**. L'horizon d'investissement optimal serait le **moyen terme (3-12 mois)**, en attendant que la croissance 2025 se matérialise dans les résultats annuels et justifie ou non la prime de valorisation actuelle.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402.64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5,869 titres</w:t>
            </w:r>
          </w:p>
        </w:tc>
        <w:tc>
          <w:tcPr>
            <w:tcW w:type="dxa" w:w="2268"/>
            <w:shd w:fill="FFF2CC" w:val="clear"/>
          </w:tcPr>
          <w:p>
            <w:r>
              <w:rPr>
                <w:b/>
                <w:color w:val="503200"/>
                <w:sz w:val="16"/>
              </w:rPr>
              <w:t xml:space="preserve">Cours actuel : </w:t>
            </w:r>
            <w:r>
              <w:rPr>
                <w:color w:val="000000"/>
                <w:sz w:val="17"/>
              </w:rPr>
              <w:t>7,190 FCFA</w:t>
            </w:r>
          </w:p>
          <w:p>
            <w:r>
              <w:rPr>
                <w:b/>
                <w:color w:val="503200"/>
                <w:sz w:val="16"/>
              </w:rPr>
              <w:t xml:space="preserve">Var. 100 jours : </w:t>
            </w:r>
            <w:r>
              <w:rPr>
                <w:b/>
                <w:color w:val="007800"/>
                <w:sz w:val="17"/>
              </w:rPr>
              <w:t>+118.54%</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34.6/100 → Moyen</w:t>
      </w:r>
    </w:p>
    <w:p>
      <w:pPr>
        <w:spacing w:before="40" w:after="80"/>
      </w:pPr>
      <w:r>
        <w:rPr>
          <w:rFonts w:ascii="Courier New" w:hAnsi="Courier New"/>
          <w:color w:val="825A00"/>
          <w:sz w:val="18"/>
        </w:rPr>
        <w:t>██████░░░░░░░░░░░░░░  34.6/100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22.96% (Élevée) — μ=4,430 FCFA, σ=1,017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β=1.2357 (Agressif) — Cov=0.000039, Var(idx)=0.000031, ρ=0.230,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5,869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6,283</w:t>
            </w:r>
          </w:p>
        </w:tc>
        <w:tc>
          <w:tcPr>
            <w:tcW w:type="dxa" w:w="1440"/>
            <w:shd w:fill="FFDCE0" w:val="clear"/>
          </w:tcPr>
          <w:p>
            <w:r>
              <w:rPr>
                <w:b/>
                <w:sz w:val="17"/>
              </w:rPr>
              <w:t>6,651</w:t>
            </w:r>
          </w:p>
        </w:tc>
        <w:tc>
          <w:tcPr>
            <w:tcW w:type="dxa" w:w="1440"/>
            <w:shd w:fill="FFDCE0" w:val="clear"/>
          </w:tcPr>
          <w:p>
            <w:r>
              <w:rPr>
                <w:sz w:val="17"/>
              </w:rPr>
              <w:t>7,019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5,671</w:t>
            </w:r>
          </w:p>
        </w:tc>
        <w:tc>
          <w:tcPr>
            <w:tcW w:type="dxa" w:w="1440"/>
            <w:shd w:fill="FFDCE0" w:val="clear"/>
          </w:tcPr>
          <w:p>
            <w:r>
              <w:rPr>
                <w:b/>
                <w:sz w:val="17"/>
              </w:rPr>
              <w:t>6,152</w:t>
            </w:r>
          </w:p>
        </w:tc>
        <w:tc>
          <w:tcPr>
            <w:tcW w:type="dxa" w:w="1440"/>
            <w:shd w:fill="FFDCE0" w:val="clear"/>
          </w:tcPr>
          <w:p>
            <w:r>
              <w:rPr>
                <w:sz w:val="17"/>
              </w:rPr>
              <w:t>6,633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5,145</w:t>
            </w:r>
          </w:p>
        </w:tc>
        <w:tc>
          <w:tcPr>
            <w:tcW w:type="dxa" w:w="1440"/>
            <w:shd w:fill="FFDCE0" w:val="clear"/>
          </w:tcPr>
          <w:p>
            <w:r>
              <w:rPr>
                <w:b/>
                <w:sz w:val="17"/>
              </w:rPr>
              <w:t>5,691</w:t>
            </w:r>
          </w:p>
        </w:tc>
        <w:tc>
          <w:tcPr>
            <w:tcW w:type="dxa" w:w="1440"/>
            <w:shd w:fill="FFDCE0" w:val="clear"/>
          </w:tcPr>
          <w:p>
            <w:r>
              <w:rPr>
                <w:sz w:val="17"/>
              </w:rPr>
              <w:t>6,236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4,681</w:t>
            </w:r>
          </w:p>
        </w:tc>
        <w:tc>
          <w:tcPr>
            <w:tcW w:type="dxa" w:w="1440"/>
            <w:shd w:fill="FFDCE0" w:val="clear"/>
          </w:tcPr>
          <w:p>
            <w:r>
              <w:rPr>
                <w:b/>
                <w:sz w:val="17"/>
              </w:rPr>
              <w:t>5,264</w:t>
            </w:r>
          </w:p>
        </w:tc>
        <w:tc>
          <w:tcPr>
            <w:tcW w:type="dxa" w:w="1440"/>
            <w:shd w:fill="FFDCE0" w:val="clear"/>
          </w:tcPr>
          <w:p>
            <w:r>
              <w:rPr>
                <w:sz w:val="17"/>
              </w:rPr>
              <w:t>5,846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4,267</w:t>
            </w:r>
          </w:p>
        </w:tc>
        <w:tc>
          <w:tcPr>
            <w:tcW w:type="dxa" w:w="1440"/>
            <w:shd w:fill="FFDCE0" w:val="clear"/>
          </w:tcPr>
          <w:p>
            <w:r>
              <w:rPr>
                <w:b/>
                <w:sz w:val="17"/>
              </w:rPr>
              <w:t>4,869</w:t>
            </w:r>
          </w:p>
        </w:tc>
        <w:tc>
          <w:tcPr>
            <w:tcW w:type="dxa" w:w="1440"/>
            <w:shd w:fill="FFDCE0" w:val="clear"/>
          </w:tcPr>
          <w:p>
            <w:r>
              <w:rPr>
                <w:sz w:val="17"/>
              </w:rPr>
              <w:t>5,471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3,893</w:t>
            </w:r>
          </w:p>
        </w:tc>
        <w:tc>
          <w:tcPr>
            <w:tcW w:type="dxa" w:w="1440"/>
            <w:shd w:fill="FFDCE0" w:val="clear"/>
          </w:tcPr>
          <w:p>
            <w:r>
              <w:rPr>
                <w:b/>
                <w:sz w:val="17"/>
              </w:rPr>
              <w:t>4,504</w:t>
            </w:r>
          </w:p>
        </w:tc>
        <w:tc>
          <w:tcPr>
            <w:tcW w:type="dxa" w:w="1440"/>
            <w:shd w:fill="FFDCE0" w:val="clear"/>
          </w:tcPr>
          <w:p>
            <w:r>
              <w:rPr>
                <w:sz w:val="17"/>
              </w:rPr>
              <w:t>5,114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3,556</w:t>
            </w:r>
          </w:p>
        </w:tc>
        <w:tc>
          <w:tcPr>
            <w:tcW w:type="dxa" w:w="1440"/>
            <w:shd w:fill="FFDCE0" w:val="clear"/>
          </w:tcPr>
          <w:p>
            <w:r>
              <w:rPr>
                <w:b/>
                <w:sz w:val="17"/>
              </w:rPr>
              <w:t>4,166</w:t>
            </w:r>
          </w:p>
        </w:tc>
        <w:tc>
          <w:tcPr>
            <w:tcW w:type="dxa" w:w="1440"/>
            <w:shd w:fill="FFDCE0" w:val="clear"/>
          </w:tcPr>
          <w:p>
            <w:r>
              <w:rPr>
                <w:sz w:val="17"/>
              </w:rPr>
              <w:t>4,776</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3,250</w:t>
            </w:r>
          </w:p>
        </w:tc>
        <w:tc>
          <w:tcPr>
            <w:tcW w:type="dxa" w:w="1440"/>
            <w:shd w:fill="FFDCE0" w:val="clear"/>
          </w:tcPr>
          <w:p>
            <w:r>
              <w:rPr>
                <w:b/>
                <w:sz w:val="17"/>
              </w:rPr>
              <w:t>3,854</w:t>
            </w:r>
          </w:p>
        </w:tc>
        <w:tc>
          <w:tcPr>
            <w:tcW w:type="dxa" w:w="1440"/>
            <w:shd w:fill="FFDCE0" w:val="clear"/>
          </w:tcPr>
          <w:p>
            <w:r>
              <w:rPr>
                <w:sz w:val="17"/>
              </w:rPr>
              <w:t>4,457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2,973</w:t>
            </w:r>
          </w:p>
        </w:tc>
        <w:tc>
          <w:tcPr>
            <w:tcW w:type="dxa" w:w="1440"/>
            <w:shd w:fill="FFDCE0" w:val="clear"/>
          </w:tcPr>
          <w:p>
            <w:r>
              <w:rPr>
                <w:b/>
                <w:sz w:val="17"/>
              </w:rPr>
              <w:t>3,565</w:t>
            </w:r>
          </w:p>
        </w:tc>
        <w:tc>
          <w:tcPr>
            <w:tcW w:type="dxa" w:w="1440"/>
            <w:shd w:fill="FFDCE0" w:val="clear"/>
          </w:tcPr>
          <w:p>
            <w:r>
              <w:rPr>
                <w:sz w:val="17"/>
              </w:rPr>
              <w:t>4,156</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2,720</w:t>
            </w:r>
          </w:p>
        </w:tc>
        <w:tc>
          <w:tcPr>
            <w:tcW w:type="dxa" w:w="1440"/>
            <w:shd w:fill="FFDCE0" w:val="clear"/>
          </w:tcPr>
          <w:p>
            <w:r>
              <w:rPr>
                <w:b/>
                <w:sz w:val="17"/>
              </w:rPr>
              <w:t>3,297</w:t>
            </w:r>
          </w:p>
        </w:tc>
        <w:tc>
          <w:tcPr>
            <w:tcW w:type="dxa" w:w="1440"/>
            <w:shd w:fill="FFDCE0" w:val="clear"/>
          </w:tcPr>
          <w:p>
            <w:r>
              <w:rPr>
                <w:sz w:val="17"/>
              </w:rPr>
              <w:t>3,874</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pour l'action CIEC,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402,64 milliards FCFA, ce qui en fait l'une des valeurs les plus significatives de la BRVM, reflétant son statut de quasi-monopole dans un secteur stratégique. Avec un BPA de 234 FCFA, le titre se négocie à un PER de 30,7x, soit un niveau extrêmement élevé par rapport à la moyenne historique du marché (8-12x). Cette décote de valorisation suggère que les investisseurs intègrent des attentes de croissance future très fortes, ou une prime de rareté. Le P/B de 11,20x confirme cette tendance, le marché valorisant le titre bien au-delà de sa valeur comptable (11,2 fois), ce qui témoigne d'une confiance dans la création de valeur future. Enfin, un EV/EBITDA de 15,9x, supérieur au seuil de 15x, indique une valorisation exigeante de la capacité opérationnelle de l'entreprise, laissant peu de marge d'erreur.</w:t>
      </w:r>
    </w:p>
    <w:p>
      <w:pPr>
        <w:spacing w:after="120" w:line="276" w:lineRule="auto"/>
      </w:pPr>
      <w:r>
        <w:t>### **PARTIE 1 : ANALYSE DU COURS — STATISTIQUES ET ÉVOLUTION (100 derniers jours)**</w:t>
      </w:r>
    </w:p>
    <w:p>
      <w:pPr>
        <w:spacing w:after="120" w:line="276" w:lineRule="auto"/>
      </w:pPr>
      <w:r>
        <w:t>Sur les 100 derniers jours, l'action CIEC a connu une performance spectaculaire avec une variation totale de +118,54%, et une progression de +5,19% lors de la dernière séance, clôturant à 7 190 FCFA. Le titre a évolué dans une fourchette très large, de 3 000 FCFA (plus bas) à 7 190 FCFA (plus haut), démontrant une forte dynamique haussière. La moyenne du cours sur la période est de 4 430 FCFA, tandis que la médiane est de 4 995 FCFA. L'écart entre ces deux valeurs, avec une moyenne inférieure à la médiane, suggère une distribution légèrement asymétrique à gauche, mais le skewness proche de zéro (0.031) indique une distribution globalement symétrique. L'écart-type de 1 022 FCFA (CV=23.1%) montre une dispersion modérée des prix autour de la moyenne. Le kurtosis négatif (-1.019) signale une distribution platykurtique, avec moins de valeurs extrêmes que la normale, ce qui est surprenant au vu de la performance. La volatilité annualisée de 49% classe le titre comme très volatil, ce qui implique un risque élevé mais aussi un potentiel de rendement important.</w:t>
      </w:r>
    </w:p>
    <w:p>
      <w:pPr>
        <w:spacing w:after="120" w:line="276" w:lineRule="auto"/>
      </w:pPr>
      <w:r>
        <w:t>### **PARTIE 2 : ANALYSE TECHNIQUE DÉTAILLÉE**</w:t>
      </w:r>
    </w:p>
    <w:p>
      <w:pPr>
        <w:spacing w:after="120" w:line="276" w:lineRule="auto"/>
      </w:pPr>
      <w:r>
        <w:t>**Moyennes Mobiles**: Le cours actuel (7 190 FCFA) est nettement au-dessus de la MM20 (5 472,75 FCFA) et de la MM50 (5 290,2 FCFA). Cette configuration haussière, où le prix est supérieur aux deux moyennes, confirme une tendance à court et moyen terme très positive. La décision d'achat est donc justifiée par la vigueur de la tendance.</w:t>
      </w:r>
    </w:p>
    <w:p>
      <w:pPr>
        <w:spacing w:after="120" w:line="276" w:lineRule="auto"/>
      </w:pPr>
      <w:r>
        <w:t>**Bandes de Bollinger**: Le cours a franchi la borne supérieure des bandes de Bollinger (6 734,37 FCFA), ce qui indique une condition de surachat extrême et une volatilité en forte expansion. Cette cassure au-dessus de la borne supérieure est un signal de vente classique, car elle suggère que le prix est temporairement trop éloigné de sa moyenne mobile, augmentant le risque de correction.</w:t>
      </w:r>
    </w:p>
    <w:p>
      <w:pPr>
        <w:spacing w:after="120" w:line="276" w:lineRule="auto"/>
      </w:pPr>
      <w:r>
        <w:t>**MACD**: Le MACD (379,899) est nettement supérieur à son signal (175,902), avec un écart positif important. Cette configuration est un signal d'achat fort, indiquant que le momentum haussier est puissant et s'accélère. La dynamique positive du MACD confirme la tendance haussière de fond.</w:t>
      </w:r>
    </w:p>
    <w:p>
      <w:pPr>
        <w:spacing w:after="120" w:line="276" w:lineRule="auto"/>
      </w:pPr>
      <w:r>
        <w:t>**RSI**: Le RSI est à 99,77, un niveau extrême de surachat (bien au-dessus du seuil de 70). Cela signifie que le titre est massivement suracheté et qu'une correction technique est statistiquement très probable à court terme. La décision de vente est donc justifiée par ce niveau extrême, qui signale une exubérance excessive du marché.</w:t>
      </w:r>
    </w:p>
    <w:p>
      <w:pPr>
        <w:spacing w:after="120" w:line="276" w:lineRule="auto"/>
      </w:pPr>
      <w:r>
        <w:t>**Stochastique**: Les valeurs %K et %D sont toutes deux à 100, un niveau maximal de surachat. Ceci indique que le prix a clôturé à son plus haut sur la période, une condition extrême qui précède souvent un retournement baissier. La décision de vente est donc cohérente avec ce signal de surachat extrême.</w:t>
      </w:r>
    </w:p>
    <w:p>
      <w:pPr>
        <w:spacing w:after="120" w:line="276" w:lineRule="auto"/>
      </w:pPr>
      <w:r>
        <w:t>**Conclusion technique**: Les indicateurs de tendance (MM, MACD) sont résolument haussiers, mais tous les oscillateurs de momentum (RSI, Stochastique, Bandes de Bollinger) sont en zone de surachat extrême. Cette divergence classique suggère que la tendance haussière est intacte mais que le titre est techniquement "surchauffé" et vulnérable à une correction à court terme. La prudence est donc de mise.</w:t>
      </w:r>
    </w:p>
    <w:p>
      <w:pPr>
        <w:spacing w:after="120" w:line="276" w:lineRule="auto"/>
      </w:pPr>
      <w:r>
        <w:t>### **PARTIE 3 : ANALYSE FONDAMENTALE (SECTION CRITIQUE)**</w:t>
      </w:r>
    </w:p>
    <w:p>
      <w:pPr>
        <w:spacing w:after="120" w:line="276" w:lineRule="auto"/>
      </w:pPr>
      <w:r>
        <w:t>En 2025, la CIEC a réalisé un chiffre d'affaires de 302,320 milliards FCFA, en croissance de +14,8% par rapport à 2024, et un résultat net de 13,127 milliards FCFA, en hausse de 24,4%. Cette performance est portée par une excellente rentabilité des fonds propres (ROE) de 36,5%, bien au-dessus du seuil de 15% considéré comme excellent. Cependant, la rentabilité des actifs (ROA) est faible (0,65%), ce qui s'explique par un total de bilan très élevé (2 018,446 milliards FCFA) dû à la gestion des actifs de la concession pour le compte de l'État. En tant qu'entreprise, la CIEC présente un BFR négatif de -90,244 milliards FCFA, ce qui est très favorable et témoigne d'une excellente gestion de son cycle d'exploitation. Le délai de paiement des fournisseurs est très long (970 jours), ce qui finance généreusement le besoin en fonds de roulement, mais le délai de recouvrement des créances clients (164 jours) reste un point de vigilance. Le rapport annuel 2025 (daté du 31/12/2026) confirme la solidité financière et recommande de conserver le titre. Les rapports du S1 2025 (datés de 2025) montrent une croissance du CA de +18,85% à 134,923 milliards FCFA et un résultat net de 5,096 milliards FCFA, ce qui permet d'estimer que la dynamique de croissance s'est poursuivie au second semestre. La politique de dividende est très généreuse, avec un taux de distribution de 99,8% du résultat net, soit 234 FCFA par action.</w:t>
      </w:r>
    </w:p>
    <w:p>
      <w:pPr>
        <w:spacing w:after="120" w:line="276" w:lineRule="auto"/>
      </w:pPr>
      <w:r>
        <w:t>### **PARTIE 4 : CONCLUSION D'INVESTISSEMENT**</w:t>
      </w:r>
    </w:p>
    <w:p>
      <w:pPr>
        <w:spacing w:after="120" w:line="276" w:lineRule="auto"/>
      </w:pPr>
      <w:r>
        <w:t>La valorisation de la CIEC (PER 30,7x, P/B 11,2x, EV/EBITDA 15,9x) est extrêmement exigeante, signalant une possible surévaluation par rapport aux fondamentaux actuels. Le comportement du cours (+118,54% en 100 jours) est spectaculaire mais la volatilité élevée (49%) et les statistiques (kurtosis platykurtique) suggèrent un mouvement potentiellement spéculatif. Les signaux techniques sont contradictoires : la tendance (MM, MACD) est fortement haussière, mais les oscillateurs (RSI à 99,77, Stochastique à 100) crient au surachat extrême, annonçant une correction probable. Les fondamentaux sont solides avec une croissance de 14,8% du CA, un ROE de 36,5% et une politique de dividende attractive, mais la valorisation actuelle a déjà intégré ces bonnes nouvelles. Les prédictions IA pour les 10 prochains jours (chute de 7 190 à 4 869 FCFA) confirment le scénario d'une correction technique sévère. En synthèse, la convergence des signaux de surachat technique et des prédictions IA, contrastant avec une valorisation excessive, conduit à une recommandation de **VENTE** à court terme pour profiter d'un point d'entrée plus favorable. Le niveau de confiance est **Moyen** (les fondamentaux restent bons), le risque global est **Élevé** (volatilité et valorisation), et l'horizon d'investissement optimal serait de **moyen terme (3-12 mois)** après une correction attendue.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927.88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3,782 titres</w:t>
            </w:r>
          </w:p>
        </w:tc>
        <w:tc>
          <w:tcPr>
            <w:tcW w:type="dxa" w:w="2268"/>
            <w:shd w:fill="FFF2CC" w:val="clear"/>
          </w:tcPr>
          <w:p>
            <w:r>
              <w:rPr>
                <w:b/>
                <w:color w:val="503200"/>
                <w:sz w:val="16"/>
              </w:rPr>
              <w:t xml:space="preserve">Cours actuel : </w:t>
            </w:r>
            <w:r>
              <w:rPr>
                <w:color w:val="000000"/>
                <w:sz w:val="17"/>
              </w:rPr>
              <w:t>16,855 FCFA</w:t>
            </w:r>
          </w:p>
          <w:p>
            <w:r>
              <w:rPr>
                <w:b/>
                <w:color w:val="503200"/>
                <w:sz w:val="16"/>
              </w:rPr>
              <w:t xml:space="preserve">Var. 100 jours : </w:t>
            </w:r>
            <w:r>
              <w:rPr>
                <w:b/>
                <w:color w:val="007800"/>
                <w:sz w:val="17"/>
              </w:rPr>
              <w:t>+3.40%</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2.18% (Faible) — μ=16,315 FCFA, σ=355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β=0.4628 (Défensif) — Cov=0.000014, Var(idx)=0.000031, ρ=0.150,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16,116</w:t>
            </w:r>
          </w:p>
        </w:tc>
        <w:tc>
          <w:tcPr>
            <w:tcW w:type="dxa" w:w="1440"/>
            <w:shd w:fill="FAFAFA" w:val="clear"/>
          </w:tcPr>
          <w:p>
            <w:r>
              <w:rPr>
                <w:b/>
                <w:sz w:val="17"/>
              </w:rPr>
              <w:t>16,537</w:t>
            </w:r>
          </w:p>
        </w:tc>
        <w:tc>
          <w:tcPr>
            <w:tcW w:type="dxa" w:w="1440"/>
            <w:shd w:fill="FAFAFA" w:val="clear"/>
          </w:tcPr>
          <w:p>
            <w:r>
              <w:rPr>
                <w:sz w:val="17"/>
              </w:rPr>
              <w:t>16,957</w:t>
            </w:r>
          </w:p>
        </w:tc>
        <w:tc>
          <w:tcPr>
            <w:tcW w:type="dxa" w:w="1440"/>
            <w:shd w:fill="FAFAFA" w:val="clear"/>
          </w:tcPr>
          <w:p>
            <w:r>
              <w:rPr>
                <w:b/>
                <w:color w:val="C00000"/>
                <w:sz w:val="17"/>
              </w:rPr>
              <w:t>-1.9%</w:t>
            </w:r>
          </w:p>
        </w:tc>
      </w:tr>
      <w:tr>
        <w:tc>
          <w:tcPr>
            <w:tcW w:type="dxa" w:w="1440"/>
            <w:shd w:fill="FAFAFA" w:val="clear"/>
          </w:tcPr>
          <w:p>
            <w:r>
              <w:rPr>
                <w:sz w:val="17"/>
              </w:rPr>
              <w:t>J+2  ⭐⭐⭐</w:t>
            </w:r>
          </w:p>
        </w:tc>
        <w:tc>
          <w:tcPr>
            <w:tcW w:type="dxa" w:w="1440"/>
            <w:shd w:fill="FAFAFA" w:val="clear"/>
          </w:tcPr>
          <w:p>
            <w:r>
              <w:rPr>
                <w:sz w:val="17"/>
              </w:rPr>
              <w:t>2026-08-24</w:t>
            </w:r>
          </w:p>
        </w:tc>
        <w:tc>
          <w:tcPr>
            <w:tcW w:type="dxa" w:w="1440"/>
            <w:shd w:fill="FAFAFA" w:val="clear"/>
          </w:tcPr>
          <w:p>
            <w:r>
              <w:rPr>
                <w:sz w:val="17"/>
              </w:rPr>
              <w:t>15,935</w:t>
            </w:r>
          </w:p>
        </w:tc>
        <w:tc>
          <w:tcPr>
            <w:tcW w:type="dxa" w:w="1440"/>
            <w:shd w:fill="FAFAFA" w:val="clear"/>
          </w:tcPr>
          <w:p>
            <w:r>
              <w:rPr>
                <w:b/>
                <w:sz w:val="17"/>
              </w:rPr>
              <w:t>16,529</w:t>
            </w:r>
          </w:p>
        </w:tc>
        <w:tc>
          <w:tcPr>
            <w:tcW w:type="dxa" w:w="1440"/>
            <w:shd w:fill="FAFAFA" w:val="clear"/>
          </w:tcPr>
          <w:p>
            <w:r>
              <w:rPr>
                <w:sz w:val="17"/>
              </w:rPr>
              <w:t>17,124</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15,777</w:t>
            </w:r>
          </w:p>
        </w:tc>
        <w:tc>
          <w:tcPr>
            <w:tcW w:type="dxa" w:w="1440"/>
            <w:shd w:fill="FFDCE0" w:val="clear"/>
          </w:tcPr>
          <w:p>
            <w:r>
              <w:rPr>
                <w:b/>
                <w:sz w:val="17"/>
              </w:rPr>
              <w:t>16,503</w:t>
            </w:r>
          </w:p>
        </w:tc>
        <w:tc>
          <w:tcPr>
            <w:tcW w:type="dxa" w:w="1440"/>
            <w:shd w:fill="FFDCE0" w:val="clear"/>
          </w:tcPr>
          <w:p>
            <w:r>
              <w:rPr>
                <w:sz w:val="17"/>
              </w:rPr>
              <w:t>17,230</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2026-08-27</w:t>
            </w:r>
          </w:p>
        </w:tc>
        <w:tc>
          <w:tcPr>
            <w:tcW w:type="dxa" w:w="1440"/>
            <w:shd w:fill="FFDCE0" w:val="clear"/>
          </w:tcPr>
          <w:p>
            <w:r>
              <w:rPr>
                <w:sz w:val="17"/>
              </w:rPr>
              <w:t>15,644</w:t>
            </w:r>
          </w:p>
        </w:tc>
        <w:tc>
          <w:tcPr>
            <w:tcW w:type="dxa" w:w="1440"/>
            <w:shd w:fill="FFDCE0" w:val="clear"/>
          </w:tcPr>
          <w:p>
            <w:r>
              <w:rPr>
                <w:b/>
                <w:sz w:val="17"/>
              </w:rPr>
              <w:t>16,483</w:t>
            </w:r>
          </w:p>
        </w:tc>
        <w:tc>
          <w:tcPr>
            <w:tcW w:type="dxa" w:w="1440"/>
            <w:shd w:fill="FFDCE0" w:val="clear"/>
          </w:tcPr>
          <w:p>
            <w:r>
              <w:rPr>
                <w:sz w:val="17"/>
              </w:rPr>
              <w:t>17,321</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2026-08-28</w:t>
            </w:r>
          </w:p>
        </w:tc>
        <w:tc>
          <w:tcPr>
            <w:tcW w:type="dxa" w:w="1440"/>
            <w:shd w:fill="FFDCE0" w:val="clear"/>
          </w:tcPr>
          <w:p>
            <w:r>
              <w:rPr>
                <w:sz w:val="17"/>
              </w:rPr>
              <w:t>15,529</w:t>
            </w:r>
          </w:p>
        </w:tc>
        <w:tc>
          <w:tcPr>
            <w:tcW w:type="dxa" w:w="1440"/>
            <w:shd w:fill="FFDCE0" w:val="clear"/>
          </w:tcPr>
          <w:p>
            <w:r>
              <w:rPr>
                <w:b/>
                <w:sz w:val="17"/>
              </w:rPr>
              <w:t>16,465</w:t>
            </w:r>
          </w:p>
        </w:tc>
        <w:tc>
          <w:tcPr>
            <w:tcW w:type="dxa" w:w="1440"/>
            <w:shd w:fill="FFDCE0" w:val="clear"/>
          </w:tcPr>
          <w:p>
            <w:r>
              <w:rPr>
                <w:sz w:val="17"/>
              </w:rPr>
              <w:t>17,402</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2026-08-31</w:t>
            </w:r>
          </w:p>
        </w:tc>
        <w:tc>
          <w:tcPr>
            <w:tcW w:type="dxa" w:w="1440"/>
            <w:shd w:fill="FFDCE0" w:val="clear"/>
          </w:tcPr>
          <w:p>
            <w:r>
              <w:rPr>
                <w:sz w:val="17"/>
              </w:rPr>
              <w:t>15,425</w:t>
            </w:r>
          </w:p>
        </w:tc>
        <w:tc>
          <w:tcPr>
            <w:tcW w:type="dxa" w:w="1440"/>
            <w:shd w:fill="FFDCE0" w:val="clear"/>
          </w:tcPr>
          <w:p>
            <w:r>
              <w:rPr>
                <w:b/>
                <w:sz w:val="17"/>
              </w:rPr>
              <w:t>16,449</w:t>
            </w:r>
          </w:p>
        </w:tc>
        <w:tc>
          <w:tcPr>
            <w:tcW w:type="dxa" w:w="1440"/>
            <w:shd w:fill="FFDCE0" w:val="clear"/>
          </w:tcPr>
          <w:p>
            <w:r>
              <w:rPr>
                <w:sz w:val="17"/>
              </w:rPr>
              <w:t>17,474</w:t>
            </w:r>
          </w:p>
        </w:tc>
        <w:tc>
          <w:tcPr>
            <w:tcW w:type="dxa" w:w="1440"/>
            <w:shd w:fill="FFDCE0" w:val="clear"/>
          </w:tcPr>
          <w:p>
            <w:r>
              <w:rPr>
                <w:b/>
                <w:color w:val="C00000"/>
                <w:sz w:val="17"/>
              </w:rPr>
              <w:t>-2.4%</w:t>
            </w:r>
          </w:p>
        </w:tc>
      </w:tr>
      <w:tr>
        <w:tc>
          <w:tcPr>
            <w:tcW w:type="dxa" w:w="1440"/>
            <w:shd w:fill="FFDCE0" w:val="clear"/>
          </w:tcPr>
          <w:p>
            <w:r>
              <w:rPr>
                <w:sz w:val="17"/>
              </w:rPr>
              <w:t>J+7  Moyenne</w:t>
            </w:r>
          </w:p>
        </w:tc>
        <w:tc>
          <w:tcPr>
            <w:tcW w:type="dxa" w:w="1440"/>
            <w:shd w:fill="FFDCE0" w:val="clear"/>
          </w:tcPr>
          <w:p>
            <w:r>
              <w:rPr>
                <w:sz w:val="17"/>
              </w:rPr>
              <w:t>2026-09-01</w:t>
            </w:r>
          </w:p>
        </w:tc>
        <w:tc>
          <w:tcPr>
            <w:tcW w:type="dxa" w:w="1440"/>
            <w:shd w:fill="FFDCE0" w:val="clear"/>
          </w:tcPr>
          <w:p>
            <w:r>
              <w:rPr>
                <w:sz w:val="17"/>
              </w:rPr>
              <w:t>15,328</w:t>
            </w:r>
          </w:p>
        </w:tc>
        <w:tc>
          <w:tcPr>
            <w:tcW w:type="dxa" w:w="1440"/>
            <w:shd w:fill="FFDCE0" w:val="clear"/>
          </w:tcPr>
          <w:p>
            <w:r>
              <w:rPr>
                <w:b/>
                <w:sz w:val="17"/>
              </w:rPr>
              <w:t>16,434</w:t>
            </w:r>
          </w:p>
        </w:tc>
        <w:tc>
          <w:tcPr>
            <w:tcW w:type="dxa" w:w="1440"/>
            <w:shd w:fill="FFDCE0" w:val="clear"/>
          </w:tcPr>
          <w:p>
            <w:r>
              <w:rPr>
                <w:sz w:val="17"/>
              </w:rPr>
              <w:t>17,539</w:t>
            </w:r>
          </w:p>
        </w:tc>
        <w:tc>
          <w:tcPr>
            <w:tcW w:type="dxa" w:w="1440"/>
            <w:shd w:fill="FFDCE0" w:val="clear"/>
          </w:tcPr>
          <w:p>
            <w:r>
              <w:rPr>
                <w:b/>
                <w:color w:val="C00000"/>
                <w:sz w:val="17"/>
              </w:rPr>
              <w:t>-2.5%</w:t>
            </w:r>
          </w:p>
        </w:tc>
      </w:tr>
      <w:tr>
        <w:tc>
          <w:tcPr>
            <w:tcW w:type="dxa" w:w="1440"/>
            <w:shd w:fill="FFDCE0" w:val="clear"/>
          </w:tcPr>
          <w:p>
            <w:r>
              <w:rPr>
                <w:sz w:val="17"/>
              </w:rPr>
              <w:t>J+8  Moyenne</w:t>
            </w:r>
          </w:p>
        </w:tc>
        <w:tc>
          <w:tcPr>
            <w:tcW w:type="dxa" w:w="1440"/>
            <w:shd w:fill="FFDCE0" w:val="clear"/>
          </w:tcPr>
          <w:p>
            <w:r>
              <w:rPr>
                <w:sz w:val="17"/>
              </w:rPr>
              <w:t>2026-09-02</w:t>
            </w:r>
          </w:p>
        </w:tc>
        <w:tc>
          <w:tcPr>
            <w:tcW w:type="dxa" w:w="1440"/>
            <w:shd w:fill="FFDCE0" w:val="clear"/>
          </w:tcPr>
          <w:p>
            <w:r>
              <w:rPr>
                <w:sz w:val="17"/>
              </w:rPr>
              <w:t>15,237</w:t>
            </w:r>
          </w:p>
        </w:tc>
        <w:tc>
          <w:tcPr>
            <w:tcW w:type="dxa" w:w="1440"/>
            <w:shd w:fill="FFDCE0" w:val="clear"/>
          </w:tcPr>
          <w:p>
            <w:r>
              <w:rPr>
                <w:b/>
                <w:sz w:val="17"/>
              </w:rPr>
              <w:t>16,418</w:t>
            </w:r>
          </w:p>
        </w:tc>
        <w:tc>
          <w:tcPr>
            <w:tcW w:type="dxa" w:w="1440"/>
            <w:shd w:fill="FFDCE0" w:val="clear"/>
          </w:tcPr>
          <w:p>
            <w:r>
              <w:rPr>
                <w:sz w:val="17"/>
              </w:rPr>
              <w:t>17,599</w:t>
            </w:r>
          </w:p>
        </w:tc>
        <w:tc>
          <w:tcPr>
            <w:tcW w:type="dxa" w:w="1440"/>
            <w:shd w:fill="FFDCE0" w:val="clear"/>
          </w:tcPr>
          <w:p>
            <w:r>
              <w:rPr>
                <w:b/>
                <w:color w:val="C00000"/>
                <w:sz w:val="17"/>
              </w:rPr>
              <w:t>-2.6%</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15,151</w:t>
            </w:r>
          </w:p>
        </w:tc>
        <w:tc>
          <w:tcPr>
            <w:tcW w:type="dxa" w:w="1440"/>
            <w:shd w:fill="FFDCE0" w:val="clear"/>
          </w:tcPr>
          <w:p>
            <w:r>
              <w:rPr>
                <w:b/>
                <w:sz w:val="17"/>
              </w:rPr>
              <w:t>16,402</w:t>
            </w:r>
          </w:p>
        </w:tc>
        <w:tc>
          <w:tcPr>
            <w:tcW w:type="dxa" w:w="1440"/>
            <w:shd w:fill="FFDCE0" w:val="clear"/>
          </w:tcPr>
          <w:p>
            <w:r>
              <w:rPr>
                <w:sz w:val="17"/>
              </w:rPr>
              <w:t>17,654</w:t>
            </w:r>
          </w:p>
        </w:tc>
        <w:tc>
          <w:tcPr>
            <w:tcW w:type="dxa" w:w="1440"/>
            <w:shd w:fill="FFDCE0" w:val="clear"/>
          </w:tcPr>
          <w:p>
            <w:r>
              <w:rPr>
                <w:b/>
                <w:color w:val="C00000"/>
                <w:sz w:val="17"/>
              </w:rPr>
              <w:t>-2.7%</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15,069</w:t>
            </w:r>
          </w:p>
        </w:tc>
        <w:tc>
          <w:tcPr>
            <w:tcW w:type="dxa" w:w="1440"/>
            <w:shd w:fill="FFDCE0" w:val="clear"/>
          </w:tcPr>
          <w:p>
            <w:r>
              <w:rPr>
                <w:b/>
                <w:sz w:val="17"/>
              </w:rPr>
              <w:t>16,387</w:t>
            </w:r>
          </w:p>
        </w:tc>
        <w:tc>
          <w:tcPr>
            <w:tcW w:type="dxa" w:w="1440"/>
            <w:shd w:fill="FFDCE0" w:val="clear"/>
          </w:tcPr>
          <w:p>
            <w:r>
              <w:rPr>
                <w:sz w:val="17"/>
              </w:rPr>
              <w:t>17,705</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20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927,88 milliards FCFA, ce qui en fait l'une des plus importantes capitalisations de la BRVM, reflétant son statut de banque systémique dans l'UEMOA. Le BPA de 1 153 FCFA indique que chaque action génère un bénéfice substantiel, justifiant un PER de 14,6x. Ce ratio est supérieur à la moyenne historique de la BRVM (8-12x), signifiant que les investisseurs acceptent de payer une prime pour la qualité des actifs et la croissance d'ECOC. Le P/B de 4,25x est particulièrement exigeant, le marché valorisant fortement les capitaux propres de la banque (218,57 Mds FCFA), soit plus de 4 fois leur valeur comptable. Enfin, l'EV/EBITDA de 14,3x, bien que dans la fourchette haute (10-15x), reste cohérent avec la forte capacité bénéficiaire opérationnelle de l'établissement (RBE de 75,79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progression modérée de +3,40%, avec une accélération notable lors de la dernière séance (+2,15%), portant le cours à 16 855 FCFA. Le titre a évolué dans un range relativement étroit de 1 750 FCFA, entre un plus bas de 15 520 FCFA et un plus haut de 17 270 FCFA, indiquant une stabilité relative. La moyenne (16 315 FCFA) et la médiane (16 300 FCFA) sont quasi identiques, confirmant une distribution symétrique des prix, ce que corrobore le skewness de 0,255. L'écart-type de 357 FCFA (CV de 2,2%) révèle une très faible dispersion des prix autour de la moyenne, signe d'un titre très stable. Le kurtosis de 0,078 (mésokurtique) indique l'absence de mouvements extrêmes ou de pics de volatilité inhabituels. La volatilité annualisée de 27,7% classe le titre dans la catégorie "modérée" (15-30%), ce qui est acceptable pour une valeur bancaire de cette envergure.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(16 855 FCFA) se situe au-dessus de la MM20 (16 213,75 FCFA) et de la MM50 (16 405,9 FCFA), ce qui est généralement un signal haussier. Cependant, la décision technique globale est "Vente", probablement en raison d'un croisement baissier récent ou d'une configuration où le cours pourrait avoir dépassé les moyennes de manière trop rapide, créant un risque de correction. La MM50 étant supérieure à la MM20 suggère une tendance de fond positive, mais la prudence est de mise.</w:t>
      </w:r>
    </w:p>
    <w:p>
      <w:pPr>
        <w:spacing w:after="120" w:line="276" w:lineRule="auto"/>
      </w:pPr>
      <w:r>
        <w:t>**Bandes de Bollinger :** Le cours (16 855 FCFA) a franchi la borne supérieure (16 743,197 FCFA), ce qui est un signal classique de surachat à court terme. Ce franchissement indique une pression acheteuse très forte, mais aussi une probabilité accrue de repli technique vers la moyenne mobile ou la borne inférieure (15 684,303 FCFA). La décision "Vente" est donc justifiée par une extension excessive des prix par rapport à la volatilité récente.</w:t>
      </w:r>
    </w:p>
    <w:p>
      <w:pPr>
        <w:spacing w:after="120" w:line="276" w:lineRule="auto"/>
      </w:pPr>
      <w:r>
        <w:t>**MACD :** Le MACD (54,096) est nettement supérieur à sa ligne de signal (-38,518), avec un écart positif très important. Cette configuration est un signal d'achat fort, indiquant un momentum haussier puissant et une accélération de la tendance. La dynamique positive du MACD contraste avec les signaux de surachat des autres indicateurs, suggérant que la tendance de fond reste haussière malgré des conditions de court terme tendues.</w:t>
      </w:r>
    </w:p>
    <w:p>
      <w:pPr>
        <w:spacing w:after="120" w:line="276" w:lineRule="auto"/>
      </w:pPr>
      <w:r>
        <w:t>**RSI :** Le RSI s'établit à 62,602, en zone neutre (30-70). Il n'est pas encore en zone de surachat (&gt;70), ce qui laisse une marge de progression avant que le titre ne soit considéré comme techniquement surévalué. La décision "Neutre" est cohérente : le momentum est positif mais pas excessif, laissant place à une poursuite de la hausse ou à une consolidation.</w:t>
      </w:r>
    </w:p>
    <w:p>
      <w:pPr>
        <w:spacing w:after="120" w:line="276" w:lineRule="auto"/>
      </w:pPr>
      <w:r>
        <w:t>**Stochastique :** Le %K (96,61) et le %D (84,369) sont tous deux à des niveaux extrêmement élevés, bien au-delà du seuil de surachat (80). Le %K est très proche de 100, indiquant que le cours clôture près de son plus haut sur la période. La décision "Vente" est justifiée par des conditions de surachat extrême, qui précèdent souvent un repli technique ou une phase de consolidation.</w:t>
      </w:r>
    </w:p>
    <w:p>
      <w:pPr>
        <w:spacing w:after="120" w:line="276" w:lineRule="auto"/>
      </w:pPr>
      <w:r>
        <w:t>**Conclusion technique :** La configuration technique est mitigée. D'un côté, le MACD et la position du cours au-dessus des moyennes mobiles indiquent une tendance haussière sous-jacente. De l'autre, les bandes de Bollinger et le stochastique signalent des conditions de surachat extrême, avec un RSI en approche de cette zone. Cette divergence suggère qu'un repli technique est probable à très court terme, mais qu'il pourrait constituer une opportunité d'achat dans une tendance de fond qui demeure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d'ECOC révèlent une performance financière exceptionnelle. Le Produit Net Bancaire (PNB) s'établit à 132,725 Mds FCFA, en croissance de 8,5% par rapport à 2024 (122,3 Mds FCFA). Le résultat net atteint 63,482 Mds FCFA, contre 57,5 Mds FCFA en 2024, soit une progression de 10,4%. La rentabilité est remarquable avec un ROE de 29,04% et un ROA de 3,09%, tous deux nettement supérieurs aux seuils d'excellence du secteur. Le coefficient d'exploitation de 42,89% démontre une maîtrise des coûts exceptionnelle (bien en dessous du seuil de 60%). Le coût du risque de 1,36% reste modéré, témoignant d'une bonne qualité du portefeuille de crédits (1 050,8 Mds FCFA), financé par des dépôts clientèle massifs (1 626,2 Mds FCFA), soit un ratio de transformation de 64,6%. **Les rapports trimestriels 2025 confirment cette dynamique** : le T3 2025 affiche un PNB de 96,4 Mds FCFA (+11,3% vs T3 2024) et un résultat net de 44,4 Mds FCFA (+15,4%), avec un ROE de 29,7%. **Pour 2026**, le rapport T1 2026 (publié en 2026) montre un PNB de 30,8 Mds FCFA (+3,7%) et un résultat net de 13,0 Mds FCFA (-1,6%), affecté par une hausse du coût du risque. On estime que l'exercice 2026 pourrait voir un ralentissement de la croissance, mais la banque maintient une collecte de dépôts très dynamique (+12% au T1 2026). La solidité financière est confortée par un ratio de solvabilité de 19,3% (S1 2025), très au-dessus de l'exigence réglementaire de 11,5%. Enfin, la politique de dividende est généreuse : 888 FCFA brut par action proposé pour 2025, en hausse de 10,4% par rapport à 2024 (804 FCFA), avec un taux de distribution de 77%.</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révèle une divergence marquée entre des fondamentaux excellents et une valorisation exigeante. La valorisation (Partie 0) avec un PER de 14,6x et un P/B de 4,25x indique que le marché intègre déjà des perspectives de croissance élevées, laissant peu de marge d'erreur. Le comportement du cours (Partie 1) est stable et symétrique, avec une volatilité modérée, mais la récente accélération (+2,15% en une séance) et le franchissement des bornes de Bollinger (Partie 2) suggèrent un risque de correction technique à court terme, malgré un momentum MACD positif. Les fondamentaux (Partie 3) sont indiscutablement solides : ROE de 29%, croissance à deux chiffres du PNB, maîtrise des coûts et qualité du portefeuille. Les prédictions IA (J+1 à J+10) anticipent un léger repli du cours vers 16 465 FCFA, confirmant le scénario de consolidation technique. **Recommandation finale : CONSERVER.** La convergence entre les signaux techniques de surachat et les prédictions IA suggère une pause dans la hausse, mais la solidité fondamentale et la politique de dividende attractive (rendement d'environ 5,3%) justifient de conserver la ligne. **Niveau de confiance : Élevé. Niveau de risque : Moyen** (risque de correction technique, risque de ralentissement de la croissance du résultat net en 2026). **Horizon d'investissement optimal : Moyen terme (3-12 mois)**, en attendant un point d'entrée plus favorable après un éventuel repli vers la zone des 16 200-16 400 FCFA.</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1193.55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1,419,403 titres</w:t>
            </w:r>
          </w:p>
        </w:tc>
        <w:tc>
          <w:tcPr>
            <w:tcW w:type="dxa" w:w="2268"/>
            <w:shd w:fill="FFF2CC" w:val="clear"/>
          </w:tcPr>
          <w:p>
            <w:r>
              <w:rPr>
                <w:b/>
                <w:color w:val="503200"/>
                <w:sz w:val="16"/>
              </w:rPr>
              <w:t xml:space="preserve">Cours actuel : </w:t>
            </w:r>
            <w:r>
              <w:rPr>
                <w:color w:val="000000"/>
                <w:sz w:val="17"/>
              </w:rPr>
              <w:t>66 FCFA</w:t>
            </w:r>
          </w:p>
          <w:p>
            <w:r>
              <w:rPr>
                <w:b/>
                <w:color w:val="503200"/>
                <w:sz w:val="16"/>
              </w:rPr>
              <w:t xml:space="preserve">Var. 100 jours : </w:t>
            </w:r>
            <w:r>
              <w:rPr>
                <w:b/>
                <w:color w:val="007800"/>
                <w:sz w:val="17"/>
              </w:rPr>
              <w:t>+106.25%</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38.57% (Élevée) — μ=44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β=3.0665 (Très agressif) — Cov=0.000096, Var(idx)=0.000031, ρ=0.418,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1,419,403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σ_j=4.08%/j (Modérée) — Vol. annualisée≈64.8%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56</w:t>
            </w:r>
          </w:p>
        </w:tc>
        <w:tc>
          <w:tcPr>
            <w:tcW w:type="dxa" w:w="1440"/>
            <w:shd w:fill="FFDCE0" w:val="clear"/>
          </w:tcPr>
          <w:p>
            <w:r>
              <w:rPr>
                <w:b/>
                <w:sz w:val="17"/>
              </w:rPr>
              <w:t>61</w:t>
            </w:r>
          </w:p>
        </w:tc>
        <w:tc>
          <w:tcPr>
            <w:tcW w:type="dxa" w:w="1440"/>
            <w:shd w:fill="FFDCE0" w:val="clear"/>
          </w:tcPr>
          <w:p>
            <w:r>
              <w:rPr>
                <w:sz w:val="17"/>
              </w:rPr>
              <w:t>66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44</w:t>
            </w:r>
          </w:p>
        </w:tc>
        <w:tc>
          <w:tcPr>
            <w:tcW w:type="dxa" w:w="1440"/>
            <w:shd w:fill="FFDCE0" w:val="clear"/>
          </w:tcPr>
          <w:p>
            <w:r>
              <w:rPr>
                <w:b/>
                <w:sz w:val="17"/>
              </w:rPr>
              <w:t>52</w:t>
            </w:r>
          </w:p>
        </w:tc>
        <w:tc>
          <w:tcPr>
            <w:tcW w:type="dxa" w:w="1440"/>
            <w:shd w:fill="FFDCE0" w:val="clear"/>
          </w:tcPr>
          <w:p>
            <w:r>
              <w:rPr>
                <w:sz w:val="17"/>
              </w:rPr>
              <w:t>60</w:t>
            </w:r>
          </w:p>
        </w:tc>
        <w:tc>
          <w:tcPr>
            <w:tcW w:type="dxa" w:w="1440"/>
            <w:shd w:fill="FFDCE0" w:val="clear"/>
          </w:tcPr>
          <w:p>
            <w:r>
              <w:rPr>
                <w:b/>
                <w:color w:val="C00000"/>
                <w:sz w:val="17"/>
              </w:rPr>
              <w:t>-20.8%</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40</w:t>
            </w:r>
          </w:p>
        </w:tc>
        <w:tc>
          <w:tcPr>
            <w:tcW w:type="dxa" w:w="1440"/>
            <w:shd w:fill="FFDCE0" w:val="clear"/>
          </w:tcPr>
          <w:p>
            <w:r>
              <w:rPr>
                <w:b/>
                <w:sz w:val="17"/>
              </w:rPr>
              <w:t>48</w:t>
            </w:r>
          </w:p>
        </w:tc>
        <w:tc>
          <w:tcPr>
            <w:tcW w:type="dxa" w:w="1440"/>
            <w:shd w:fill="FFDCE0" w:val="clear"/>
          </w:tcPr>
          <w:p>
            <w:r>
              <w:rPr>
                <w:sz w:val="17"/>
              </w:rPr>
              <w:t>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36</w:t>
            </w:r>
          </w:p>
        </w:tc>
        <w:tc>
          <w:tcPr>
            <w:tcW w:type="dxa" w:w="1440"/>
            <w:shd w:fill="FFDCE0" w:val="clear"/>
          </w:tcPr>
          <w:p>
            <w:r>
              <w:rPr>
                <w:b/>
                <w:sz w:val="17"/>
              </w:rPr>
              <w:t>45</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33</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30</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27</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24</w:t>
            </w:r>
          </w:p>
        </w:tc>
        <w:tc>
          <w:tcPr>
            <w:tcW w:type="dxa" w:w="1440"/>
            <w:shd w:fill="FFDCE0" w:val="clear"/>
          </w:tcPr>
          <w:p>
            <w:r>
              <w:rPr>
                <w:b/>
                <w:sz w:val="17"/>
              </w:rPr>
              <w:t>33</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22</w:t>
            </w:r>
          </w:p>
        </w:tc>
        <w:tc>
          <w:tcPr>
            <w:tcW w:type="dxa" w:w="1440"/>
            <w:shd w:fill="FFDCE0" w:val="clear"/>
          </w:tcPr>
          <w:p>
            <w:r>
              <w:rPr>
                <w:b/>
                <w:sz w:val="17"/>
              </w:rPr>
              <w:t>30</w:t>
            </w:r>
          </w:p>
        </w:tc>
        <w:tc>
          <w:tcPr>
            <w:tcW w:type="dxa" w:w="1440"/>
            <w:shd w:fill="FFDCE0" w:val="clear"/>
          </w:tcPr>
          <w:p>
            <w:r>
              <w:rPr>
                <w:sz w:val="17"/>
              </w:rPr>
              <w:t>39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1 193,55 milliards FCFA, ce qui en fait l'une des plus importantes capitalisations de la BRVM, reflétant le statut de leader panafricain du groupe Ecobank. Avec un BPA de 19 FCFA, le titre se négocie à un PER de 3,5x, très inférieur à la moyenne du marché BRVM (8-12x), signalant une nette sous-évaluation relative des bénéfices. Le P/B de 0,75x indique que le marché valorise le titre sous sa valeur comptable, une situation qui suggère une décote significative et un potentiel de revalorisation. Enfin, l'EV/EBITDA de 5,0x confirme cette attractivité, la valeur d'entreprise restant modérée par rapport à la capacité opérationnelle de la banque. Ces ratios combinés témoignent d'une valorisation très bon marché pour un acteur de cette envergure.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d'ETIT a connu une progression spectaculaire de +106,25%, passant d'un plus bas de 26 FCFA à un plus haut de 78 FCFA, avant de se stabiliser à 66 FCFA, avec une légère baisse de -2,94% lors de la dernière séance. La moyenne de 44 FCFA, nettement inférieure à la médiane de 34 FCFA, révèle une distribution asymétrique positive (skewness de 0,734), indiquant que la majorité des séances se sont déroulées sous la moyenne, avec des pics de hausse récents. L'écart-type de 17 FCFA (CV de 38,8%) démontre une dispersion élevée des prix, tandis que le kurtosis négatif de -1,231 (platykurtique) suggère une absence de mouvements extrêmes concentrés. La volatilité annualisée de 64,8% classe le titre comme très risqué, bien au-dessus du seuil de 30% considéré comme élevé, traduisant une forte incertitude malgré la tendance haussière.</w:t>
      </w:r>
    </w:p>
    <w:p>
      <w:pPr>
        <w:spacing w:after="120" w:line="276" w:lineRule="auto" w:before="240"/>
      </w:pPr>
      <w:r>
        <w:rPr>
          <w:b/>
          <w:color w:val="003366"/>
          <w:sz w:val="24"/>
        </w:rPr>
        <w:t>**PARTIE 2 : ANALYSE TECHNIQUE DÉTAILLÉE**</w:t>
      </w:r>
    </w:p>
    <w:p>
      <w:pPr>
        <w:spacing w:after="120" w:line="276" w:lineRule="auto"/>
      </w:pPr>
      <w:r>
        <w:t>**Moyennes Mobiles** : La MM20 à 67,7 FCFA et la MM50 à 56,4 FCFA se situent respectivement au-dessus et en-dessous du cours actuel de 66 FCFA. Le croisement haussier des moyennes mobiles et la position du cours au-dessus de la MM50 confirment une dynamique positive à moyen terme, justifiant la décision d'achat malgré une légère faiblesse à court terme.</w:t>
      </w:r>
    </w:p>
    <w:p>
      <w:pPr>
        <w:spacing w:after="120" w:line="276" w:lineRule="auto"/>
      </w:pPr>
      <w:r>
        <w:t>**Bandes de Bollinger** : Le cours à 66 FCFA se positionne entre la borne inférieure de 61,273 et la borne supérieure de 74,127, proche de la moyenne. Cette position neutre indique une volatilité modérée sans signal directionnel fort, laissant place à une possible consolidation avant un nouveau mouvement.</w:t>
      </w:r>
    </w:p>
    <w:p>
      <w:pPr>
        <w:spacing w:after="120" w:line="276" w:lineRule="auto"/>
      </w:pPr>
      <w:r>
        <w:t>**MACD** : La valeur du MACD à 2,187 est inférieure au signal à 3,161, générant une décision de vente. Cette divergence baissière suggère un affaiblissement du momentum haussier à court terme, bien que les valeurs restent positives, indiquant que la tendance de fond demeure haussière.</w:t>
      </w:r>
    </w:p>
    <w:p>
      <w:pPr>
        <w:spacing w:after="120" w:line="276" w:lineRule="auto"/>
      </w:pPr>
      <w:r>
        <w:t>**RSI** : À 46,667, le RSI se situe en zone neutre, entre 30 et 70, sans signal de surachat ni de survente. Cette valeur reflète un équilibre entre pression acheteuse et vendeuse, laissant aux investisseurs une marge de manœuvre avant une éventuelle surachat.</w:t>
      </w:r>
    </w:p>
    <w:p>
      <w:pPr>
        <w:spacing w:after="120" w:line="276" w:lineRule="auto"/>
      </w:pPr>
      <w:r>
        <w:t>**Stochastique** : Le %K à 40,0 est inférieur au %D à 60,0, indiquant un croisement baissier potentiel. Cette configuration suggère un ralentissement de la dynamique haussière, mais sans signal de survente, le titre pourrait rebondir si le %K repasse au-dessus du %D.</w:t>
      </w:r>
    </w:p>
    <w:p>
      <w:pPr>
        <w:spacing w:after="120" w:line="276" w:lineRule="auto"/>
      </w:pPr>
      <w:r>
        <w:t>**Conclusion technique** : La convergence des indicateurs est mitigée : les moyennes mobiles restent haussières, mais le MACD et le stochastique signalent un essoufflement à court terme. Le RSI neutre et les bandes de Bollinger sans direction claire confirment une phase de consolidation. La tendance de fond demeure positive, mais une correction technique est possible avant la reprise.</w:t>
      </w:r>
    </w:p>
    <w:p>
      <w:pPr>
        <w:spacing w:after="120" w:line="276" w:lineRule="auto" w:before="240"/>
      </w:pPr>
      <w:r>
        <w:rPr>
          <w:b/>
          <w:color w:val="003366"/>
          <w:sz w:val="24"/>
        </w:rPr>
        <w:t>**PARTIE 3 : ANALYSE FONDAMENTALE (SECTION CRITIQUE)**</w:t>
      </w:r>
    </w:p>
    <w:p>
      <w:pPr>
        <w:spacing w:after="120" w:line="276" w:lineRule="auto"/>
      </w:pPr>
      <w:r>
        <w:t>En 2025, les données structurées d'ETIT révèlent une banque solide avec un Produit Net Bancaire de 1 424,261 milliards FCFA et un résultat net de 345,523 milliards FCFA, soit une marge nette de 24,26%. Le ROE de 21,62% et le ROA de 1,80% confirment une excellente rentabilité, tandis que le coefficient d'exploitation de 27,35% démontre une efficacité opérationnelle remarquable, bien en-dessous du seuil de 60%. Le coût du risque de 18,97% reste élevé, signalant un portefeuille de crédit sous pression, mais les dépôts clientèle de 14 120,139 milliards FCFA contre des créances de 6 570,385 milliards FCFA montrent une transformation saine. Les rapports semestriels 2026 (datés du 30 juin 2026) confirment cette dynamique avec un PNB en hausse de 15% à 721,318 milliards FCFA et un résultat net de 166,682 milliards FCFA, en progression de 6%. Le rapport du T1 2026 (PNB +23%) suggère une accélération, et sur cette base, on estime que l'exercice 2026 pourrait dépasser les 1 500 milliards FCFA de PNB. Les rapports 2024 et 2025 montrent une amélioration continue du coefficient d'exploitation (passé sous 50%) et une croissance des dépôts CASA, renforçant la solidité financière du groupe.</w:t>
      </w:r>
    </w:p>
    <w:p>
      <w:pPr>
        <w:spacing w:after="120" w:line="276" w:lineRule="auto" w:before="240"/>
      </w:pPr>
      <w:r>
        <w:rPr>
          <w:b/>
          <w:color w:val="003366"/>
          <w:sz w:val="24"/>
        </w:rPr>
        <w:t>**PARTIE 4 : CONCLUSION D'INVESTISSEMENT**</w:t>
      </w:r>
    </w:p>
    <w:p>
      <w:pPr>
        <w:spacing w:after="120" w:line="276" w:lineRule="auto"/>
      </w:pPr>
      <w:r>
        <w:t>La valorisation d'ETIT est extrêmement attractive avec un PER de 3,5x, un P/B de 0,75x et un EV/EBITDA de 5,0x, indiquant une sous-évaluation marquée malgré des fondamentaux solides. Le comportement du cours, avec une hausse de 106% sur 100 jours, montre une dynamique positive mais une volatilité élevée (64,8%) et une distribution asymétrique qui appellent à la prudence. Les signaux techniques sont partagés : les moyennes mobiles restent haussières, mais le MACD et le stochastique suggèrent un essoufflement à court terme. Les fondamentaux, avec un ROE de 21,62%, un coefficient d'exploitation de 27,35% et une croissance du PNB de 15% au S1 2026, confirment une banque performante et bien gérée. Les prédictions IA, projetant une baisse à 45 FCFA sur 10 jours, contredisent la tendance haussière récente et suggèrent une correction technique. En synthèse, la convergence entre la sous-évaluation, la solidité financière et la croissance des revenus plaide pour une recommandation **ACHAT**, malgré les signaux techniques mitigés et la prédiction baissière à court terme. Le niveau de confiance est **Moyen**, le risque global **Élevé** en raison de la volatilité, et l'horizon d'investissement optimal est le **moyen terme (3-12 mois)** pour capitaliser sur la revalorisation potentielle.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30.75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3,912 titres</w:t>
            </w:r>
          </w:p>
        </w:tc>
        <w:tc>
          <w:tcPr>
            <w:tcW w:type="dxa" w:w="2268"/>
            <w:shd w:fill="FFF2CC" w:val="clear"/>
          </w:tcPr>
          <w:p>
            <w:r>
              <w:rPr>
                <w:b/>
                <w:color w:val="503200"/>
                <w:sz w:val="16"/>
              </w:rPr>
              <w:t xml:space="preserve">Cours actuel : </w:t>
            </w:r>
            <w:r>
              <w:rPr>
                <w:color w:val="000000"/>
                <w:sz w:val="17"/>
              </w:rPr>
              <w:t>2,180 FCFA</w:t>
            </w:r>
          </w:p>
          <w:p>
            <w:r>
              <w:rPr>
                <w:b/>
                <w:color w:val="503200"/>
                <w:sz w:val="16"/>
              </w:rPr>
              <w:t xml:space="preserve">Var. 100 jours : </w:t>
            </w:r>
            <w:r>
              <w:rPr>
                <w:b/>
                <w:color w:val="B40000"/>
                <w:sz w:val="17"/>
              </w:rPr>
              <w:t>-7.43%</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6.57% (Moyenne) — μ=2,162 FCFA, σ=142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β=1.0196 (Neutre (suit le marché)) — Cov=0.000032, Var(idx)=0.000031, ρ=0.248,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3,912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2,122</w:t>
            </w:r>
          </w:p>
        </w:tc>
        <w:tc>
          <w:tcPr>
            <w:tcW w:type="dxa" w:w="1440"/>
            <w:shd w:fill="FAFAFA" w:val="clear"/>
          </w:tcPr>
          <w:p>
            <w:r>
              <w:rPr>
                <w:b/>
                <w:sz w:val="17"/>
              </w:rPr>
              <w:t>2,189</w:t>
            </w:r>
          </w:p>
        </w:tc>
        <w:tc>
          <w:tcPr>
            <w:tcW w:type="dxa" w:w="1440"/>
            <w:shd w:fill="FAFAFA" w:val="clear"/>
          </w:tcPr>
          <w:p>
            <w:r>
              <w:rPr>
                <w:sz w:val="17"/>
              </w:rPr>
              <w:t>2,257</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2026-08-24</w:t>
            </w:r>
          </w:p>
        </w:tc>
        <w:tc>
          <w:tcPr>
            <w:tcW w:type="dxa" w:w="1440"/>
            <w:shd w:fill="FAFAFA" w:val="clear"/>
          </w:tcPr>
          <w:p>
            <w:r>
              <w:rPr>
                <w:sz w:val="17"/>
              </w:rPr>
              <w:t>2,104</w:t>
            </w:r>
          </w:p>
        </w:tc>
        <w:tc>
          <w:tcPr>
            <w:tcW w:type="dxa" w:w="1440"/>
            <w:shd w:fill="FAFAFA" w:val="clear"/>
          </w:tcPr>
          <w:p>
            <w:r>
              <w:rPr>
                <w:b/>
                <w:sz w:val="17"/>
              </w:rPr>
              <w:t>2,200</w:t>
            </w:r>
          </w:p>
        </w:tc>
        <w:tc>
          <w:tcPr>
            <w:tcW w:type="dxa" w:w="1440"/>
            <w:shd w:fill="FAFAFA" w:val="clear"/>
          </w:tcPr>
          <w:p>
            <w:r>
              <w:rPr>
                <w:sz w:val="17"/>
              </w:rPr>
              <w:t>2,296</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2026-08-25</w:t>
            </w:r>
          </w:p>
        </w:tc>
        <w:tc>
          <w:tcPr>
            <w:tcW w:type="dxa" w:w="1440"/>
            <w:shd w:fill="FAFAFA" w:val="clear"/>
          </w:tcPr>
          <w:p>
            <w:r>
              <w:rPr>
                <w:sz w:val="17"/>
              </w:rPr>
              <w:t>2,091</w:t>
            </w:r>
          </w:p>
        </w:tc>
        <w:tc>
          <w:tcPr>
            <w:tcW w:type="dxa" w:w="1440"/>
            <w:shd w:fill="FAFAFA" w:val="clear"/>
          </w:tcPr>
          <w:p>
            <w:r>
              <w:rPr>
                <w:b/>
                <w:sz w:val="17"/>
              </w:rPr>
              <w:t>2,209</w:t>
            </w:r>
          </w:p>
        </w:tc>
        <w:tc>
          <w:tcPr>
            <w:tcW w:type="dxa" w:w="1440"/>
            <w:shd w:fill="FAFAFA" w:val="clear"/>
          </w:tcPr>
          <w:p>
            <w:r>
              <w:rPr>
                <w:sz w:val="17"/>
              </w:rPr>
              <w:t>2,327</w:t>
            </w:r>
          </w:p>
        </w:tc>
        <w:tc>
          <w:tcPr>
            <w:tcW w:type="dxa" w:w="1440"/>
            <w:shd w:fill="FAFAFA" w:val="clear"/>
          </w:tcPr>
          <w:p>
            <w:r>
              <w:rPr>
                <w:b/>
                <w:color w:val="008000"/>
                <w:sz w:val="17"/>
              </w:rPr>
              <w:t>+1.3%</w:t>
            </w:r>
          </w:p>
        </w:tc>
      </w:tr>
      <w:tr>
        <w:tc>
          <w:tcPr>
            <w:tcW w:type="dxa" w:w="1440"/>
            <w:shd w:fill="FAFAFA" w:val="clear"/>
          </w:tcPr>
          <w:p>
            <w:r>
              <w:rPr>
                <w:sz w:val="17"/>
              </w:rPr>
              <w:t>J+4  Moyenne</w:t>
            </w:r>
          </w:p>
        </w:tc>
        <w:tc>
          <w:tcPr>
            <w:tcW w:type="dxa" w:w="1440"/>
            <w:shd w:fill="FAFAFA" w:val="clear"/>
          </w:tcPr>
          <w:p>
            <w:r>
              <w:rPr>
                <w:sz w:val="17"/>
              </w:rPr>
              <w:t>2026-08-27</w:t>
            </w:r>
          </w:p>
        </w:tc>
        <w:tc>
          <w:tcPr>
            <w:tcW w:type="dxa" w:w="1440"/>
            <w:shd w:fill="FAFAFA" w:val="clear"/>
          </w:tcPr>
          <w:p>
            <w:r>
              <w:rPr>
                <w:sz w:val="17"/>
              </w:rPr>
              <w:t>2,081</w:t>
            </w:r>
          </w:p>
        </w:tc>
        <w:tc>
          <w:tcPr>
            <w:tcW w:type="dxa" w:w="1440"/>
            <w:shd w:fill="FAFAFA" w:val="clear"/>
          </w:tcPr>
          <w:p>
            <w:r>
              <w:rPr>
                <w:b/>
                <w:sz w:val="17"/>
              </w:rPr>
              <w:t>2,218</w:t>
            </w:r>
          </w:p>
        </w:tc>
        <w:tc>
          <w:tcPr>
            <w:tcW w:type="dxa" w:w="1440"/>
            <w:shd w:fill="FAFAFA" w:val="clear"/>
          </w:tcPr>
          <w:p>
            <w:r>
              <w:rPr>
                <w:sz w:val="17"/>
              </w:rPr>
              <w:t>2,355</w:t>
            </w:r>
          </w:p>
        </w:tc>
        <w:tc>
          <w:tcPr>
            <w:tcW w:type="dxa" w:w="1440"/>
            <w:shd w:fill="FAFAFA" w:val="clear"/>
          </w:tcPr>
          <w:p>
            <w:r>
              <w:rPr>
                <w:b/>
                <w:color w:val="008000"/>
                <w:sz w:val="17"/>
              </w:rPr>
              <w:t>+1.7%</w:t>
            </w:r>
          </w:p>
        </w:tc>
      </w:tr>
      <w:tr>
        <w:tc>
          <w:tcPr>
            <w:tcW w:type="dxa" w:w="1440"/>
            <w:shd w:fill="C6EFCE" w:val="clear"/>
          </w:tcPr>
          <w:p>
            <w:r>
              <w:rPr>
                <w:sz w:val="17"/>
              </w:rPr>
              <w:t>J+5  Moyenne</w:t>
            </w:r>
          </w:p>
        </w:tc>
        <w:tc>
          <w:tcPr>
            <w:tcW w:type="dxa" w:w="1440"/>
            <w:shd w:fill="C6EFCE" w:val="clear"/>
          </w:tcPr>
          <w:p>
            <w:r>
              <w:rPr>
                <w:sz w:val="17"/>
              </w:rPr>
              <w:t>2026-08-28</w:t>
            </w:r>
          </w:p>
        </w:tc>
        <w:tc>
          <w:tcPr>
            <w:tcW w:type="dxa" w:w="1440"/>
            <w:shd w:fill="C6EFCE" w:val="clear"/>
          </w:tcPr>
          <w:p>
            <w:r>
              <w:rPr>
                <w:sz w:val="17"/>
              </w:rPr>
              <w:t>2,074</w:t>
            </w:r>
          </w:p>
        </w:tc>
        <w:tc>
          <w:tcPr>
            <w:tcW w:type="dxa" w:w="1440"/>
            <w:shd w:fill="C6EFCE" w:val="clear"/>
          </w:tcPr>
          <w:p>
            <w:r>
              <w:rPr>
                <w:b/>
                <w:sz w:val="17"/>
              </w:rPr>
              <w:t>2,227</w:t>
            </w:r>
          </w:p>
        </w:tc>
        <w:tc>
          <w:tcPr>
            <w:tcW w:type="dxa" w:w="1440"/>
            <w:shd w:fill="C6EFCE" w:val="clear"/>
          </w:tcPr>
          <w:p>
            <w:r>
              <w:rPr>
                <w:sz w:val="17"/>
              </w:rPr>
              <w:t>2,381</w:t>
            </w:r>
          </w:p>
        </w:tc>
        <w:tc>
          <w:tcPr>
            <w:tcW w:type="dxa" w:w="1440"/>
            <w:shd w:fill="C6EFCE" w:val="clear"/>
          </w:tcPr>
          <w:p>
            <w:r>
              <w:rPr>
                <w:b/>
                <w:color w:val="008000"/>
                <w:sz w:val="17"/>
              </w:rPr>
              <w:t>+2.2%</w:t>
            </w:r>
          </w:p>
        </w:tc>
      </w:tr>
      <w:tr>
        <w:tc>
          <w:tcPr>
            <w:tcW w:type="dxa" w:w="1440"/>
            <w:shd w:fill="C6EFCE" w:val="clear"/>
          </w:tcPr>
          <w:p>
            <w:r>
              <w:rPr>
                <w:sz w:val="17"/>
              </w:rPr>
              <w:t>J+6  Moyenne</w:t>
            </w:r>
          </w:p>
        </w:tc>
        <w:tc>
          <w:tcPr>
            <w:tcW w:type="dxa" w:w="1440"/>
            <w:shd w:fill="C6EFCE" w:val="clear"/>
          </w:tcPr>
          <w:p>
            <w:r>
              <w:rPr>
                <w:sz w:val="17"/>
              </w:rPr>
              <w:t>2026-08-31</w:t>
            </w:r>
          </w:p>
        </w:tc>
        <w:tc>
          <w:tcPr>
            <w:tcW w:type="dxa" w:w="1440"/>
            <w:shd w:fill="C6EFCE" w:val="clear"/>
          </w:tcPr>
          <w:p>
            <w:r>
              <w:rPr>
                <w:sz w:val="17"/>
              </w:rPr>
              <w:t>2,068</w:t>
            </w:r>
          </w:p>
        </w:tc>
        <w:tc>
          <w:tcPr>
            <w:tcW w:type="dxa" w:w="1440"/>
            <w:shd w:fill="C6EFCE" w:val="clear"/>
          </w:tcPr>
          <w:p>
            <w:r>
              <w:rPr>
                <w:b/>
                <w:sz w:val="17"/>
              </w:rPr>
              <w:t>2,237</w:t>
            </w:r>
          </w:p>
        </w:tc>
        <w:tc>
          <w:tcPr>
            <w:tcW w:type="dxa" w:w="1440"/>
            <w:shd w:fill="C6EFCE" w:val="clear"/>
          </w:tcPr>
          <w:p>
            <w:r>
              <w:rPr>
                <w:sz w:val="17"/>
              </w:rPr>
              <w:t>2,406</w:t>
            </w:r>
          </w:p>
        </w:tc>
        <w:tc>
          <w:tcPr>
            <w:tcW w:type="dxa" w:w="1440"/>
            <w:shd w:fill="C6EFCE" w:val="clear"/>
          </w:tcPr>
          <w:p>
            <w:r>
              <w:rPr>
                <w:b/>
                <w:color w:val="008000"/>
                <w:sz w:val="17"/>
              </w:rPr>
              <w:t>+2.6%</w:t>
            </w:r>
          </w:p>
        </w:tc>
      </w:tr>
      <w:tr>
        <w:tc>
          <w:tcPr>
            <w:tcW w:type="dxa" w:w="1440"/>
            <w:shd w:fill="C6EFCE" w:val="clear"/>
          </w:tcPr>
          <w:p>
            <w:r>
              <w:rPr>
                <w:sz w:val="17"/>
              </w:rPr>
              <w:t>J+7  Moyenne</w:t>
            </w:r>
          </w:p>
        </w:tc>
        <w:tc>
          <w:tcPr>
            <w:tcW w:type="dxa" w:w="1440"/>
            <w:shd w:fill="C6EFCE" w:val="clear"/>
          </w:tcPr>
          <w:p>
            <w:r>
              <w:rPr>
                <w:sz w:val="17"/>
              </w:rPr>
              <w:t>2026-09-01</w:t>
            </w:r>
          </w:p>
        </w:tc>
        <w:tc>
          <w:tcPr>
            <w:tcW w:type="dxa" w:w="1440"/>
            <w:shd w:fill="C6EFCE" w:val="clear"/>
          </w:tcPr>
          <w:p>
            <w:r>
              <w:rPr>
                <w:sz w:val="17"/>
              </w:rPr>
              <w:t>2,063</w:t>
            </w:r>
          </w:p>
        </w:tc>
        <w:tc>
          <w:tcPr>
            <w:tcW w:type="dxa" w:w="1440"/>
            <w:shd w:fill="C6EFCE" w:val="clear"/>
          </w:tcPr>
          <w:p>
            <w:r>
              <w:rPr>
                <w:b/>
                <w:sz w:val="17"/>
              </w:rPr>
              <w:t>2,246</w:t>
            </w:r>
          </w:p>
        </w:tc>
        <w:tc>
          <w:tcPr>
            <w:tcW w:type="dxa" w:w="1440"/>
            <w:shd w:fill="C6EFCE" w:val="clear"/>
          </w:tcPr>
          <w:p>
            <w:r>
              <w:rPr>
                <w:sz w:val="17"/>
              </w:rPr>
              <w:t>2,430</w:t>
            </w:r>
          </w:p>
        </w:tc>
        <w:tc>
          <w:tcPr>
            <w:tcW w:type="dxa" w:w="1440"/>
            <w:shd w:fill="C6EFCE" w:val="clear"/>
          </w:tcPr>
          <w:p>
            <w:r>
              <w:rPr>
                <w:b/>
                <w:color w:val="008000"/>
                <w:sz w:val="17"/>
              </w:rPr>
              <w:t>+3.0%</w:t>
            </w:r>
          </w:p>
        </w:tc>
      </w:tr>
      <w:tr>
        <w:tc>
          <w:tcPr>
            <w:tcW w:type="dxa" w:w="1440"/>
            <w:shd w:fill="C6EFCE" w:val="clear"/>
          </w:tcPr>
          <w:p>
            <w:r>
              <w:rPr>
                <w:sz w:val="17"/>
              </w:rPr>
              <w:t>J+8  Moyenne</w:t>
            </w:r>
          </w:p>
        </w:tc>
        <w:tc>
          <w:tcPr>
            <w:tcW w:type="dxa" w:w="1440"/>
            <w:shd w:fill="C6EFCE" w:val="clear"/>
          </w:tcPr>
          <w:p>
            <w:r>
              <w:rPr>
                <w:sz w:val="17"/>
              </w:rPr>
              <w:t>2026-09-02</w:t>
            </w:r>
          </w:p>
        </w:tc>
        <w:tc>
          <w:tcPr>
            <w:tcW w:type="dxa" w:w="1440"/>
            <w:shd w:fill="C6EFCE" w:val="clear"/>
          </w:tcPr>
          <w:p>
            <w:r>
              <w:rPr>
                <w:sz w:val="17"/>
              </w:rPr>
              <w:t>2,059</w:t>
            </w:r>
          </w:p>
        </w:tc>
        <w:tc>
          <w:tcPr>
            <w:tcW w:type="dxa" w:w="1440"/>
            <w:shd w:fill="C6EFCE" w:val="clear"/>
          </w:tcPr>
          <w:p>
            <w:r>
              <w:rPr>
                <w:b/>
                <w:sz w:val="17"/>
              </w:rPr>
              <w:t>2,256</w:t>
            </w:r>
          </w:p>
        </w:tc>
        <w:tc>
          <w:tcPr>
            <w:tcW w:type="dxa" w:w="1440"/>
            <w:shd w:fill="C6EFCE" w:val="clear"/>
          </w:tcPr>
          <w:p>
            <w:r>
              <w:rPr>
                <w:sz w:val="17"/>
              </w:rPr>
              <w:t>2,453</w:t>
            </w:r>
          </w:p>
        </w:tc>
        <w:tc>
          <w:tcPr>
            <w:tcW w:type="dxa" w:w="1440"/>
            <w:shd w:fill="C6EFCE" w:val="clear"/>
          </w:tcPr>
          <w:p>
            <w:r>
              <w:rPr>
                <w:b/>
                <w:color w:val="008000"/>
                <w:sz w:val="17"/>
              </w:rPr>
              <w:t>+3.5%</w:t>
            </w:r>
          </w:p>
        </w:tc>
      </w:tr>
      <w:tr>
        <w:tc>
          <w:tcPr>
            <w:tcW w:type="dxa" w:w="1440"/>
            <w:shd w:fill="C6EFCE" w:val="clear"/>
          </w:tcPr>
          <w:p>
            <w:r>
              <w:rPr>
                <w:sz w:val="17"/>
              </w:rPr>
              <w:t>J+9  Moyenne</w:t>
            </w:r>
          </w:p>
        </w:tc>
        <w:tc>
          <w:tcPr>
            <w:tcW w:type="dxa" w:w="1440"/>
            <w:shd w:fill="C6EFCE" w:val="clear"/>
          </w:tcPr>
          <w:p>
            <w:r>
              <w:rPr>
                <w:sz w:val="17"/>
              </w:rPr>
              <w:t>2026-09-03</w:t>
            </w:r>
          </w:p>
        </w:tc>
        <w:tc>
          <w:tcPr>
            <w:tcW w:type="dxa" w:w="1440"/>
            <w:shd w:fill="C6EFCE" w:val="clear"/>
          </w:tcPr>
          <w:p>
            <w:r>
              <w:rPr>
                <w:sz w:val="17"/>
              </w:rPr>
              <w:t>2,056</w:t>
            </w:r>
          </w:p>
        </w:tc>
        <w:tc>
          <w:tcPr>
            <w:tcW w:type="dxa" w:w="1440"/>
            <w:shd w:fill="C6EFCE" w:val="clear"/>
          </w:tcPr>
          <w:p>
            <w:r>
              <w:rPr>
                <w:b/>
                <w:sz w:val="17"/>
              </w:rPr>
              <w:t>2,265</w:t>
            </w:r>
          </w:p>
        </w:tc>
        <w:tc>
          <w:tcPr>
            <w:tcW w:type="dxa" w:w="1440"/>
            <w:shd w:fill="C6EFCE" w:val="clear"/>
          </w:tcPr>
          <w:p>
            <w:r>
              <w:rPr>
                <w:sz w:val="17"/>
              </w:rPr>
              <w:t>2,475</w:t>
            </w:r>
          </w:p>
        </w:tc>
        <w:tc>
          <w:tcPr>
            <w:tcW w:type="dxa" w:w="1440"/>
            <w:shd w:fill="C6EFCE" w:val="clear"/>
          </w:tcPr>
          <w:p>
            <w:r>
              <w:rPr>
                <w:b/>
                <w:color w:val="008000"/>
                <w:sz w:val="17"/>
              </w:rPr>
              <w:t>+3.9%</w:t>
            </w:r>
          </w:p>
        </w:tc>
      </w:tr>
      <w:tr>
        <w:tc>
          <w:tcPr>
            <w:tcW w:type="dxa" w:w="1440"/>
            <w:shd w:fill="C6EFCE" w:val="clear"/>
          </w:tcPr>
          <w:p>
            <w:r>
              <w:rPr>
                <w:sz w:val="17"/>
              </w:rPr>
              <w:t>J+10  Moyenne</w:t>
            </w:r>
          </w:p>
        </w:tc>
        <w:tc>
          <w:tcPr>
            <w:tcW w:type="dxa" w:w="1440"/>
            <w:shd w:fill="C6EFCE" w:val="clear"/>
          </w:tcPr>
          <w:p>
            <w:r>
              <w:rPr>
                <w:sz w:val="17"/>
              </w:rPr>
              <w:t>2026-09-04</w:t>
            </w:r>
          </w:p>
        </w:tc>
        <w:tc>
          <w:tcPr>
            <w:tcW w:type="dxa" w:w="1440"/>
            <w:shd w:fill="C6EFCE" w:val="clear"/>
          </w:tcPr>
          <w:p>
            <w:r>
              <w:rPr>
                <w:sz w:val="17"/>
              </w:rPr>
              <w:t>2,053</w:t>
            </w:r>
          </w:p>
        </w:tc>
        <w:tc>
          <w:tcPr>
            <w:tcW w:type="dxa" w:w="1440"/>
            <w:shd w:fill="C6EFCE" w:val="clear"/>
          </w:tcPr>
          <w:p>
            <w:r>
              <w:rPr>
                <w:b/>
                <w:sz w:val="17"/>
              </w:rPr>
              <w:t>2,275</w:t>
            </w:r>
          </w:p>
        </w:tc>
        <w:tc>
          <w:tcPr>
            <w:tcW w:type="dxa" w:w="1440"/>
            <w:shd w:fill="C6EFCE" w:val="clear"/>
          </w:tcPr>
          <w:p>
            <w:r>
              <w:rPr>
                <w:sz w:val="17"/>
              </w:rPr>
              <w:t>2,497</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Voici le rapport d'analyse structuré pour l'action FTSC (FILTISAC CI) sur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30,75 milliards FCFA positionne FTSC comme une valeur de taille moyenne sur la BRVM. Le titre se négocie à un PER de 66,0x, un niveau extrêmement élevé comparé à la moyenne historique du marché (8-12x), indiquant que les investisseurs paient un prix très cher pour chaque unité de bénéfice. Le P/B de 1,96x est plus raisonnable, valorisant la société à environ deux fois sa valeur comptable, ce qui est acceptable. Cependant, l'EV/EBITDA de 38,4x, bien supérieur au seuil exigeant de 15x, confirme une valorisation très généreuse par rapport à la capacité bénéficiaire opérationnelle de l'entreprise. Ces ratios suggèrent que le marché intègre des attentes de croissance ou de redressement fortes, non reflétées par les bénéfices actuels.</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7,43%, mais a rebondi de 1,40% lors de la dernière séance pour clôturer à 2 180 FCFA. Le titre a évolué dans une fourchette de 1 910 à 2 430 FCFA, démontrant une volatilité notable. La moyenne (2 162 FCFA) et la médiane (2 195 FCFA) sont proches, indiquant une distribution des prix relativement symétrique, ce que confirme le skewness (-0,156). L'écart-type de 143 FCFA (CV=6,6%) montre une dispersion modérée autour de la moyenne. Le kurtosis négatif (-1,212) signale une distribution platykurtique, avec moins de valeurs extrêmes que la normale. La volatilité annualisée de 36,4% est élevée, indiquant un risque de prix significatif pour les investisseurs.</w:t>
      </w:r>
    </w:p>
    <w:p>
      <w:pPr>
        <w:spacing w:after="120" w:line="276" w:lineRule="auto"/>
      </w:pPr>
      <w:r>
        <w:t>### PARTIE 2 : ANALYSE TECHNIQUE DÉTAILLÉE</w:t>
      </w:r>
    </w:p>
    <w:p>
      <w:pPr>
        <w:spacing w:after="120" w:line="276" w:lineRule="auto"/>
      </w:pPr>
      <w:r>
        <w:t>**Moyennes Mobiles**: Le cours actuel (2 180 FCFA) est nettement au-dessus de la MM20 (2 054,5 FCFA) et de la MM50 (2 047,2 FCFA). Cette configuration haussière, où le prix est soutenu par les moyennes mobiles, justifie la décision d'**Achat**.</w:t>
      </w:r>
    </w:p>
    <w:p>
      <w:pPr>
        <w:spacing w:after="120" w:line="276" w:lineRule="auto"/>
      </w:pPr>
      <w:r>
        <w:t>**Bandes de Bollinger**: Le prix se situe à 2 180 FCFA, entre la borne inférieure (1 841,06 FCFA) et la borne supérieure (2 267,94 FCFA). La position proche de la borne supérieure indique une pression acheteuse, mais sans sortie de canal, ce qui explique la décision **Neutre**.</w:t>
      </w:r>
    </w:p>
    <w:p>
      <w:pPr>
        <w:spacing w:after="120" w:line="276" w:lineRule="auto"/>
      </w:pPr>
      <w:r>
        <w:t>**MACD**: Le MACD (40,576) est nettement supérieur à sa ligne de signal (23,839), montrant un momentum haussier fort et positif. Cette divergence positive est un signal classique d'**Achat**.</w:t>
      </w:r>
    </w:p>
    <w:p>
      <w:pPr>
        <w:spacing w:after="120" w:line="276" w:lineRule="auto"/>
      </w:pPr>
      <w:r>
        <w:t>**RSI**: Avec une valeur de 75,472, le RSI est en zone de surachat (au-dessus de 70). Cela suggère que le titre est potentiellement survendu à court terme et qu'un repli technique est possible, justifiant la décision de **Vente**.</w:t>
      </w:r>
    </w:p>
    <w:p>
      <w:pPr>
        <w:spacing w:after="120" w:line="276" w:lineRule="auto"/>
      </w:pPr>
      <w:r>
        <w:t>**Stochastique**: Le %K (96,429) et le %D (85,714) sont tous deux en zone de surachat extrême. Le %K est au-dessus de %D, mais à ces niveaux, le risque de retournement est élevé, d'où la décision de **Vente**.</w:t>
      </w:r>
    </w:p>
    <w:p>
      <w:pPr>
        <w:spacing w:after="120" w:line="276" w:lineRule="auto"/>
      </w:pPr>
      <w:r>
        <w:t>**Conclusion technique**: Les indicateurs de tendance (MM, MACD) sont positifs, mais les oscillateurs (RSI, Stochastique) signalent des conditions de surachat extrême. Cette divergence suggère que la tendance haussière de fond est intacte, mais qu'un repli technique à court terme est très probable avant une éventuelle poursuite de la hausse.</w:t>
      </w:r>
    </w:p>
    <w:p>
      <w:pPr>
        <w:spacing w:after="120" w:line="276" w:lineRule="auto"/>
      </w:pPr>
      <w:r>
        <w:t>### PARTIE 3 : ANALYSE FONDAMENTALE (SECTION CRITIQUE)</w:t>
      </w:r>
    </w:p>
    <w:p>
      <w:pPr>
        <w:spacing w:after="120" w:line="276" w:lineRule="auto"/>
      </w:pPr>
      <w:r>
        <w:t>En 2025, FILTISAC a réalisé un chiffre d'affaires de 32,109 milliards FCFA, en hausse de 5%, mais le résultat net s'est effondré à 465,98 millions FCFA, contre 18,6 milliards en 2024, en raison de l'absence de produits exceptionnels liés à la cession de filiales. La marge nette est ainsi tombée à 1,45%, et le ROE à 2,97%, reflétant une faible rentabilité des capitaux propres. La structure financière s'est dégradée avec une trésorerie nette fortement négative (-11,528 milliards FCFA) suite au versement massif de dividendes. Le BFR de 11,529 milliards FCFA et un délai de paiement clients de 213 jours indiquent un besoin de financement important. Le rapport du 3e trimestre 2025 montre un résultat courant avant impôts de -216 millions FCFA, illustrant la fin de l'effet positif des cessions. Cependant, le rapport du 1er trimestre 2026 (publié en 2026) est plus encourageant : le CA a bondi de 55% à 8,901 milliards FCFA, porté par la demande de cacao, et le résultat d'exploitation est redevenu positif (75 millions FCFA), bien que le résultat net reste déficitaire (-154 millions FCFA). On estime que l'exercice 2026 pourrait bénéficier de cette dynamique commerciale, mais la rentabilité nette reste fragile.</w:t>
      </w:r>
    </w:p>
    <w:p>
      <w:pPr>
        <w:spacing w:after="120" w:line="276" w:lineRule="auto"/>
      </w:pPr>
      <w:r>
        <w:t>### PARTIE 4 : CONCLUSION D'INVESTISSEMENT</w:t>
      </w:r>
    </w:p>
    <w:p>
      <w:pPr>
        <w:spacing w:after="120" w:line="276" w:lineRule="auto"/>
      </w:pPr>
      <w:r>
        <w:t>La valorisation de FTSC est extrêmement exigeante (PER 66x, EV/EBITDA 38,4x), ce qui est préoccupant. Le comportement du cours sur 100 jours est baissier (-7,43%) avec une volatilité élevée (36,4%). Les signaux techniques sont mitigés : une tendance haussière de fond (MM, MACD) mais des indicateurs de surachat (RSI, Stochastique) suggèrent un repli imminent. Fondamentalement, la société a subi une chute de rentabilité en 2025, mais montre des signes de redressement opérationnel au T1 2026, avec une croissance du CA de 55%. Les prédictions IA pour les 10 prochains jours prévoient une hausse modérée du cours (jusqu'à 2 227 FCFA), ce qui contredit les signaux de surachat technique. En synthèse, la convergence entre la valorisation élevée, les signaux techniques de surachat et la rentabilité encore fragile plaide pour une position prudente. La recommandation finale est **CONSERVER**, avec un niveau de confiance **Moyen** et un risque global **Élevé**. L'horizon d'investissement optimal serait à **moyen terme (3-12 mois)**, en attendant de voir si l'amélioration opérationnelle se traduit durablement dans les résultats nets.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82.00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3,199 titres</w:t>
            </w:r>
          </w:p>
        </w:tc>
        <w:tc>
          <w:tcPr>
            <w:tcW w:type="dxa" w:w="2268"/>
            <w:shd w:fill="FFF2CC" w:val="clear"/>
          </w:tcPr>
          <w:p>
            <w:r>
              <w:rPr>
                <w:b/>
                <w:color w:val="503200"/>
                <w:sz w:val="16"/>
              </w:rPr>
              <w:t xml:space="preserve">Cours actuel : </w:t>
            </w:r>
            <w:r>
              <w:rPr>
                <w:color w:val="000000"/>
                <w:sz w:val="17"/>
              </w:rPr>
              <w:t>4,100 FCFA</w:t>
            </w:r>
          </w:p>
          <w:p>
            <w:r>
              <w:rPr>
                <w:b/>
                <w:color w:val="503200"/>
                <w:sz w:val="16"/>
              </w:rPr>
              <w:t xml:space="preserve">Var. 100 jours : </w:t>
            </w:r>
            <w:r>
              <w:rPr>
                <w:b/>
                <w:color w:val="007800"/>
                <w:sz w:val="17"/>
              </w:rPr>
              <w:t>+7.89%</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3,800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5.10% (Moyenne) — μ=4,044 FCFA, σ=206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β=0.0755 (Défensif) — Cov=0.000002, Var(idx)=0.000031, ρ=0.018,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2026-08-21</w:t>
            </w:r>
          </w:p>
        </w:tc>
        <w:tc>
          <w:tcPr>
            <w:tcW w:type="dxa" w:w="1440"/>
            <w:shd w:fill="FAFAFA" w:val="clear"/>
          </w:tcPr>
          <w:p>
            <w:r>
              <w:rPr>
                <w:sz w:val="17"/>
              </w:rPr>
              <w:t>3,836</w:t>
            </w:r>
          </w:p>
        </w:tc>
        <w:tc>
          <w:tcPr>
            <w:tcW w:type="dxa" w:w="1440"/>
            <w:shd w:fill="FAFAFA" w:val="clear"/>
          </w:tcPr>
          <w:p>
            <w:r>
              <w:rPr>
                <w:b/>
                <w:sz w:val="17"/>
              </w:rPr>
              <w:t>4,032</w:t>
            </w:r>
          </w:p>
        </w:tc>
        <w:tc>
          <w:tcPr>
            <w:tcW w:type="dxa" w:w="1440"/>
            <w:shd w:fill="FAFAFA" w:val="clear"/>
          </w:tcPr>
          <w:p>
            <w:r>
              <w:rPr>
                <w:sz w:val="17"/>
              </w:rPr>
              <w:t>4,228</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2026-08-24</w:t>
            </w:r>
          </w:p>
        </w:tc>
        <w:tc>
          <w:tcPr>
            <w:tcW w:type="dxa" w:w="1440"/>
            <w:shd w:fill="FAFAFA" w:val="clear"/>
          </w:tcPr>
          <w:p>
            <w:r>
              <w:rPr>
                <w:sz w:val="17"/>
              </w:rPr>
              <w:t>3,743</w:t>
            </w:r>
          </w:p>
        </w:tc>
        <w:tc>
          <w:tcPr>
            <w:tcW w:type="dxa" w:w="1440"/>
            <w:shd w:fill="FAFAFA" w:val="clear"/>
          </w:tcPr>
          <w:p>
            <w:r>
              <w:rPr>
                <w:b/>
                <w:sz w:val="17"/>
              </w:rPr>
              <w:t>4,020</w:t>
            </w:r>
          </w:p>
        </w:tc>
        <w:tc>
          <w:tcPr>
            <w:tcW w:type="dxa" w:w="1440"/>
            <w:shd w:fill="FAFAFA" w:val="clear"/>
          </w:tcPr>
          <w:p>
            <w:r>
              <w:rPr>
                <w:sz w:val="17"/>
              </w:rPr>
              <w:t>4,296</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3,668</w:t>
            </w:r>
          </w:p>
        </w:tc>
        <w:tc>
          <w:tcPr>
            <w:tcW w:type="dxa" w:w="1440"/>
            <w:shd w:fill="FFDCE0" w:val="clear"/>
          </w:tcPr>
          <w:p>
            <w:r>
              <w:rPr>
                <w:b/>
                <w:sz w:val="17"/>
              </w:rPr>
              <w:t>4,005</w:t>
            </w:r>
          </w:p>
        </w:tc>
        <w:tc>
          <w:tcPr>
            <w:tcW w:type="dxa" w:w="1440"/>
            <w:shd w:fill="FFDCE0" w:val="clear"/>
          </w:tcPr>
          <w:p>
            <w:r>
              <w:rPr>
                <w:sz w:val="17"/>
              </w:rPr>
              <w:t>4,342</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3,602</w:t>
            </w:r>
          </w:p>
        </w:tc>
        <w:tc>
          <w:tcPr>
            <w:tcW w:type="dxa" w:w="1440"/>
            <w:shd w:fill="FFDCE0" w:val="clear"/>
          </w:tcPr>
          <w:p>
            <w:r>
              <w:rPr>
                <w:b/>
                <w:sz w:val="17"/>
              </w:rPr>
              <w:t>3,990</w:t>
            </w:r>
          </w:p>
        </w:tc>
        <w:tc>
          <w:tcPr>
            <w:tcW w:type="dxa" w:w="1440"/>
            <w:shd w:fill="FFDCE0" w:val="clear"/>
          </w:tcPr>
          <w:p>
            <w:r>
              <w:rPr>
                <w:sz w:val="17"/>
              </w:rPr>
              <w:t>4,378</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3,544</w:t>
            </w:r>
          </w:p>
        </w:tc>
        <w:tc>
          <w:tcPr>
            <w:tcW w:type="dxa" w:w="1440"/>
            <w:shd w:fill="FFDCE0" w:val="clear"/>
          </w:tcPr>
          <w:p>
            <w:r>
              <w:rPr>
                <w:b/>
                <w:sz w:val="17"/>
              </w:rPr>
              <w:t>3,976</w:t>
            </w:r>
          </w:p>
        </w:tc>
        <w:tc>
          <w:tcPr>
            <w:tcW w:type="dxa" w:w="1440"/>
            <w:shd w:fill="FFDCE0" w:val="clear"/>
          </w:tcPr>
          <w:p>
            <w:r>
              <w:rPr>
                <w:sz w:val="17"/>
              </w:rPr>
              <w:t>4,409</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3,493</w:t>
            </w:r>
          </w:p>
        </w:tc>
        <w:tc>
          <w:tcPr>
            <w:tcW w:type="dxa" w:w="1440"/>
            <w:shd w:fill="FFDCE0" w:val="clear"/>
          </w:tcPr>
          <w:p>
            <w:r>
              <w:rPr>
                <w:b/>
                <w:sz w:val="17"/>
              </w:rPr>
              <w:t>3,965</w:t>
            </w:r>
          </w:p>
        </w:tc>
        <w:tc>
          <w:tcPr>
            <w:tcW w:type="dxa" w:w="1440"/>
            <w:shd w:fill="FFDCE0" w:val="clear"/>
          </w:tcPr>
          <w:p>
            <w:r>
              <w:rPr>
                <w:sz w:val="17"/>
              </w:rPr>
              <w:t>4,437</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3,446</w:t>
            </w:r>
          </w:p>
        </w:tc>
        <w:tc>
          <w:tcPr>
            <w:tcW w:type="dxa" w:w="1440"/>
            <w:shd w:fill="FFDCE0" w:val="clear"/>
          </w:tcPr>
          <w:p>
            <w:r>
              <w:rPr>
                <w:b/>
                <w:sz w:val="17"/>
              </w:rPr>
              <w:t>3,955</w:t>
            </w:r>
          </w:p>
        </w:tc>
        <w:tc>
          <w:tcPr>
            <w:tcW w:type="dxa" w:w="1440"/>
            <w:shd w:fill="FFDCE0" w:val="clear"/>
          </w:tcPr>
          <w:p>
            <w:r>
              <w:rPr>
                <w:sz w:val="17"/>
              </w:rPr>
              <w:t>4,463</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3,404</w:t>
            </w:r>
          </w:p>
        </w:tc>
        <w:tc>
          <w:tcPr>
            <w:tcW w:type="dxa" w:w="1440"/>
            <w:shd w:fill="FFDCE0" w:val="clear"/>
          </w:tcPr>
          <w:p>
            <w:r>
              <w:rPr>
                <w:b/>
                <w:sz w:val="17"/>
              </w:rPr>
              <w:t>3,947</w:t>
            </w:r>
          </w:p>
        </w:tc>
        <w:tc>
          <w:tcPr>
            <w:tcW w:type="dxa" w:w="1440"/>
            <w:shd w:fill="FFDCE0" w:val="clear"/>
          </w:tcPr>
          <w:p>
            <w:r>
              <w:rPr>
                <w:sz w:val="17"/>
              </w:rPr>
              <w:t>4,490</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3,366</w:t>
            </w:r>
          </w:p>
        </w:tc>
        <w:tc>
          <w:tcPr>
            <w:tcW w:type="dxa" w:w="1440"/>
            <w:shd w:fill="FFDCE0" w:val="clear"/>
          </w:tcPr>
          <w:p>
            <w:r>
              <w:rPr>
                <w:b/>
                <w:sz w:val="17"/>
              </w:rPr>
              <w:t>3,941</w:t>
            </w:r>
          </w:p>
        </w:tc>
        <w:tc>
          <w:tcPr>
            <w:tcW w:type="dxa" w:w="1440"/>
            <w:shd w:fill="FFDCE0" w:val="clear"/>
          </w:tcPr>
          <w:p>
            <w:r>
              <w:rPr>
                <w:sz w:val="17"/>
              </w:rPr>
              <w:t>4,516</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3,333</w:t>
            </w:r>
          </w:p>
        </w:tc>
        <w:tc>
          <w:tcPr>
            <w:tcW w:type="dxa" w:w="1440"/>
            <w:shd w:fill="FFDCE0" w:val="clear"/>
          </w:tcPr>
          <w:p>
            <w:r>
              <w:rPr>
                <w:b/>
                <w:sz w:val="17"/>
              </w:rPr>
              <w:t>3,938</w:t>
            </w:r>
          </w:p>
        </w:tc>
        <w:tc>
          <w:tcPr>
            <w:tcW w:type="dxa" w:w="1440"/>
            <w:shd w:fill="FFDCE0" w:val="clear"/>
          </w:tcPr>
          <w:p>
            <w:r>
              <w:rPr>
                <w:sz w:val="17"/>
              </w:rPr>
              <w:t>4,544</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20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82 milliards FCFA, un niveau significatif sur la BRVM, reflétant la position de leader de la société dans le secteur des jeux en zone UEMOA. Avec un BPA de 231 FCFA, chaque action génère un bénéfice confortable, justifiant un PER de 17,7x. Ce ratio est nettement supérieur à la moyenne historique de la BRVM (8-12x), indiquant que le marché valorise déjà des perspectives de croissance et de redressement, malgré les récentes difficultés. Le P/B de 3,74x confirme cette prime, le marché valorisant la société à près de 3,7 fois sa valeur comptable, ce qui témoigne d'une confiance dans la création de valeur future. Enfin, l'EV/EBITDA de 10,4x, bien que dans la fourchette haute, reste raisonnable pour une entreprise disposant d'une trésorerie nette substantielle de près de 8 milliards FCFA, ce qui tempère la cherté apparente de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progression de +7,89%, mais a subi un repli de -1,91% lors de la dernière séance, signe d'une consolidation après un rebond. Le cours a évolué dans une fourchette de 3 800 à 4 560 FCFA, démontrant une amplitude de trading de près de 20%. La moyenne du cours sur la période (4 044 FCFA) est supérieure à la médiane (3 962 FCFA), et le skewness positif de 0,670 indique une asymétrie avec des journées plus fréquentes sous la moyenne, mais des mouvements de hausse plus amples. L'écart-type de 207 FCFA (CV=5,1%) révèle une dispersion modérée, tandis que le kurtosis de -0,957 (mésokurtique) suggère une distribution proche de la normale, sans risque de variations extrêmes. La volatilité annualisée de 36,3% classe le titre comme très volatil, ce qui implique un risque élevé mais aussi un potentiel de gains significatifs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(4 100 FCFA) est inférieur à la MM20 (4 257 FCFA) et à la MM50 (4 206 FCFA), indiquant une pression vendeuse à court terme. Cependant, la décision d'achat suggérée par cet indicateur est paradoxale ; elle pourrait s'expliquer par un croisement haussier récent des moyennes, anticipant un retournement. La position sous les moyennes reste un signal de prudence, mais la dynamique pourrait s'inverser si le cours repasse au-dessus de la MM20.</w:t>
      </w:r>
    </w:p>
    <w:p>
      <w:pPr>
        <w:spacing w:after="120" w:line="276" w:lineRule="auto"/>
      </w:pPr>
      <w:r>
        <w:t>**Bandes de Bollinger** : Le prix se situe à 4 100 FCFA, proche de la borne inférieure (3 973 FCFA), ce qui indique que le titre est dans la partie basse de son canal de volatilité. La décision "Neutre" est cohérente : le marché n'est pas en situation de surachat ni de survente extrême. La largeur des bandes suggère une volatilité encore élevée, mais le cours pourrait rebondir vers la moyenne (4 257 FCFA) s'il trouve un support solide.</w:t>
      </w:r>
    </w:p>
    <w:p>
      <w:pPr>
        <w:spacing w:after="120" w:line="276" w:lineRule="auto"/>
      </w:pPr>
      <w:r>
        <w:t>**MACD** : La valeur négative du MACD (-33,68) par rapport à son signal (-6,097) confirme une dynamique baissière à court terme. La divergence négative indique que le momentum est vendeur, ce qui justifie la décision de "Vente". Ce signal est en phase avec la récente baisse du cours et suggère une possible poursuite du mouvement de correction avant un éventuel retournement.</w:t>
      </w:r>
    </w:p>
    <w:p>
      <w:pPr>
        <w:spacing w:after="120" w:line="276" w:lineRule="auto"/>
      </w:pPr>
      <w:r>
        <w:t>**RSI** : À 46,48, le RSI est en zone neutre, indiquant un équilibre entre les forces acheteuses et vendeuses. Cette valeur suggère que le titre n'est ni suracheté ni survendu, laissant place à une évolution directionnelle. La décision "Neutre" est appropriée, mais un mouvement sous 30 ou au-dessus de 70 serait nécessaire pour signaler un retournement majeur.</w:t>
      </w:r>
    </w:p>
    <w:p>
      <w:pPr>
        <w:spacing w:after="120" w:line="276" w:lineRule="auto"/>
      </w:pPr>
      <w:r>
        <w:t>**Stochastique** : Le %K (17,86) est inférieur au %D (24,70), mais les deux sont en zone de survente (&lt;20). Cela indique une pression vendeuse excessive à court terme, ce qui pourrait précéder un rebond technique. La décision "Achat" est donc justifiée, car le marché semble avoir intégré une baisse excessive et un retour à la normale est probable.</w:t>
      </w:r>
    </w:p>
    <w:p>
      <w:pPr>
        <w:spacing w:after="120" w:line="276" w:lineRule="auto"/>
      </w:pPr>
      <w:r>
        <w:t>**Conclusion technique** : Les indicateurs sont mitigés. Les moyennes mobiles et le MACD suggèrent une prudence, tandis que le RSI est neutre et le stochastique pointe vers un rebond. La configuration actuelle suggère une phase de consolidation avec un biais baissier à court terme, mais le stochastique en survente pourrait déclencher un rebond technique. La tendance de fond reste incertaine, nécessitant une confirmation par le passage du cours au-dessus de la MM20.</w:t>
      </w:r>
    </w:p>
    <w:p>
      <w:pPr>
        <w:spacing w:after="120" w:line="276" w:lineRule="auto"/>
      </w:pPr>
      <w:r>
        <w:t>---</w:t>
      </w:r>
    </w:p>
    <w:p>
      <w:pPr>
        <w:spacing w:after="120" w:line="276" w:lineRule="auto"/>
      </w:pPr>
      <w:r>
        <w:t>### PARTIE 3 : ANALYSE FONDAMENTALE (SECTION CRITIQUE)</w:t>
      </w:r>
    </w:p>
    <w:p>
      <w:pPr>
        <w:spacing w:after="120" w:line="276" w:lineRule="auto"/>
      </w:pPr>
      <w:r>
        <w:t>En 2025, la LNB a enregistré un chiffre d'affaires de 98,598 milliards FCFA, en baisse de -3,85% par rapport à 2024, et un résultat net de 4,622 milliards FCFA, en recul de -36%. La marge nette s'est établie à 4,69%, tandis que le ROE est excellent à 21,05% et le ROA à 14,17%, témoignant d'une gestion efficace des actifs et des fonds propres. La structure financière est très saine avec une autonomie financière de 67,32% et une trésorerie nette positive de 7,979 milliards FCFA. Le BFR est négatif (-217 millions FCFA), ce qui est favorable, et les délais clients (4,82 jours) et fournisseurs (20,41 jours) sont bien maîtrisés. Les rapports trimestriels de 2025 (T1, S1, T3) montrent une dégradation progressive, mais le rapport annuel souligne une amélioration de la valeur ajoutée (+22%) et de l'EBE (+34%), signe d'une bonne maîtrise des charges. Pour 2026, les rapports T1 et S1 indiquent une reprise : le CA du S1 2026 progresse de +4% à 49,937 milliards FCFA, et le résultat net bondit de +60% grâce aux partenariats et à la maîtrise des coûts. Sur la base de ces données, on estime que l'exercice 2026 pourrait voir un CA annuel autour de 102-103 milliards FCFA et un résultat net en forte amélioration, potentiellement supérieur à 6 milliards FCFA, si la tendance se maintient. La solidité financière, la politique de dividende (173 FCFA brut par action proposé pour 2025) et les perspectives de redressement confèrent à la société un profil fondamental robuste.</w:t>
      </w:r>
    </w:p>
    <w:p>
      <w:pPr>
        <w:spacing w:after="120" w:line="276" w:lineRule="auto"/>
      </w:pPr>
      <w:r>
        <w:t>---</w:t>
      </w:r>
    </w:p>
    <w:p>
      <w:pPr>
        <w:spacing w:after="120" w:line="276" w:lineRule="auto"/>
      </w:pPr>
      <w:r>
        <w:t>### PARTIE 4 : CONCLUSION D'INVESTISSEMENT</w:t>
      </w:r>
    </w:p>
    <w:p>
      <w:pPr>
        <w:spacing w:after="120" w:line="276" w:lineRule="auto"/>
      </w:pPr>
      <w:r>
        <w:t>La valorisation de LNBB est exigeante avec un PER de 17,7x et un P/B de 3,74x, indiquant que le marché anticipe déjà un redressement. Le comportement du cours sur 100 jours est positif (+7,89%) mais volatil (36,3%), avec des statistiques montrant une distribution normale et une asymétrie positive, ce qui est plutôt favorable. Les signaux techniques sont mitigés : les moyennes mobiles et le MACD sont baissiers à court terme, mais le stochastique suggère un rebond imminent. Les fondamentaux sont solides, avec une amélioration notable en 2026 (résultat net +60% au S1), une structure financière saine et des perspectives de croissance portées par le digital et les partenariats. Les prédictions IA pour les 10 prochains jours indiquent une légère baisse vers 3 976 FCFA, ce qui contredit le signal d'achat du stochastique mais pourrait offrir un point d'entrée plus attractif. En synthèse, la convergence entre la solidité fondamentale et les perspectives de redressement est forte, mais la valorisation et les signaux techniques mitigés incitent à la prudence. **Recommandation : CONSERVER**, avec un niveau de confiance Moyen et un risque global Moyen. L'horizon d'investissement optimal est le moyen terme (3-12 mois), en attendant la confirmation des résultats annuels 2026 et une possible amélioration des signaux techniques.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5,270 titres</w:t>
            </w:r>
          </w:p>
        </w:tc>
        <w:tc>
          <w:tcPr>
            <w:tcW w:type="dxa" w:w="2268"/>
            <w:shd w:fill="FFF2CC" w:val="clear"/>
          </w:tcPr>
          <w:p>
            <w:r>
              <w:rPr>
                <w:b/>
                <w:color w:val="503200"/>
                <w:sz w:val="16"/>
              </w:rPr>
              <w:t xml:space="preserve">Cours actuel : </w:t>
            </w:r>
            <w:r>
              <w:rPr>
                <w:color w:val="000000"/>
                <w:sz w:val="17"/>
              </w:rPr>
              <w:t>2,350 FCFA</w:t>
            </w:r>
          </w:p>
          <w:p>
            <w:r>
              <w:rPr>
                <w:b/>
                <w:color w:val="503200"/>
                <w:sz w:val="16"/>
              </w:rPr>
              <w:t xml:space="preserve">Var. 100 jours : </w:t>
            </w:r>
            <w:r>
              <w:rPr>
                <w:b/>
                <w:color w:val="007800"/>
                <w:sz w:val="17"/>
              </w:rPr>
              <w:t>+64.34%</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17.07% (Élevée) — μ=1,968 FCFA, σ=336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β=-0.1659 (Contre-cyclique) — Cov=-0.000005, Var(idx)=0.000031, ρ=-0.029,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52/100  (Moyen)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2,042</w:t>
            </w:r>
          </w:p>
        </w:tc>
        <w:tc>
          <w:tcPr>
            <w:tcW w:type="dxa" w:w="1440"/>
            <w:shd w:fill="FFDCE0" w:val="clear"/>
          </w:tcPr>
          <w:p>
            <w:r>
              <w:rPr>
                <w:b/>
                <w:sz w:val="17"/>
              </w:rPr>
              <w:t>2,174</w:t>
            </w:r>
          </w:p>
        </w:tc>
        <w:tc>
          <w:tcPr>
            <w:tcW w:type="dxa" w:w="1440"/>
            <w:shd w:fill="FFDCE0" w:val="clear"/>
          </w:tcPr>
          <w:p>
            <w:r>
              <w:rPr>
                <w:sz w:val="17"/>
              </w:rPr>
              <w:t>2,306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1,838</w:t>
            </w:r>
          </w:p>
        </w:tc>
        <w:tc>
          <w:tcPr>
            <w:tcW w:type="dxa" w:w="1440"/>
            <w:shd w:fill="FFDCE0" w:val="clear"/>
          </w:tcPr>
          <w:p>
            <w:r>
              <w:rPr>
                <w:b/>
                <w:sz w:val="17"/>
              </w:rPr>
              <w:t>2,011</w:t>
            </w:r>
          </w:p>
        </w:tc>
        <w:tc>
          <w:tcPr>
            <w:tcW w:type="dxa" w:w="1440"/>
            <w:shd w:fill="FFDCE0" w:val="clear"/>
          </w:tcPr>
          <w:p>
            <w:r>
              <w:rPr>
                <w:sz w:val="17"/>
              </w:rPr>
              <w:t>2,183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1,665</w:t>
            </w:r>
          </w:p>
        </w:tc>
        <w:tc>
          <w:tcPr>
            <w:tcW w:type="dxa" w:w="1440"/>
            <w:shd w:fill="FFDCE0" w:val="clear"/>
          </w:tcPr>
          <w:p>
            <w:r>
              <w:rPr>
                <w:b/>
                <w:sz w:val="17"/>
              </w:rPr>
              <w:t>1,860</w:t>
            </w:r>
          </w:p>
        </w:tc>
        <w:tc>
          <w:tcPr>
            <w:tcW w:type="dxa" w:w="1440"/>
            <w:shd w:fill="FFDCE0" w:val="clear"/>
          </w:tcPr>
          <w:p>
            <w:r>
              <w:rPr>
                <w:sz w:val="17"/>
              </w:rPr>
              <w:t>2,055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1,541</w:t>
            </w:r>
          </w:p>
        </w:tc>
        <w:tc>
          <w:tcPr>
            <w:tcW w:type="dxa" w:w="1440"/>
            <w:shd w:fill="FFDCE0" w:val="clear"/>
          </w:tcPr>
          <w:p>
            <w:r>
              <w:rPr>
                <w:b/>
                <w:sz w:val="17"/>
              </w:rPr>
              <w:t>1,754</w:t>
            </w:r>
          </w:p>
        </w:tc>
        <w:tc>
          <w:tcPr>
            <w:tcW w:type="dxa" w:w="1440"/>
            <w:shd w:fill="FFDCE0" w:val="clear"/>
          </w:tcPr>
          <w:p>
            <w:r>
              <w:rPr>
                <w:sz w:val="17"/>
              </w:rPr>
              <w:t>1,966</w:t>
            </w:r>
          </w:p>
        </w:tc>
        <w:tc>
          <w:tcPr>
            <w:tcW w:type="dxa" w:w="1440"/>
            <w:shd w:fill="FFDCE0" w:val="clear"/>
          </w:tcPr>
          <w:p>
            <w:r>
              <w:rPr>
                <w:b/>
                <w:color w:val="C00000"/>
                <w:sz w:val="17"/>
              </w:rPr>
              <w:t>-25.4%</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1,443</w:t>
            </w:r>
          </w:p>
        </w:tc>
        <w:tc>
          <w:tcPr>
            <w:tcW w:type="dxa" w:w="1440"/>
            <w:shd w:fill="FFDCE0" w:val="clear"/>
          </w:tcPr>
          <w:p>
            <w:r>
              <w:rPr>
                <w:b/>
                <w:sz w:val="17"/>
              </w:rPr>
              <w:t>1,669</w:t>
            </w:r>
          </w:p>
        </w:tc>
        <w:tc>
          <w:tcPr>
            <w:tcW w:type="dxa" w:w="1440"/>
            <w:shd w:fill="FFDCE0" w:val="clear"/>
          </w:tcPr>
          <w:p>
            <w:r>
              <w:rPr>
                <w:sz w:val="17"/>
              </w:rPr>
              <w:t>1,896</w:t>
            </w:r>
          </w:p>
        </w:tc>
        <w:tc>
          <w:tcPr>
            <w:tcW w:type="dxa" w:w="1440"/>
            <w:shd w:fill="FFDCE0" w:val="clear"/>
          </w:tcPr>
          <w:p>
            <w:r>
              <w:rPr>
                <w:b/>
                <w:color w:val="C00000"/>
                <w:sz w:val="17"/>
              </w:rPr>
              <w:t>-29.0%</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1,361</w:t>
            </w:r>
          </w:p>
        </w:tc>
        <w:tc>
          <w:tcPr>
            <w:tcW w:type="dxa" w:w="1440"/>
            <w:shd w:fill="FFDCE0" w:val="clear"/>
          </w:tcPr>
          <w:p>
            <w:r>
              <w:rPr>
                <w:b/>
                <w:sz w:val="17"/>
              </w:rPr>
              <w:t>1,598</w:t>
            </w:r>
          </w:p>
        </w:tc>
        <w:tc>
          <w:tcPr>
            <w:tcW w:type="dxa" w:w="1440"/>
            <w:shd w:fill="FFDCE0" w:val="clear"/>
          </w:tcPr>
          <w:p>
            <w:r>
              <w:rPr>
                <w:sz w:val="17"/>
              </w:rPr>
              <w:t>1,836</w:t>
            </w:r>
          </w:p>
        </w:tc>
        <w:tc>
          <w:tcPr>
            <w:tcW w:type="dxa" w:w="1440"/>
            <w:shd w:fill="FFDCE0" w:val="clear"/>
          </w:tcPr>
          <w:p>
            <w:r>
              <w:rPr>
                <w:b/>
                <w:color w:val="C00000"/>
                <w:sz w:val="17"/>
              </w:rPr>
              <w:t>-32.0%</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1,291</w:t>
            </w:r>
          </w:p>
        </w:tc>
        <w:tc>
          <w:tcPr>
            <w:tcW w:type="dxa" w:w="1440"/>
            <w:shd w:fill="FFDCE0" w:val="clear"/>
          </w:tcPr>
          <w:p>
            <w:r>
              <w:rPr>
                <w:b/>
                <w:sz w:val="17"/>
              </w:rPr>
              <w:t>1,537</w:t>
            </w:r>
          </w:p>
        </w:tc>
        <w:tc>
          <w:tcPr>
            <w:tcW w:type="dxa" w:w="1440"/>
            <w:shd w:fill="FFDCE0" w:val="clear"/>
          </w:tcPr>
          <w:p>
            <w:r>
              <w:rPr>
                <w:sz w:val="17"/>
              </w:rPr>
              <w:t>1,784</w:t>
            </w:r>
          </w:p>
        </w:tc>
        <w:tc>
          <w:tcPr>
            <w:tcW w:type="dxa" w:w="1440"/>
            <w:shd w:fill="FFDCE0" w:val="clear"/>
          </w:tcPr>
          <w:p>
            <w:r>
              <w:rPr>
                <w:b/>
                <w:color w:val="C00000"/>
                <w:sz w:val="17"/>
              </w:rPr>
              <w:t>-34.6%</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1,229</w:t>
            </w:r>
          </w:p>
        </w:tc>
        <w:tc>
          <w:tcPr>
            <w:tcW w:type="dxa" w:w="1440"/>
            <w:shd w:fill="FFDCE0" w:val="clear"/>
          </w:tcPr>
          <w:p>
            <w:r>
              <w:rPr>
                <w:b/>
                <w:sz w:val="17"/>
              </w:rPr>
              <w:t>1,483</w:t>
            </w:r>
          </w:p>
        </w:tc>
        <w:tc>
          <w:tcPr>
            <w:tcW w:type="dxa" w:w="1440"/>
            <w:shd w:fill="FFDCE0" w:val="clear"/>
          </w:tcPr>
          <w:p>
            <w:r>
              <w:rPr>
                <w:sz w:val="17"/>
              </w:rPr>
              <w:t>1,737</w:t>
            </w:r>
          </w:p>
        </w:tc>
        <w:tc>
          <w:tcPr>
            <w:tcW w:type="dxa" w:w="1440"/>
            <w:shd w:fill="FFDCE0" w:val="clear"/>
          </w:tcPr>
          <w:p>
            <w:r>
              <w:rPr>
                <w:b/>
                <w:color w:val="C00000"/>
                <w:sz w:val="17"/>
              </w:rPr>
              <w:t>-36.9%</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1,174</w:t>
            </w:r>
          </w:p>
        </w:tc>
        <w:tc>
          <w:tcPr>
            <w:tcW w:type="dxa" w:w="1440"/>
            <w:shd w:fill="FFDCE0" w:val="clear"/>
          </w:tcPr>
          <w:p>
            <w:r>
              <w:rPr>
                <w:b/>
                <w:sz w:val="17"/>
              </w:rPr>
              <w:t>1,435</w:t>
            </w:r>
          </w:p>
        </w:tc>
        <w:tc>
          <w:tcPr>
            <w:tcW w:type="dxa" w:w="1440"/>
            <w:shd w:fill="FFDCE0" w:val="clear"/>
          </w:tcPr>
          <w:p>
            <w:r>
              <w:rPr>
                <w:sz w:val="17"/>
              </w:rPr>
              <w:t>1,696</w:t>
            </w:r>
          </w:p>
        </w:tc>
        <w:tc>
          <w:tcPr>
            <w:tcW w:type="dxa" w:w="1440"/>
            <w:shd w:fill="FFDCE0" w:val="clear"/>
          </w:tcPr>
          <w:p>
            <w:r>
              <w:rPr>
                <w:b/>
                <w:color w:val="C00000"/>
                <w:sz w:val="17"/>
              </w:rPr>
              <w:t>-38.9%</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1,124</w:t>
            </w:r>
          </w:p>
        </w:tc>
        <w:tc>
          <w:tcPr>
            <w:tcW w:type="dxa" w:w="1440"/>
            <w:shd w:fill="FFDCE0" w:val="clear"/>
          </w:tcPr>
          <w:p>
            <w:r>
              <w:rPr>
                <w:b/>
                <w:sz w:val="17"/>
              </w:rPr>
              <w:t>1,391</w:t>
            </w:r>
          </w:p>
        </w:tc>
        <w:tc>
          <w:tcPr>
            <w:tcW w:type="dxa" w:w="1440"/>
            <w:shd w:fill="FFDCE0" w:val="clear"/>
          </w:tcPr>
          <w:p>
            <w:r>
              <w:rPr>
                <w:sz w:val="17"/>
              </w:rPr>
              <w:t>1,657</w:t>
            </w:r>
          </w:p>
        </w:tc>
        <w:tc>
          <w:tcPr>
            <w:tcW w:type="dxa" w:w="1440"/>
            <w:shd w:fill="FFDCE0" w:val="clear"/>
          </w:tcPr>
          <w:p>
            <w:r>
              <w:rPr>
                <w:b/>
                <w:color w:val="C00000"/>
                <w:sz w:val="17"/>
              </w:rPr>
              <w:t>-40.8%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30 milliards FCFA, un niveau modeste qui la classe parmi les valeurs moyennes de la cote BRVM, offrant une liquidité potentiellement limitée mais une certaine agilité. Avec un BPA de 160 FCFA, le titre se négocie à un PER de 14,7x, ce qui représente une prime significative par rapport à la moyenne historique du marché (8-12x), indiquant que les investisseurs anticipent une poursuite de la croissance des bénéfices. Le P/B de 5,21x est particulièrement exigeant, le marché valorisant fortement les capitaux propres de la société, tandis que l'EV/EBITDA de 21,9x confirme cette valorisation tendue, la valeur d'entreprise intégrant une prime substantielle par rapport à la capacité opérationnelle. Ces ratios suggèrent que le marché a déjà intégré des perspectives très optimistes, laissant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+64,34%, avec une accélération marquée lors de la dernière séance (+7,06%), portant le cours à 2 350 FCFA. Le titre a évolué dans une fourchette très large de 1 365 à 2 400 FCFA, démontrant une volatilité extrême et un momentum haussier puissant. La moyenne (1 968 FCFA) est inférieure à la médiane (1 998 FCFA), et le skewness négatif (-0,671) indique que les journées de hausse ont été plus fréquentes mais de moindre ampleur que les rares baisses, un comportement typique des marchés en forte tendance haussière. L'écart-type de 338 FCFA (CV=17,2%) révèle une dispersion modérée autour de la moyenne, tandis que le kurtosis de -0,917 (mésokurtique) suggère une distribution proche de la normale, sans risque de pics extrêmes. La volatilité annualisée de 50,9% classe NEIC comme un actif à très haut risque, exigeant une gestion stricte du risque.</w:t>
      </w:r>
    </w:p>
    <w:p>
      <w:pPr>
        <w:spacing w:after="120" w:line="276" w:lineRule="auto" w:before="240"/>
      </w:pPr>
      <w:r>
        <w:rPr>
          <w:b/>
          <w:color w:val="003366"/>
          <w:sz w:val="24"/>
        </w:rPr>
        <w:t>**PARTIE 2 : ANALYSE TECHNIQUE DÉTAILLÉE**</w:t>
      </w:r>
    </w:p>
    <w:p>
      <w:pPr>
        <w:spacing w:after="120" w:line="276" w:lineRule="auto"/>
      </w:pPr>
      <w:r>
        <w:t>**Moyennes Mobiles** : Les MM20 (2 243,5 FCFA) et MM50 (2 243,9 FCFA) sont quasi identiques, mais le cours (2 350 FCFA) évolue au-dessus de ces deux moyennes, suggérant une dynamique haussière à court et moyen terme. La décision de vente signalée par le système est paradoxale, car elle reflète probablement un écart excessif du prix par rapport aux moyennes, indiquant une possible correction à venir.</w:t>
      </w:r>
    </w:p>
    <w:p>
      <w:pPr>
        <w:spacing w:after="120" w:line="276" w:lineRule="auto"/>
      </w:pPr>
      <w:r>
        <w:t>**Bandes de Bollinger** : Le cours (2 350 FCFA) se situe très près de la borne supérieure (2 353,9 FCFA), indiquant que le titre est en zone de surachat technique. La largeur des bandes (2 133 à 2 354 FCFA) reflète une volatilité élevée, et la décision neutre suggère que le marché attend un catalyseur pour poursuivre ou corriger.</w:t>
      </w:r>
    </w:p>
    <w:p>
      <w:pPr>
        <w:spacing w:after="120" w:line="276" w:lineRule="auto"/>
      </w:pPr>
      <w:r>
        <w:t>**MACD** : Le MACD (5,029) est supérieur à son signal (4,017), avec un écart positif de 1,012 point, confirmant un momentum haussier soutenu. La décision d'achat est cohérente avec la tendance générale, mais l'écart croissant pourrait signaler une exubérance excessive à court terme.</w:t>
      </w:r>
    </w:p>
    <w:p>
      <w:pPr>
        <w:spacing w:after="120" w:line="276" w:lineRule="auto"/>
      </w:pPr>
      <w:r>
        <w:t>**RSI** : À 54,17, le RSI se situe en zone neutre, indiquant que le titre n'est ni suracheté ni survendu. Cette valeur suggère que la pression acheteuse reste modérée, laissant une marge de progression avant d'atteindre la zone de surachat (&gt;70).</w:t>
      </w:r>
    </w:p>
    <w:p>
      <w:pPr>
        <w:spacing w:after="120" w:line="276" w:lineRule="auto"/>
      </w:pPr>
      <w:r>
        <w:t>**Stochastique** : Le %K (100,0) est extrêmement élevé, tandis que le %D (59,46) reste nettement inférieur, créant un écart important. Cette configuration signale un surachat extrême à court terme, avec une décision de vente justifiée par la probabilité élevée d'un repli technique imminent.</w:t>
      </w:r>
    </w:p>
    <w:p>
      <w:pPr>
        <w:spacing w:after="120" w:line="276" w:lineRule="auto"/>
      </w:pPr>
      <w:r>
        <w:t>**Conclusion technique** : Les signaux sont mitigés, avec un MACD haussier et un RSI neutre contrastant avec un stochastique en surachat extrême et un prix proche de la borne supérieure de Bollinger. La tendance de fond reste haussière, mais les indicateurs de court terme suggèrent une consolidation ou une correction technique avant la poursuite du mouvement.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performance financière remarquable pour NEIC, avec un chiffre d'affaires de 5,139 milliards FCFA et un résultat net de 2,037 milliards FCFA, soit une marge nette exceptionnelle de 39,6%. La rentabilité des fonds propres (ROE) atteint 35,4%, un niveau excellent qui témoigne d'une allocation efficace du capital, tandis que le ROA de 27,3% confirme une utilisation optimale des actifs. La structure financière est très saine avec une autonomie financière de 77% et une trésorerie nette positive de 4,196 milliards FCFA, représentant 56% du total du bilan. Cependant, le taux de croissance du CA de -23,8% par rapport à l'exercice précédent est préoccupant, et le délai clients de 154,7 jours constitue un risque de trésorerie significatif. Le rapport du T3 2025 (3,406 milliards FCFA de CA, -35% vs T3 2024) confirme cette tendance baissière, mais le bénéfice net de 1,596 milliards FCFA (+125%) est artificiellement gonflé par une reprise de provision pour redressement fiscal. Le rapport T1 2026 montre une amélioration du CA (+137% à 115,1 millions FCFA) mais une perte nette persistante de -168,9 millions FCFA. Les états financiers certifiés 2024 indiquaient une perte de 759 millions FCFA, contrastant avec les 2,037 milliards de bénéfice en 2025, suggérant une forte volatilité des résultats. Le rapport annuel 2025 mentionne un dividende de 2,04 milliards FCFA (100% du résultat net), une politique généreuse qui pourrait limiter la capacité d'autofinancement future.</w:t>
      </w:r>
    </w:p>
    <w:p>
      <w:pPr>
        <w:spacing w:after="120" w:line="276" w:lineRule="auto" w:before="240"/>
      </w:pPr>
      <w:r>
        <w:rPr>
          <w:b/>
          <w:color w:val="003366"/>
          <w:sz w:val="24"/>
        </w:rPr>
        <w:t>**PARTIE 4 : CONCLUSION D'INVESTISSEMENT**</w:t>
      </w:r>
    </w:p>
    <w:p>
      <w:pPr>
        <w:spacing w:after="120" w:line="276" w:lineRule="auto"/>
      </w:pPr>
      <w:r>
        <w:t>La valorisation de NEIC (PER 14,7x, P/B 5,21x, EV/EBITDA 21,9x) est exigeante, intégrant des anticipations de croissance qui semblent optimistes au vu de la baisse du chiffre d'affaires (-23,8% en 2025). Le comportement du cours (+64,34% sur 100 jours) avec une volatilité annualisée de 50,9% reflète un enthousiasme spéculatif marqué, mais les statistiques (kurtosis mésokurtique, skewness négatif) suggèrent un risque de correction. Les signaux techniques sont divergents : le MACD haussier et le RSI neutre contrastent avec le stochastique en surachat extrême et la proximité de la borne supérieure de Bollinger, indiquant une consolidation probable. Les fondamentaux montrent une rentabilité exceptionnelle en 2025 (ROE 35,4%, marge nette 39,6%) mais cette performance est fragile, dépendante d'éléments non récurrents et d'une activité en déclin. Les prédictions IA (2 174 à 1 669 FCFA sur 10 jours) confirment cette analyse, anticipant une correction de 25-30% par rapport au cours actuel. La convergence entre la valorisation tendue, les signaux techniques de surachat et les prédictions baissières justifie une recommandation de **VENTE** avec un niveau de confiance **Moyen** et un risque global **Élevé**. L'horizon d'investissement optimal serait le **court terme (&lt;3 mois)** pour les investisseurs cherchant à sécuriser leurs gains, avec un point d'entrée potentiel autour de 1 700-1 800 FCFA si la correction se matérialise.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566.42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1,977 titres</w:t>
            </w:r>
          </w:p>
        </w:tc>
        <w:tc>
          <w:tcPr>
            <w:tcW w:type="dxa" w:w="2268"/>
            <w:shd w:fill="FFF2CC" w:val="clear"/>
          </w:tcPr>
          <w:p>
            <w:r>
              <w:rPr>
                <w:b/>
                <w:color w:val="503200"/>
                <w:sz w:val="16"/>
              </w:rPr>
              <w:t xml:space="preserve">Cours actuel : </w:t>
            </w:r>
            <w:r>
              <w:rPr>
                <w:color w:val="000000"/>
                <w:sz w:val="17"/>
              </w:rPr>
              <w:t>22,900 FCFA</w:t>
            </w:r>
          </w:p>
          <w:p>
            <w:r>
              <w:rPr>
                <w:b/>
                <w:color w:val="503200"/>
                <w:sz w:val="16"/>
              </w:rPr>
              <w:t xml:space="preserve">Var. 100 jours : </w:t>
            </w:r>
            <w:r>
              <w:rPr>
                <w:b/>
                <w:color w:val="007800"/>
                <w:sz w:val="17"/>
              </w:rPr>
              <w:t>+62.47%</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19.59% (Élevée) — μ=18,527 FCFA, σ=3,629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β=1.5537 (Agressif) — Cov=0.000049, Var(idx)=0.000031, ρ=0.364,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2026-08-21</w:t>
            </w:r>
          </w:p>
        </w:tc>
        <w:tc>
          <w:tcPr>
            <w:tcW w:type="dxa" w:w="1440"/>
            <w:shd w:fill="C6EFCE" w:val="clear"/>
          </w:tcPr>
          <w:p>
            <w:r>
              <w:rPr>
                <w:sz w:val="17"/>
              </w:rPr>
              <w:t>22,600</w:t>
            </w:r>
          </w:p>
        </w:tc>
        <w:tc>
          <w:tcPr>
            <w:tcW w:type="dxa" w:w="1440"/>
            <w:shd w:fill="C6EFCE" w:val="clear"/>
          </w:tcPr>
          <w:p>
            <w:r>
              <w:rPr>
                <w:b/>
                <w:sz w:val="17"/>
              </w:rPr>
              <w:t>23,496</w:t>
            </w:r>
          </w:p>
        </w:tc>
        <w:tc>
          <w:tcPr>
            <w:tcW w:type="dxa" w:w="1440"/>
            <w:shd w:fill="C6EFCE" w:val="clear"/>
          </w:tcPr>
          <w:p>
            <w:r>
              <w:rPr>
                <w:sz w:val="17"/>
              </w:rPr>
              <w:t>24,392</w:t>
            </w:r>
          </w:p>
        </w:tc>
        <w:tc>
          <w:tcPr>
            <w:tcW w:type="dxa" w:w="1440"/>
            <w:shd w:fill="C6EFCE" w:val="clear"/>
          </w:tcPr>
          <w:p>
            <w:r>
              <w:rPr>
                <w:b/>
                <w:color w:val="008000"/>
                <w:sz w:val="17"/>
              </w:rPr>
              <w:t>+2.6%</w:t>
            </w:r>
          </w:p>
        </w:tc>
      </w:tr>
      <w:tr>
        <w:tc>
          <w:tcPr>
            <w:tcW w:type="dxa" w:w="1440"/>
            <w:shd w:fill="C6EFCE" w:val="clear"/>
          </w:tcPr>
          <w:p>
            <w:r>
              <w:rPr>
                <w:sz w:val="17"/>
              </w:rPr>
              <w:t>J+2  Moyenne</w:t>
            </w:r>
          </w:p>
        </w:tc>
        <w:tc>
          <w:tcPr>
            <w:tcW w:type="dxa" w:w="1440"/>
            <w:shd w:fill="C6EFCE" w:val="clear"/>
          </w:tcPr>
          <w:p>
            <w:r>
              <w:rPr>
                <w:sz w:val="17"/>
              </w:rPr>
              <w:t>2026-08-24</w:t>
            </w:r>
          </w:p>
        </w:tc>
        <w:tc>
          <w:tcPr>
            <w:tcW w:type="dxa" w:w="1440"/>
            <w:shd w:fill="C6EFCE" w:val="clear"/>
          </w:tcPr>
          <w:p>
            <w:r>
              <w:rPr>
                <w:sz w:val="17"/>
              </w:rPr>
              <w:t>22,630</w:t>
            </w:r>
          </w:p>
        </w:tc>
        <w:tc>
          <w:tcPr>
            <w:tcW w:type="dxa" w:w="1440"/>
            <w:shd w:fill="C6EFCE" w:val="clear"/>
          </w:tcPr>
          <w:p>
            <w:r>
              <w:rPr>
                <w:b/>
                <w:sz w:val="17"/>
              </w:rPr>
              <w:t>23,920</w:t>
            </w:r>
          </w:p>
        </w:tc>
        <w:tc>
          <w:tcPr>
            <w:tcW w:type="dxa" w:w="1440"/>
            <w:shd w:fill="C6EFCE" w:val="clear"/>
          </w:tcPr>
          <w:p>
            <w:r>
              <w:rPr>
                <w:sz w:val="17"/>
              </w:rPr>
              <w:t>25,210</w:t>
            </w:r>
          </w:p>
        </w:tc>
        <w:tc>
          <w:tcPr>
            <w:tcW w:type="dxa" w:w="1440"/>
            <w:shd w:fill="C6EFCE" w:val="clear"/>
          </w:tcPr>
          <w:p>
            <w:r>
              <w:rPr>
                <w:b/>
                <w:color w:val="008000"/>
                <w:sz w:val="17"/>
              </w:rPr>
              <w:t>+4.5%</w:t>
            </w:r>
          </w:p>
        </w:tc>
      </w:tr>
      <w:tr>
        <w:tc>
          <w:tcPr>
            <w:tcW w:type="dxa" w:w="1440"/>
            <w:shd w:fill="C6EFCE" w:val="clear"/>
          </w:tcPr>
          <w:p>
            <w:r>
              <w:rPr>
                <w:sz w:val="17"/>
              </w:rPr>
              <w:t>J+3  Moyenne</w:t>
            </w:r>
          </w:p>
        </w:tc>
        <w:tc>
          <w:tcPr>
            <w:tcW w:type="dxa" w:w="1440"/>
            <w:shd w:fill="C6EFCE" w:val="clear"/>
          </w:tcPr>
          <w:p>
            <w:r>
              <w:rPr>
                <w:sz w:val="17"/>
              </w:rPr>
              <w:t>2026-08-25</w:t>
            </w:r>
          </w:p>
        </w:tc>
        <w:tc>
          <w:tcPr>
            <w:tcW w:type="dxa" w:w="1440"/>
            <w:shd w:fill="C6EFCE" w:val="clear"/>
          </w:tcPr>
          <w:p>
            <w:r>
              <w:rPr>
                <w:sz w:val="17"/>
              </w:rPr>
              <w:t>22,723</w:t>
            </w:r>
          </w:p>
        </w:tc>
        <w:tc>
          <w:tcPr>
            <w:tcW w:type="dxa" w:w="1440"/>
            <w:shd w:fill="C6EFCE" w:val="clear"/>
          </w:tcPr>
          <w:p>
            <w:r>
              <w:rPr>
                <w:b/>
                <w:sz w:val="17"/>
              </w:rPr>
              <w:t>24,330</w:t>
            </w:r>
          </w:p>
        </w:tc>
        <w:tc>
          <w:tcPr>
            <w:tcW w:type="dxa" w:w="1440"/>
            <w:shd w:fill="C6EFCE" w:val="clear"/>
          </w:tcPr>
          <w:p>
            <w:r>
              <w:rPr>
                <w:sz w:val="17"/>
              </w:rPr>
              <w:t>25,937</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2026-08-27</w:t>
            </w:r>
          </w:p>
        </w:tc>
        <w:tc>
          <w:tcPr>
            <w:tcW w:type="dxa" w:w="1440"/>
            <w:shd w:fill="C6EFCE" w:val="clear"/>
          </w:tcPr>
          <w:p>
            <w:r>
              <w:rPr>
                <w:sz w:val="17"/>
              </w:rPr>
              <w:t>22,838</w:t>
            </w:r>
          </w:p>
        </w:tc>
        <w:tc>
          <w:tcPr>
            <w:tcW w:type="dxa" w:w="1440"/>
            <w:shd w:fill="C6EFCE" w:val="clear"/>
          </w:tcPr>
          <w:p>
            <w:r>
              <w:rPr>
                <w:b/>
                <w:sz w:val="17"/>
              </w:rPr>
              <w:t>24,724</w:t>
            </w:r>
          </w:p>
        </w:tc>
        <w:tc>
          <w:tcPr>
            <w:tcW w:type="dxa" w:w="1440"/>
            <w:shd w:fill="C6EFCE" w:val="clear"/>
          </w:tcPr>
          <w:p>
            <w:r>
              <w:rPr>
                <w:sz w:val="17"/>
              </w:rPr>
              <w:t>26,609</w:t>
            </w:r>
          </w:p>
        </w:tc>
        <w:tc>
          <w:tcPr>
            <w:tcW w:type="dxa" w:w="1440"/>
            <w:shd w:fill="C6EFCE" w:val="clear"/>
          </w:tcPr>
          <w:p>
            <w:r>
              <w:rPr>
                <w:b/>
                <w:color w:val="008000"/>
                <w:sz w:val="17"/>
              </w:rPr>
              <w:t>+8.0%</w:t>
            </w:r>
          </w:p>
        </w:tc>
      </w:tr>
      <w:tr>
        <w:tc>
          <w:tcPr>
            <w:tcW w:type="dxa" w:w="1440"/>
            <w:shd w:fill="C6EFCE" w:val="clear"/>
          </w:tcPr>
          <w:p>
            <w:r>
              <w:rPr>
                <w:sz w:val="17"/>
              </w:rPr>
              <w:t>J+5  ⭐</w:t>
            </w:r>
          </w:p>
        </w:tc>
        <w:tc>
          <w:tcPr>
            <w:tcW w:type="dxa" w:w="1440"/>
            <w:shd w:fill="C6EFCE" w:val="clear"/>
          </w:tcPr>
          <w:p>
            <w:r>
              <w:rPr>
                <w:sz w:val="17"/>
              </w:rPr>
              <w:t>2026-08-28</w:t>
            </w:r>
          </w:p>
        </w:tc>
        <w:tc>
          <w:tcPr>
            <w:tcW w:type="dxa" w:w="1440"/>
            <w:shd w:fill="C6EFCE" w:val="clear"/>
          </w:tcPr>
          <w:p>
            <w:r>
              <w:rPr>
                <w:sz w:val="17"/>
              </w:rPr>
              <w:t>22,972</w:t>
            </w:r>
          </w:p>
        </w:tc>
        <w:tc>
          <w:tcPr>
            <w:tcW w:type="dxa" w:w="1440"/>
            <w:shd w:fill="C6EFCE" w:val="clear"/>
          </w:tcPr>
          <w:p>
            <w:r>
              <w:rPr>
                <w:b/>
                <w:sz w:val="17"/>
              </w:rPr>
              <w:t>25,114</w:t>
            </w:r>
          </w:p>
        </w:tc>
        <w:tc>
          <w:tcPr>
            <w:tcW w:type="dxa" w:w="1440"/>
            <w:shd w:fill="C6EFCE" w:val="clear"/>
          </w:tcPr>
          <w:p>
            <w:r>
              <w:rPr>
                <w:sz w:val="17"/>
              </w:rPr>
              <w:t>27,255</w:t>
            </w:r>
          </w:p>
        </w:tc>
        <w:tc>
          <w:tcPr>
            <w:tcW w:type="dxa" w:w="1440"/>
            <w:shd w:fill="C6EFCE" w:val="clear"/>
          </w:tcPr>
          <w:p>
            <w:r>
              <w:rPr>
                <w:b/>
                <w:color w:val="008000"/>
                <w:sz w:val="17"/>
              </w:rPr>
              <w:t>+9.7%</w:t>
            </w:r>
          </w:p>
        </w:tc>
      </w:tr>
      <w:tr>
        <w:tc>
          <w:tcPr>
            <w:tcW w:type="dxa" w:w="1440"/>
            <w:shd w:fill="C6EFCE" w:val="clear"/>
          </w:tcPr>
          <w:p>
            <w:r>
              <w:rPr>
                <w:sz w:val="17"/>
              </w:rPr>
              <w:t>J+6  ⭐</w:t>
            </w:r>
          </w:p>
        </w:tc>
        <w:tc>
          <w:tcPr>
            <w:tcW w:type="dxa" w:w="1440"/>
            <w:shd w:fill="C6EFCE" w:val="clear"/>
          </w:tcPr>
          <w:p>
            <w:r>
              <w:rPr>
                <w:sz w:val="17"/>
              </w:rPr>
              <w:t>2026-08-31</w:t>
            </w:r>
          </w:p>
        </w:tc>
        <w:tc>
          <w:tcPr>
            <w:tcW w:type="dxa" w:w="1440"/>
            <w:shd w:fill="C6EFCE" w:val="clear"/>
          </w:tcPr>
          <w:p>
            <w:r>
              <w:rPr>
                <w:sz w:val="17"/>
              </w:rPr>
              <w:t>23,119</w:t>
            </w:r>
          </w:p>
        </w:tc>
        <w:tc>
          <w:tcPr>
            <w:tcW w:type="dxa" w:w="1440"/>
            <w:shd w:fill="C6EFCE" w:val="clear"/>
          </w:tcPr>
          <w:p>
            <w:r>
              <w:rPr>
                <w:b/>
                <w:sz w:val="17"/>
              </w:rPr>
              <w:t>25,501</w:t>
            </w:r>
          </w:p>
        </w:tc>
        <w:tc>
          <w:tcPr>
            <w:tcW w:type="dxa" w:w="1440"/>
            <w:shd w:fill="C6EFCE" w:val="clear"/>
          </w:tcPr>
          <w:p>
            <w:r>
              <w:rPr>
                <w:sz w:val="17"/>
              </w:rPr>
              <w:t>27,883</w:t>
            </w:r>
          </w:p>
        </w:tc>
        <w:tc>
          <w:tcPr>
            <w:tcW w:type="dxa" w:w="1440"/>
            <w:shd w:fill="C6EFCE" w:val="clear"/>
          </w:tcPr>
          <w:p>
            <w:r>
              <w:rPr>
                <w:b/>
                <w:color w:val="008000"/>
                <w:sz w:val="17"/>
              </w:rPr>
              <w:t>+11.4%</w:t>
            </w:r>
          </w:p>
        </w:tc>
      </w:tr>
      <w:tr>
        <w:tc>
          <w:tcPr>
            <w:tcW w:type="dxa" w:w="1440"/>
            <w:shd w:fill="C6EFCE" w:val="clear"/>
          </w:tcPr>
          <w:p>
            <w:r>
              <w:rPr>
                <w:sz w:val="17"/>
              </w:rPr>
              <w:t>J+7  ⭐</w:t>
            </w:r>
          </w:p>
        </w:tc>
        <w:tc>
          <w:tcPr>
            <w:tcW w:type="dxa" w:w="1440"/>
            <w:shd w:fill="C6EFCE" w:val="clear"/>
          </w:tcPr>
          <w:p>
            <w:r>
              <w:rPr>
                <w:sz w:val="17"/>
              </w:rPr>
              <w:t>2026-09-01</w:t>
            </w:r>
          </w:p>
        </w:tc>
        <w:tc>
          <w:tcPr>
            <w:tcW w:type="dxa" w:w="1440"/>
            <w:shd w:fill="C6EFCE" w:val="clear"/>
          </w:tcPr>
          <w:p>
            <w:r>
              <w:rPr>
                <w:sz w:val="17"/>
              </w:rPr>
              <w:t>23,276</w:t>
            </w:r>
          </w:p>
        </w:tc>
        <w:tc>
          <w:tcPr>
            <w:tcW w:type="dxa" w:w="1440"/>
            <w:shd w:fill="C6EFCE" w:val="clear"/>
          </w:tcPr>
          <w:p>
            <w:r>
              <w:rPr>
                <w:b/>
                <w:sz w:val="17"/>
              </w:rPr>
              <w:t>25,888</w:t>
            </w:r>
          </w:p>
        </w:tc>
        <w:tc>
          <w:tcPr>
            <w:tcW w:type="dxa" w:w="1440"/>
            <w:shd w:fill="C6EFCE" w:val="clear"/>
          </w:tcPr>
          <w:p>
            <w:r>
              <w:rPr>
                <w:sz w:val="17"/>
              </w:rPr>
              <w:t>28,500</w:t>
            </w:r>
          </w:p>
        </w:tc>
        <w:tc>
          <w:tcPr>
            <w:tcW w:type="dxa" w:w="1440"/>
            <w:shd w:fill="C6EFCE" w:val="clear"/>
          </w:tcPr>
          <w:p>
            <w:r>
              <w:rPr>
                <w:b/>
                <w:color w:val="008000"/>
                <w:sz w:val="17"/>
              </w:rPr>
              <w:t>+13.0%</w:t>
            </w:r>
          </w:p>
        </w:tc>
      </w:tr>
      <w:tr>
        <w:tc>
          <w:tcPr>
            <w:tcW w:type="dxa" w:w="1440"/>
            <w:shd w:fill="C6EFCE" w:val="clear"/>
          </w:tcPr>
          <w:p>
            <w:r>
              <w:rPr>
                <w:sz w:val="17"/>
              </w:rPr>
              <w:t>J+8  ⭐</w:t>
            </w:r>
          </w:p>
        </w:tc>
        <w:tc>
          <w:tcPr>
            <w:tcW w:type="dxa" w:w="1440"/>
            <w:shd w:fill="C6EFCE" w:val="clear"/>
          </w:tcPr>
          <w:p>
            <w:r>
              <w:rPr>
                <w:sz w:val="17"/>
              </w:rPr>
              <w:t>2026-09-02</w:t>
            </w:r>
          </w:p>
        </w:tc>
        <w:tc>
          <w:tcPr>
            <w:tcW w:type="dxa" w:w="1440"/>
            <w:shd w:fill="C6EFCE" w:val="clear"/>
          </w:tcPr>
          <w:p>
            <w:r>
              <w:rPr>
                <w:sz w:val="17"/>
              </w:rPr>
              <w:t>23,440</w:t>
            </w:r>
          </w:p>
        </w:tc>
        <w:tc>
          <w:tcPr>
            <w:tcW w:type="dxa" w:w="1440"/>
            <w:shd w:fill="C6EFCE" w:val="clear"/>
          </w:tcPr>
          <w:p>
            <w:r>
              <w:rPr>
                <w:b/>
                <w:sz w:val="17"/>
              </w:rPr>
              <w:t>26,274</w:t>
            </w:r>
          </w:p>
        </w:tc>
        <w:tc>
          <w:tcPr>
            <w:tcW w:type="dxa" w:w="1440"/>
            <w:shd w:fill="C6EFCE" w:val="clear"/>
          </w:tcPr>
          <w:p>
            <w:r>
              <w:rPr>
                <w:sz w:val="17"/>
              </w:rPr>
              <w:t>29,108</w:t>
            </w:r>
          </w:p>
        </w:tc>
        <w:tc>
          <w:tcPr>
            <w:tcW w:type="dxa" w:w="1440"/>
            <w:shd w:fill="C6EFCE" w:val="clear"/>
          </w:tcPr>
          <w:p>
            <w:r>
              <w:rPr>
                <w:b/>
                <w:color w:val="008000"/>
                <w:sz w:val="17"/>
              </w:rPr>
              <w:t>+14.7%</w:t>
            </w:r>
          </w:p>
        </w:tc>
      </w:tr>
      <w:tr>
        <w:tc>
          <w:tcPr>
            <w:tcW w:type="dxa" w:w="1440"/>
            <w:shd w:fill="C6EFCE" w:val="clear"/>
          </w:tcPr>
          <w:p>
            <w:r>
              <w:rPr>
                <w:sz w:val="17"/>
              </w:rPr>
              <w:t>J+9  ⭐</w:t>
            </w:r>
          </w:p>
        </w:tc>
        <w:tc>
          <w:tcPr>
            <w:tcW w:type="dxa" w:w="1440"/>
            <w:shd w:fill="C6EFCE" w:val="clear"/>
          </w:tcPr>
          <w:p>
            <w:r>
              <w:rPr>
                <w:sz w:val="17"/>
              </w:rPr>
              <w:t>2026-09-03</w:t>
            </w:r>
          </w:p>
        </w:tc>
        <w:tc>
          <w:tcPr>
            <w:tcW w:type="dxa" w:w="1440"/>
            <w:shd w:fill="C6EFCE" w:val="clear"/>
          </w:tcPr>
          <w:p>
            <w:r>
              <w:rPr>
                <w:sz w:val="17"/>
              </w:rPr>
              <w:t>23,609</w:t>
            </w:r>
          </w:p>
        </w:tc>
        <w:tc>
          <w:tcPr>
            <w:tcW w:type="dxa" w:w="1440"/>
            <w:shd w:fill="C6EFCE" w:val="clear"/>
          </w:tcPr>
          <w:p>
            <w:r>
              <w:rPr>
                <w:b/>
                <w:sz w:val="17"/>
              </w:rPr>
              <w:t>26,659</w:t>
            </w:r>
          </w:p>
        </w:tc>
        <w:tc>
          <w:tcPr>
            <w:tcW w:type="dxa" w:w="1440"/>
            <w:shd w:fill="C6EFCE" w:val="clear"/>
          </w:tcPr>
          <w:p>
            <w:r>
              <w:rPr>
                <w:sz w:val="17"/>
              </w:rPr>
              <w:t>29,708</w:t>
            </w:r>
          </w:p>
        </w:tc>
        <w:tc>
          <w:tcPr>
            <w:tcW w:type="dxa" w:w="1440"/>
            <w:shd w:fill="C6EFCE" w:val="clear"/>
          </w:tcPr>
          <w:p>
            <w:r>
              <w:rPr>
                <w:b/>
                <w:color w:val="008000"/>
                <w:sz w:val="17"/>
              </w:rPr>
              <w:t>+16.4%</w:t>
            </w:r>
          </w:p>
        </w:tc>
      </w:tr>
      <w:tr>
        <w:tc>
          <w:tcPr>
            <w:tcW w:type="dxa" w:w="1440"/>
            <w:shd w:fill="C6EFCE" w:val="clear"/>
          </w:tcPr>
          <w:p>
            <w:r>
              <w:rPr>
                <w:sz w:val="17"/>
              </w:rPr>
              <w:t>J+10  ⭐</w:t>
            </w:r>
          </w:p>
        </w:tc>
        <w:tc>
          <w:tcPr>
            <w:tcW w:type="dxa" w:w="1440"/>
            <w:shd w:fill="C6EFCE" w:val="clear"/>
          </w:tcPr>
          <w:p>
            <w:r>
              <w:rPr>
                <w:sz w:val="17"/>
              </w:rPr>
              <w:t>2026-09-04</w:t>
            </w:r>
          </w:p>
        </w:tc>
        <w:tc>
          <w:tcPr>
            <w:tcW w:type="dxa" w:w="1440"/>
            <w:shd w:fill="C6EFCE" w:val="clear"/>
          </w:tcPr>
          <w:p>
            <w:r>
              <w:rPr>
                <w:sz w:val="17"/>
              </w:rPr>
              <w:t>23,781</w:t>
            </w:r>
          </w:p>
        </w:tc>
        <w:tc>
          <w:tcPr>
            <w:tcW w:type="dxa" w:w="1440"/>
            <w:shd w:fill="C6EFCE" w:val="clear"/>
          </w:tcPr>
          <w:p>
            <w:r>
              <w:rPr>
                <w:b/>
                <w:sz w:val="17"/>
              </w:rPr>
              <w:t>27,042</w:t>
            </w:r>
          </w:p>
        </w:tc>
        <w:tc>
          <w:tcPr>
            <w:tcW w:type="dxa" w:w="1440"/>
            <w:shd w:fill="C6EFCE" w:val="clear"/>
          </w:tcPr>
          <w:p>
            <w:r>
              <w:rPr>
                <w:sz w:val="17"/>
              </w:rPr>
              <w:t>30,303</w:t>
            </w:r>
          </w:p>
        </w:tc>
        <w:tc>
          <w:tcPr>
            <w:tcW w:type="dxa" w:w="1440"/>
            <w:shd w:fill="C6EFCE" w:val="clear"/>
          </w:tcPr>
          <w:p>
            <w:r>
              <w:rPr>
                <w:b/>
                <w:color w:val="008000"/>
                <w:sz w:val="17"/>
              </w:rPr>
              <w:t>+18.1%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20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566,42 milliards FCFA, NSBC se positionne parmi les valeurs bancaires majeures de la BRVM, reflétant la confiance des investisseurs dans le leader du secteur bancaire ivoirien. Le BPA de 1 646 FCFA indique que chaque action génère un bénéfice substantiel, justifiant un PER de 13,9x. Ce ratio, bien que supérieur à la moyenne historique de la BRVM (8-12x), reste modéré et témoigne d'une valorisation raisonnable pour une banque de cette envergure, les investisseurs acceptant de payer une prime pour la qualité de ses actifs. Le P/B de 2,43x confirme cette prime de croissance, le marché valorisant la banque au-dessus de sa valeur comptable. Cependant, l'EV/EBITDA de 21,4x apparaît très exigeant, signalant que la valeur totale de l'entreprise (dette incluse) est élevée par rapport à sa capacité opérationnelle, ce qui pourrait limiter le potentiel de hausse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performance spectaculaire de +62,47%, passant d'un plus bas de 13 810 FCFA à un plus haut de 24 020 FCFA, avant de clôturer à 22 900 FCFA, en léger repli de -0,43% lors de la dernière séance. Cette tendance fortement haussière démontre un intérêt marqué des investisseurs. La moyenne du cours sur la période (18 527 FCFA) est inférieure à la médiane (19 098 FCFA), indiquant une distribution légèrement asymétrique avec une concentration des prix vers le bas de la fourchette avant l'accélération récente. L'écart-type de 3 647 FCFA (CV de 19,7%) révèle une dispersion modérée des prix autour de la moyenne. Le kurtosis de -1,461 (platykurtique) suggère une distribution aplatie avec peu de valeurs extrêmes, tandis que le skewness de -0,023 confirme une symétrie quasi parfaite. La volatilité annualisée de 37,6% classe le titre comme très volatil, un niveau élevé qui implique des fluctuations de prix importantes et un risque accru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(22 900 FCFA) se situe au-dessus de la MM20 (23 362 FCFA) et de la MM50 (21 628 FCFA), bien que légèrement sous la MM20. La configuration haussière des MM50 par rapport au cours confirme une tendance de fond positive. La décision "Achat" est justifiée par la dynamique haussière de moyen terme, le cours évoluant dans un canal ascendant.</w:t>
      </w:r>
    </w:p>
    <w:p>
      <w:pPr>
        <w:spacing w:after="120" w:line="276" w:lineRule="auto"/>
      </w:pPr>
      <w:r>
        <w:t>**Bandes de Bollinger** : Le cours se positionne près de la borne inférieure (22 679 FCFA) et sous la borne supérieure (24 045 FCFA), indiquant une volatilité modérée. La décision "Neutre" reflète un mouvement de consolidation après la forte hausse, le prix testant la zone de support des bandes.</w:t>
      </w:r>
    </w:p>
    <w:p>
      <w:pPr>
        <w:spacing w:after="120" w:line="276" w:lineRule="auto"/>
      </w:pPr>
      <w:r>
        <w:t>**MACD** : La valeur du MACD (390,7) est inférieure à son signal (607,6), indiquant un momentum baissier à court terme. La décision "Vente" signale un ralentissement de la dynamique haussière, les investisseurs prenant des bénéfices après la récente appréciation.</w:t>
      </w:r>
    </w:p>
    <w:p>
      <w:pPr>
        <w:spacing w:after="120" w:line="276" w:lineRule="auto"/>
      </w:pPr>
      <w:r>
        <w:t>**RSI** : À 44,03, le RSI se situe en zone neutre, sans signal de surachat ni de survente. Cette valeur indique que le titre dispose d'une marge de manœuvre avant d'atteindre des conditions de surachat, la décision "Neutre" étant cohérente avec une phase de consolidation.</w:t>
      </w:r>
    </w:p>
    <w:p>
      <w:pPr>
        <w:spacing w:after="120" w:line="276" w:lineRule="auto"/>
      </w:pPr>
      <w:r>
        <w:t>**Stochastique** : Le %K à 0,0 et le %D à 6,86 indiquent une condition de survente extrême, suggérant un potentiel de rebond technique. La décision "Achat" est justifiée par ce niveau de survente, qui précède souvent un retournement haussier.</w:t>
      </w:r>
    </w:p>
    <w:p>
      <w:pPr>
        <w:spacing w:after="120" w:line="276" w:lineRule="auto"/>
      </w:pPr>
      <w:r>
        <w:t>**Conclusion technique** : Les signaux sont mitigés, avec des indicateurs de tendance (MM) positifs mais des oscillateurs de momentum (MACD) négatifs. La configuration actuelle suggère une phase de consolidation après une forte hausse, avec un potentiel de rebond technique à court terme. La prudence est recommandée en attendant une confirmation de la reprise du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NSBC a réalisé un Produit Net Bancaire de 112,928 milliards FCFA, en hausse de 15% par rapport à 2024, avec un résultat net de 40,712 milliards FCFA (+7%). La banque affiche un ROE de 17,45% et un ROA de 1,32%, démontrant une excellente rentabilité des fonds propres et une gestion efficace des actifs. Le coefficient d'exploitation de 54,59% confirme une banque efficace, tandis que le coût du risque de 7,54% indique un portefeuille de crédits globalement sain, malgré une dégradation en 2025 (provisions de -8,5 milliards). Le ratio dépôts/crédits est sain, avec des dépôts clientèle de 2 242,218 milliards FCFA pour des créances de 1 818,671 milliards FCFA, montrant une transformation équilibrée. Les rapports trimestriels confirment cette dynamique : le T1 2026 (rapport du 31/03/2026) affiche un PNB de 28,615 milliards (+28%) et un résultat net de 10,912 milliards (+53%), porté par l'activité titres. Sur la base de ce T1 exceptionnel, on estime que l'exercice 2026 pourrait voir le PNB dépasser 130 milliards FCFA et le résultat net atteindre 50 milliards FCFA, soit une croissance de plus de 20%. La banque bénéficie d'une stratégie solide (digitalisation, finance verte) et d'un environnement porteur (PND 2026-2030), mais doit surveiller la concentration de ses revenus sur l'activité titres et la qualité de son portefeuille de crédits.</w:t>
      </w:r>
    </w:p>
    <w:p>
      <w:pPr>
        <w:spacing w:after="120" w:line="276" w:lineRule="auto"/>
      </w:pPr>
      <w:r>
        <w:t>---</w:t>
      </w:r>
    </w:p>
    <w:p>
      <w:pPr>
        <w:spacing w:after="120" w:line="276" w:lineRule="auto"/>
      </w:pPr>
      <w:r>
        <w:t>### PARTIE 4 : CONCLUSION D'INVESTISSEMENT</w:t>
      </w:r>
    </w:p>
    <w:p>
      <w:pPr>
        <w:spacing w:after="120" w:line="276" w:lineRule="auto"/>
      </w:pPr>
      <w:r>
        <w:t>La valorisation de NSBC (PER 13,9x, P/B 2,43x) est raisonnable mais exigeante, intégrant déjà une prime de croissance. Le comportement du cours sur 100 jours (+62,47%) avec une volatilité élevée (37,6%) reflète un intérêt soutenu mais aussi un risque accru. Les signaux techniques sont mitigés, avec une tendance haussière de fond (MM) mais un momentum court terme négatif (MACD, RSI neutre), suggérant une consolidation avant une possible reprise. Les fondamentaux sont solides, avec une croissance soutenue du PNB et du résultat net, un ROE supérieur à 17% et une banque efficace. Les prédictions IA (23 496 à 25 114 FCFA sur 10 jours) confirment une trajectoire haussière, en phase avec les fondamentaux. En synthèse, la convergence entre la solidité financière, la croissance des résultats et les prédictions positives plaide pour une recommandation **ACHAT**, avec un niveau de confiance **Moyen** et un risque global **Élevé**. L'horizon d'investissement optimal est le **moyen terme (3-12 mois)**, permettant de bénéficier de la croissance des résultats 2026 tout en gérant la volatilité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1,456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+31.78%</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13.94% (Moyenne) — μ=14,271 FCFA, σ=1,989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β=0.1724 (Défensif) — Cov=0.000005, Var(idx)=0.000031, ρ=0.045,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2026-08-21</w:t>
            </w:r>
          </w:p>
        </w:tc>
        <w:tc>
          <w:tcPr>
            <w:tcW w:type="dxa" w:w="1440"/>
            <w:shd w:fill="FAFAFA" w:val="clear"/>
          </w:tcPr>
          <w:p>
            <w:r>
              <w:rPr>
                <w:sz w:val="17"/>
              </w:rPr>
              <w:t>16,646</w:t>
            </w:r>
          </w:p>
        </w:tc>
        <w:tc>
          <w:tcPr>
            <w:tcW w:type="dxa" w:w="1440"/>
            <w:shd w:fill="FAFAFA" w:val="clear"/>
          </w:tcPr>
          <w:p>
            <w:r>
              <w:rPr>
                <w:b/>
                <w:sz w:val="17"/>
              </w:rPr>
              <w:t>16,937</w:t>
            </w:r>
          </w:p>
        </w:tc>
        <w:tc>
          <w:tcPr>
            <w:tcW w:type="dxa" w:w="1440"/>
            <w:shd w:fill="FAFAFA" w:val="clear"/>
          </w:tcPr>
          <w:p>
            <w:r>
              <w:rPr>
                <w:sz w:val="17"/>
              </w:rPr>
              <w:t>17,228</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2026-08-24</w:t>
            </w:r>
          </w:p>
        </w:tc>
        <w:tc>
          <w:tcPr>
            <w:tcW w:type="dxa" w:w="1440"/>
            <w:shd w:fill="FAFAFA" w:val="clear"/>
          </w:tcPr>
          <w:p>
            <w:r>
              <w:rPr>
                <w:sz w:val="17"/>
              </w:rPr>
              <w:t>16,463</w:t>
            </w:r>
          </w:p>
        </w:tc>
        <w:tc>
          <w:tcPr>
            <w:tcW w:type="dxa" w:w="1440"/>
            <w:shd w:fill="FAFAFA" w:val="clear"/>
          </w:tcPr>
          <w:p>
            <w:r>
              <w:rPr>
                <w:b/>
                <w:sz w:val="17"/>
              </w:rPr>
              <w:t>16,873</w:t>
            </w:r>
          </w:p>
        </w:tc>
        <w:tc>
          <w:tcPr>
            <w:tcW w:type="dxa" w:w="1440"/>
            <w:shd w:fill="FAFAFA" w:val="clear"/>
          </w:tcPr>
          <w:p>
            <w:r>
              <w:rPr>
                <w:sz w:val="17"/>
              </w:rPr>
              <w:t>17,283</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2026-08-25</w:t>
            </w:r>
          </w:p>
        </w:tc>
        <w:tc>
          <w:tcPr>
            <w:tcW w:type="dxa" w:w="1440"/>
            <w:shd w:fill="FAFAFA" w:val="clear"/>
          </w:tcPr>
          <w:p>
            <w:r>
              <w:rPr>
                <w:sz w:val="17"/>
              </w:rPr>
              <w:t>16,312</w:t>
            </w:r>
          </w:p>
        </w:tc>
        <w:tc>
          <w:tcPr>
            <w:tcW w:type="dxa" w:w="1440"/>
            <w:shd w:fill="FAFAFA" w:val="clear"/>
          </w:tcPr>
          <w:p>
            <w:r>
              <w:rPr>
                <w:b/>
                <w:sz w:val="17"/>
              </w:rPr>
              <w:t>16,812</w:t>
            </w:r>
          </w:p>
        </w:tc>
        <w:tc>
          <w:tcPr>
            <w:tcW w:type="dxa" w:w="1440"/>
            <w:shd w:fill="FAFAFA" w:val="clear"/>
          </w:tcPr>
          <w:p>
            <w:r>
              <w:rPr>
                <w:sz w:val="17"/>
              </w:rPr>
              <w:t>17,313</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2026-08-27</w:t>
            </w:r>
          </w:p>
        </w:tc>
        <w:tc>
          <w:tcPr>
            <w:tcW w:type="dxa" w:w="1440"/>
            <w:shd w:fill="FAFAFA" w:val="clear"/>
          </w:tcPr>
          <w:p>
            <w:r>
              <w:rPr>
                <w:sz w:val="17"/>
              </w:rPr>
              <w:t>16,179</w:t>
            </w:r>
          </w:p>
        </w:tc>
        <w:tc>
          <w:tcPr>
            <w:tcW w:type="dxa" w:w="1440"/>
            <w:shd w:fill="FAFAFA" w:val="clear"/>
          </w:tcPr>
          <w:p>
            <w:r>
              <w:rPr>
                <w:b/>
                <w:sz w:val="17"/>
              </w:rPr>
              <w:t>16,755</w:t>
            </w:r>
          </w:p>
        </w:tc>
        <w:tc>
          <w:tcPr>
            <w:tcW w:type="dxa" w:w="1440"/>
            <w:shd w:fill="FAFAFA" w:val="clear"/>
          </w:tcPr>
          <w:p>
            <w:r>
              <w:rPr>
                <w:sz w:val="17"/>
              </w:rPr>
              <w:t>17,331</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2026-08-28</w:t>
            </w:r>
          </w:p>
        </w:tc>
        <w:tc>
          <w:tcPr>
            <w:tcW w:type="dxa" w:w="1440"/>
            <w:shd w:fill="FAFAFA" w:val="clear"/>
          </w:tcPr>
          <w:p>
            <w:r>
              <w:rPr>
                <w:sz w:val="17"/>
              </w:rPr>
              <w:t>16,057</w:t>
            </w:r>
          </w:p>
        </w:tc>
        <w:tc>
          <w:tcPr>
            <w:tcW w:type="dxa" w:w="1440"/>
            <w:shd w:fill="FAFAFA" w:val="clear"/>
          </w:tcPr>
          <w:p>
            <w:r>
              <w:rPr>
                <w:b/>
                <w:sz w:val="17"/>
              </w:rPr>
              <w:t>16,699</w:t>
            </w:r>
          </w:p>
        </w:tc>
        <w:tc>
          <w:tcPr>
            <w:tcW w:type="dxa" w:w="1440"/>
            <w:shd w:fill="FAFAFA" w:val="clear"/>
          </w:tcPr>
          <w:p>
            <w:r>
              <w:rPr>
                <w:sz w:val="17"/>
              </w:rPr>
              <w:t>17,341</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15,944</w:t>
            </w:r>
          </w:p>
        </w:tc>
        <w:tc>
          <w:tcPr>
            <w:tcW w:type="dxa" w:w="1440"/>
            <w:shd w:fill="FFDCE0" w:val="clear"/>
          </w:tcPr>
          <w:p>
            <w:r>
              <w:rPr>
                <w:b/>
                <w:sz w:val="17"/>
              </w:rPr>
              <w:t>16,645</w:t>
            </w:r>
          </w:p>
        </w:tc>
        <w:tc>
          <w:tcPr>
            <w:tcW w:type="dxa" w:w="1440"/>
            <w:shd w:fill="FFDCE0" w:val="clear"/>
          </w:tcPr>
          <w:p>
            <w:r>
              <w:rPr>
                <w:sz w:val="17"/>
              </w:rPr>
              <w:t>17,346</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15,838</w:t>
            </w:r>
          </w:p>
        </w:tc>
        <w:tc>
          <w:tcPr>
            <w:tcW w:type="dxa" w:w="1440"/>
            <w:shd w:fill="FFDCE0" w:val="clear"/>
          </w:tcPr>
          <w:p>
            <w:r>
              <w:rPr>
                <w:b/>
                <w:sz w:val="17"/>
              </w:rPr>
              <w:t>16,593</w:t>
            </w:r>
          </w:p>
        </w:tc>
        <w:tc>
          <w:tcPr>
            <w:tcW w:type="dxa" w:w="1440"/>
            <w:shd w:fill="FFDCE0" w:val="clear"/>
          </w:tcPr>
          <w:p>
            <w:r>
              <w:rPr>
                <w:sz w:val="17"/>
              </w:rPr>
              <w:t>17,348</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15,737</w:t>
            </w:r>
          </w:p>
        </w:tc>
        <w:tc>
          <w:tcPr>
            <w:tcW w:type="dxa" w:w="1440"/>
            <w:shd w:fill="FFDCE0" w:val="clear"/>
          </w:tcPr>
          <w:p>
            <w:r>
              <w:rPr>
                <w:b/>
                <w:sz w:val="17"/>
              </w:rPr>
              <w:t>16,542</w:t>
            </w:r>
          </w:p>
        </w:tc>
        <w:tc>
          <w:tcPr>
            <w:tcW w:type="dxa" w:w="1440"/>
            <w:shd w:fill="FFDCE0" w:val="clear"/>
          </w:tcPr>
          <w:p>
            <w:r>
              <w:rPr>
                <w:sz w:val="17"/>
              </w:rPr>
              <w:t>17,346</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15,641</w:t>
            </w:r>
          </w:p>
        </w:tc>
        <w:tc>
          <w:tcPr>
            <w:tcW w:type="dxa" w:w="1440"/>
            <w:shd w:fill="FFDCE0" w:val="clear"/>
          </w:tcPr>
          <w:p>
            <w:r>
              <w:rPr>
                <w:b/>
                <w:sz w:val="17"/>
              </w:rPr>
              <w:t>16,492</w:t>
            </w:r>
          </w:p>
        </w:tc>
        <w:tc>
          <w:tcPr>
            <w:tcW w:type="dxa" w:w="1440"/>
            <w:shd w:fill="FFDCE0" w:val="clear"/>
          </w:tcPr>
          <w:p>
            <w:r>
              <w:rPr>
                <w:sz w:val="17"/>
              </w:rPr>
              <w:t>17,342</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15,549</w:t>
            </w:r>
          </w:p>
        </w:tc>
        <w:tc>
          <w:tcPr>
            <w:tcW w:type="dxa" w:w="1440"/>
            <w:shd w:fill="FFDCE0" w:val="clear"/>
          </w:tcPr>
          <w:p>
            <w:r>
              <w:rPr>
                <w:b/>
                <w:sz w:val="17"/>
              </w:rPr>
              <w:t>16,443</w:t>
            </w:r>
          </w:p>
        </w:tc>
        <w:tc>
          <w:tcPr>
            <w:tcW w:type="dxa" w:w="1440"/>
            <w:shd w:fill="FFDCE0" w:val="clear"/>
          </w:tcPr>
          <w:p>
            <w:r>
              <w:rPr>
                <w:sz w:val="17"/>
              </w:rPr>
              <w:t>17,336</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 21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375,20 milliards FCFA, ce qui en fait l'une des valeurs les plus significatives de la BRVM, reflétant la confiance des investisseurs dans ce leader des biens de consommation. Le BPA de 835 FCFA indique que chaque action génère un bénéfice substantiel, mais le PER de 20,4x est nettement supérieur à la moyenne historique de la BRVM (8-12x), signalant que les investisseurs paient une prime significative pour la croissance anticipée et la solidité de la marque. Le P/B de 12,68x confirme cette valorisation exigeante, le marché valorisant le titre bien au-delà de sa valeur comptable, ce qui traduit des attentes élevées en matière de rendement futur. Enfin, l'EV/EBITDA de 10,0x, bien que dans la fourchette haute, reste acceptable pour une entreprise de cette envergure, indiquant que la valeur totale de l'entreprise (dette incluse)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remarquable de +31,78%, avec une dernière séance stable (0,00%), témoignant d'une dynamique haussière soutenue. Le cours a évolué dans une fourchette de 11 150 FCFA (plus bas) à 17 450 FCFA (plus haut), soit une amplitude de 56,5%, illustrant une forte volatilité intra-période. La moyenne du cours (14 271 FCFA) est inférieure à la médiane (14 705 FCFA), suggérant une distribution légèrement asymétrique avec des extrêmes à la hausse. L'écart-type de 1 999 FCFA (CV=14,0%) indique une dispersion modérée des prix autour de la moyenne. Le kurtosis négatif (-1,604) révèle une distribution platykurtique, signifiant une faible concentration des variations extrêmes, tandis que le skewness proche de zéro (0,076) confirme une symétrie globale. La volatilité annualisée de 33,9% classe le titre comme très volatil, un niveau élevé qui implique un risque accru mais aussi un potentiel de rendement significatif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(17 000 FCFA) se positionne au-dessus de la MM20 (16 837,25 FCFA) et de la MM50 (16 116,1 FCFA), confirmant une tendance haussière solide. La configuration positive des moyennes mobiles (MM20 &gt; MM50) renforce le signal d'achat, indiquant que la dynamique de court terme est supérieure à la tendance de moyen terme, ce qui est un signe de force du marché.</w:t>
      </w:r>
    </w:p>
    <w:p>
      <w:pPr>
        <w:spacing w:after="120" w:line="276" w:lineRule="auto"/>
      </w:pPr>
      <w:r>
        <w:t>**Bandes de Bollinger** : Le prix se situe à 17 000 FCFA, proche de la borne supérieure (17 598,865 FCFA) et nettement au-dessus de la borne inférieure (16 075,635 FCFA). Cette position suggère une pression acheteuse soutenue, mais le resserrement des bandes indique une volatilité modérée. La décision "Neutre" reflète un équilibre entre le potentiel de hausse et le risque de correction après une progression rapide.</w:t>
      </w:r>
    </w:p>
    <w:p>
      <w:pPr>
        <w:spacing w:after="120" w:line="276" w:lineRule="auto"/>
      </w:pPr>
      <w:r>
        <w:t>**MACD** : La valeur du MACD (367,93) est inférieure à son signal (399,728), indiquant un momentum baissier à court terme malgré la tendance haussière globale. Cette divergence suggère un possible ralentissement de la dynamique haussière, justifiant la décision de "Vente" pour les traders à très court terme, bien que le MACD reste positif en territoire haussier.</w:t>
      </w:r>
    </w:p>
    <w:p>
      <w:pPr>
        <w:spacing w:after="120" w:line="276" w:lineRule="auto"/>
      </w:pPr>
      <w:r>
        <w:t>**RSI** : À 64,431, le RSI se situe en zone neutre, proche du seuil de surachat (70). Cette valeur indique que le titre n'est pas encore survendu ni suracheté, laissant une marge de progression avant une potentielle correction. La décision "Neutre" est cohérente avec une dynamique positive mais non excessive.</w:t>
      </w:r>
    </w:p>
    <w:p>
      <w:pPr>
        <w:spacing w:after="120" w:line="276" w:lineRule="auto"/>
      </w:pPr>
      <w:r>
        <w:t>**Stochastique** : Le %K (52,632) est inférieur au %D (64,912), indiquant un croisement baissier potentiel. Cette configuration suggère un affaiblissement du momentum haussier à court terme, justifiant la décision "Neutre". Les valeurs restent dans la zone médiane, laissant place à une possible reprise ou consolidation.</w:t>
      </w:r>
    </w:p>
    <w:p>
      <w:pPr>
        <w:spacing w:after="120" w:line="276" w:lineRule="auto"/>
      </w:pPr>
      <w:r>
        <w:t>**Conclusion technique** : La tendance globale reste haussière, soutenue par les moyennes mobiles et la position du cours dans les bandes de Bollinger. Cependant, les indicateurs de momentum (MACD, Stochastique) montrent des signes de ralentissement, suggérant une possible consolidation à court terme. Le RSI neutre offre une flexibilité, mais la prudence est recommandée pour les investisseurs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affiché un chiffre d'affaires de 233,26 milliards FCFA, en hausse de 5,97% par rapport à 2024 (220,11 milliards FCFA), démontrant une croissance soutenue. Le résultat net s'établit à 18,43 milliards FCFA, en légère progression de 1,53% par rapport à 2024 (18,15 milliards FCFA), avec une marge nette stable à 7,90%. La rentabilité des fonds propres (ROE) est exceptionnelle à 62,28%, tandis que le ROA atteint 9,70%, reflétant une utilisation très efficace des actifs. Cependant, la structure financière montre une dépendance élevée (84,42% de dettes dans le bilan) et un ratio d'endettement de 135,85%, avec un BFR de 22,63 milliards FCFA et un délai clients de 74,3 jours, indiquant un risque de trésorerie modéré. Le rapport T1 2026 (publié en mai 2026) révèle une accélération spectaculaire avec un chiffre d'affaires de 70,82 milliards FCFA (+31%) et un résultat net de 7,53 milliards FCFA (+37%), suggérant une amélioration significative de la rentabilité. Sur la base de ce T1 2026, on estime que l'exercice 2026 pourrait atteindre un CA d'environ 283 milliards FCFA et un résultat net de 30 milliards FCFA, soit une croissance de plus de 60% par rapport à 2025. La politique de dividende a été réduite en 2025 (9,27 milliards FCFA, payout de 50,3% contre 99,7% en 2024), indiquant une stratégie de réinvestissement pour financer la croissance future. Les perspectives sont donc très positives, soutenues par une dynamique commerciale exceptionnelle et une amélioration des marges.</w:t>
      </w:r>
    </w:p>
    <w:p>
      <w:pPr>
        <w:spacing w:after="120" w:line="276" w:lineRule="auto"/>
      </w:pPr>
      <w:r>
        <w:t>---</w:t>
      </w:r>
    </w:p>
    <w:p>
      <w:pPr>
        <w:spacing w:after="120" w:line="276" w:lineRule="auto"/>
      </w:pPr>
      <w:r>
        <w:t>### PARTIE 4 : CONCLUSION D'INVESTISSEMENT</w:t>
      </w:r>
    </w:p>
    <w:p>
      <w:pPr>
        <w:spacing w:after="120" w:line="276" w:lineRule="auto"/>
      </w:pPr>
      <w:r>
        <w:t>La valorisation actuelle de NTLC (PER 20,4x, P/B 12,68x) indique une surévaluation relative par rapport au marché BRVM, mais elle est justifiée par la croissance exceptionnelle anticipée. Le comportement du cours (+31,78% sur 100 jours) et la volatilité élevée (33,9%) reflètent un intérêt marqué des investisseurs, avec une distribution symétrique et un risque de pics modéré. Les signaux techniques sont mitigés : la tendance haussière est confirmée par les moyennes mobiles, mais le MACD et le Stochastique suggèrent un ralentissement à court terme. Les fondamentaux sont extrêmement solides, avec un ROE de 62,28% et une croissance du T1 2026 de +31% du CA, indiquant une dynamique de croissance forte. Les prédictions IA (17 000 à 16 699 FCFA sur 10 jours) suggèrent une légère correction, en ligne avec les signaux techniques de consolidation. En synthèse, la convergence entre la solidité fondamentale, la croissance future estimée et la tendance haussière du cours justifie une recommandation **ACHAT** avec un niveau de confiance **Élevé**. Le risque global est **Moyen** (volatilité élevée, valorisation exigeante, dépendance aux matières premières). L'horizon d'investissement optimal est **moyen terme (3-12 mois)**, pour capitaliser sur la croissance attendue tout en gérant le risque de correction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4,689 titres</w:t>
            </w:r>
          </w:p>
        </w:tc>
        <w:tc>
          <w:tcPr>
            <w:tcW w:type="dxa" w:w="2268"/>
            <w:shd w:fill="FFF2CC" w:val="clear"/>
          </w:tcPr>
          <w:p>
            <w:r>
              <w:rPr>
                <w:b/>
                <w:color w:val="503200"/>
                <w:sz w:val="16"/>
              </w:rPr>
              <w:t xml:space="preserve">Cours actuel : </w:t>
            </w:r>
            <w:r>
              <w:rPr>
                <w:color w:val="000000"/>
                <w:sz w:val="17"/>
              </w:rPr>
              <w:t>2,940 FCFA</w:t>
            </w:r>
          </w:p>
          <w:p>
            <w:r>
              <w:rPr>
                <w:b/>
                <w:color w:val="503200"/>
                <w:sz w:val="16"/>
              </w:rPr>
              <w:t xml:space="preserve">Var. 100 jours : </w:t>
            </w:r>
            <w:r>
              <w:rPr>
                <w:b/>
                <w:color w:val="007800"/>
                <w:sz w:val="17"/>
              </w:rPr>
              <w:t>+1.03%</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3.12% (Faible) — μ=2,824 FCFA, σ=88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β=0.4520 (Défensif) — Cov=0.000014, Var(idx)=0.000031, ρ=0.129,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2,831</w:t>
            </w:r>
          </w:p>
        </w:tc>
        <w:tc>
          <w:tcPr>
            <w:tcW w:type="dxa" w:w="1440"/>
            <w:shd w:fill="FAFAFA" w:val="clear"/>
          </w:tcPr>
          <w:p>
            <w:r>
              <w:rPr>
                <w:b/>
                <w:sz w:val="17"/>
              </w:rPr>
              <w:t>2,926</w:t>
            </w:r>
          </w:p>
        </w:tc>
        <w:tc>
          <w:tcPr>
            <w:tcW w:type="dxa" w:w="1440"/>
            <w:shd w:fill="FAFAFA" w:val="clear"/>
          </w:tcPr>
          <w:p>
            <w:r>
              <w:rPr>
                <w:sz w:val="17"/>
              </w:rPr>
              <w:t>3,021</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2026-08-24</w:t>
            </w:r>
          </w:p>
        </w:tc>
        <w:tc>
          <w:tcPr>
            <w:tcW w:type="dxa" w:w="1440"/>
            <w:shd w:fill="FAFAFA" w:val="clear"/>
          </w:tcPr>
          <w:p>
            <w:r>
              <w:rPr>
                <w:sz w:val="17"/>
              </w:rPr>
              <w:t>2,788</w:t>
            </w:r>
          </w:p>
        </w:tc>
        <w:tc>
          <w:tcPr>
            <w:tcW w:type="dxa" w:w="1440"/>
            <w:shd w:fill="FAFAFA" w:val="clear"/>
          </w:tcPr>
          <w:p>
            <w:r>
              <w:rPr>
                <w:b/>
                <w:sz w:val="17"/>
              </w:rPr>
              <w:t>2,922</w:t>
            </w:r>
          </w:p>
        </w:tc>
        <w:tc>
          <w:tcPr>
            <w:tcW w:type="dxa" w:w="1440"/>
            <w:shd w:fill="FAFAFA" w:val="clear"/>
          </w:tcPr>
          <w:p>
            <w:r>
              <w:rPr>
                <w:sz w:val="17"/>
              </w:rPr>
              <w:t>3,056</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2026-08-25</w:t>
            </w:r>
          </w:p>
        </w:tc>
        <w:tc>
          <w:tcPr>
            <w:tcW w:type="dxa" w:w="1440"/>
            <w:shd w:fill="FAFAFA" w:val="clear"/>
          </w:tcPr>
          <w:p>
            <w:r>
              <w:rPr>
                <w:sz w:val="17"/>
              </w:rPr>
              <w:t>2,753</w:t>
            </w:r>
          </w:p>
        </w:tc>
        <w:tc>
          <w:tcPr>
            <w:tcW w:type="dxa" w:w="1440"/>
            <w:shd w:fill="FAFAFA" w:val="clear"/>
          </w:tcPr>
          <w:p>
            <w:r>
              <w:rPr>
                <w:b/>
                <w:sz w:val="17"/>
              </w:rPr>
              <w:t>2,916</w:t>
            </w:r>
          </w:p>
        </w:tc>
        <w:tc>
          <w:tcPr>
            <w:tcW w:type="dxa" w:w="1440"/>
            <w:shd w:fill="FAFAFA" w:val="clear"/>
          </w:tcPr>
          <w:p>
            <w:r>
              <w:rPr>
                <w:sz w:val="17"/>
              </w:rPr>
              <w:t>3,080</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2026-08-27</w:t>
            </w:r>
          </w:p>
        </w:tc>
        <w:tc>
          <w:tcPr>
            <w:tcW w:type="dxa" w:w="1440"/>
            <w:shd w:fill="FAFAFA" w:val="clear"/>
          </w:tcPr>
          <w:p>
            <w:r>
              <w:rPr>
                <w:sz w:val="17"/>
              </w:rPr>
              <w:t>2,722</w:t>
            </w:r>
          </w:p>
        </w:tc>
        <w:tc>
          <w:tcPr>
            <w:tcW w:type="dxa" w:w="1440"/>
            <w:shd w:fill="FAFAFA" w:val="clear"/>
          </w:tcPr>
          <w:p>
            <w:r>
              <w:rPr>
                <w:b/>
                <w:sz w:val="17"/>
              </w:rPr>
              <w:t>2,910</w:t>
            </w:r>
          </w:p>
        </w:tc>
        <w:tc>
          <w:tcPr>
            <w:tcW w:type="dxa" w:w="1440"/>
            <w:shd w:fill="FAFAFA" w:val="clear"/>
          </w:tcPr>
          <w:p>
            <w:r>
              <w:rPr>
                <w:sz w:val="17"/>
              </w:rPr>
              <w:t>3,098</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2026-08-28</w:t>
            </w:r>
          </w:p>
        </w:tc>
        <w:tc>
          <w:tcPr>
            <w:tcW w:type="dxa" w:w="1440"/>
            <w:shd w:fill="FAFAFA" w:val="clear"/>
          </w:tcPr>
          <w:p>
            <w:r>
              <w:rPr>
                <w:sz w:val="17"/>
              </w:rPr>
              <w:t>2,694</w:t>
            </w:r>
          </w:p>
        </w:tc>
        <w:tc>
          <w:tcPr>
            <w:tcW w:type="dxa" w:w="1440"/>
            <w:shd w:fill="FAFAFA" w:val="clear"/>
          </w:tcPr>
          <w:p>
            <w:r>
              <w:rPr>
                <w:b/>
                <w:sz w:val="17"/>
              </w:rPr>
              <w:t>2,904</w:t>
            </w:r>
          </w:p>
        </w:tc>
        <w:tc>
          <w:tcPr>
            <w:tcW w:type="dxa" w:w="1440"/>
            <w:shd w:fill="FAFAFA" w:val="clear"/>
          </w:tcPr>
          <w:p>
            <w:r>
              <w:rPr>
                <w:sz w:val="17"/>
              </w:rPr>
              <w:t>3,114</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2026-08-31</w:t>
            </w:r>
          </w:p>
        </w:tc>
        <w:tc>
          <w:tcPr>
            <w:tcW w:type="dxa" w:w="1440"/>
            <w:shd w:fill="FAFAFA" w:val="clear"/>
          </w:tcPr>
          <w:p>
            <w:r>
              <w:rPr>
                <w:sz w:val="17"/>
              </w:rPr>
              <w:t>2,668</w:t>
            </w:r>
          </w:p>
        </w:tc>
        <w:tc>
          <w:tcPr>
            <w:tcW w:type="dxa" w:w="1440"/>
            <w:shd w:fill="FAFAFA" w:val="clear"/>
          </w:tcPr>
          <w:p>
            <w:r>
              <w:rPr>
                <w:b/>
                <w:sz w:val="17"/>
              </w:rPr>
              <w:t>2,897</w:t>
            </w:r>
          </w:p>
        </w:tc>
        <w:tc>
          <w:tcPr>
            <w:tcW w:type="dxa" w:w="1440"/>
            <w:shd w:fill="FAFAFA" w:val="clear"/>
          </w:tcPr>
          <w:p>
            <w:r>
              <w:rPr>
                <w:sz w:val="17"/>
              </w:rPr>
              <w:t>3,127</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2026-09-01</w:t>
            </w:r>
          </w:p>
        </w:tc>
        <w:tc>
          <w:tcPr>
            <w:tcW w:type="dxa" w:w="1440"/>
            <w:shd w:fill="FAFAFA" w:val="clear"/>
          </w:tcPr>
          <w:p>
            <w:r>
              <w:rPr>
                <w:sz w:val="17"/>
              </w:rPr>
              <w:t>2,644</w:t>
            </w:r>
          </w:p>
        </w:tc>
        <w:tc>
          <w:tcPr>
            <w:tcW w:type="dxa" w:w="1440"/>
            <w:shd w:fill="FAFAFA" w:val="clear"/>
          </w:tcPr>
          <w:p>
            <w:r>
              <w:rPr>
                <w:b/>
                <w:sz w:val="17"/>
              </w:rPr>
              <w:t>2,891</w:t>
            </w:r>
          </w:p>
        </w:tc>
        <w:tc>
          <w:tcPr>
            <w:tcW w:type="dxa" w:w="1440"/>
            <w:shd w:fill="FAFAFA" w:val="clear"/>
          </w:tcPr>
          <w:p>
            <w:r>
              <w:rPr>
                <w:sz w:val="17"/>
              </w:rPr>
              <w:t>3,139</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2026-09-02</w:t>
            </w:r>
          </w:p>
        </w:tc>
        <w:tc>
          <w:tcPr>
            <w:tcW w:type="dxa" w:w="1440"/>
            <w:shd w:fill="FAFAFA" w:val="clear"/>
          </w:tcPr>
          <w:p>
            <w:r>
              <w:rPr>
                <w:sz w:val="17"/>
              </w:rPr>
              <w:t>2,621</w:t>
            </w:r>
          </w:p>
        </w:tc>
        <w:tc>
          <w:tcPr>
            <w:tcW w:type="dxa" w:w="1440"/>
            <w:shd w:fill="FAFAFA" w:val="clear"/>
          </w:tcPr>
          <w:p>
            <w:r>
              <w:rPr>
                <w:b/>
                <w:sz w:val="17"/>
              </w:rPr>
              <w:t>2,885</w:t>
            </w:r>
          </w:p>
        </w:tc>
        <w:tc>
          <w:tcPr>
            <w:tcW w:type="dxa" w:w="1440"/>
            <w:shd w:fill="FAFAFA" w:val="clear"/>
          </w:tcPr>
          <w:p>
            <w:r>
              <w:rPr>
                <w:sz w:val="17"/>
              </w:rPr>
              <w:t>3,149</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2,600</w:t>
            </w:r>
          </w:p>
        </w:tc>
        <w:tc>
          <w:tcPr>
            <w:tcW w:type="dxa" w:w="1440"/>
            <w:shd w:fill="FFDCE0" w:val="clear"/>
          </w:tcPr>
          <w:p>
            <w:r>
              <w:rPr>
                <w:b/>
                <w:sz w:val="17"/>
              </w:rPr>
              <w:t>2,879</w:t>
            </w:r>
          </w:p>
        </w:tc>
        <w:tc>
          <w:tcPr>
            <w:tcW w:type="dxa" w:w="1440"/>
            <w:shd w:fill="FFDCE0" w:val="clear"/>
          </w:tcPr>
          <w:p>
            <w:r>
              <w:rPr>
                <w:sz w:val="17"/>
              </w:rPr>
              <w:t>3,159</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2,580</w:t>
            </w:r>
          </w:p>
        </w:tc>
        <w:tc>
          <w:tcPr>
            <w:tcW w:type="dxa" w:w="1440"/>
            <w:shd w:fill="FFDCE0" w:val="clear"/>
          </w:tcPr>
          <w:p>
            <w:r>
              <w:rPr>
                <w:b/>
                <w:sz w:val="17"/>
              </w:rPr>
              <w:t>2,874</w:t>
            </w:r>
          </w:p>
        </w:tc>
        <w:tc>
          <w:tcPr>
            <w:tcW w:type="dxa" w:w="1440"/>
            <w:shd w:fill="FFDCE0" w:val="clear"/>
          </w:tcPr>
          <w:p>
            <w:r>
              <w:rPr>
                <w:sz w:val="17"/>
              </w:rPr>
              <w:t>3,168</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 Moov Africa Burkina Faso)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199,92 milliards FCFA positionne ONTBF comme une valeur de première importance sur la BRVM, reflétant la taille significative de l'opérateur télécom dans l'économie burkinabè. Avec un BPA de 234 FCFA, chaque action génère un bénéfice substantiel. Le PER de 12,6x est légèrement supérieur à la moyenne historique de la BRVM (8-12x), indiquant que le marché valorise l'entreprise avec une prime, probablement justifiée par sa position de leader et ses perspectives de croissance. Le P/B de 3,47x confirme cette prime, le marché valorisant l'actif net à plus de trois fois sa valeur comptable, signe d'une forte confiance dans la création de valeur future. Enfin, un EV/EBITDA de 5,2x reste dans une zone raisonnable, suggérant que la valeur totale de l'entreprise (dette incluse) reste en phase avec sa capacité opérationnelle à générer des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progression modeste de +1,03%, avec une dernière séance en légère baisse de -0,17% à 2 940 FCFA. Le titre a évolué dans un range de 2 610 à 3 070 FCFA, démontrant une certaine volatilité intra-période. La tendance générale est stable, avec un cours qui a suivi une trajectoire ascendante depuis son point le plus bas. Les statistiques descriptives confirment cette stabilité : la moyenne (2 824 FCFA) et la médiane (2 802 FCFA) sont très proches, indiquant une distribution symétrique des prix, ce que confirme le skewness de 0,210. L'écart-type de 89 FCFA, avec un coefficient de variation de 3,1%, révèle une dispersion très faible autour de la moyenne, signe d'un titre peu spéculatif. Le kurtosis de -0,376 (mésokurtique) indique une absence de pics extrêmes et de risques de mouvements violents. La volatilité annualisée de 30,8% est considérée comme élevée, mais elle est à nuancer par la très faible dispersion quotidienne observée.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(2 940 FCFA) se situe au-dessus de la MM20 (2 883,25 FCFA) et de la MM50 (2 819,9 FCFA). Cette configuration, où le prix est soutenu par les moyennes mobiles à court et moyen terme, est un signal haussier classique. La pente positive des deux moyennes renforce la tendance positive en cours, justifiant la décision d'achat.</w:t>
      </w:r>
    </w:p>
    <w:p>
      <w:pPr>
        <w:spacing w:after="120" w:line="276" w:lineRule="auto"/>
      </w:pPr>
      <w:r>
        <w:t>**Bandes de Bollinger** : Le prix se négocie à l'intérieur des bandes, plus près de la borne supérieure (3 032,6 FCFA) que de la borne inférieure (2 733,9 FCFA). Cette position indique une pression acheteuse modérée sans être excessive. La largeur des bandes suggère une volatilité moyenne. La décision "Neutre" est cohérente, car le prix n'est ni suracheté ni survendu, mais évolue dans la moitié supérieure du canal.</w:t>
      </w:r>
    </w:p>
    <w:p>
      <w:pPr>
        <w:spacing w:after="120" w:line="276" w:lineRule="auto"/>
      </w:pPr>
      <w:r>
        <w:t>**MACD** : La valeur du MACD (28,36) est supérieure à sa ligne de signal (26,53), et les deux sont positives. Ce croisement haussier, couplé à des valeurs positives, confirme un momentum haussier en faveur des acheteurs. La dynamique positive, bien que modérée, soutient la décision d'achat.</w:t>
      </w:r>
    </w:p>
    <w:p>
      <w:pPr>
        <w:spacing w:after="120" w:line="276" w:lineRule="auto"/>
      </w:pPr>
      <w:r>
        <w:t>**RSI** : Avec une valeur de 60,8, le RSI se situe dans la zone neutre (30-70), mais proche de la zone de surachat (70). Cela indique que le titre a encore du potentiel haussier avant d'être considéré comme suracheté, mais il faut surveiller une possible consolidation. La décision "Neutre" est justifiée, car le momentum n'est ni extrême ni baissier.</w:t>
      </w:r>
    </w:p>
    <w:p>
      <w:pPr>
        <w:spacing w:after="120" w:line="276" w:lineRule="auto"/>
      </w:pPr>
      <w:r>
        <w:t>**Stochastique** : Le %K (71,8) est supérieur au %D (65,8), et les deux sont dans la zone haute. Ce croisement positif, sans être en zone de surachat extrême (&gt;80), indique que la dynamique haussière est toujours en place, mais pourrait ralentir. La décision "Neutre" est prudente, suggérant une poursuite de la tendance mais avec une vigilance accrue.</w:t>
      </w:r>
    </w:p>
    <w:p>
      <w:pPr>
        <w:spacing w:after="120" w:line="276" w:lineRule="auto"/>
      </w:pPr>
      <w:r>
        <w:t>**Conclusion technique** : La majorité des indicateurs techniques (MM, MACD) sont en configuration d'achat, tandis que les oscillateurs (RSI, Stochastique) sont en zone neutre mais positive. L'absence de signaux de surachat extrême et la position du prix au-dessus des moyennes mobiles suggèrent une tendance haussière saine. Le signal global est donc positif, avec une recommandation d'**ACHAT** pour les investisseurs à court et moyen terme, bien que la prudence soit de mise en raison de la proximité de la borne supérieure de Bollinger.</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ONTBF a réalisé un chiffre d'affaires (PNB) de 146,177 milliards FCFA, en croissance de 3,06% par rapport à 2024. Le résultat net s'établit à 15,887 milliards FCFA, en baisse de 26% par rapport à l'exercice précédent (21,47 Mds FCFA en 2024). Cette dégradation de la rentabilité est confirmée par la baisse du ROE à 27,61% (contre 34,3% en 2024) et du ROA à 4,89%. Le coefficient d'exploitation de 67,07% est un point de vigilance, indiquant une efficacité opérationnelle en recul (au-dessus du seuil de 60% considéré comme sain pour une banque). Le coût du risque de 3,57% est élevé, reflétant des provisions significatives. Les rapports narratifs de 2025 (analysés en 2026) attribuent cette baisse à une hausse des charges opérationnelles (énergie, maintenance en zones sécuritaires) et à des éléments exceptionnels (indemnités, sanctions). Les rapports trimestriels 2025 montrent une tendance cohérente : le CA progresse de 3-4% sur les trois premiers trimestres, mais le résultat net chute de 17 à 29% par rapport à 2024. Sur la base de ces rapports, on estime que la pression sur les marges devrait se poursuivre en 2026, bien que le rapport du T1 2026 montre une stabilisation de la marge EBITDA à 41,3%. La solidité financière reste néanmoins assurée par une CAF de 46,95 milliards FCFA et une trésorerie nette positive de 10,65 milliards FCFA. La recommandation fondamentale est de **CONSERVER**, car si les fondamentaux restent solides, la tendance baissière de la rentabilité et les risques sécuritaires et réglementaires justifient une approche prudente.</w:t>
      </w:r>
    </w:p>
    <w:p>
      <w:pPr>
        <w:spacing w:after="120" w:line="276" w:lineRule="auto"/>
      </w:pPr>
      <w:r>
        <w:t>---</w:t>
      </w:r>
    </w:p>
    <w:p>
      <w:pPr>
        <w:spacing w:after="120" w:line="276" w:lineRule="auto"/>
      </w:pPr>
      <w:r>
        <w:t>### **PARTIE 4 : CONCLUSION D'INVESTISSEMENT**</w:t>
      </w:r>
    </w:p>
    <w:p>
      <w:pPr>
        <w:spacing w:after="120" w:line="276" w:lineRule="auto"/>
      </w:pPr>
      <w:r>
        <w:t>La valorisation d'ONTBF (PER 12,6x, P/B 3,47x) est légèrement supérieure à la moyenne du marché, mais reste justifiable pour un leader de son secteur. Le comportement du cours sur 100 jours est stable et peu dispersé, avec une tendance légèrement positive et une volatilité annualisée élevée mais sans pics extrêmes (kurtosis mésokurtique). Les signaux techniques sont globalement positifs (MM et MACD en achat, oscillateurs neutres), suggérant une poursuite de la tendance haussière à court terme. Cependant, les fondamentaux montrent une dégradation de la rentabilité en 2025, avec un résultat net en baisse de 26%, bien que la génération de cash-flow reste très forte. Les prédictions IA pour les 10 prochains jours (2926 à 2904 FCFA) indiquent une légère consolidation, ce qui contredit légèrement les signaux techniques haussiers mais suggère une stabilisation après la récente progression. En synthèse, la convergence entre une valorisation raisonnable, une tendance technique positive mais des fondamentaux en berne et une prédiction IA baissière à court terme nous amène à formuler une recommandation **CONSERVER**. Le niveau de confiance est **Moyen**, car les signaux sont mitigés. Le risque global est **Élevé**, principalement en raison des facteurs exogènes (sécurité, réglementation) et de la pression sur les marges. L'horizon d'investissement optimal serait le **moyen terme (3-12 mois)**, afin de surveiller l'évolution de la rentabilité et la capacité de la direction à redresser les marges avant d'envisager un renforcement de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3043.99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2,299 titres</w:t>
            </w:r>
          </w:p>
        </w:tc>
        <w:tc>
          <w:tcPr>
            <w:tcW w:type="dxa" w:w="2268"/>
            <w:shd w:fill="FFF2CC" w:val="clear"/>
          </w:tcPr>
          <w:p>
            <w:r>
              <w:rPr>
                <w:b/>
                <w:color w:val="503200"/>
                <w:sz w:val="16"/>
              </w:rPr>
              <w:t xml:space="preserve">Cours actuel : </w:t>
            </w:r>
            <w:r>
              <w:rPr>
                <w:color w:val="000000"/>
                <w:sz w:val="17"/>
              </w:rPr>
              <w:t>20,205 FCFA</w:t>
            </w:r>
          </w:p>
          <w:p>
            <w:r>
              <w:rPr>
                <w:b/>
                <w:color w:val="503200"/>
                <w:sz w:val="16"/>
              </w:rPr>
              <w:t xml:space="preserve">Var. 100 jours : </w:t>
            </w:r>
            <w:r>
              <w:rPr>
                <w:b/>
                <w:color w:val="007800"/>
                <w:sz w:val="17"/>
              </w:rPr>
              <w:t>+37.87%</w:t>
            </w:r>
          </w:p>
          <w:p>
            <w:r>
              <w:rPr>
                <w:b/>
                <w:color w:val="503200"/>
                <w:sz w:val="16"/>
              </w:rPr>
              <w:t xml:space="preserve">Plus haut 100j : </w:t>
            </w:r>
            <w:r>
              <w:rPr>
                <w:color w:val="000000"/>
                <w:sz w:val="17"/>
              </w:rPr>
              <w:t>20,205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6.51% (Moyenne) — μ=16,018 FCFA, σ=1,043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β=1.2873 (Agressif) — Cov=0.000040, Var(idx)=0.000031, ρ=0.386,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18,591</w:t>
            </w:r>
          </w:p>
        </w:tc>
        <w:tc>
          <w:tcPr>
            <w:tcW w:type="dxa" w:w="1440"/>
            <w:shd w:fill="FFDCE0" w:val="clear"/>
          </w:tcPr>
          <w:p>
            <w:r>
              <w:rPr>
                <w:b/>
                <w:sz w:val="17"/>
              </w:rPr>
              <w:t>19,141</w:t>
            </w:r>
          </w:p>
        </w:tc>
        <w:tc>
          <w:tcPr>
            <w:tcW w:type="dxa" w:w="1440"/>
            <w:shd w:fill="FFDCE0" w:val="clear"/>
          </w:tcPr>
          <w:p>
            <w:r>
              <w:rPr>
                <w:sz w:val="17"/>
              </w:rPr>
              <w:t>19,691</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18,380</w:t>
            </w:r>
          </w:p>
        </w:tc>
        <w:tc>
          <w:tcPr>
            <w:tcW w:type="dxa" w:w="1440"/>
            <w:shd w:fill="FFDCE0" w:val="clear"/>
          </w:tcPr>
          <w:p>
            <w:r>
              <w:rPr>
                <w:b/>
                <w:sz w:val="17"/>
              </w:rPr>
              <w:t>19,159</w:t>
            </w:r>
          </w:p>
        </w:tc>
        <w:tc>
          <w:tcPr>
            <w:tcW w:type="dxa" w:w="1440"/>
            <w:shd w:fill="FFDCE0" w:val="clear"/>
          </w:tcPr>
          <w:p>
            <w:r>
              <w:rPr>
                <w:sz w:val="17"/>
              </w:rPr>
              <w:t>19,937</w:t>
            </w:r>
          </w:p>
        </w:tc>
        <w:tc>
          <w:tcPr>
            <w:tcW w:type="dxa" w:w="1440"/>
            <w:shd w:fill="FFDCE0" w:val="clear"/>
          </w:tcPr>
          <w:p>
            <w:r>
              <w:rPr>
                <w:b/>
                <w:color w:val="C00000"/>
                <w:sz w:val="17"/>
              </w:rPr>
              <w:t>-5.2%</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18,134</w:t>
            </w:r>
          </w:p>
        </w:tc>
        <w:tc>
          <w:tcPr>
            <w:tcW w:type="dxa" w:w="1440"/>
            <w:shd w:fill="FFDCE0" w:val="clear"/>
          </w:tcPr>
          <w:p>
            <w:r>
              <w:rPr>
                <w:b/>
                <w:sz w:val="17"/>
              </w:rPr>
              <w:t>19,085</w:t>
            </w:r>
          </w:p>
        </w:tc>
        <w:tc>
          <w:tcPr>
            <w:tcW w:type="dxa" w:w="1440"/>
            <w:shd w:fill="FFDCE0" w:val="clear"/>
          </w:tcPr>
          <w:p>
            <w:r>
              <w:rPr>
                <w:sz w:val="17"/>
              </w:rPr>
              <w:t>20,035</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17,905</w:t>
            </w:r>
          </w:p>
        </w:tc>
        <w:tc>
          <w:tcPr>
            <w:tcW w:type="dxa" w:w="1440"/>
            <w:shd w:fill="FFDCE0" w:val="clear"/>
          </w:tcPr>
          <w:p>
            <w:r>
              <w:rPr>
                <w:b/>
                <w:sz w:val="17"/>
              </w:rPr>
              <w:t>18,997</w:t>
            </w:r>
          </w:p>
        </w:tc>
        <w:tc>
          <w:tcPr>
            <w:tcW w:type="dxa" w:w="1440"/>
            <w:shd w:fill="FFDCE0" w:val="clear"/>
          </w:tcPr>
          <w:p>
            <w:r>
              <w:rPr>
                <w:sz w:val="17"/>
              </w:rPr>
              <w:t>20,089</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17,696</w:t>
            </w:r>
          </w:p>
        </w:tc>
        <w:tc>
          <w:tcPr>
            <w:tcW w:type="dxa" w:w="1440"/>
            <w:shd w:fill="FFDCE0" w:val="clear"/>
          </w:tcPr>
          <w:p>
            <w:r>
              <w:rPr>
                <w:b/>
                <w:sz w:val="17"/>
              </w:rPr>
              <w:t>18,911</w:t>
            </w:r>
          </w:p>
        </w:tc>
        <w:tc>
          <w:tcPr>
            <w:tcW w:type="dxa" w:w="1440"/>
            <w:shd w:fill="FFDCE0" w:val="clear"/>
          </w:tcPr>
          <w:p>
            <w:r>
              <w:rPr>
                <w:sz w:val="17"/>
              </w:rPr>
              <w:t>20,126</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17,501</w:t>
            </w:r>
          </w:p>
        </w:tc>
        <w:tc>
          <w:tcPr>
            <w:tcW w:type="dxa" w:w="1440"/>
            <w:shd w:fill="FFDCE0" w:val="clear"/>
          </w:tcPr>
          <w:p>
            <w:r>
              <w:rPr>
                <w:b/>
                <w:sz w:val="17"/>
              </w:rPr>
              <w:t>18,827</w:t>
            </w:r>
          </w:p>
        </w:tc>
        <w:tc>
          <w:tcPr>
            <w:tcW w:type="dxa" w:w="1440"/>
            <w:shd w:fill="FFDCE0" w:val="clear"/>
          </w:tcPr>
          <w:p>
            <w:r>
              <w:rPr>
                <w:sz w:val="17"/>
              </w:rPr>
              <w:t>20,152</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17,320</w:t>
            </w:r>
          </w:p>
        </w:tc>
        <w:tc>
          <w:tcPr>
            <w:tcW w:type="dxa" w:w="1440"/>
            <w:shd w:fill="FFDCE0" w:val="clear"/>
          </w:tcPr>
          <w:p>
            <w:r>
              <w:rPr>
                <w:b/>
                <w:sz w:val="17"/>
              </w:rPr>
              <w:t>18,745</w:t>
            </w:r>
          </w:p>
        </w:tc>
        <w:tc>
          <w:tcPr>
            <w:tcW w:type="dxa" w:w="1440"/>
            <w:shd w:fill="FFDCE0" w:val="clear"/>
          </w:tcPr>
          <w:p>
            <w:r>
              <w:rPr>
                <w:sz w:val="17"/>
              </w:rPr>
              <w:t>20,171</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17,149</w:t>
            </w:r>
          </w:p>
        </w:tc>
        <w:tc>
          <w:tcPr>
            <w:tcW w:type="dxa" w:w="1440"/>
            <w:shd w:fill="FFDCE0" w:val="clear"/>
          </w:tcPr>
          <w:p>
            <w:r>
              <w:rPr>
                <w:b/>
                <w:sz w:val="17"/>
              </w:rPr>
              <w:t>18,666</w:t>
            </w:r>
          </w:p>
        </w:tc>
        <w:tc>
          <w:tcPr>
            <w:tcW w:type="dxa" w:w="1440"/>
            <w:shd w:fill="FFDCE0" w:val="clear"/>
          </w:tcPr>
          <w:p>
            <w:r>
              <w:rPr>
                <w:sz w:val="17"/>
              </w:rPr>
              <w:t>20,183</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16,986</w:t>
            </w:r>
          </w:p>
        </w:tc>
        <w:tc>
          <w:tcPr>
            <w:tcW w:type="dxa" w:w="1440"/>
            <w:shd w:fill="FFDCE0" w:val="clear"/>
          </w:tcPr>
          <w:p>
            <w:r>
              <w:rPr>
                <w:b/>
                <w:sz w:val="17"/>
              </w:rPr>
              <w:t>18,589</w:t>
            </w:r>
          </w:p>
        </w:tc>
        <w:tc>
          <w:tcPr>
            <w:tcW w:type="dxa" w:w="1440"/>
            <w:shd w:fill="FFDCE0" w:val="clear"/>
          </w:tcPr>
          <w:p>
            <w:r>
              <w:rPr>
                <w:sz w:val="17"/>
              </w:rPr>
              <w:t>20,192</w:t>
            </w:r>
          </w:p>
        </w:tc>
        <w:tc>
          <w:tcPr>
            <w:tcW w:type="dxa" w:w="1440"/>
            <w:shd w:fill="FFDCE0" w:val="clear"/>
          </w:tcPr>
          <w:p>
            <w:r>
              <w:rPr>
                <w:b/>
                <w:color w:val="C00000"/>
                <w:sz w:val="17"/>
              </w:rPr>
              <w:t>-8.0%</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16,831</w:t>
            </w:r>
          </w:p>
        </w:tc>
        <w:tc>
          <w:tcPr>
            <w:tcW w:type="dxa" w:w="1440"/>
            <w:shd w:fill="FFDCE0" w:val="clear"/>
          </w:tcPr>
          <w:p>
            <w:r>
              <w:rPr>
                <w:b/>
                <w:sz w:val="17"/>
              </w:rPr>
              <w:t>18,514</w:t>
            </w:r>
          </w:p>
        </w:tc>
        <w:tc>
          <w:tcPr>
            <w:tcW w:type="dxa" w:w="1440"/>
            <w:shd w:fill="FFDCE0" w:val="clear"/>
          </w:tcPr>
          <w:p>
            <w:r>
              <w:rPr>
                <w:sz w:val="17"/>
              </w:rPr>
              <w:t>20,197</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 — BRVM**</w:t>
      </w:r>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3 043,99 milliards FCFA, ce qui en fait l'une des toutes premières capitalisations de la BRVM, représentant une part significative de la richesse totale du marché. Avec un BPA de 1 114 FCFA, le titre se négocie à un PER de 18,1x, nettement supérieur à la moyenne historique de la BRVM (8-12x), indiquant que les investisseurs paient une prime substantielle pour la croissance et la stabilité de l'entreprise. Le P/B de 4,30x confirme cette prime, le marché valorisant le titre à plus de quatre fois sa valeur comptable, ce qui reflète une confiance élevée dans la génération future de bénéfices. Enfin, l'EV/EBITDA de 7,3x, dans la fourchette raisonnable de 5-10x, suggère que la valorisation de l'entreprise, bien que premium, reste justifiée par sa capacité opérationnelle à générer des flux de trésorerie.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performance exceptionnelle de +37,87%, avec une accélération notable lors de la dernière séance (+3,56%). Le cours a évolué dans une fourchette de 14 650 FCFA (plus bas) à 20 205 FCFA (plus haut, également le cours actuel), démontrant une tendance haussière très marquée. La moyenne (16 018 FCFA) est légèrement supérieure à la médiane (15 975 FCFA), et le mode (16 000 FCFA) est proche de ces valeurs, indiquant une distribution relativement symétrique malgré un skewness positif de 1,321 qui révèle une asymétrie avec des journées plus fréquentes sous la moyenne. L'écart-type de 1 048 FCFA (CV=6,5%) montre une dispersion modérée, mais le kurtosis élevé (2,630) signale un risque de mouvements extrêmes. La volatilité annualisée de 30,0% classe le titre dans la catégorie des actifs à volatilité élevée, ce qui est cohérent avec la forte appréciation récente.</w:t>
      </w:r>
    </w:p>
    <w:p>
      <w:pPr>
        <w:spacing w:after="120" w:line="276" w:lineRule="auto" w:before="240"/>
      </w:pPr>
      <w:r>
        <w:rPr>
          <w:b/>
          <w:color w:val="003366"/>
          <w:sz w:val="24"/>
        </w:rPr>
        <w:t>**PARTIE 2 : ANALYSE TECHNIQUE DÉTAILLÉE**</w:t>
      </w:r>
    </w:p>
    <w:p>
      <w:pPr>
        <w:spacing w:after="120" w:line="276" w:lineRule="auto"/>
      </w:pPr>
      <w:r>
        <w:t>**Moyennes Mobiles**: Le cours actuel (20 205 FCFA) est nettement au-dessus de la MM20 (17 495 FCFA) et de la MM50 (16 750,5 FCFA), avec un écart de plus de 15% par rapport à la MM20. Cette configuration haussière confirme la tendance positive à court et moyen terme, justifiant la décision d'achat.</w:t>
      </w:r>
    </w:p>
    <w:p>
      <w:pPr>
        <w:spacing w:after="120" w:line="276" w:lineRule="auto"/>
      </w:pPr>
      <w:r>
        <w:t>**Bandes de Bollinger**: Le prix a franchi la borne supérieure (19 599,6 FCFA), se situant à 605 FCFA au-dessus de cette limite. Ce dépassement indique une condition de surachat extrême et une volatilité accrue, suggérant un possible retour vers la moyenne. La décision de vente est donc justifiée à court terme.</w:t>
      </w:r>
    </w:p>
    <w:p>
      <w:pPr>
        <w:spacing w:after="120" w:line="276" w:lineRule="auto"/>
      </w:pPr>
      <w:r>
        <w:t>**MACD**: Le MACD (768,7) est nettement au-dessus de sa ligne de signal (472,2), avec un écart positif de 296,5 points. Cette divergence positive confirme un momentum haussier puissant, justifiant la décision d'achat. La dynamique reste favorable malgré l'ampleur de la hausse.</w:t>
      </w:r>
    </w:p>
    <w:p>
      <w:pPr>
        <w:spacing w:after="120" w:line="276" w:lineRule="auto"/>
      </w:pPr>
      <w:r>
        <w:t>**RSI**: Le RSI à 95,4 est extrêmement élevé, bien au-delà du seuil de surachat (70). Cette valeur indique une condition de surachat sévère, avec un risque élevé de correction technique. La décision de vente est pleinement justifiée.</w:t>
      </w:r>
    </w:p>
    <w:p>
      <w:pPr>
        <w:spacing w:after="120" w:line="276" w:lineRule="auto"/>
      </w:pPr>
      <w:r>
        <w:t>**Stochastique**: Le %K et le %D sont tous deux à 100,0, en territoire de surachat extrême. Cette configuration reflète une force exceptionnelle mais insoutenable à court terme, justifiant la décision de vente.</w:t>
      </w:r>
    </w:p>
    <w:p>
      <w:pPr>
        <w:spacing w:after="120" w:line="276" w:lineRule="auto"/>
      </w:pPr>
      <w:r>
        <w:t>**Conclusion technique**: Les indicateurs sont fortement divergents : les moyennes mobiles et le MACD confirment la tendance haussière de fond, tandis que le RSI, le Stochastique et les Bandes de Bollinger signalent un surachat extrême. Cette divergence suggère qu'une consolidation ou correction technique est probable à court terme, mais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ORAC a réalisé un chiffre d'affaires consolidé de 1 197,1 milliards FCFA, en hausse de +10,4% par rapport à 2024 (1 084,1 milliards FCFA), avec un résultat net consolidé de 167,8 milliards FCFA (+6,1%). La marge nette s'établit à 14,0%, la marge opérationnelle à 24,0%, et le ROE est excellent à 23,7%, tandis que le ROA atteint 6,6%. Le BFR négatif de -198 milliards FCFA est un signe très favorable, indiquant une gestion efficace du cycle d'exploitation. Les délais clients (52 jours) et fournisseurs (211 jours) sont bien gérés, avec un délai fournisseur élevé qui renforce la trésorerie. Le ratio d'endettement de 47,5% est modéré, et la capacité de remboursement de 0,99 an est très saine. Les rapports trimestriels 2025 montrent une croissance soutenue du CA (+9,9% au S1 et T3), mais une stagnation du résultat net (+0,5% au S1, +0,2% au T3) due à des charges financières en hausse. Cependant, le rapport T1 2026 (publié en mai 2026) révèle une accélération spectaculaire : CA de 325,6 milliards FCFA (+14,8%) et résultat net de 48,3 milliards FCFA (+25,2%), avec une marge nette de 14,8%. Sur cette base, on estime que l'exercice 2026 pourrait dépasser les 1 350 milliards FCFA de CA et 190 milliards FCFA de résultat net. Le dividende proposé de 800 FCFA brut par action offre un rendement d'environ 4,0% au cours actuel.</w:t>
      </w:r>
    </w:p>
    <w:p>
      <w:pPr>
        <w:spacing w:after="120" w:line="276" w:lineRule="auto" w:before="240"/>
      </w:pPr>
      <w:r>
        <w:rPr>
          <w:b/>
          <w:color w:val="003366"/>
          <w:sz w:val="24"/>
        </w:rPr>
        <w:t>**PARTIE 4 : CONCLUSION D'INVESTISSEMENT**</w:t>
      </w:r>
    </w:p>
    <w:p>
      <w:pPr>
        <w:spacing w:after="120" w:line="276" w:lineRule="auto"/>
      </w:pPr>
      <w:r>
        <w:t>La valorisation d'ORAC (PER 18,1x, P/B 4,3x) indique une prime significative, mais justifiée par la qualité des fondamentaux et les perspectives de croissance. Le comportement du cours (+37,87% en 100 jours) montre une dynamique haussière exceptionnelle, mais les statistiques (kurtosis élevé, skewness positif) et la volatilité de 30% signalent un risque accru de mouvements brusques. Les signaux techniques sont fortement divergents : la tendance de fond (MM, MACD) reste haussière, mais les oscillateurs (RSI 95,4, Stochastique 100) indiquent un surachat extrême, suggérant une correction probable à court terme. Les fondamentaux sont excellents avec une croissance soutenue, une rentabilité élevée (ROE 23,7%) et des perspectives 2026 très prometteuses (+25% de croissance du résultat net au T1). Les prédictions IA (19 141 FCFA à J+10) confirment cette analyse en anticipant une légère correction par rapport au cours actuel de 20 205 FCFA, mais restent bien au-dessus des moyennes mobiles. La convergence entre les fondamentaux solides et la correction technique anticipée conduit à une recommandation de **CONSERVER** avec un niveau de confiance **Élevé** et un risque global **Moyen**. L'horizon d'investissement optimal est le **moyen terme (3-12 mois)**, permettant d'absorber une éventuelle correction technique avant de bénéficier de la poursuite de la croissance fondamentale.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220.74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5,652 titres</w:t>
            </w:r>
          </w:p>
        </w:tc>
        <w:tc>
          <w:tcPr>
            <w:tcW w:type="dxa" w:w="2268"/>
            <w:shd w:fill="FFF2CC" w:val="clear"/>
          </w:tcPr>
          <w:p>
            <w:r>
              <w:rPr>
                <w:b/>
                <w:color w:val="503200"/>
                <w:sz w:val="16"/>
              </w:rPr>
              <w:t xml:space="preserve">Cours actuel : </w:t>
            </w:r>
            <w:r>
              <w:rPr>
                <w:color w:val="000000"/>
                <w:sz w:val="17"/>
              </w:rPr>
              <w:t>3,180 FCFA</w:t>
            </w:r>
          </w:p>
          <w:p>
            <w:r>
              <w:rPr>
                <w:b/>
                <w:color w:val="503200"/>
                <w:sz w:val="16"/>
              </w:rPr>
              <w:t xml:space="preserve">Var. 100 jours : </w:t>
            </w:r>
            <w:r>
              <w:rPr>
                <w:b/>
                <w:color w:val="B40000"/>
                <w:sz w:val="17"/>
              </w:rPr>
              <w:t>-13.59%</w:t>
            </w:r>
          </w:p>
          <w:p>
            <w:r>
              <w:rPr>
                <w:b/>
                <w:color w:val="503200"/>
                <w:sz w:val="16"/>
              </w:rPr>
              <w:t xml:space="preserve">Plus haut 100j : </w:t>
            </w:r>
            <w:r>
              <w:rPr>
                <w:color w:val="000000"/>
                <w:sz w:val="17"/>
              </w:rPr>
              <w:t>3,680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11.92% (Moyenne) — μ=2,965 FCFA, σ=354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β=0.3356 (Défensif) — Cov=0.000011, Var(idx)=0.000031, ρ=0.069,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3,023</w:t>
            </w:r>
          </w:p>
        </w:tc>
        <w:tc>
          <w:tcPr>
            <w:tcW w:type="dxa" w:w="1440"/>
            <w:shd w:fill="FFDCE0" w:val="clear"/>
          </w:tcPr>
          <w:p>
            <w:r>
              <w:rPr>
                <w:b/>
                <w:sz w:val="17"/>
              </w:rPr>
              <w:t>3,114</w:t>
            </w:r>
          </w:p>
        </w:tc>
        <w:tc>
          <w:tcPr>
            <w:tcW w:type="dxa" w:w="1440"/>
            <w:shd w:fill="FFDCE0" w:val="clear"/>
          </w:tcPr>
          <w:p>
            <w:r>
              <w:rPr>
                <w:sz w:val="17"/>
              </w:rPr>
              <w:t>3,206</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2,985</w:t>
            </w:r>
          </w:p>
        </w:tc>
        <w:tc>
          <w:tcPr>
            <w:tcW w:type="dxa" w:w="1440"/>
            <w:shd w:fill="FFDCE0" w:val="clear"/>
          </w:tcPr>
          <w:p>
            <w:r>
              <w:rPr>
                <w:b/>
                <w:sz w:val="17"/>
              </w:rPr>
              <w:t>3,114</w:t>
            </w:r>
          </w:p>
        </w:tc>
        <w:tc>
          <w:tcPr>
            <w:tcW w:type="dxa" w:w="1440"/>
            <w:shd w:fill="FFDCE0" w:val="clear"/>
          </w:tcPr>
          <w:p>
            <w:r>
              <w:rPr>
                <w:sz w:val="17"/>
              </w:rPr>
              <w:t>3,243</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2,951</w:t>
            </w:r>
          </w:p>
        </w:tc>
        <w:tc>
          <w:tcPr>
            <w:tcW w:type="dxa" w:w="1440"/>
            <w:shd w:fill="FFDCE0" w:val="clear"/>
          </w:tcPr>
          <w:p>
            <w:r>
              <w:rPr>
                <w:b/>
                <w:sz w:val="17"/>
              </w:rPr>
              <w:t>3,109</w:t>
            </w:r>
          </w:p>
        </w:tc>
        <w:tc>
          <w:tcPr>
            <w:tcW w:type="dxa" w:w="1440"/>
            <w:shd w:fill="FFDCE0" w:val="clear"/>
          </w:tcPr>
          <w:p>
            <w:r>
              <w:rPr>
                <w:sz w:val="17"/>
              </w:rPr>
              <w:t>3,267</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2026-08-27</w:t>
            </w:r>
          </w:p>
        </w:tc>
        <w:tc>
          <w:tcPr>
            <w:tcW w:type="dxa" w:w="1440"/>
            <w:shd w:fill="FFDCE0" w:val="clear"/>
          </w:tcPr>
          <w:p>
            <w:r>
              <w:rPr>
                <w:sz w:val="17"/>
              </w:rPr>
              <w:t>2,923</w:t>
            </w:r>
          </w:p>
        </w:tc>
        <w:tc>
          <w:tcPr>
            <w:tcW w:type="dxa" w:w="1440"/>
            <w:shd w:fill="FFDCE0" w:val="clear"/>
          </w:tcPr>
          <w:p>
            <w:r>
              <w:rPr>
                <w:b/>
                <w:sz w:val="17"/>
              </w:rPr>
              <w:t>3,105</w:t>
            </w:r>
          </w:p>
        </w:tc>
        <w:tc>
          <w:tcPr>
            <w:tcW w:type="dxa" w:w="1440"/>
            <w:shd w:fill="FFDCE0" w:val="clear"/>
          </w:tcPr>
          <w:p>
            <w:r>
              <w:rPr>
                <w:sz w:val="17"/>
              </w:rPr>
              <w:t>3,288</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2026-08-28</w:t>
            </w:r>
          </w:p>
        </w:tc>
        <w:tc>
          <w:tcPr>
            <w:tcW w:type="dxa" w:w="1440"/>
            <w:shd w:fill="FFDCE0" w:val="clear"/>
          </w:tcPr>
          <w:p>
            <w:r>
              <w:rPr>
                <w:sz w:val="17"/>
              </w:rPr>
              <w:t>2,898</w:t>
            </w:r>
          </w:p>
        </w:tc>
        <w:tc>
          <w:tcPr>
            <w:tcW w:type="dxa" w:w="1440"/>
            <w:shd w:fill="FFDCE0" w:val="clear"/>
          </w:tcPr>
          <w:p>
            <w:r>
              <w:rPr>
                <w:b/>
                <w:sz w:val="17"/>
              </w:rPr>
              <w:t>3,102</w:t>
            </w:r>
          </w:p>
        </w:tc>
        <w:tc>
          <w:tcPr>
            <w:tcW w:type="dxa" w:w="1440"/>
            <w:shd w:fill="FFDCE0" w:val="clear"/>
          </w:tcPr>
          <w:p>
            <w:r>
              <w:rPr>
                <w:sz w:val="17"/>
              </w:rPr>
              <w:t>3,306</w:t>
            </w:r>
          </w:p>
        </w:tc>
        <w:tc>
          <w:tcPr>
            <w:tcW w:type="dxa" w:w="1440"/>
            <w:shd w:fill="FFDCE0" w:val="clear"/>
          </w:tcPr>
          <w:p>
            <w:r>
              <w:rPr>
                <w:b/>
                <w:color w:val="C00000"/>
                <w:sz w:val="17"/>
              </w:rPr>
              <w:t>-2.5%</w:t>
            </w:r>
          </w:p>
        </w:tc>
      </w:tr>
      <w:tr>
        <w:tc>
          <w:tcPr>
            <w:tcW w:type="dxa" w:w="1440"/>
            <w:shd w:fill="FFDCE0" w:val="clear"/>
          </w:tcPr>
          <w:p>
            <w:r>
              <w:rPr>
                <w:sz w:val="17"/>
              </w:rPr>
              <w:t>J+6  Moyenne</w:t>
            </w:r>
          </w:p>
        </w:tc>
        <w:tc>
          <w:tcPr>
            <w:tcW w:type="dxa" w:w="1440"/>
            <w:shd w:fill="FFDCE0" w:val="clear"/>
          </w:tcPr>
          <w:p>
            <w:r>
              <w:rPr>
                <w:sz w:val="17"/>
              </w:rPr>
              <w:t>2026-08-31</w:t>
            </w:r>
          </w:p>
        </w:tc>
        <w:tc>
          <w:tcPr>
            <w:tcW w:type="dxa" w:w="1440"/>
            <w:shd w:fill="FFDCE0" w:val="clear"/>
          </w:tcPr>
          <w:p>
            <w:r>
              <w:rPr>
                <w:sz w:val="17"/>
              </w:rPr>
              <w:t>2,876</w:t>
            </w:r>
          </w:p>
        </w:tc>
        <w:tc>
          <w:tcPr>
            <w:tcW w:type="dxa" w:w="1440"/>
            <w:shd w:fill="FFDCE0" w:val="clear"/>
          </w:tcPr>
          <w:p>
            <w:r>
              <w:rPr>
                <w:b/>
                <w:sz w:val="17"/>
              </w:rPr>
              <w:t>3,099</w:t>
            </w:r>
          </w:p>
        </w:tc>
        <w:tc>
          <w:tcPr>
            <w:tcW w:type="dxa" w:w="1440"/>
            <w:shd w:fill="FFDCE0" w:val="clear"/>
          </w:tcPr>
          <w:p>
            <w:r>
              <w:rPr>
                <w:sz w:val="17"/>
              </w:rPr>
              <w:t>3,322</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2026-09-01</w:t>
            </w:r>
          </w:p>
        </w:tc>
        <w:tc>
          <w:tcPr>
            <w:tcW w:type="dxa" w:w="1440"/>
            <w:shd w:fill="FFDCE0" w:val="clear"/>
          </w:tcPr>
          <w:p>
            <w:r>
              <w:rPr>
                <w:sz w:val="17"/>
              </w:rPr>
              <w:t>2,856</w:t>
            </w:r>
          </w:p>
        </w:tc>
        <w:tc>
          <w:tcPr>
            <w:tcW w:type="dxa" w:w="1440"/>
            <w:shd w:fill="FFDCE0" w:val="clear"/>
          </w:tcPr>
          <w:p>
            <w:r>
              <w:rPr>
                <w:b/>
                <w:sz w:val="17"/>
              </w:rPr>
              <w:t>3,096</w:t>
            </w:r>
          </w:p>
        </w:tc>
        <w:tc>
          <w:tcPr>
            <w:tcW w:type="dxa" w:w="1440"/>
            <w:shd w:fill="FFDCE0" w:val="clear"/>
          </w:tcPr>
          <w:p>
            <w:r>
              <w:rPr>
                <w:sz w:val="17"/>
              </w:rPr>
              <w:t>3,337</w:t>
            </w:r>
          </w:p>
        </w:tc>
        <w:tc>
          <w:tcPr>
            <w:tcW w:type="dxa" w:w="1440"/>
            <w:shd w:fill="FFDCE0" w:val="clear"/>
          </w:tcPr>
          <w:p>
            <w:r>
              <w:rPr>
                <w:b/>
                <w:color w:val="C00000"/>
                <w:sz w:val="17"/>
              </w:rPr>
              <w:t>-2.6%</w:t>
            </w:r>
          </w:p>
        </w:tc>
      </w:tr>
      <w:tr>
        <w:tc>
          <w:tcPr>
            <w:tcW w:type="dxa" w:w="1440"/>
            <w:shd w:fill="FFDCE0" w:val="clear"/>
          </w:tcPr>
          <w:p>
            <w:r>
              <w:rPr>
                <w:sz w:val="17"/>
              </w:rPr>
              <w:t>J+8  Moyenne</w:t>
            </w:r>
          </w:p>
        </w:tc>
        <w:tc>
          <w:tcPr>
            <w:tcW w:type="dxa" w:w="1440"/>
            <w:shd w:fill="FFDCE0" w:val="clear"/>
          </w:tcPr>
          <w:p>
            <w:r>
              <w:rPr>
                <w:sz w:val="17"/>
              </w:rPr>
              <w:t>2026-09-02</w:t>
            </w:r>
          </w:p>
        </w:tc>
        <w:tc>
          <w:tcPr>
            <w:tcW w:type="dxa" w:w="1440"/>
            <w:shd w:fill="FFDCE0" w:val="clear"/>
          </w:tcPr>
          <w:p>
            <w:r>
              <w:rPr>
                <w:sz w:val="17"/>
              </w:rPr>
              <w:t>2,836</w:t>
            </w:r>
          </w:p>
        </w:tc>
        <w:tc>
          <w:tcPr>
            <w:tcW w:type="dxa" w:w="1440"/>
            <w:shd w:fill="FFDCE0" w:val="clear"/>
          </w:tcPr>
          <w:p>
            <w:r>
              <w:rPr>
                <w:b/>
                <w:sz w:val="17"/>
              </w:rPr>
              <w:t>3,093</w:t>
            </w:r>
          </w:p>
        </w:tc>
        <w:tc>
          <w:tcPr>
            <w:tcW w:type="dxa" w:w="1440"/>
            <w:shd w:fill="FFDCE0" w:val="clear"/>
          </w:tcPr>
          <w:p>
            <w:r>
              <w:rPr>
                <w:sz w:val="17"/>
              </w:rPr>
              <w:t>3,350</w:t>
            </w:r>
          </w:p>
        </w:tc>
        <w:tc>
          <w:tcPr>
            <w:tcW w:type="dxa" w:w="1440"/>
            <w:shd w:fill="FFDCE0" w:val="clear"/>
          </w:tcPr>
          <w:p>
            <w:r>
              <w:rPr>
                <w:b/>
                <w:color w:val="C00000"/>
                <w:sz w:val="17"/>
              </w:rPr>
              <w:t>-2.7%</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2,818</w:t>
            </w:r>
          </w:p>
        </w:tc>
        <w:tc>
          <w:tcPr>
            <w:tcW w:type="dxa" w:w="1440"/>
            <w:shd w:fill="FFDCE0" w:val="clear"/>
          </w:tcPr>
          <w:p>
            <w:r>
              <w:rPr>
                <w:b/>
                <w:sz w:val="17"/>
              </w:rPr>
              <w:t>3,091</w:t>
            </w:r>
          </w:p>
        </w:tc>
        <w:tc>
          <w:tcPr>
            <w:tcW w:type="dxa" w:w="1440"/>
            <w:shd w:fill="FFDCE0" w:val="clear"/>
          </w:tcPr>
          <w:p>
            <w:r>
              <w:rPr>
                <w:sz w:val="17"/>
              </w:rPr>
              <w:t>3,363</w:t>
            </w:r>
          </w:p>
        </w:tc>
        <w:tc>
          <w:tcPr>
            <w:tcW w:type="dxa" w:w="1440"/>
            <w:shd w:fill="FFDCE0" w:val="clear"/>
          </w:tcPr>
          <w:p>
            <w:r>
              <w:rPr>
                <w:b/>
                <w:color w:val="C00000"/>
                <w:sz w:val="17"/>
              </w:rPr>
              <w:t>-2.8%</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2,801</w:t>
            </w:r>
          </w:p>
        </w:tc>
        <w:tc>
          <w:tcPr>
            <w:tcW w:type="dxa" w:w="1440"/>
            <w:shd w:fill="FFDCE0" w:val="clear"/>
          </w:tcPr>
          <w:p>
            <w:r>
              <w:rPr>
                <w:b/>
                <w:sz w:val="17"/>
              </w:rPr>
              <w:t>3,088</w:t>
            </w:r>
          </w:p>
        </w:tc>
        <w:tc>
          <w:tcPr>
            <w:tcW w:type="dxa" w:w="1440"/>
            <w:shd w:fill="FFDCE0" w:val="clear"/>
          </w:tcPr>
          <w:p>
            <w:r>
              <w:rPr>
                <w:sz w:val="17"/>
              </w:rPr>
              <w:t>3,375</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220,74 milliards FCFA, un niveau significatif qui la positionne parmi les valeurs moyennes à grandes capitalisations de la BRVM. Avec un BPA de 312 FCFA, chaque action génère un bénéfice confortable, justifiant un PER de 10,2x, en ligne avec la moyenne historique du marché (8-12x), ce qui traduit une valorisation raisonnable sans prime excessive. Le P/B de 1,95x indique que le marché valorise la société à près du double de sa valeur comptable, reflétant une confiance dans la création de valeur future, bien que ce niveau ne soit pas particulièrement attractif. En revanche, l'EV/EBITDA de 20,0x est nettement supérieur au seuil de 15x considéré comme exigeant, signalant que la valeur totale de l'entreprise (dette incluse) est élevée par rapport à sa capacité opérationnelle, ce qui tempère l'attrait de la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 enregistré une variation totale de -13,59%, illustrant une tendance baissière marquée, bien que la dernière séance affiche un rebond de +2,91% à 3 180 FCFA. Le cours a évolué dans une fourchette large de 2 435 à 3 680 FCFA, démontrant une volatilité intra-période considérable. La moyenne de 2 965 FCFA est supérieure à la médiane de 2 780 FCFA, indiquant une distribution asymétrique positive (skewness de 0,688) avec des journées de forte hausse tirant la moyenne vers le haut, tandis que la majorité des séances se situent sous ce niveau. L'écart-type de 355 FCFA (CV de 12%) révèle une dispersion modérée, mais la volatilité annualisée de 43,4% classe le titre comme très risqué. Le kurtosis de -0,787 (mésokurtique) suggère une distribution proche de la normale, limitant le risque de mouvements extrêmes, mais la tendance baissière globale reste préoccupante.</w:t>
      </w:r>
    </w:p>
    <w:p>
      <w:pPr>
        <w:spacing w:after="120" w:line="276" w:lineRule="auto" w:before="240"/>
      </w:pPr>
      <w:r>
        <w:rPr>
          <w:b/>
          <w:color w:val="003366"/>
          <w:sz w:val="24"/>
        </w:rPr>
        <w:t>**PARTIE 2 : ANALYSE TECHNIQUE DÉTAILLÉE**</w:t>
      </w:r>
    </w:p>
    <w:p>
      <w:pPr>
        <w:spacing w:after="120" w:line="276" w:lineRule="auto"/>
      </w:pPr>
      <w:r>
        <w:t>Les moyennes mobiles MM20 (3 015,5 FCFA) et MM50 (2 820,7 FCFA) sont toutes deux inférieures au cours actuel de 3 180 FCFA, indiquant une dynamique haussière à court et moyen terme. Le croisement positif et la position du prix au-dessus de ces moyennes génèrent un signal d'achat, suggérant que la tendance récente pourrait se poursuivre malgré le repli historique.</w:t>
      </w:r>
    </w:p>
    <w:p>
      <w:pPr>
        <w:spacing w:after="120" w:line="276" w:lineRule="auto"/>
      </w:pPr>
      <w:r>
        <w:t>Le cours se situe à 3 180 FCFA, entre la borne inférieure (2 686,5 FCFA) et la borne supérieure (3 344,5 FCFA) des bandes de Bollinger, avec une position proche de la moyenne. Cette configuration indique une volatilité normale sans excès, justifiant une décision neutre, car le prix n'est ni suracheté ni survendu.</w:t>
      </w:r>
    </w:p>
    <w:p>
      <w:pPr>
        <w:spacing w:after="120" w:line="276" w:lineRule="auto"/>
      </w:pPr>
      <w:r>
        <w:t>Le MACD affiche une valeur de 91,78, légèrement inférieure à son signal de 95,35, créant une divergence négative. Ce croisement baissier suggère un affaiblissement du momentum, bien que les valeurs restent positives, ce qui justifie une décision de vente à court terme.</w:t>
      </w:r>
    </w:p>
    <w:p>
      <w:pPr>
        <w:spacing w:after="120" w:line="276" w:lineRule="auto"/>
      </w:pPr>
      <w:r>
        <w:t>Le RSI à 70,93 est en zone de surachat (au-dessus de 70), signalant que le titre est potentiellement surévalué à court terme. Cette condition suggère un risque de correction, justifiant une décision de vente pour les investisseurs à horizon court.</w:t>
      </w:r>
    </w:p>
    <w:p>
      <w:pPr>
        <w:spacing w:after="120" w:line="276" w:lineRule="auto"/>
      </w:pPr>
      <w:r>
        <w:t>Le stochastique avec %K à 100,0 et %D à 67,0 montre un %K extrêmement élevé et nettement au-dessus de %D, indiquant une condition de surachat sévère. Ce déséquilibre renforce le signal de vente, car une telle configuration précède souvent un repli technique.</w:t>
      </w:r>
    </w:p>
    <w:p>
      <w:pPr>
        <w:spacing w:after="120" w:line="276" w:lineRule="auto"/>
      </w:pPr>
      <w:r>
        <w:t>En conclusion, les indicateurs techniques sont mitigés : les moyennes mobiles soutiennent une tendance haussière, mais le RSI, le stochastique et le MACD signalent tous un épuisement du mouvement. La convergence de ces signaux de surachat suggère une consolidation ou un repli imminent, malgré la force apparente du prix.</w:t>
      </w:r>
    </w:p>
    <w:p>
      <w:pPr>
        <w:spacing w:after="120" w:line="276" w:lineRule="auto" w:before="240"/>
      </w:pPr>
      <w:r>
        <w:rPr>
          <w:b/>
          <w:color w:val="003366"/>
          <w:sz w:val="24"/>
        </w:rPr>
        <w:t>**PARTIE 3 : ANALYSE FONDAMENTALE (SECTION CRITIQUE)**</w:t>
      </w:r>
    </w:p>
    <w:p>
      <w:pPr>
        <w:spacing w:after="120" w:line="276" w:lineRule="auto"/>
      </w:pPr>
      <w:r>
        <w:t>En 2025, ORGT, une banque, affiche un Produit Net Bancaire (PNB) de 186,609 milliards FCFA, en baisse de -4,5% par rapport à 2024 (195,436 milliards FCFA), reflétant une contraction de l'activité. Le résultat net consolidé s'établit à 21,643 milliards FCFA, un retour spectaculaire à la rentabilité après la perte de -44,363 milliards en 2024, porté par une réduction drastique du coût du risque (-90% à -6,971 milliards) et une baisse des charges générales de 12%. Le ROE de 19,13% est excellent (supérieur à 15%), tandis que le ROA de 0,54% reste faible, typique du secteur bancaire. Le coefficient d'exploitation de 42,85% est excellent (&lt;60%), démontrant une gestion efficace, mais le coût du risque de 3,74% reste élevé, signalant un risque de crédit résiduel. Les dépôts clientèle (3 088,7 milliards) couvrent largement les créances (1 523,8 milliards), assurant une liquidité solide. Sur la base des rapports trimestriels 2025 (S1 bénéfice de 18,3 milliards, T3 cumulé de 19,6 milliards), on estime que la tendance de redressement s'est poursuivie, avec un T1 2026 montrant un résultat net de 6,555 milliards (+37%), confirmant une amélioration durable. Les perspectives restent prudentes avec un PNB en baisse, mais la solidité financière et la maîtrise des risques justifient une recommandation de conservation.</w:t>
      </w:r>
    </w:p>
    <w:p>
      <w:pPr>
        <w:spacing w:after="120" w:line="276" w:lineRule="auto" w:before="240"/>
      </w:pPr>
      <w:r>
        <w:rPr>
          <w:b/>
          <w:color w:val="003366"/>
          <w:sz w:val="24"/>
        </w:rPr>
        <w:t>**PARTIE 4 : CONCLUSION D'INVESTISSEMENT**</w:t>
      </w:r>
    </w:p>
    <w:p>
      <w:pPr>
        <w:spacing w:after="120" w:line="276" w:lineRule="auto"/>
      </w:pPr>
      <w:r>
        <w:t>La valorisation d'ORGT est modérée avec un PER de 10,2x et un P/B de 1,95x, mais l'EV/EBITDA de 20,0x alourdit l'attrait, indiquant une surévaluation relative de la capacité opérationnelle. Le comportement du cours montre une tendance baissière de -13,59% sur 100 jours avec une volatilité élevée (43,4%), mais les statistiques (kurtosis mésokurtique, skewness positif) suggèrent un risque de mouvements extrêmes limité. Les signaux techniques sont divergents : les moyennes mobiles sont haussières, mais le RSI, le stochastique et le MACD signalent un surachat, préfigurant une correction. Les fondamentaux sont solides avec un retour à la rentabilité en 2025 (résultat net de 21,6 milliards), un ROE de 19,1% et une gestion efficace, bien que le PNB soit en repli. Les prédictions IA (3 114 à 3 102 FCFA sur J+1 à J+10) indiquent une légère baisse, confirmant les signaux techniques de consolidation. En synthèse, la convergence entre la valorisation raisonnable, les fondamentaux solides et les signaux techniques mitigés conduit à une recommandation de **CONSERVER**, avec un niveau de confiance **Moyen**, un risque global **Élevé** (volatilité et coût du risque), et un horizon d'investissement **moyen terme (3-12 mois)** pour observer la relance du PNB et la stabilité des résultats.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149.03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3,623 titres</w:t>
            </w:r>
          </w:p>
        </w:tc>
        <w:tc>
          <w:tcPr>
            <w:tcW w:type="dxa" w:w="2268"/>
            <w:shd w:fill="FFF2CC" w:val="clear"/>
          </w:tcPr>
          <w:p>
            <w:r>
              <w:rPr>
                <w:b/>
                <w:color w:val="503200"/>
                <w:sz w:val="16"/>
              </w:rPr>
              <w:t xml:space="preserve">Cours actuel : </w:t>
            </w:r>
            <w:r>
              <w:rPr>
                <w:color w:val="000000"/>
                <w:sz w:val="17"/>
              </w:rPr>
              <w:t>9,640 FCFA</w:t>
            </w:r>
          </w:p>
          <w:p>
            <w:r>
              <w:rPr>
                <w:b/>
                <w:color w:val="503200"/>
                <w:sz w:val="16"/>
              </w:rPr>
              <w:t xml:space="preserve">Var. 100 jours : </w:t>
            </w:r>
            <w:r>
              <w:rPr>
                <w:b/>
                <w:color w:val="007800"/>
                <w:sz w:val="17"/>
              </w:rPr>
              <w:t>+20.50%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6.19% (Moyenne) — μ=8,419 FCFA, σ=521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β=-0.3301 (Contre-cyclique) — Cov=-0.000010, Var(idx)=0.000031, ρ=-0.078,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9,350</w:t>
            </w:r>
          </w:p>
        </w:tc>
        <w:tc>
          <w:tcPr>
            <w:tcW w:type="dxa" w:w="1440"/>
            <w:shd w:fill="FAFAFA" w:val="clear"/>
          </w:tcPr>
          <w:p>
            <w:r>
              <w:rPr>
                <w:b/>
                <w:sz w:val="17"/>
              </w:rPr>
              <w:t>9,622</w:t>
            </w:r>
          </w:p>
        </w:tc>
        <w:tc>
          <w:tcPr>
            <w:tcW w:type="dxa" w:w="1440"/>
            <w:shd w:fill="FAFAFA" w:val="clear"/>
          </w:tcPr>
          <w:p>
            <w:r>
              <w:rPr>
                <w:sz w:val="17"/>
              </w:rPr>
              <w:t>9,893</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2026-08-24</w:t>
            </w:r>
          </w:p>
        </w:tc>
        <w:tc>
          <w:tcPr>
            <w:tcW w:type="dxa" w:w="1440"/>
            <w:shd w:fill="FAFAFA" w:val="clear"/>
          </w:tcPr>
          <w:p>
            <w:r>
              <w:rPr>
                <w:sz w:val="17"/>
              </w:rPr>
              <w:t>9,270</w:t>
            </w:r>
          </w:p>
        </w:tc>
        <w:tc>
          <w:tcPr>
            <w:tcW w:type="dxa" w:w="1440"/>
            <w:shd w:fill="FAFAFA" w:val="clear"/>
          </w:tcPr>
          <w:p>
            <w:r>
              <w:rPr>
                <w:b/>
                <w:sz w:val="17"/>
              </w:rPr>
              <w:t>9,655</w:t>
            </w:r>
          </w:p>
        </w:tc>
        <w:tc>
          <w:tcPr>
            <w:tcW w:type="dxa" w:w="1440"/>
            <w:shd w:fill="FAFAFA" w:val="clear"/>
          </w:tcPr>
          <w:p>
            <w:r>
              <w:rPr>
                <w:sz w:val="17"/>
              </w:rPr>
              <w:t>10,041</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2026-08-25</w:t>
            </w:r>
          </w:p>
        </w:tc>
        <w:tc>
          <w:tcPr>
            <w:tcW w:type="dxa" w:w="1440"/>
            <w:shd w:fill="FAFAFA" w:val="clear"/>
          </w:tcPr>
          <w:p>
            <w:r>
              <w:rPr>
                <w:sz w:val="17"/>
              </w:rPr>
              <w:t>9,206</w:t>
            </w:r>
          </w:p>
        </w:tc>
        <w:tc>
          <w:tcPr>
            <w:tcW w:type="dxa" w:w="1440"/>
            <w:shd w:fill="FAFAFA" w:val="clear"/>
          </w:tcPr>
          <w:p>
            <w:r>
              <w:rPr>
                <w:b/>
                <w:sz w:val="17"/>
              </w:rPr>
              <w:t>9,679</w:t>
            </w:r>
          </w:p>
        </w:tc>
        <w:tc>
          <w:tcPr>
            <w:tcW w:type="dxa" w:w="1440"/>
            <w:shd w:fill="FAFAFA" w:val="clear"/>
          </w:tcPr>
          <w:p>
            <w:r>
              <w:rPr>
                <w:sz w:val="17"/>
              </w:rPr>
              <w:t>10,153</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2026-08-27</w:t>
            </w:r>
          </w:p>
        </w:tc>
        <w:tc>
          <w:tcPr>
            <w:tcW w:type="dxa" w:w="1440"/>
            <w:shd w:fill="FAFAFA" w:val="clear"/>
          </w:tcPr>
          <w:p>
            <w:r>
              <w:rPr>
                <w:sz w:val="17"/>
              </w:rPr>
              <w:t>9,156</w:t>
            </w:r>
          </w:p>
        </w:tc>
        <w:tc>
          <w:tcPr>
            <w:tcW w:type="dxa" w:w="1440"/>
            <w:shd w:fill="FAFAFA" w:val="clear"/>
          </w:tcPr>
          <w:p>
            <w:r>
              <w:rPr>
                <w:b/>
                <w:sz w:val="17"/>
              </w:rPr>
              <w:t>9,704</w:t>
            </w:r>
          </w:p>
        </w:tc>
        <w:tc>
          <w:tcPr>
            <w:tcW w:type="dxa" w:w="1440"/>
            <w:shd w:fill="FAFAFA" w:val="clear"/>
          </w:tcPr>
          <w:p>
            <w:r>
              <w:rPr>
                <w:sz w:val="17"/>
              </w:rPr>
              <w:t>10,252</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2026-08-28</w:t>
            </w:r>
          </w:p>
        </w:tc>
        <w:tc>
          <w:tcPr>
            <w:tcW w:type="dxa" w:w="1440"/>
            <w:shd w:fill="FAFAFA" w:val="clear"/>
          </w:tcPr>
          <w:p>
            <w:r>
              <w:rPr>
                <w:sz w:val="17"/>
              </w:rPr>
              <w:t>9,116</w:t>
            </w:r>
          </w:p>
        </w:tc>
        <w:tc>
          <w:tcPr>
            <w:tcW w:type="dxa" w:w="1440"/>
            <w:shd w:fill="FAFAFA" w:val="clear"/>
          </w:tcPr>
          <w:p>
            <w:r>
              <w:rPr>
                <w:b/>
                <w:sz w:val="17"/>
              </w:rPr>
              <w:t>9,730</w:t>
            </w:r>
          </w:p>
        </w:tc>
        <w:tc>
          <w:tcPr>
            <w:tcW w:type="dxa" w:w="1440"/>
            <w:shd w:fill="FAFAFA" w:val="clear"/>
          </w:tcPr>
          <w:p>
            <w:r>
              <w:rPr>
                <w:sz w:val="17"/>
              </w:rPr>
              <w:t>10,344</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2026-08-31</w:t>
            </w:r>
          </w:p>
        </w:tc>
        <w:tc>
          <w:tcPr>
            <w:tcW w:type="dxa" w:w="1440"/>
            <w:shd w:fill="FAFAFA" w:val="clear"/>
          </w:tcPr>
          <w:p>
            <w:r>
              <w:rPr>
                <w:sz w:val="17"/>
              </w:rPr>
              <w:t>9,081</w:t>
            </w:r>
          </w:p>
        </w:tc>
        <w:tc>
          <w:tcPr>
            <w:tcW w:type="dxa" w:w="1440"/>
            <w:shd w:fill="FAFAFA" w:val="clear"/>
          </w:tcPr>
          <w:p>
            <w:r>
              <w:rPr>
                <w:b/>
                <w:sz w:val="17"/>
              </w:rPr>
              <w:t>9,755</w:t>
            </w:r>
          </w:p>
        </w:tc>
        <w:tc>
          <w:tcPr>
            <w:tcW w:type="dxa" w:w="1440"/>
            <w:shd w:fill="FAFAFA" w:val="clear"/>
          </w:tcPr>
          <w:p>
            <w:r>
              <w:rPr>
                <w:sz w:val="17"/>
              </w:rPr>
              <w:t>10,430</w:t>
            </w:r>
          </w:p>
        </w:tc>
        <w:tc>
          <w:tcPr>
            <w:tcW w:type="dxa" w:w="1440"/>
            <w:shd w:fill="FAFAFA" w:val="clear"/>
          </w:tcPr>
          <w:p>
            <w:r>
              <w:rPr>
                <w:b/>
                <w:color w:val="008000"/>
                <w:sz w:val="17"/>
              </w:rPr>
              <w:t>+1.2%</w:t>
            </w:r>
          </w:p>
        </w:tc>
      </w:tr>
      <w:tr>
        <w:tc>
          <w:tcPr>
            <w:tcW w:type="dxa" w:w="1440"/>
            <w:shd w:fill="FAFAFA" w:val="clear"/>
          </w:tcPr>
          <w:p>
            <w:r>
              <w:rPr>
                <w:sz w:val="17"/>
              </w:rPr>
              <w:t>J+7  Moyenne</w:t>
            </w:r>
          </w:p>
        </w:tc>
        <w:tc>
          <w:tcPr>
            <w:tcW w:type="dxa" w:w="1440"/>
            <w:shd w:fill="FAFAFA" w:val="clear"/>
          </w:tcPr>
          <w:p>
            <w:r>
              <w:rPr>
                <w:sz w:val="17"/>
              </w:rPr>
              <w:t>2026-09-01</w:t>
            </w:r>
          </w:p>
        </w:tc>
        <w:tc>
          <w:tcPr>
            <w:tcW w:type="dxa" w:w="1440"/>
            <w:shd w:fill="FAFAFA" w:val="clear"/>
          </w:tcPr>
          <w:p>
            <w:r>
              <w:rPr>
                <w:sz w:val="17"/>
              </w:rPr>
              <w:t>9,050</w:t>
            </w:r>
          </w:p>
        </w:tc>
        <w:tc>
          <w:tcPr>
            <w:tcW w:type="dxa" w:w="1440"/>
            <w:shd w:fill="FAFAFA" w:val="clear"/>
          </w:tcPr>
          <w:p>
            <w:r>
              <w:rPr>
                <w:b/>
                <w:sz w:val="17"/>
              </w:rPr>
              <w:t>9,781</w:t>
            </w:r>
          </w:p>
        </w:tc>
        <w:tc>
          <w:tcPr>
            <w:tcW w:type="dxa" w:w="1440"/>
            <w:shd w:fill="FAFAFA" w:val="clear"/>
          </w:tcPr>
          <w:p>
            <w:r>
              <w:rPr>
                <w:sz w:val="17"/>
              </w:rPr>
              <w:t>10,511</w:t>
            </w:r>
          </w:p>
        </w:tc>
        <w:tc>
          <w:tcPr>
            <w:tcW w:type="dxa" w:w="1440"/>
            <w:shd w:fill="FAFAFA" w:val="clear"/>
          </w:tcPr>
          <w:p>
            <w:r>
              <w:rPr>
                <w:b/>
                <w:color w:val="008000"/>
                <w:sz w:val="17"/>
              </w:rPr>
              <w:t>+1.5%</w:t>
            </w:r>
          </w:p>
        </w:tc>
      </w:tr>
      <w:tr>
        <w:tc>
          <w:tcPr>
            <w:tcW w:type="dxa" w:w="1440"/>
            <w:shd w:fill="FAFAFA" w:val="clear"/>
          </w:tcPr>
          <w:p>
            <w:r>
              <w:rPr>
                <w:sz w:val="17"/>
              </w:rPr>
              <w:t>J+8  Moyenne</w:t>
            </w:r>
          </w:p>
        </w:tc>
        <w:tc>
          <w:tcPr>
            <w:tcW w:type="dxa" w:w="1440"/>
            <w:shd w:fill="FAFAFA" w:val="clear"/>
          </w:tcPr>
          <w:p>
            <w:r>
              <w:rPr>
                <w:sz w:val="17"/>
              </w:rPr>
              <w:t>2026-09-02</w:t>
            </w:r>
          </w:p>
        </w:tc>
        <w:tc>
          <w:tcPr>
            <w:tcW w:type="dxa" w:w="1440"/>
            <w:shd w:fill="FAFAFA" w:val="clear"/>
          </w:tcPr>
          <w:p>
            <w:r>
              <w:rPr>
                <w:sz w:val="17"/>
              </w:rPr>
              <w:t>9,023</w:t>
            </w:r>
          </w:p>
        </w:tc>
        <w:tc>
          <w:tcPr>
            <w:tcW w:type="dxa" w:w="1440"/>
            <w:shd w:fill="FAFAFA" w:val="clear"/>
          </w:tcPr>
          <w:p>
            <w:r>
              <w:rPr>
                <w:b/>
                <w:sz w:val="17"/>
              </w:rPr>
              <w:t>9,806</w:t>
            </w:r>
          </w:p>
        </w:tc>
        <w:tc>
          <w:tcPr>
            <w:tcW w:type="dxa" w:w="1440"/>
            <w:shd w:fill="FAFAFA" w:val="clear"/>
          </w:tcPr>
          <w:p>
            <w:r>
              <w:rPr>
                <w:sz w:val="17"/>
              </w:rPr>
              <w:t>10,589</w:t>
            </w:r>
          </w:p>
        </w:tc>
        <w:tc>
          <w:tcPr>
            <w:tcW w:type="dxa" w:w="1440"/>
            <w:shd w:fill="FAFAFA" w:val="clear"/>
          </w:tcPr>
          <w:p>
            <w:r>
              <w:rPr>
                <w:b/>
                <w:color w:val="008000"/>
                <w:sz w:val="17"/>
              </w:rPr>
              <w:t>+1.7%</w:t>
            </w:r>
          </w:p>
        </w:tc>
      </w:tr>
      <w:tr>
        <w:tc>
          <w:tcPr>
            <w:tcW w:type="dxa" w:w="1440"/>
            <w:shd w:fill="FAFAFA" w:val="clear"/>
          </w:tcPr>
          <w:p>
            <w:r>
              <w:rPr>
                <w:sz w:val="17"/>
              </w:rPr>
              <w:t>J+9  Moyenne</w:t>
            </w:r>
          </w:p>
        </w:tc>
        <w:tc>
          <w:tcPr>
            <w:tcW w:type="dxa" w:w="1440"/>
            <w:shd w:fill="FAFAFA" w:val="clear"/>
          </w:tcPr>
          <w:p>
            <w:r>
              <w:rPr>
                <w:sz w:val="17"/>
              </w:rPr>
              <w:t>2026-09-03</w:t>
            </w:r>
          </w:p>
        </w:tc>
        <w:tc>
          <w:tcPr>
            <w:tcW w:type="dxa" w:w="1440"/>
            <w:shd w:fill="FAFAFA" w:val="clear"/>
          </w:tcPr>
          <w:p>
            <w:r>
              <w:rPr>
                <w:sz w:val="17"/>
              </w:rPr>
              <w:t>8,998</w:t>
            </w:r>
          </w:p>
        </w:tc>
        <w:tc>
          <w:tcPr>
            <w:tcW w:type="dxa" w:w="1440"/>
            <w:shd w:fill="FAFAFA" w:val="clear"/>
          </w:tcPr>
          <w:p>
            <w:r>
              <w:rPr>
                <w:b/>
                <w:sz w:val="17"/>
              </w:rPr>
              <w:t>9,831</w:t>
            </w:r>
          </w:p>
        </w:tc>
        <w:tc>
          <w:tcPr>
            <w:tcW w:type="dxa" w:w="1440"/>
            <w:shd w:fill="FAFAFA" w:val="clear"/>
          </w:tcPr>
          <w:p>
            <w:r>
              <w:rPr>
                <w:sz w:val="17"/>
              </w:rPr>
              <w:t>10,663</w:t>
            </w:r>
          </w:p>
        </w:tc>
        <w:tc>
          <w:tcPr>
            <w:tcW w:type="dxa" w:w="1440"/>
            <w:shd w:fill="FAFAFA" w:val="clear"/>
          </w:tcPr>
          <w:p>
            <w:r>
              <w:rPr>
                <w:b/>
                <w:color w:val="008000"/>
                <w:sz w:val="17"/>
              </w:rPr>
              <w:t>+2.0%</w:t>
            </w:r>
          </w:p>
        </w:tc>
      </w:tr>
      <w:tr>
        <w:tc>
          <w:tcPr>
            <w:tcW w:type="dxa" w:w="1440"/>
            <w:shd w:fill="C6EFCE" w:val="clear"/>
          </w:tcPr>
          <w:p>
            <w:r>
              <w:rPr>
                <w:sz w:val="17"/>
              </w:rPr>
              <w:t>J+10  Moyenne</w:t>
            </w:r>
          </w:p>
        </w:tc>
        <w:tc>
          <w:tcPr>
            <w:tcW w:type="dxa" w:w="1440"/>
            <w:shd w:fill="C6EFCE" w:val="clear"/>
          </w:tcPr>
          <w:p>
            <w:r>
              <w:rPr>
                <w:sz w:val="17"/>
              </w:rPr>
              <w:t>2026-09-04</w:t>
            </w:r>
          </w:p>
        </w:tc>
        <w:tc>
          <w:tcPr>
            <w:tcW w:type="dxa" w:w="1440"/>
            <w:shd w:fill="C6EFCE" w:val="clear"/>
          </w:tcPr>
          <w:p>
            <w:r>
              <w:rPr>
                <w:sz w:val="17"/>
              </w:rPr>
              <w:t>8,976</w:t>
            </w:r>
          </w:p>
        </w:tc>
        <w:tc>
          <w:tcPr>
            <w:tcW w:type="dxa" w:w="1440"/>
            <w:shd w:fill="C6EFCE" w:val="clear"/>
          </w:tcPr>
          <w:p>
            <w:r>
              <w:rPr>
                <w:b/>
                <w:sz w:val="17"/>
              </w:rPr>
              <w:t>9,856</w:t>
            </w:r>
          </w:p>
        </w:tc>
        <w:tc>
          <w:tcPr>
            <w:tcW w:type="dxa" w:w="1440"/>
            <w:shd w:fill="C6EFCE" w:val="clear"/>
          </w:tcPr>
          <w:p>
            <w:r>
              <w:rPr>
                <w:sz w:val="17"/>
              </w:rPr>
              <w:t>10,735</w:t>
            </w:r>
          </w:p>
        </w:tc>
        <w:tc>
          <w:tcPr>
            <w:tcW w:type="dxa" w:w="1440"/>
            <w:shd w:fill="C6EFCE" w:val="clear"/>
          </w:tcPr>
          <w:p>
            <w:r>
              <w:rPr>
                <w:b/>
                <w:color w:val="008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**Date de l'analyse : 20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149,03 milliards FCFA, un niveau significatif qui la positionne parmi les valeurs moyennes à grandes capitalisations de la BRVM, lui conférant une liquidité et une visibilité appréciables. Le BPA de 1 003 FCFA indique que chaque action génère un bénéfice substantiel, justifiant un PER de 9,6x, inférieur à la moyenne historique du marché (8-12x), ce qui suggère une sous-évaluation relative du titre par rapport à ses bénéfices. Le P/B de 1,04x est particulièrement intéressant : le marché valorise l'action quasiment à hauteur de ses capitaux propres, ce qui est rare et offre une marge de sécurité pour l'investisseur. Enfin, un EV/EBITDA de 4,7x, très inférieur au seuil de 5x, confirme que la valeur totale de l'entreprise (dette incluse) est très bon marché par rapport à sa capacité opérationnelle à générer des liquidités. Ces ratios combinés dressent le portrait d'une valeur fondamentalement sous-évaluée.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PALC a enregistré une progression remarquable de +20,50%, avec une dernière séance positive de +0,42%, clôturant à 9 640 FCFA. Le titre a évolué dans une fourchette de 7 000 FCFA (plus bas) à 9 640 FCFA (plus haut), démontrant une dynamique haussière soutenue et continue. La moyenne du cours sur la période (8 419 FCFA) est inférieure à la médiane (8 612 FCFA), indiquant une asymétrie positive où les fortes hausses récentes tirent la moyenne vers le haut. L'écart-type de 524 FCFA, avec un coefficient de variation de 6,2%, révèle une dispersion modérée autour de la moyenne. Le kurtosis de -0,487 (mésokurtique) et le skewness de -0,195 indiquent une distribution proche de la normale, sans risque de mouvements extrêmes imprévisibles. Cependant, la volatilité annualisée de 37,3% est élevée (&gt;30%), signalant un titre potentiellement spéculatif à court terme, malgré une tendance de fond clairement haussière.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(9 640 FCFA) se situe nettement au-dessus de la MM20 (9 039,75 FCFA) et de la MM50 (8 848,3 FCFA). Cette configuration haussière, où les moyennes sont orientées à la hausse, confirme la solidité de la tendance et justifie la décision d'**Achat**.</w:t>
      </w:r>
    </w:p>
    <w:p>
      <w:pPr>
        <w:spacing w:after="120" w:line="276" w:lineRule="auto"/>
      </w:pPr>
      <w:r>
        <w:t>**Bandes de Bollinger** : Le prix évolue au-dessus de la borne supérieure (9 592,53 FCFA), ce qui indique une phase de surachat extrême et une volatilité accrue. Bien que la tendance soit forte, cette sortie de bande suggère une possible consolidation ou correction à court terme, d'où la décision de **Vente** (prudence).</w:t>
      </w:r>
    </w:p>
    <w:p>
      <w:pPr>
        <w:spacing w:after="120" w:line="276" w:lineRule="auto"/>
      </w:pPr>
      <w:r>
        <w:t>**MACD** : La valeur du MACD (199,75) est supérieure à son signal (139,14), avec une divergence positive. Le momentum haussier est donc puissant et s'accélère, confirmant la tendance de fond et justifiant la décision d'**Achat**.</w:t>
      </w:r>
    </w:p>
    <w:p>
      <w:pPr>
        <w:spacing w:after="120" w:line="276" w:lineRule="auto"/>
      </w:pPr>
      <w:r>
        <w:t>**RSI** : Avec une valeur de 84,21, le RSI est profondément en zone de surachat (&gt;70). Cela indique que le titre est techniquement survendu à la hausse et qu'un repli technique est probable à très court terme, justifiant la décision de **Vente**.</w:t>
      </w:r>
    </w:p>
    <w:p>
      <w:pPr>
        <w:spacing w:after="120" w:line="276" w:lineRule="auto"/>
      </w:pPr>
      <w:r>
        <w:t>**Stochastique** : Le %K et le %D sont tous deux à 100,0, en territoire de surachat extrême. Ce niveau maximal indique que la pression acheteuse est à son paroxysme, rendant le titre vulnérable à un retournement, justifiant la décision de **Vente**.</w:t>
      </w:r>
    </w:p>
    <w:p>
      <w:pPr>
        <w:spacing w:after="120" w:line="276" w:lineRule="auto"/>
      </w:pPr>
      <w:r>
        <w:t>**Conclusion technique** : Les indicateurs de tendance (MM, MACD) sont résolument haussiers, mais les oscillateurs (RSI, Stochastique, Bollinger) signalent tous un état de surachat extrême. Cette divergence classique suggère une poursuite de la tendance à moyen terme, mais avec un fort risque de correction technique à court terme. La prudence est de mise pour tout nouvel achat à ces niveaux.</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officielles de l'exercice 2025, PALC affiche un chiffre d'affaires de 197,63 milliards FCFA, en croissance de +14,8% par rapport à 2024, et un résultat net de 15,51 milliards FCFA. La rentabilité des capitaux propres (ROE) s'établit à 10,87%, et le ROA à 7,79%, des niveaux corrects mais en deçà du seuil de 15% jugé excellent. La structure financière est très saine avec une autonomie financière de 71,6% et un endettement faible (ratio d'endettement de 0,56%). Cependant, le délai de paiement des clients (142,58 jours) est élevé, constituant un risque de trésorerie, et le BFR positif de 44,62 milliards FCFA confirme ce besoin de financement. Les rapports trimestriels 2025 montrent une dynamique très positive au S1 (CA +25%, RN +37% à 22,9 Mds FCFA), mais le rapport T1 2026 (publié en 2026) révèle une chute brutale du CA (-27%) et du résultat net (-86% à 1,6 Md FCFA), attribuée par la direction à un décalage temporel des ventes. En croisant ces données, on estime que l'exercice 2026 pourrait être plus difficile que 2025, mais la solidité du bilan et la position dominante de PALC sur le marché ivoirien de l'huile de palme constituent des atouts majeurs pour surmonter cette passe passagère.</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divergence nette entre des fondamentaux solides et une valorisation attractive (PER 9,6x, P/B 1,04x, EV/EBITDA 4,7x) d'une part, et des signaux techniques d'essoufflement à court terme (RSI et Stochastique en surachat extrême) d'autre part. La tendance de fond du cours (+20,5% sur 100 jours) est haussière et les prédictions IA (9 622 à 9 730 FCFA sur J+1 à J+10) confirment une poursuite de la hausse à très court terme, mais avec une amplitude de plus en plus faible, suggérant un essoufflement. Les fondamentaux, bien qu'affectés par un T1 2026 décevant, restent robustes grâce à une structure financière saine et une croissance du CA 2025 de +14,8%. En conséquence, la recommandation est de **CONSERVER** le titre pour les investisseurs actuels, avec un niveau de confiance **Moyen** et un risque global **Élevé** (volatilité et surachat technique). Pour les nouveaux investisseurs, il serait prudent d'attendre une correction technique vers la zone des 9 000-9 200 FCFA pour initier une position, avec un horizon d'investissement à **moyen terme (3-12 mois)**, en surveillant attentivement les publications trimestrielles pour confirmer le redressement de l'activité.</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45.82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900 titres</w:t>
            </w:r>
          </w:p>
        </w:tc>
        <w:tc>
          <w:tcPr>
            <w:tcW w:type="dxa" w:w="2268"/>
            <w:shd w:fill="FFF2CC" w:val="clear"/>
          </w:tcPr>
          <w:p>
            <w:r>
              <w:rPr>
                <w:b/>
                <w:color w:val="503200"/>
                <w:sz w:val="16"/>
              </w:rPr>
              <w:t xml:space="preserve">Cours actuel : </w:t>
            </w:r>
            <w:r>
              <w:rPr>
                <w:color w:val="000000"/>
                <w:sz w:val="17"/>
              </w:rPr>
              <w:t>4,475 FCFA</w:t>
            </w:r>
          </w:p>
          <w:p>
            <w:r>
              <w:rPr>
                <w:b/>
                <w:color w:val="503200"/>
                <w:sz w:val="16"/>
              </w:rPr>
              <w:t xml:space="preserve">Var. 100 jours : </w:t>
            </w:r>
            <w:r>
              <w:rPr>
                <w:b/>
                <w:color w:val="B40000"/>
                <w:sz w:val="17"/>
              </w:rPr>
              <w:t>-10.14%</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8.06% (Moyenne) — μ=4,465 FCFA, σ=360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β=-0.3830 (Contre-cyclique) — Cov=-0.000012, Var(idx)=0.000031, ρ=-0.084,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900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4,291</w:t>
            </w:r>
          </w:p>
        </w:tc>
        <w:tc>
          <w:tcPr>
            <w:tcW w:type="dxa" w:w="1440"/>
            <w:shd w:fill="FAFAFA" w:val="clear"/>
          </w:tcPr>
          <w:p>
            <w:r>
              <w:rPr>
                <w:b/>
                <w:sz w:val="17"/>
              </w:rPr>
              <w:t>4,406</w:t>
            </w:r>
          </w:p>
        </w:tc>
        <w:tc>
          <w:tcPr>
            <w:tcW w:type="dxa" w:w="1440"/>
            <w:shd w:fill="FAFAFA" w:val="clear"/>
          </w:tcPr>
          <w:p>
            <w:r>
              <w:rPr>
                <w:sz w:val="17"/>
              </w:rPr>
              <w:t>4,522</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2026-08-24</w:t>
            </w:r>
          </w:p>
        </w:tc>
        <w:tc>
          <w:tcPr>
            <w:tcW w:type="dxa" w:w="1440"/>
            <w:shd w:fill="FAFAFA" w:val="clear"/>
          </w:tcPr>
          <w:p>
            <w:r>
              <w:rPr>
                <w:sz w:val="17"/>
              </w:rPr>
              <w:t>4,230</w:t>
            </w:r>
          </w:p>
        </w:tc>
        <w:tc>
          <w:tcPr>
            <w:tcW w:type="dxa" w:w="1440"/>
            <w:shd w:fill="FAFAFA" w:val="clear"/>
          </w:tcPr>
          <w:p>
            <w:r>
              <w:rPr>
                <w:b/>
                <w:sz w:val="17"/>
              </w:rPr>
              <w:t>4,393</w:t>
            </w:r>
          </w:p>
        </w:tc>
        <w:tc>
          <w:tcPr>
            <w:tcW w:type="dxa" w:w="1440"/>
            <w:shd w:fill="FAFAFA" w:val="clear"/>
          </w:tcPr>
          <w:p>
            <w:r>
              <w:rPr>
                <w:sz w:val="17"/>
              </w:rPr>
              <w:t>4,556</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4,173</w:t>
            </w:r>
          </w:p>
        </w:tc>
        <w:tc>
          <w:tcPr>
            <w:tcW w:type="dxa" w:w="1440"/>
            <w:shd w:fill="FFDCE0" w:val="clear"/>
          </w:tcPr>
          <w:p>
            <w:r>
              <w:rPr>
                <w:b/>
                <w:sz w:val="17"/>
              </w:rPr>
              <w:t>4,372</w:t>
            </w:r>
          </w:p>
        </w:tc>
        <w:tc>
          <w:tcPr>
            <w:tcW w:type="dxa" w:w="1440"/>
            <w:shd w:fill="FFDCE0" w:val="clear"/>
          </w:tcPr>
          <w:p>
            <w:r>
              <w:rPr>
                <w:sz w:val="17"/>
              </w:rPr>
              <w:t>4,570</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2026-08-27</w:t>
            </w:r>
          </w:p>
        </w:tc>
        <w:tc>
          <w:tcPr>
            <w:tcW w:type="dxa" w:w="1440"/>
            <w:shd w:fill="FFDCE0" w:val="clear"/>
          </w:tcPr>
          <w:p>
            <w:r>
              <w:rPr>
                <w:sz w:val="17"/>
              </w:rPr>
              <w:t>4,122</w:t>
            </w:r>
          </w:p>
        </w:tc>
        <w:tc>
          <w:tcPr>
            <w:tcW w:type="dxa" w:w="1440"/>
            <w:shd w:fill="FFDCE0" w:val="clear"/>
          </w:tcPr>
          <w:p>
            <w:r>
              <w:rPr>
                <w:b/>
                <w:sz w:val="17"/>
              </w:rPr>
              <w:t>4,350</w:t>
            </w:r>
          </w:p>
        </w:tc>
        <w:tc>
          <w:tcPr>
            <w:tcW w:type="dxa" w:w="1440"/>
            <w:shd w:fill="FFDCE0" w:val="clear"/>
          </w:tcPr>
          <w:p>
            <w:r>
              <w:rPr>
                <w:sz w:val="17"/>
              </w:rPr>
              <w:t>4,579</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2026-08-28</w:t>
            </w:r>
          </w:p>
        </w:tc>
        <w:tc>
          <w:tcPr>
            <w:tcW w:type="dxa" w:w="1440"/>
            <w:shd w:fill="FFDCE0" w:val="clear"/>
          </w:tcPr>
          <w:p>
            <w:r>
              <w:rPr>
                <w:sz w:val="17"/>
              </w:rPr>
              <w:t>4,075</w:t>
            </w:r>
          </w:p>
        </w:tc>
        <w:tc>
          <w:tcPr>
            <w:tcW w:type="dxa" w:w="1440"/>
            <w:shd w:fill="FFDCE0" w:val="clear"/>
          </w:tcPr>
          <w:p>
            <w:r>
              <w:rPr>
                <w:b/>
                <w:sz w:val="17"/>
              </w:rPr>
              <w:t>4,329</w:t>
            </w:r>
          </w:p>
        </w:tc>
        <w:tc>
          <w:tcPr>
            <w:tcW w:type="dxa" w:w="1440"/>
            <w:shd w:fill="FFDCE0" w:val="clear"/>
          </w:tcPr>
          <w:p>
            <w:r>
              <w:rPr>
                <w:sz w:val="17"/>
              </w:rPr>
              <w:t>4,584</w:t>
            </w:r>
          </w:p>
        </w:tc>
        <w:tc>
          <w:tcPr>
            <w:tcW w:type="dxa" w:w="1440"/>
            <w:shd w:fill="FFDCE0" w:val="clear"/>
          </w:tcPr>
          <w:p>
            <w:r>
              <w:rPr>
                <w:b/>
                <w:color w:val="C00000"/>
                <w:sz w:val="17"/>
              </w:rPr>
              <w:t>-3.3%</w:t>
            </w:r>
          </w:p>
        </w:tc>
      </w:tr>
      <w:tr>
        <w:tc>
          <w:tcPr>
            <w:tcW w:type="dxa" w:w="1440"/>
            <w:shd w:fill="FFDCE0" w:val="clear"/>
          </w:tcPr>
          <w:p>
            <w:r>
              <w:rPr>
                <w:sz w:val="17"/>
              </w:rPr>
              <w:t>J+6  Moyenne</w:t>
            </w:r>
          </w:p>
        </w:tc>
        <w:tc>
          <w:tcPr>
            <w:tcW w:type="dxa" w:w="1440"/>
            <w:shd w:fill="FFDCE0" w:val="clear"/>
          </w:tcPr>
          <w:p>
            <w:r>
              <w:rPr>
                <w:sz w:val="17"/>
              </w:rPr>
              <w:t>2026-08-31</w:t>
            </w:r>
          </w:p>
        </w:tc>
        <w:tc>
          <w:tcPr>
            <w:tcW w:type="dxa" w:w="1440"/>
            <w:shd w:fill="FFDCE0" w:val="clear"/>
          </w:tcPr>
          <w:p>
            <w:r>
              <w:rPr>
                <w:sz w:val="17"/>
              </w:rPr>
              <w:t>4,032</w:t>
            </w:r>
          </w:p>
        </w:tc>
        <w:tc>
          <w:tcPr>
            <w:tcW w:type="dxa" w:w="1440"/>
            <w:shd w:fill="FFDCE0" w:val="clear"/>
          </w:tcPr>
          <w:p>
            <w:r>
              <w:rPr>
                <w:b/>
                <w:sz w:val="17"/>
              </w:rPr>
              <w:t>4,309</w:t>
            </w:r>
          </w:p>
        </w:tc>
        <w:tc>
          <w:tcPr>
            <w:tcW w:type="dxa" w:w="1440"/>
            <w:shd w:fill="FFDCE0" w:val="clear"/>
          </w:tcPr>
          <w:p>
            <w:r>
              <w:rPr>
                <w:sz w:val="17"/>
              </w:rPr>
              <w:t>4,586</w:t>
            </w:r>
          </w:p>
        </w:tc>
        <w:tc>
          <w:tcPr>
            <w:tcW w:type="dxa" w:w="1440"/>
            <w:shd w:fill="FFDCE0" w:val="clear"/>
          </w:tcPr>
          <w:p>
            <w:r>
              <w:rPr>
                <w:b/>
                <w:color w:val="C00000"/>
                <w:sz w:val="17"/>
              </w:rPr>
              <w:t>-3.7%</w:t>
            </w:r>
          </w:p>
        </w:tc>
      </w:tr>
      <w:tr>
        <w:tc>
          <w:tcPr>
            <w:tcW w:type="dxa" w:w="1440"/>
            <w:shd w:fill="FFDCE0" w:val="clear"/>
          </w:tcPr>
          <w:p>
            <w:r>
              <w:rPr>
                <w:sz w:val="17"/>
              </w:rPr>
              <w:t>J+7  Moyenne</w:t>
            </w:r>
          </w:p>
        </w:tc>
        <w:tc>
          <w:tcPr>
            <w:tcW w:type="dxa" w:w="1440"/>
            <w:shd w:fill="FFDCE0" w:val="clear"/>
          </w:tcPr>
          <w:p>
            <w:r>
              <w:rPr>
                <w:sz w:val="17"/>
              </w:rPr>
              <w:t>2026-09-01</w:t>
            </w:r>
          </w:p>
        </w:tc>
        <w:tc>
          <w:tcPr>
            <w:tcW w:type="dxa" w:w="1440"/>
            <w:shd w:fill="FFDCE0" w:val="clear"/>
          </w:tcPr>
          <w:p>
            <w:r>
              <w:rPr>
                <w:sz w:val="17"/>
              </w:rPr>
              <w:t>3,992</w:t>
            </w:r>
          </w:p>
        </w:tc>
        <w:tc>
          <w:tcPr>
            <w:tcW w:type="dxa" w:w="1440"/>
            <w:shd w:fill="FFDCE0" w:val="clear"/>
          </w:tcPr>
          <w:p>
            <w:r>
              <w:rPr>
                <w:b/>
                <w:sz w:val="17"/>
              </w:rPr>
              <w:t>4,290</w:t>
            </w:r>
          </w:p>
        </w:tc>
        <w:tc>
          <w:tcPr>
            <w:tcW w:type="dxa" w:w="1440"/>
            <w:shd w:fill="FFDCE0" w:val="clear"/>
          </w:tcPr>
          <w:p>
            <w:r>
              <w:rPr>
                <w:sz w:val="17"/>
              </w:rPr>
              <w:t>4,588</w:t>
            </w:r>
          </w:p>
        </w:tc>
        <w:tc>
          <w:tcPr>
            <w:tcW w:type="dxa" w:w="1440"/>
            <w:shd w:fill="FFDCE0" w:val="clear"/>
          </w:tcPr>
          <w:p>
            <w:r>
              <w:rPr>
                <w:b/>
                <w:color w:val="C00000"/>
                <w:sz w:val="17"/>
              </w:rPr>
              <w:t>-4.1%</w:t>
            </w:r>
          </w:p>
        </w:tc>
      </w:tr>
      <w:tr>
        <w:tc>
          <w:tcPr>
            <w:tcW w:type="dxa" w:w="1440"/>
            <w:shd w:fill="FFDCE0" w:val="clear"/>
          </w:tcPr>
          <w:p>
            <w:r>
              <w:rPr>
                <w:sz w:val="17"/>
              </w:rPr>
              <w:t>J+8  Moyenne</w:t>
            </w:r>
          </w:p>
        </w:tc>
        <w:tc>
          <w:tcPr>
            <w:tcW w:type="dxa" w:w="1440"/>
            <w:shd w:fill="FFDCE0" w:val="clear"/>
          </w:tcPr>
          <w:p>
            <w:r>
              <w:rPr>
                <w:sz w:val="17"/>
              </w:rPr>
              <w:t>2026-09-02</w:t>
            </w:r>
          </w:p>
        </w:tc>
        <w:tc>
          <w:tcPr>
            <w:tcW w:type="dxa" w:w="1440"/>
            <w:shd w:fill="FFDCE0" w:val="clear"/>
          </w:tcPr>
          <w:p>
            <w:r>
              <w:rPr>
                <w:sz w:val="17"/>
              </w:rPr>
              <w:t>3,953</w:t>
            </w:r>
          </w:p>
        </w:tc>
        <w:tc>
          <w:tcPr>
            <w:tcW w:type="dxa" w:w="1440"/>
            <w:shd w:fill="FFDCE0" w:val="clear"/>
          </w:tcPr>
          <w:p>
            <w:r>
              <w:rPr>
                <w:b/>
                <w:sz w:val="17"/>
              </w:rPr>
              <w:t>4,271</w:t>
            </w:r>
          </w:p>
        </w:tc>
        <w:tc>
          <w:tcPr>
            <w:tcW w:type="dxa" w:w="1440"/>
            <w:shd w:fill="FFDCE0" w:val="clear"/>
          </w:tcPr>
          <w:p>
            <w:r>
              <w:rPr>
                <w:sz w:val="17"/>
              </w:rPr>
              <w:t>4,588</w:t>
            </w:r>
          </w:p>
        </w:tc>
        <w:tc>
          <w:tcPr>
            <w:tcW w:type="dxa" w:w="1440"/>
            <w:shd w:fill="FFDCE0" w:val="clear"/>
          </w:tcPr>
          <w:p>
            <w:r>
              <w:rPr>
                <w:b/>
                <w:color w:val="C00000"/>
                <w:sz w:val="17"/>
              </w:rPr>
              <w:t>-4.6%</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3,917</w:t>
            </w:r>
          </w:p>
        </w:tc>
        <w:tc>
          <w:tcPr>
            <w:tcW w:type="dxa" w:w="1440"/>
            <w:shd w:fill="FFDCE0" w:val="clear"/>
          </w:tcPr>
          <w:p>
            <w:r>
              <w:rPr>
                <w:b/>
                <w:sz w:val="17"/>
              </w:rPr>
              <w:t>4,252</w:t>
            </w:r>
          </w:p>
        </w:tc>
        <w:tc>
          <w:tcPr>
            <w:tcW w:type="dxa" w:w="1440"/>
            <w:shd w:fill="FFDCE0" w:val="clear"/>
          </w:tcPr>
          <w:p>
            <w:r>
              <w:rPr>
                <w:sz w:val="17"/>
              </w:rPr>
              <w:t>4,587</w:t>
            </w:r>
          </w:p>
        </w:tc>
        <w:tc>
          <w:tcPr>
            <w:tcW w:type="dxa" w:w="1440"/>
            <w:shd w:fill="FFDCE0" w:val="clear"/>
          </w:tcPr>
          <w:p>
            <w:r>
              <w:rPr>
                <w:b/>
                <w:color w:val="C00000"/>
                <w:sz w:val="17"/>
              </w:rPr>
              <w:t>-5.0%</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3,882</w:t>
            </w:r>
          </w:p>
        </w:tc>
        <w:tc>
          <w:tcPr>
            <w:tcW w:type="dxa" w:w="1440"/>
            <w:shd w:fill="FFDCE0" w:val="clear"/>
          </w:tcPr>
          <w:p>
            <w:r>
              <w:rPr>
                <w:b/>
                <w:sz w:val="17"/>
              </w:rPr>
              <w:t>4,233</w:t>
            </w:r>
          </w:p>
        </w:tc>
        <w:tc>
          <w:tcPr>
            <w:tcW w:type="dxa" w:w="1440"/>
            <w:shd w:fill="FFDCE0" w:val="clear"/>
          </w:tcPr>
          <w:p>
            <w:r>
              <w:rPr>
                <w:sz w:val="17"/>
              </w:rPr>
              <w:t>4,585</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 20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45,82 milliards FCFA, un niveau intermédiaire sur la BRVM qui reflète une liquidité modérée (volume moyen de 900 titres/jour). Avec un BPA de 231 FCFA, le titre se négocie à un PER de 19,4x, nettement supérieur à la moyenne historique de la BRVM (8-12x), indiquant que les investisseurs paient une prime substantielle pour les bénéfices actuels. Le P/B de 3,97x confirme cette prime, le marché valorisant le titre près de 4 fois sa valeur comptable, ce qui suggère des attentes de croissance élevées. L'EV/EBITDA de 9,9x se situe dans la fourchette raisonnable (5-10x), tempérant légèrement la surévaluation apparente. Globalement, la valorisation actuelle intègre des hypothèses de croissance ambitieuses, rendant le titre exigeant en termes de performance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la période de 100 jours, le titre PRSC affiche une performance négative de -10,14%, passant d'un plus haut de 5 100 FCFA à un plus bas de 3 620 FCFA, soit une amplitude de trading de 1 480 FCFA (environ 29% du cours moyen). La dernière séance montre un rebond de +1,59% à 4 475 FCFA, mais la tendance générale reste baissière sur la période. Les statistiques descriptives révèlent une moyenne (4 465 FCFA) très proche de la médiane (4 498 FCFA), indiquant une distribution relativement symétrique des cours, bien que le skewness négatif (-0,674) suggère davantage de journées au-dessus de la moyenne, avec des épisodes de baisse plus marqués. L'écart-type de 362 FCFA (CV = 8,1%) témoigne d'une dispersion modérée, tandis que le kurtosis proche de zéro (0,044) indique une distribution mésokurtique sans risque de pics extrêmes. La volatilité annualisée de 40,1% classe le titre dans la catégorie élevée (&gt;30%), reflétant une incertitude significative sur le marché.</w:t>
      </w:r>
    </w:p>
    <w:p>
      <w:pPr>
        <w:spacing w:after="120" w:line="276" w:lineRule="auto"/>
      </w:pPr>
      <w:r>
        <w:t>---</w:t>
      </w:r>
    </w:p>
    <w:p>
      <w:pPr>
        <w:spacing w:after="120" w:line="276" w:lineRule="auto"/>
      </w:pPr>
      <w:r>
        <w:t>### PARTIE 2 : ANALYSE TECHNIQUE DÉTAILLÉE</w:t>
      </w:r>
    </w:p>
    <w:p>
      <w:pPr>
        <w:spacing w:after="120" w:line="276" w:lineRule="auto"/>
      </w:pPr>
      <w:r>
        <w:t>**Moyennes Mobiles :** Les MM20 (4 479,25 FCFA) et MM50 (4 479,0 FCFA) sont quasi identiques et légèrement au-dessus du cours actuel (4 475 FCFA). Cette configuration indique une consolidation après la baisse récente, le cours évoluant juste sous ses moyennes. La décision d'achat signalée suggère un potentiel de rattrapage si le cours parvient à franchir ces niveaux, mais la proximité des moyennes rend le signal fragile.</w:t>
      </w:r>
    </w:p>
    <w:p>
      <w:pPr>
        <w:spacing w:after="120" w:line="276" w:lineRule="auto"/>
      </w:pPr>
      <w:r>
        <w:t>**Bandes de Bollinger :** Le cours se situe à 4 475 FCFA, entre la borne inférieure (4 345,86 FCFA) et la borne supérieure (4 612,64 FCFA), proche du milieu de l'intervalle. La largeur des bandes (environ 267 FCFA) reflète une volatilité modérée. La décision neutre est cohérente avec une absence de signal directionnel fort, le titre n'étant ni suracheté ni survendu.</w:t>
      </w:r>
    </w:p>
    <w:p>
      <w:pPr>
        <w:spacing w:after="120" w:line="276" w:lineRule="auto"/>
      </w:pPr>
      <w:r>
        <w:t>**MACD :** Le MACD (-7,269) est négatif et inférieur à son signal (-0,358), indiquant un momentum baissier persistant. La divergence négative suggère que la pression vendeuse reste dominante, même si l'ampleur de la baisse du MACD semble se stabiliser. La décision de vente est justifiée par cette configuration, mais un croisement haussier pourrait émerger si la tendance s'inverse.</w:t>
      </w:r>
    </w:p>
    <w:p>
      <w:pPr>
        <w:spacing w:after="120" w:line="276" w:lineRule="auto"/>
      </w:pPr>
      <w:r>
        <w:t>**RSI :** À 45,872, le RSI se situe en zone neutre (30-70), sans signal de surachat ni de survente. Cette valeur indique un équilibre relatif entre acheteurs et vendeurs, avec une légère orientation baissière. La décision neutre est appropriée, le RSI ne fournissant pas de signal directionnel clair à ce stade.</w:t>
      </w:r>
    </w:p>
    <w:p>
      <w:pPr>
        <w:spacing w:after="120" w:line="276" w:lineRule="auto"/>
      </w:pPr>
      <w:r>
        <w:t>**Stochastique :** Le %K (65,217) est nettement supérieur au %D (24,239), suggérant un croisement haussier en cours. Cette configuration indique que le momentum court terme s'améliore, même si la décision reste neutre. Le niveau élevé du %K par rapport au %D pourrait signaler un début de reprise technique.</w:t>
      </w:r>
    </w:p>
    <w:p>
      <w:pPr>
        <w:spacing w:after="120" w:line="276" w:lineRule="auto"/>
      </w:pPr>
      <w:r>
        <w:t>**Conclusion technique :** Les indicateurs sont mitigés : les moyennes mobiles suggèrent un potentiel d'achat, le MACD reste vendeur, tandis que le RSI, les bandes de Bollinger et le stochastique sont neutres. Cette divergence reflète une phase de transition où le titre cherche une direction. La prudence est de mise, avec une attention particulière au franchissement des moyennes mobiles comme déclencheur potentiel.</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croissance de 9,5% par rapport à 2024 (74,45 milliards), confirmant la dynamique commerciale positive observée au S1 2025 (+15,1% à 39,97 milliards). Le résultat net s'établit à 2,367 milliards FCFA, stable par rapport à 2024 (2,35 milliards), avec une marge nette de 2,9%. La rentabilité des fonds propres (ROE) atteint 20,5%, un niveau excellent (&gt;15%), tandis que le ROA est de 4,9%. La structure financière montre des capitaux propres renforcés à 11,531 milliards FCFA et un endettement maîtrisé (capacité de remboursement de 1,83 an). Cependant, le BFR de 11,267 milliards FCFA et la trésorerie nette négative (-4,092 milliards) signalent des tensions de liquidité, avec un délai clients de 46 jours et une durée de stockage de 150 jours. Le dividende proposé de 209 FCFA/action (rendement ~4,7%) offre un rendement attractif malgré un taux de distribution modéré. Les rapports 2023-2024 montrent une amélioration progressive de la rentabilité opérationnelle, avec un résultat net multiplié par 28 au S1 2025. Les perspectives restent positives, portées par le leadership sur les véhicules industriels et la diversification (pneumatiques +62,6%), mais le contexte électoral ivoirien et la pression concurrentielle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3,97x) apparaît exigeante par rapport aux fondamentaux actuels, intégrant des attentes de croissance qui ne se matérialisent que partiellement. Le comportement du cours sur 100 jours (-10,14%) reflète cette déception relative, avec une volatilité élevée (40,1%) et une distribution asymétrique négative indiquant des risques de baisse. Les signaux techniques sont mitigés, avec un MACD vendeur contrebalancé par des moyennes mobiles et un stochastique potentiellement haussiers. Les fondamentaux restent solides (ROE 20,5%, CA +9,5%, dividende 209 FCFA), mais la trésorerie nette négative et le BFR élevé tempèrent l'enthousiasme. Les prédictions IA (4 406 à 4 329 FCFA sur J+1 à J+10) confirment une trajectoire baissière à court terme, cohérente avec la tendance récente. En synthèse, la convergence entre la valorisation élevée, la tendance baissière et les prédictions négatives suggère une prudence. **Recommandation : CONSERVER** — le titre offre un rendement de dividende attractif et des fondamentaux corrects, mais la valorisation et les signaux techniques ne justifient pas un achat à court terme. **Niveau de confiance : Moyen** | **Risque global : Élevé** | **Horizon optimal : Moyen terme (3-12 mois)**, en attendant une clarification de la politique de dividende et une amélioration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7,410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B40000"/>
                <w:sz w:val="17"/>
              </w:rPr>
              <w:t>-9.45%</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23.27% (Élevée) — μ=4,779 FCFA, σ=1,112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β=0.3930 (Défensif) — Cov=0.000012, Var(idx)=0.000031, ρ=0.041,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σ_j=5.35%/j (Instable) — Vol. annualisée≈84.9%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4,945</w:t>
            </w:r>
          </w:p>
        </w:tc>
        <w:tc>
          <w:tcPr>
            <w:tcW w:type="dxa" w:w="1440"/>
            <w:shd w:fill="FFDCE0" w:val="clear"/>
          </w:tcPr>
          <w:p>
            <w:r>
              <w:rPr>
                <w:b/>
                <w:sz w:val="17"/>
              </w:rPr>
              <w:t>5,272</w:t>
            </w:r>
          </w:p>
        </w:tc>
        <w:tc>
          <w:tcPr>
            <w:tcW w:type="dxa" w:w="1440"/>
            <w:shd w:fill="FFDCE0" w:val="clear"/>
          </w:tcPr>
          <w:p>
            <w:r>
              <w:rPr>
                <w:sz w:val="17"/>
              </w:rPr>
              <w:t>5,600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4,449</w:t>
            </w:r>
          </w:p>
        </w:tc>
        <w:tc>
          <w:tcPr>
            <w:tcW w:type="dxa" w:w="1440"/>
            <w:shd w:fill="FFDCE0" w:val="clear"/>
          </w:tcPr>
          <w:p>
            <w:r>
              <w:rPr>
                <w:b/>
                <w:sz w:val="17"/>
              </w:rPr>
              <w:t>4,877</w:t>
            </w:r>
          </w:p>
        </w:tc>
        <w:tc>
          <w:tcPr>
            <w:tcW w:type="dxa" w:w="1440"/>
            <w:shd w:fill="FFDCE0" w:val="clear"/>
          </w:tcPr>
          <w:p>
            <w:r>
              <w:rPr>
                <w:sz w:val="17"/>
              </w:rPr>
              <w:t>5,305</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4,026</w:t>
            </w:r>
          </w:p>
        </w:tc>
        <w:tc>
          <w:tcPr>
            <w:tcW w:type="dxa" w:w="1440"/>
            <w:shd w:fill="FFDCE0" w:val="clear"/>
          </w:tcPr>
          <w:p>
            <w:r>
              <w:rPr>
                <w:b/>
                <w:sz w:val="17"/>
              </w:rPr>
              <w:t>4,511</w:t>
            </w:r>
          </w:p>
        </w:tc>
        <w:tc>
          <w:tcPr>
            <w:tcW w:type="dxa" w:w="1440"/>
            <w:shd w:fill="FFDCE0" w:val="clear"/>
          </w:tcPr>
          <w:p>
            <w:r>
              <w:rPr>
                <w:sz w:val="17"/>
              </w:rPr>
              <w:t>4,997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3,655</w:t>
            </w:r>
          </w:p>
        </w:tc>
        <w:tc>
          <w:tcPr>
            <w:tcW w:type="dxa" w:w="1440"/>
            <w:shd w:fill="FFDCE0" w:val="clear"/>
          </w:tcPr>
          <w:p>
            <w:r>
              <w:rPr>
                <w:b/>
                <w:sz w:val="17"/>
              </w:rPr>
              <w:t>4,173</w:t>
            </w:r>
          </w:p>
        </w:tc>
        <w:tc>
          <w:tcPr>
            <w:tcW w:type="dxa" w:w="1440"/>
            <w:shd w:fill="FFDCE0" w:val="clear"/>
          </w:tcPr>
          <w:p>
            <w:r>
              <w:rPr>
                <w:sz w:val="17"/>
              </w:rPr>
              <w:t>4,691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3,324</w:t>
            </w:r>
          </w:p>
        </w:tc>
        <w:tc>
          <w:tcPr>
            <w:tcW w:type="dxa" w:w="1440"/>
            <w:shd w:fill="FFDCE0" w:val="clear"/>
          </w:tcPr>
          <w:p>
            <w:r>
              <w:rPr>
                <w:b/>
                <w:sz w:val="17"/>
              </w:rPr>
              <w:t>3,860</w:t>
            </w:r>
          </w:p>
        </w:tc>
        <w:tc>
          <w:tcPr>
            <w:tcW w:type="dxa" w:w="1440"/>
            <w:shd w:fill="FFDCE0" w:val="clear"/>
          </w:tcPr>
          <w:p>
            <w:r>
              <w:rPr>
                <w:sz w:val="17"/>
              </w:rPr>
              <w:t>4,396</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3,027</w:t>
            </w:r>
          </w:p>
        </w:tc>
        <w:tc>
          <w:tcPr>
            <w:tcW w:type="dxa" w:w="1440"/>
            <w:shd w:fill="FFDCE0" w:val="clear"/>
          </w:tcPr>
          <w:p>
            <w:r>
              <w:rPr>
                <w:b/>
                <w:sz w:val="17"/>
              </w:rPr>
              <w:t>3,570</w:t>
            </w:r>
          </w:p>
        </w:tc>
        <w:tc>
          <w:tcPr>
            <w:tcW w:type="dxa" w:w="1440"/>
            <w:shd w:fill="FFDCE0" w:val="clear"/>
          </w:tcPr>
          <w:p>
            <w:r>
              <w:rPr>
                <w:sz w:val="17"/>
              </w:rPr>
              <w:t>4,114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2,760</w:t>
            </w:r>
          </w:p>
        </w:tc>
        <w:tc>
          <w:tcPr>
            <w:tcW w:type="dxa" w:w="1440"/>
            <w:shd w:fill="FFDCE0" w:val="clear"/>
          </w:tcPr>
          <w:p>
            <w:r>
              <w:rPr>
                <w:b/>
                <w:sz w:val="17"/>
              </w:rPr>
              <w:t>3,303</w:t>
            </w:r>
          </w:p>
        </w:tc>
        <w:tc>
          <w:tcPr>
            <w:tcW w:type="dxa" w:w="1440"/>
            <w:shd w:fill="FFDCE0" w:val="clear"/>
          </w:tcPr>
          <w:p>
            <w:r>
              <w:rPr>
                <w:sz w:val="17"/>
              </w:rPr>
              <w:t>3,845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2,518</w:t>
            </w:r>
          </w:p>
        </w:tc>
        <w:tc>
          <w:tcPr>
            <w:tcW w:type="dxa" w:w="1440"/>
            <w:shd w:fill="FFDCE0" w:val="clear"/>
          </w:tcPr>
          <w:p>
            <w:r>
              <w:rPr>
                <w:b/>
                <w:sz w:val="17"/>
              </w:rPr>
              <w:t>3,055</w:t>
            </w:r>
          </w:p>
        </w:tc>
        <w:tc>
          <w:tcPr>
            <w:tcW w:type="dxa" w:w="1440"/>
            <w:shd w:fill="FFDCE0" w:val="clear"/>
          </w:tcPr>
          <w:p>
            <w:r>
              <w:rPr>
                <w:sz w:val="17"/>
              </w:rPr>
              <w:t>3,592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2,299</w:t>
            </w:r>
          </w:p>
        </w:tc>
        <w:tc>
          <w:tcPr>
            <w:tcW w:type="dxa" w:w="1440"/>
            <w:shd w:fill="FFDCE0" w:val="clear"/>
          </w:tcPr>
          <w:p>
            <w:r>
              <w:rPr>
                <w:b/>
                <w:sz w:val="17"/>
              </w:rPr>
              <w:t>2,826</w:t>
            </w:r>
          </w:p>
        </w:tc>
        <w:tc>
          <w:tcPr>
            <w:tcW w:type="dxa" w:w="1440"/>
            <w:shd w:fill="FFDCE0" w:val="clear"/>
          </w:tcPr>
          <w:p>
            <w:r>
              <w:rPr>
                <w:sz w:val="17"/>
              </w:rPr>
              <w:t>3,352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2,101</w:t>
            </w:r>
          </w:p>
        </w:tc>
        <w:tc>
          <w:tcPr>
            <w:tcW w:type="dxa" w:w="1440"/>
            <w:shd w:fill="FFDCE0" w:val="clear"/>
          </w:tcPr>
          <w:p>
            <w:r>
              <w:rPr>
                <w:b/>
                <w:sz w:val="17"/>
              </w:rPr>
              <w:t>2,614</w:t>
            </w:r>
          </w:p>
        </w:tc>
        <w:tc>
          <w:tcPr>
            <w:tcW w:type="dxa" w:w="1440"/>
            <w:shd w:fill="FFDCE0" w:val="clear"/>
          </w:tcPr>
          <w:p>
            <w:r>
              <w:rPr>
                <w:sz w:val="17"/>
              </w:rPr>
              <w:t>3,127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20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46,28 milliards FCFA, un niveau modeste dans l'écosystème BRVM, reflétant une société de taille moyenne en phase de redressement. Le BPA de 86 FCFA par action indique un retour à la rentabilité après plusieurs années de pertes. Cependant, le PER de 66,0x est extrêmement élevé par rapport à la moyenne du marché BRVM (8-12x), signifiant que les investisseurs paient une prime considérable pour chaque franc de bénéfice, anticipant probablement une forte croissance future. Le P/B de 7,82x confirme cette valorisation exigeante, le marché valorisant le titre bien au-delà de sa valeur comptable (7,82 fois les fonds propres), ce qui reflète des attentes de rendement élevé. Enfin, l'EV/EBITDA de 81,0x est également très élevé, indiquant que la valeur totale de l'entreprise (capitalisation + dettes) est 81 fois sa capacité opérationnelle brute, un niveau qui laisse peu de marge de sécurité pour l'investisseur prudent.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 enregistré une variation totale de -9,45%, avec une dernière séance stable (0,00%). Le titre a connu une amplitude de trading très large, oscillant entre un plus bas de 3 340 FCFA et un plus haut de 7 555 FCFA, illustrant une forte volatilité. La moyenne du cours sur la période est de 4 779 FCFA, tandis que la médiane est de 4 505 FCFA ; cet écart (moyenne &gt; médiane) indique une distribution asymétrique positive, confirmée par le skewness de 0,965, suggérant que le cours a passé plus de journées sous sa moyenne, avec des pics occasionnels à la hausse. L'écart-type de 1 118 FCFA (CV = 23,4%) montre une dispersion modérée des prix autour de la moyenne. Le kurtosis de 0,022 (mésokurtique) indique une distribution proche de la normale, sans risque de pics extrêmes particulier. Enfin, la volatilité annualisée de 84,9% est extrêmement élevée, bien au-dessus du seuil de 30% considéré comme risqué, positionnant SAFC comme un titre spéculatif à fort potentiel de mouvement.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5 700 FCFA se situe nettement au-dessus de la MM20 (5 208,5 FCFA) et de la MM50 (4 697,8 FCFA), confirmant une tendance haussière de court et moyen terme. La décision d'achat est justifiée par cette configuration positive, avec un cours qui évolue dans une dynamique ascendante.</w:t>
      </w:r>
    </w:p>
    <w:p>
      <w:pPr>
        <w:spacing w:after="120" w:line="276" w:lineRule="auto"/>
      </w:pPr>
      <w:r>
        <w:t>**Bandes de Bollinger :** Le prix se positionne à 5 700 FCFA, proche de la borne supérieure (5 960,28 FCFA) et bien au-dessus de la borne inférieure (4 456,72 FCFA). Cette position indique une pression acheteuse soutenue, mais le titre approche une zone de résistance. La décision neutre reflète un équilibre entre la force de la tendance et le risque de correction technique.</w:t>
      </w:r>
    </w:p>
    <w:p>
      <w:pPr>
        <w:spacing w:after="120" w:line="276" w:lineRule="auto"/>
      </w:pPr>
      <w:r>
        <w:t>**MACD :** La valeur du MACD (303,91) est supérieure à son signal (261,07), avec un écart positif de 42,84 points. Cette configuration haussière confirme un momentum positif, soutenant la décision d'achat. Le croisement au-dessus du signal indique une dynamique de hausse qui pourrait se poursuivre à court terme.</w:t>
      </w:r>
    </w:p>
    <w:p>
      <w:pPr>
        <w:spacing w:after="120" w:line="276" w:lineRule="auto"/>
      </w:pPr>
      <w:r>
        <w:t>**RSI :** Le RSI de 60,12 se situe dans la zone neutre (30-70), indiquant une pression acheteuse modérée sans surachat. Cette valeur suggère qu'il reste de la marge avant d'atteindre des conditions de surachat, mais la prudence est de mise car le titre s'approche de niveaux où une consolidation pourrait survenir.</w:t>
      </w:r>
    </w:p>
    <w:p>
      <w:pPr>
        <w:spacing w:after="120" w:line="276" w:lineRule="auto"/>
      </w:pPr>
      <w:r>
        <w:t>**Stochastique :** Le %K (86,41) et le %D (83,50) sont tous deux en zone de surachat (&gt;80), avec un %K supérieur au %D. Cette configuration signale une possible correction à court terme, justifiant la décision de vente. Le croisement potentiel à la baisse pourrait déclencher un mouvement de repli.</w:t>
      </w:r>
    </w:p>
    <w:p>
      <w:pPr>
        <w:spacing w:after="120" w:line="276" w:lineRule="auto"/>
      </w:pPr>
      <w:r>
        <w:t>**Conclusion technique :** Les indicateurs sont mitigés : les moyennes mobiles et le MACD soutiennent une tendance haussière, tandis que le RSI neutre et le stochastique en surachat suggèrent un essoufflement possible. Le titre est dans une phase de consolidation après une forte progression, avec un risque de correction technique à court terme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SAFC a réalisé un Produit Net Bancaire (PNB) de 5,735 milliards FCFA, en hausse de 44,1% par rapport à 2024 (3,980 milliards FCFA). Le résultat net est redevenu positif à 701 millions FCFA, contre une perte de 165 millions en 2024, marquant un retournement spectaculaire après huit années de déficit. La marge nette s'établit à 12,2%, le ROE à 11,85% (proche du seuil de 15% considéré comme excellent) et le ROA à 0,88%. Le coefficient d'exploitation de 77,6% reste élevé (au-dessus du seuil de 60% pour une banque efficace), indiquant une structure de coûts encore lourde. Le coût du risque de 6,57% est significatif, reflétant un portefeuille de crédits encore fragile, avec des créances clientèle de 60,476 milliards FCFA financées par des dettes interbancaires de 35,747 milliards et des dépôts clients de 9,112 milliards, montrant une forte dépendance au marché interbancaire.</w:t>
      </w:r>
    </w:p>
    <w:p>
      <w:pPr>
        <w:spacing w:after="120" w:line="276" w:lineRule="auto"/>
      </w:pPr>
      <w:r>
        <w:t>**Estimations basées sur les rapports trimestriels :** Le rapport T1 2026 (publié en mai 2026) confirme la dynamique positive avec un PNB de 1,395 milliards FCFA (+29% vs T1 2025) et un résultat net de 151 millions FCFA (+1062%). Le coût du risque s'est drastiquement amélioré de 75% à -22 millions FCFA. Sur cette base, on estime que l'exercice 2026 pourrait voir un PNB annuel autour de 6,5-7 milliards FCFA et un résultat net potentiel de 600-700 millions FCFA, si la tendance se maintient. Le rapport S1 2025 (publié en septembre 2025) montrait déjà un résultat net de 226 millions FCFA, confirmant la trajectoire de redressement initiée par l'arrivée de CREDAF Group en avril 2025.</w:t>
      </w:r>
    </w:p>
    <w:p>
      <w:pPr>
        <w:spacing w:after="120" w:line="276" w:lineRule="auto"/>
      </w:pPr>
      <w:r>
        <w:t>**Évolution temporelle :** De 2024 à 2025, le PNB a progressé de 44%, le résultat net est passé de -165 millions à +701 millions FCFA, et les capitaux propres se sont renforcés de 5,215 à 5,916 milliards FCFA. Le T1 2026 poursuit cette amélioration avec des ratios prudentiels confortables (solvabilité à 11,64%, CET1 à 10,35%). Cependant, le report à nouveau reste négatif (-4,123 milliards FCFA), et la dépendance aux dettes interbancaires demeure un risque structurel. La recommandation fondamentale est **CONSERVER**, avec une perspective positive si la société maintient sa trajectoire de croissance rentable et renforce ses fonds propres.</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66x, P/B 7,82x, EV/EBITDA 81x), indiquant une surévaluation relative par rapport aux bénéfices actuels, mais reflétant des attentes élevées de croissance future. Le comportement du cours sur 100 jours montre une tendance baissière (-9,45%) avec une volatilité très élevée (84,9%), et une distribution asymétrique positive suggérant des pics occasionnels. Les signaux techniques sont mitigés : les moyennes mobiles et le MACD sont positifs, mais le stochastique en surachat et le RSI neutre indiquent un risque de correction. Les fondamentaux sont en amélioration nette (PNB +44% en 2025, résultat net positif, T1 2026 en forte croissance), mais la structure financière reste fragile avec un coefficient d'exploitation élevé et une dépendance aux financements interbancaires. Les prédictions IA pour les 10 prochains jours (5 272 à 3 860 FCFA) anticipent une baisse significative, contredisant les signaux techniques haussiers. En synthèse, la convergence entre la valorisation excessive, la volatilité élevée, les signaux techniques mixtes et les prédictions IA baissières suggère une prudence accrue. **Recommandation finale : VENTE**, avec un niveau de confiance **Moyen** et un risque global **Élevé**. L'horizon d'investissement optimal serait le **court terme (&lt;3 mois)** pour les investisseurs déjà positionnés, avec un stop-loss serré, tandis que les nouveaux investisseurs devraient attendre une correction du cours pour envisager une entrée.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65.66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12,736 titres</w:t>
            </w:r>
          </w:p>
        </w:tc>
        <w:tc>
          <w:tcPr>
            <w:tcW w:type="dxa" w:w="2268"/>
            <w:shd w:fill="FFF2CC" w:val="clear"/>
          </w:tcPr>
          <w:p>
            <w:r>
              <w:rPr>
                <w:b/>
                <w:color w:val="503200"/>
                <w:sz w:val="16"/>
              </w:rPr>
              <w:t xml:space="preserve">Cours actuel : </w:t>
            </w:r>
            <w:r>
              <w:rPr>
                <w:color w:val="000000"/>
                <w:sz w:val="17"/>
              </w:rPr>
              <w:t>3,350 FCFA</w:t>
            </w:r>
          </w:p>
          <w:p>
            <w:r>
              <w:rPr>
                <w:b/>
                <w:color w:val="503200"/>
                <w:sz w:val="16"/>
              </w:rPr>
              <w:t xml:space="preserve">Var. 100 jours : </w:t>
            </w:r>
            <w:r>
              <w:rPr>
                <w:b/>
                <w:color w:val="007800"/>
                <w:sz w:val="17"/>
              </w:rPr>
              <w:t>+117.53%</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1,540 FCFA</w:t>
            </w:r>
          </w:p>
          <w:p>
            <w:r>
              <w:rPr>
                <w:b/>
                <w:color w:val="503200"/>
                <w:sz w:val="16"/>
              </w:rPr>
              <w:t xml:space="preserve">Volatilité ann. : </w:t>
            </w:r>
            <w:r>
              <w:rPr>
                <w:color w:val="000000"/>
                <w:sz w:val="17"/>
              </w:rPr>
              <w:t>57.2%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24.50% (Élevée) — μ=2,838 FCFA, σ=695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β=0.9130 (Neutre (suit le marché)) — Cov=0.000029, Var(idx)=0.000031, ρ=0.142,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12,736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2,931</w:t>
            </w:r>
          </w:p>
        </w:tc>
        <w:tc>
          <w:tcPr>
            <w:tcW w:type="dxa" w:w="1440"/>
            <w:shd w:fill="FFDCE0" w:val="clear"/>
          </w:tcPr>
          <w:p>
            <w:r>
              <w:rPr>
                <w:b/>
                <w:sz w:val="17"/>
              </w:rPr>
              <w:t>3,099</w:t>
            </w:r>
          </w:p>
        </w:tc>
        <w:tc>
          <w:tcPr>
            <w:tcW w:type="dxa" w:w="1440"/>
            <w:shd w:fill="FFDCE0" w:val="clear"/>
          </w:tcPr>
          <w:p>
            <w:r>
              <w:rPr>
                <w:sz w:val="17"/>
              </w:rPr>
              <w:t>3,266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2,647</w:t>
            </w:r>
          </w:p>
        </w:tc>
        <w:tc>
          <w:tcPr>
            <w:tcW w:type="dxa" w:w="1440"/>
            <w:shd w:fill="FFDCE0" w:val="clear"/>
          </w:tcPr>
          <w:p>
            <w:r>
              <w:rPr>
                <w:b/>
                <w:sz w:val="17"/>
              </w:rPr>
              <w:t>2,866</w:t>
            </w:r>
          </w:p>
        </w:tc>
        <w:tc>
          <w:tcPr>
            <w:tcW w:type="dxa" w:w="1440"/>
            <w:shd w:fill="FFDCE0" w:val="clear"/>
          </w:tcPr>
          <w:p>
            <w:r>
              <w:rPr>
                <w:sz w:val="17"/>
              </w:rPr>
              <w:t>3,085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2,403</w:t>
            </w:r>
          </w:p>
        </w:tc>
        <w:tc>
          <w:tcPr>
            <w:tcW w:type="dxa" w:w="1440"/>
            <w:shd w:fill="FFDCE0" w:val="clear"/>
          </w:tcPr>
          <w:p>
            <w:r>
              <w:rPr>
                <w:b/>
                <w:sz w:val="17"/>
              </w:rPr>
              <w:t>2,651</w:t>
            </w:r>
          </w:p>
        </w:tc>
        <w:tc>
          <w:tcPr>
            <w:tcW w:type="dxa" w:w="1440"/>
            <w:shd w:fill="FFDCE0" w:val="clear"/>
          </w:tcPr>
          <w:p>
            <w:r>
              <w:rPr>
                <w:sz w:val="17"/>
              </w:rPr>
              <w:t>2,899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2,188</w:t>
            </w:r>
          </w:p>
        </w:tc>
        <w:tc>
          <w:tcPr>
            <w:tcW w:type="dxa" w:w="1440"/>
            <w:shd w:fill="FFDCE0" w:val="clear"/>
          </w:tcPr>
          <w:p>
            <w:r>
              <w:rPr>
                <w:b/>
                <w:sz w:val="17"/>
              </w:rPr>
              <w:t>2,453</w:t>
            </w:r>
          </w:p>
        </w:tc>
        <w:tc>
          <w:tcPr>
            <w:tcW w:type="dxa" w:w="1440"/>
            <w:shd w:fill="FFDCE0" w:val="clear"/>
          </w:tcPr>
          <w:p>
            <w:r>
              <w:rPr>
                <w:sz w:val="17"/>
              </w:rPr>
              <w:t>2,717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1,995</w:t>
            </w:r>
          </w:p>
        </w:tc>
        <w:tc>
          <w:tcPr>
            <w:tcW w:type="dxa" w:w="1440"/>
            <w:shd w:fill="FFDCE0" w:val="clear"/>
          </w:tcPr>
          <w:p>
            <w:r>
              <w:rPr>
                <w:b/>
                <w:sz w:val="17"/>
              </w:rPr>
              <w:t>2,269</w:t>
            </w:r>
          </w:p>
        </w:tc>
        <w:tc>
          <w:tcPr>
            <w:tcW w:type="dxa" w:w="1440"/>
            <w:shd w:fill="FFDCE0" w:val="clear"/>
          </w:tcPr>
          <w:p>
            <w:r>
              <w:rPr>
                <w:sz w:val="17"/>
              </w:rPr>
              <w:t>2,543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1,821</w:t>
            </w:r>
          </w:p>
        </w:tc>
        <w:tc>
          <w:tcPr>
            <w:tcW w:type="dxa" w:w="1440"/>
            <w:shd w:fill="FFDCE0" w:val="clear"/>
          </w:tcPr>
          <w:p>
            <w:r>
              <w:rPr>
                <w:b/>
                <w:sz w:val="17"/>
              </w:rPr>
              <w:t>2,098</w:t>
            </w:r>
          </w:p>
        </w:tc>
        <w:tc>
          <w:tcPr>
            <w:tcW w:type="dxa" w:w="1440"/>
            <w:shd w:fill="FFDCE0" w:val="clear"/>
          </w:tcPr>
          <w:p>
            <w:r>
              <w:rPr>
                <w:sz w:val="17"/>
              </w:rPr>
              <w:t>2,376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1,664</w:t>
            </w:r>
          </w:p>
        </w:tc>
        <w:tc>
          <w:tcPr>
            <w:tcW w:type="dxa" w:w="1440"/>
            <w:shd w:fill="FFDCE0" w:val="clear"/>
          </w:tcPr>
          <w:p>
            <w:r>
              <w:rPr>
                <w:b/>
                <w:sz w:val="17"/>
              </w:rPr>
              <w:t>1,941</w:t>
            </w:r>
          </w:p>
        </w:tc>
        <w:tc>
          <w:tcPr>
            <w:tcW w:type="dxa" w:w="1440"/>
            <w:shd w:fill="FFDCE0" w:val="clear"/>
          </w:tcPr>
          <w:p>
            <w:r>
              <w:rPr>
                <w:sz w:val="17"/>
              </w:rPr>
              <w:t>2,218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1,521</w:t>
            </w:r>
          </w:p>
        </w:tc>
        <w:tc>
          <w:tcPr>
            <w:tcW w:type="dxa" w:w="1440"/>
            <w:shd w:fill="FFDCE0" w:val="clear"/>
          </w:tcPr>
          <w:p>
            <w:r>
              <w:rPr>
                <w:b/>
                <w:sz w:val="17"/>
              </w:rPr>
              <w:t>1,795</w:t>
            </w:r>
          </w:p>
        </w:tc>
        <w:tc>
          <w:tcPr>
            <w:tcW w:type="dxa" w:w="1440"/>
            <w:shd w:fill="FFDCE0" w:val="clear"/>
          </w:tcPr>
          <w:p>
            <w:r>
              <w:rPr>
                <w:sz w:val="17"/>
              </w:rPr>
              <w:t>2,070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1,392</w:t>
            </w:r>
          </w:p>
        </w:tc>
        <w:tc>
          <w:tcPr>
            <w:tcW w:type="dxa" w:w="1440"/>
            <w:shd w:fill="FFDCE0" w:val="clear"/>
          </w:tcPr>
          <w:p>
            <w:r>
              <w:rPr>
                <w:b/>
                <w:sz w:val="17"/>
              </w:rPr>
              <w:t>1,661</w:t>
            </w:r>
          </w:p>
        </w:tc>
        <w:tc>
          <w:tcPr>
            <w:tcW w:type="dxa" w:w="1440"/>
            <w:shd w:fill="FFDCE0" w:val="clear"/>
          </w:tcPr>
          <w:p>
            <w:r>
              <w:rPr>
                <w:sz w:val="17"/>
              </w:rPr>
              <w:t>1,930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1,274</w:t>
            </w:r>
          </w:p>
        </w:tc>
        <w:tc>
          <w:tcPr>
            <w:tcW w:type="dxa" w:w="1440"/>
            <w:shd w:fill="FFDCE0" w:val="clear"/>
          </w:tcPr>
          <w:p>
            <w:r>
              <w:rPr>
                <w:b/>
                <w:sz w:val="17"/>
              </w:rPr>
              <w:t>1,536</w:t>
            </w:r>
          </w:p>
        </w:tc>
        <w:tc>
          <w:tcPr>
            <w:tcW w:type="dxa" w:w="1440"/>
            <w:shd w:fill="FFDCE0" w:val="clear"/>
          </w:tcPr>
          <w:p>
            <w:r>
              <w:rPr>
                <w:sz w:val="17"/>
              </w:rPr>
              <w:t>1,799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65,66 milliards FCFA, un niveau significatif sur la BRVM qui place la société parmi les valeurs moyennes du marché. Le BPA est négatif à -406 FCFA, reflétant la perte nette enregistrée sur l'exercice, ce qui rend le PER non exploitable (-8,3x) — les investisseurs ne peuvent pas valoriser la société sur la base de ses bénéfices actuels. Le P/B de 3,81x indique que le marché valorise l'action bien au-dessus de sa valeur comptable, suggérant une prime de croissance ou des anticipations de redressement. L'EV/EBITDA de 10,6x se situe dans la fourchette haute des standards BRVM, signalant une valorisation exigeante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connu une progression spectaculaire de +117,53%, passant d'un plus bas de 1 540 FCFA à un plus haut de 3 920 FCFA, avant de clôturer à 3 350 FCFA, soit un repli de -4,15% lors de la dernière séance. La moyenne du cours sur la période (2 838 FCFA) est inférieure à la médiane (2 945 FCFA), indiquant une asymétrie positive avec des épisodes de forte hausse. L'écart-type de 699 FCFA (CV=24,6%) révèle une dispersion notable des prix, tandis que le kurtosis de -1,400 (platykurtique) suggère une distribution aplatie avec peu de valeurs extrêmes. Le skewness de -0,216 confirme une distribution quasi symétrique. La volatilité annualisée de 57,2% est très élevée, positionnant SCRC comme une valeur à fort risque sur le marché.</w:t>
      </w:r>
    </w:p>
    <w:p>
      <w:pPr>
        <w:spacing w:after="120" w:line="276" w:lineRule="auto" w:before="240"/>
      </w:pPr>
      <w:r>
        <w:rPr>
          <w:b/>
          <w:color w:val="003366"/>
          <w:sz w:val="24"/>
        </w:rPr>
        <w:t>**PARTIE 2 : ANALYSE TECHNIQUE DÉTAILLÉE**</w:t>
      </w:r>
    </w:p>
    <w:p>
      <w:pPr>
        <w:spacing w:after="120" w:line="276" w:lineRule="auto"/>
      </w:pPr>
      <w:r>
        <w:t>Les moyennes mobiles MM20 (3 603,5 FCFA) et MM50 (3 458,7 FCFA) se situent toutes deux au-dessus du cours actuel de 3 350 FCFA, ce qui indique une pression baissière à court terme malgré la tendance haussière de fond. Le signal d'achat généré par ces moyennes mobiles reflète la dynamique positive des 50 derniers jours, mais le franchissement à la baisse du cours sous la MM20 suggère un essoufflement.</w:t>
      </w:r>
    </w:p>
    <w:p>
      <w:pPr>
        <w:spacing w:after="120" w:line="276" w:lineRule="auto"/>
      </w:pPr>
      <w:r>
        <w:t>Les bandes de Bollinger présentent une borne supérieure à 3 809,645 FCFA et une borne inférieure à 3 397,355 FCFA. Le cours à 3 350 FCFA se situe sous la borne inférieure, signalant une situation de survente extrême. Cette configuration indique une volatilité élevée et un potentiel de rebond technique, justifiant la décision d'achat.</w:t>
      </w:r>
    </w:p>
    <w:p>
      <w:pPr>
        <w:spacing w:after="120" w:line="276" w:lineRule="auto"/>
      </w:pPr>
      <w:r>
        <w:t>Le MACD affiche une valeur de 12,511 contre un signal à 55,167, montrant une divergence négative nette. Cette configuration baissière indique un affaiblissement du momentum haussier, avec une décision de vente cohérente avec le ralentissement observé sur les dernières séances.</w:t>
      </w:r>
    </w:p>
    <w:p>
      <w:pPr>
        <w:spacing w:after="120" w:line="276" w:lineRule="auto"/>
      </w:pPr>
      <w:r>
        <w:t>Le RSI à 27,041 se trouve en zone de survente (&lt;30), signalant une correction technique probablement excessive. Cette lecture suggère un potentiel de rebond à court terme, justifiant la décision d'achat malgré la faiblesse du momentum.</w:t>
      </w:r>
    </w:p>
    <w:p>
      <w:pPr>
        <w:spacing w:after="120" w:line="276" w:lineRule="auto"/>
      </w:pPr>
      <w:r>
        <w:t>Le stochastique avec %K à 0,0 et %D à 2,0 confirme la situation de survente extrême. Le croisement potentiel de ces deux lignes pourrait déclencher un signal d'achat, mais la configuration actuelle indique une pression vendeuse persistante.</w:t>
      </w:r>
    </w:p>
    <w:p>
      <w:pPr>
        <w:spacing w:after="120" w:line="276" w:lineRule="auto"/>
      </w:pPr>
      <w:r>
        <w:t>La convergence des indicateurs techniques est mitigée : les moyennes mobiles et le RSI suggèrent un potentiel de rebond, tandis que le MACD et la position sous les bandes de Bollinger indiquent une faiblesse persistante. Le stochastique en survente extrême renforce l'hypothèse d'un rebond technique imminent, mais la prudence reste de mise dans un contexte de forte volatilité.</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situation financière très dégradée pour SCRC. Le chiffre d'affaires s'établit à 80,569 milliards FCFA, en baisse de 7,6% par rapport à 2024 (87,219 milliards FCFA). Le résultat net est fortement déficitaire à -7,954 milliards FCFA, contre un bénéfice de 2,474 milliards en 2024, soit une dégradation de 421%. Le ROE s'effondre à -46,13% et le ROA à -5,08%, traduisant une destruction de valeur significative. La marge nette est négative à -9,87%, tandis que la marge brute reste élevée à 45,82%. Le bilan fait apparaître un endettement massif avec des dettes financières totales de 84,873 milliards FCFA, soit un ratio d'endettement de 88,98% des capitaux propres. Le BFR est positif à 6,529 milliards FCFA, avec un délai fournisseurs très allongé à 366 jours et une durée de stockage de 361 jours, signalant des tensions de trésorerie. Les rapports de 2025 (datés du 19 mai 2026) confirment que le redressement opérationnel de 2024 n'a pas été durable, avec une explosion des charges financières (+262% à 6,79 milliards FCFA) et un résultat opérationnel négatif de -545 millions FCFA. Le rapport du 1er semestre 2025 indique une perte de -6,71 milliards FCFA, mais la campagne 2025/26, démarrée en octobre 2025, vise une production de 90 000 à 95 000 tonnes (+14% à +20%), ce qui pourrait soutenir un rebond en 2026.</w:t>
      </w:r>
    </w:p>
    <w:p>
      <w:pPr>
        <w:spacing w:after="120" w:line="276" w:lineRule="auto" w:before="240"/>
      </w:pPr>
      <w:r>
        <w:rPr>
          <w:b/>
          <w:color w:val="003366"/>
          <w:sz w:val="24"/>
        </w:rPr>
        <w:t>**PARTIE 4 : CONCLUSION D'INVESTISSEMENT**</w:t>
      </w:r>
    </w:p>
    <w:p>
      <w:pPr>
        <w:spacing w:after="120" w:line="276" w:lineRule="auto"/>
      </w:pPr>
      <w:r>
        <w:t>La valorisation de SCRC apparaît surévaluée au regard des fondamentaux, avec un P/B de 3,81x et un EV/EBITDA de 10,6x pour une société déficitaire. Le comportement du cours sur 100 jours (+117,53%) contraste fortement avec la dégradation des résultats, créant une divergence majeure entre le prix et la valeur intrinsèque. Les signaux techniques sont mitigés : les indicateurs de survente (RSI, stochastique, bandes de Bollinger) suggèrent un rebond technique, mais le MACD et les moyennes mobiles indiquent une faiblesse persistante. Les fondamentaux sont préoccupants avec une perte de 7,95 milliards FCFA, un endettement critique et des tensions de trésorerie. Les prédictions IA pour les 10 prochains jours (3 099 à 2 269 FCFA) confirment une trajectoire baissière, anticipant une correction de 10% à 32%. La convergence entre la valorisation surévaluée, les fondamentaux dégradés et les prédictions baissières justifie une recommandation de VENTE FORTE, avec un niveau de confiance élevé et un risque global élevé. L'horizon d'investissement optimal serait le court terme (&lt;3 mois) pour les investisseurs cherchant à limiter leurs pertes, en attendant une stabilisation des résultats au premier semestre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108.81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1,039 titres</w:t>
            </w:r>
          </w:p>
        </w:tc>
        <w:tc>
          <w:tcPr>
            <w:tcW w:type="dxa" w:w="2268"/>
            <w:shd w:fill="FFF2CC" w:val="clear"/>
          </w:tcPr>
          <w:p>
            <w:r>
              <w:rPr>
                <w:b/>
                <w:color w:val="503200"/>
                <w:sz w:val="16"/>
              </w:rPr>
              <w:t xml:space="preserve">Cours actuel : </w:t>
            </w:r>
            <w:r>
              <w:rPr>
                <w:color w:val="000000"/>
                <w:sz w:val="17"/>
              </w:rPr>
              <w:t>12,090 FCFA</w:t>
            </w:r>
          </w:p>
          <w:p>
            <w:r>
              <w:rPr>
                <w:b/>
                <w:color w:val="503200"/>
                <w:sz w:val="16"/>
              </w:rPr>
              <w:t xml:space="preserve">Var. 100 jours : </w:t>
            </w:r>
            <w:r>
              <w:rPr>
                <w:b/>
                <w:color w:val="007800"/>
                <w:sz w:val="17"/>
              </w:rPr>
              <w:t>+65.62%</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18.22% (Élevée) — μ=10,416 FCFA, σ=1,898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β=0.3040 (Défensif) — Cov=0.000010, Var(idx)=0.000031, ρ=0.075,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11,314</w:t>
            </w:r>
          </w:p>
        </w:tc>
        <w:tc>
          <w:tcPr>
            <w:tcW w:type="dxa" w:w="1440"/>
            <w:shd w:fill="FFDCE0" w:val="clear"/>
          </w:tcPr>
          <w:p>
            <w:r>
              <w:rPr>
                <w:b/>
                <w:sz w:val="17"/>
              </w:rPr>
              <w:t>11,716</w:t>
            </w:r>
          </w:p>
        </w:tc>
        <w:tc>
          <w:tcPr>
            <w:tcW w:type="dxa" w:w="1440"/>
            <w:shd w:fill="FFDCE0" w:val="clear"/>
          </w:tcPr>
          <w:p>
            <w:r>
              <w:rPr>
                <w:sz w:val="17"/>
              </w:rPr>
              <w:t>12,118</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11,023</w:t>
            </w:r>
          </w:p>
        </w:tc>
        <w:tc>
          <w:tcPr>
            <w:tcW w:type="dxa" w:w="1440"/>
            <w:shd w:fill="FFDCE0" w:val="clear"/>
          </w:tcPr>
          <w:p>
            <w:r>
              <w:rPr>
                <w:b/>
                <w:sz w:val="17"/>
              </w:rPr>
              <w:t>11,585</w:t>
            </w:r>
          </w:p>
        </w:tc>
        <w:tc>
          <w:tcPr>
            <w:tcW w:type="dxa" w:w="1440"/>
            <w:shd w:fill="FFDCE0" w:val="clear"/>
          </w:tcPr>
          <w:p>
            <w:r>
              <w:rPr>
                <w:sz w:val="17"/>
              </w:rPr>
              <w:t>12,147</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10,780</w:t>
            </w:r>
          </w:p>
        </w:tc>
        <w:tc>
          <w:tcPr>
            <w:tcW w:type="dxa" w:w="1440"/>
            <w:shd w:fill="FFDCE0" w:val="clear"/>
          </w:tcPr>
          <w:p>
            <w:r>
              <w:rPr>
                <w:b/>
                <w:sz w:val="17"/>
              </w:rPr>
              <w:t>11,461</w:t>
            </w:r>
          </w:p>
        </w:tc>
        <w:tc>
          <w:tcPr>
            <w:tcW w:type="dxa" w:w="1440"/>
            <w:shd w:fill="FFDCE0" w:val="clear"/>
          </w:tcPr>
          <w:p>
            <w:r>
              <w:rPr>
                <w:sz w:val="17"/>
              </w:rPr>
              <w:t>12,142</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10,570</w:t>
            </w:r>
          </w:p>
        </w:tc>
        <w:tc>
          <w:tcPr>
            <w:tcW w:type="dxa" w:w="1440"/>
            <w:shd w:fill="FFDCE0" w:val="clear"/>
          </w:tcPr>
          <w:p>
            <w:r>
              <w:rPr>
                <w:b/>
                <w:sz w:val="17"/>
              </w:rPr>
              <w:t>11,348</w:t>
            </w:r>
          </w:p>
        </w:tc>
        <w:tc>
          <w:tcPr>
            <w:tcW w:type="dxa" w:w="1440"/>
            <w:shd w:fill="FFDCE0" w:val="clear"/>
          </w:tcPr>
          <w:p>
            <w:r>
              <w:rPr>
                <w:sz w:val="17"/>
              </w:rPr>
              <w:t>12,127</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10,384</w:t>
            </w:r>
          </w:p>
        </w:tc>
        <w:tc>
          <w:tcPr>
            <w:tcW w:type="dxa" w:w="1440"/>
            <w:shd w:fill="FFDCE0" w:val="clear"/>
          </w:tcPr>
          <w:p>
            <w:r>
              <w:rPr>
                <w:b/>
                <w:sz w:val="17"/>
              </w:rPr>
              <w:t>11,247</w:t>
            </w:r>
          </w:p>
        </w:tc>
        <w:tc>
          <w:tcPr>
            <w:tcW w:type="dxa" w:w="1440"/>
            <w:shd w:fill="FFDCE0" w:val="clear"/>
          </w:tcPr>
          <w:p>
            <w:r>
              <w:rPr>
                <w:sz w:val="17"/>
              </w:rPr>
              <w:t>12,109</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10,219</w:t>
            </w:r>
          </w:p>
        </w:tc>
        <w:tc>
          <w:tcPr>
            <w:tcW w:type="dxa" w:w="1440"/>
            <w:shd w:fill="FFDCE0" w:val="clear"/>
          </w:tcPr>
          <w:p>
            <w:r>
              <w:rPr>
                <w:b/>
                <w:sz w:val="17"/>
              </w:rPr>
              <w:t>11,156</w:t>
            </w:r>
          </w:p>
        </w:tc>
        <w:tc>
          <w:tcPr>
            <w:tcW w:type="dxa" w:w="1440"/>
            <w:shd w:fill="FFDCE0" w:val="clear"/>
          </w:tcPr>
          <w:p>
            <w:r>
              <w:rPr>
                <w:sz w:val="17"/>
              </w:rPr>
              <w:t>12,094</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10,070</w:t>
            </w:r>
          </w:p>
        </w:tc>
        <w:tc>
          <w:tcPr>
            <w:tcW w:type="dxa" w:w="1440"/>
            <w:shd w:fill="FFDCE0" w:val="clear"/>
          </w:tcPr>
          <w:p>
            <w:r>
              <w:rPr>
                <w:b/>
                <w:sz w:val="17"/>
              </w:rPr>
              <w:t>11,075</w:t>
            </w:r>
          </w:p>
        </w:tc>
        <w:tc>
          <w:tcPr>
            <w:tcW w:type="dxa" w:w="1440"/>
            <w:shd w:fill="FFDCE0" w:val="clear"/>
          </w:tcPr>
          <w:p>
            <w:r>
              <w:rPr>
                <w:sz w:val="17"/>
              </w:rPr>
              <w:t>12,080</w:t>
            </w:r>
          </w:p>
        </w:tc>
        <w:tc>
          <w:tcPr>
            <w:tcW w:type="dxa" w:w="1440"/>
            <w:shd w:fill="FFDCE0" w:val="clear"/>
          </w:tcPr>
          <w:p>
            <w:r>
              <w:rPr>
                <w:b/>
                <w:color w:val="C00000"/>
                <w:sz w:val="17"/>
              </w:rPr>
              <w:t>-8.4%</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9,937</w:t>
            </w:r>
          </w:p>
        </w:tc>
        <w:tc>
          <w:tcPr>
            <w:tcW w:type="dxa" w:w="1440"/>
            <w:shd w:fill="FFDCE0" w:val="clear"/>
          </w:tcPr>
          <w:p>
            <w:r>
              <w:rPr>
                <w:b/>
                <w:sz w:val="17"/>
              </w:rPr>
              <w:t>11,005</w:t>
            </w:r>
          </w:p>
        </w:tc>
        <w:tc>
          <w:tcPr>
            <w:tcW w:type="dxa" w:w="1440"/>
            <w:shd w:fill="FFDCE0" w:val="clear"/>
          </w:tcPr>
          <w:p>
            <w:r>
              <w:rPr>
                <w:sz w:val="17"/>
              </w:rPr>
              <w:t>12,072</w:t>
            </w:r>
          </w:p>
        </w:tc>
        <w:tc>
          <w:tcPr>
            <w:tcW w:type="dxa" w:w="1440"/>
            <w:shd w:fill="FFDCE0" w:val="clear"/>
          </w:tcPr>
          <w:p>
            <w:r>
              <w:rPr>
                <w:b/>
                <w:color w:val="C00000"/>
                <w:sz w:val="17"/>
              </w:rPr>
              <w:t>-9.0%</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9,812</w:t>
            </w:r>
          </w:p>
        </w:tc>
        <w:tc>
          <w:tcPr>
            <w:tcW w:type="dxa" w:w="1440"/>
            <w:shd w:fill="FFDCE0" w:val="clear"/>
          </w:tcPr>
          <w:p>
            <w:r>
              <w:rPr>
                <w:b/>
                <w:sz w:val="17"/>
              </w:rPr>
              <w:t>10,938</w:t>
            </w:r>
          </w:p>
        </w:tc>
        <w:tc>
          <w:tcPr>
            <w:tcW w:type="dxa" w:w="1440"/>
            <w:shd w:fill="FFDCE0" w:val="clear"/>
          </w:tcPr>
          <w:p>
            <w:r>
              <w:rPr>
                <w:sz w:val="17"/>
              </w:rPr>
              <w:t>12,063</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9,695</w:t>
            </w:r>
          </w:p>
        </w:tc>
        <w:tc>
          <w:tcPr>
            <w:tcW w:type="dxa" w:w="1440"/>
            <w:shd w:fill="FFDCE0" w:val="clear"/>
          </w:tcPr>
          <w:p>
            <w:r>
              <w:rPr>
                <w:b/>
                <w:sz w:val="17"/>
              </w:rPr>
              <w:t>10,874</w:t>
            </w:r>
          </w:p>
        </w:tc>
        <w:tc>
          <w:tcPr>
            <w:tcW w:type="dxa" w:w="1440"/>
            <w:shd w:fill="FFDCE0" w:val="clear"/>
          </w:tcPr>
          <w:p>
            <w:r>
              <w:rPr>
                <w:sz w:val="17"/>
              </w:rPr>
              <w:t>12,053</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20 août 2026 | 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108,81 milliards FCFA, ce qui en fait une valeur de taille moyenne sur la BRVM, représentative d'un actif stratégique dans le secteur de l'eau en Côte d'Ivoire. Le BPA de 518 FCFA indique que chaque action génère un bénéfice de ce montant, mais le PER de 23,3x est très supérieur à la moyenne historique de la BRVM (8-12x). Cette prime significative suggère que le marché anticipe une forte croissance future des bénéfices, ou que le titre est surévalué à court terme. Le P/B de 5,52x confirme cette valorisation exigeante, le marché payant plus de 5 fois la valeur comptable des actifs. Enfin, l'EV/EBITDA de 14,5x se situe dans la fourchette haute (10-15x), indiquant que la valeur totale de l'entreprise (capitalisation + dette nette) reste élevée par rapport à sa capacité opérationnelle. Ces ratios traduisent une confiance marquée des investisseurs dans le potentiel de l'entreprise, mais aussi un risque de correction si les résultats déçoivent.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SDCC a enregistré une progression spectaculaire de +65,62%, passant d'un plus bas de 7 140 FCFA à un plus haut de 12 195 FCFA, avant de clôturer à 12 090 FCFA. La dernière séance affiche un léger repli de -0,45%, signe d'une consolidation après une forte hausse. La moyenne du cours sur la période (10 416 FCFA) est inférieure à la médiane (11 300 FCFA), ce qui, combiné à un skewness négatif (-0,785), indique que le titre a passé plus de temps au-dessus de sa moyenne, avec des épisodes de forte hausse. L'écart-type de 1 907 FCFA (CV = 18,3%) reflète une dispersion modérée, tandis que le kurtosis de -1,103 (distribution platykurtique) suggère l'absence de mouvements extrêmes fréquents. La volatilité annualisée de 35,6% classe le titre comme très volatil (&gt;30%), ce qui implique un risque élevé mais aussi un potentiel de gains importants. La tendance générale est clairement haussière, portée par un momentum positif soutenu.</w:t>
      </w:r>
    </w:p>
    <w:p>
      <w:pPr>
        <w:spacing w:after="120" w:line="276" w:lineRule="auto"/>
      </w:pPr>
      <w:r>
        <w:t>---</w:t>
      </w:r>
    </w:p>
    <w:p>
      <w:pPr>
        <w:spacing w:after="120" w:line="276" w:lineRule="auto"/>
      </w:pPr>
      <w:r>
        <w:t>### PARTIE 2 : ANALYSE TECHNIQUE DÉTAILLÉE</w:t>
      </w:r>
    </w:p>
    <w:p>
      <w:pPr>
        <w:spacing w:after="120" w:line="276" w:lineRule="auto"/>
      </w:pPr>
      <w:r>
        <w:t>**Moyennes Mobiles (MM20=11 825,5 / MM50=11 869,2) :** Le cours actuel (12 090 FCFA) évolue au-dessus de ses deux moyennes mobiles, ce qui est un signal haussier. Cependant, la MM20 est légèrement inférieure à la MM50, indiquant un possible essoufflement du momentum à court terme. La décision de "Vente" suggère que le marché pourrait corriger vers ces supports dynamiques.</w:t>
      </w:r>
    </w:p>
    <w:p>
      <w:pPr>
        <w:spacing w:after="120" w:line="276" w:lineRule="auto"/>
      </w:pPr>
      <w:r>
        <w:t>**Bandes de Bollinger (Borne sup=12 192 / Borne inf=11 459) :** Le prix se situe près de la borne supérieure, ce qui reflète une pression acheteuse soutenue. La largeur des bandes indique une volatilité élevée. La décision "Neutre" suggère que le titre n'est pas encore en zone de surachat extrême, mais une cassure au-dessus de 12 192 FCFA pourrait ouvrir un nouvel espace haussier.</w:t>
      </w:r>
    </w:p>
    <w:p>
      <w:pPr>
        <w:spacing w:after="120" w:line="276" w:lineRule="auto"/>
      </w:pPr>
      <w:r>
        <w:t>**MACD (Valeur=61,33 / Signal=26,13) :** La divergence positive entre la ligne MACD et sa ligne de signal confirme un momentum haussier en phase d'accélération. La décision "Achat" est cohérente avec la tendance de fond, bien que l'écart croissant puisse signaler une correction technique à terme.</w:t>
      </w:r>
    </w:p>
    <w:p>
      <w:pPr>
        <w:spacing w:after="120" w:line="276" w:lineRule="auto"/>
      </w:pPr>
      <w:r>
        <w:t>**RSI (Valeur=60,28) :** Le RSI est en zone neutre (30-70), indiquant que le titre n'est ni suracheté ni survendu. Il y a encore de la marge avant d'atteindre la zone de surachat (&gt;70), ce qui laisse présager un potentiel haussier résiduel.</w:t>
      </w:r>
    </w:p>
    <w:p>
      <w:pPr>
        <w:spacing w:after="120" w:line="276" w:lineRule="auto"/>
      </w:pPr>
      <w:r>
        <w:t>**Stochastique (%K=92,62 / %D=97,54) :** Les deux lignes sont en zone de surachat (&gt;80), avec un %K inférieur au %D, suggérant un croisement baissier imminent. La décision "Vente" reflète un risque de repli technique à court terme.</w:t>
      </w:r>
    </w:p>
    <w:p>
      <w:pPr>
        <w:spacing w:after="120" w:line="276" w:lineRule="auto"/>
      </w:pPr>
      <w:r>
        <w:t>**Conclusion technique :** Les indicateurs sont mitigés : le MACD et la position du cours au-dessus des MM plaident pour une poursuite haussière, tandis que le Stochastique et la proximité de la borne supérieure de Bollinger signalent un risque de consolidation. La prudence est de mise à court terme, mais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2025, SDCC a réalisé un chiffre d'affaires de 189,430 milliards FCFA, en hausse de 10% par rapport à 2024 (172,2 milliards FCFA), et un résultat net de 4,663 milliards FCFA, en progression de 31% (contre 3,6 milliards en 2024). La marge nette s'établit à 2,46%, tandis que le ROE est excellent à 23,65%, bien au-dessus du seuil de 15% considéré comme performant. Cependant, le ROA reste faible à 0,99%, reflétant une lourdeur du bilan (total actif de 472,672 milliards FCFA). Le BFR est négatif à -104,748 milliards FCFA, ce qui est favorable, mais le délai de paiement des clients (749 jours) est extrêmement élevé, constituant un risque majeur de trésorerie. Les rapports trimestriels montrent une amélioration spectaculaire au T1 2026 : le résultat net bondit de 118% à 1,318 milliard FCFA, porté par un résultat d'exploitation en hausse de 150%. Sur la base de cette dynamique, on estime que l'exercice 2026 pourrait voir un résultat net supérieur à 5,5 milliards FCFA, soit une croissance de 18%. La dette financière totale (145,939 milliards FCFA) et la trésorerie nette négative (-61,710 milliards FCFA) restent des points de vigilance, mais la capacité d'autofinancement (17,843 milliards FCFA) offre une marge de manœuvre. La recommandation fondamentale est de **CONSERVER**, avec un œil attentif sur la gestion du recouvrement et la maîtrise des coûts.</w:t>
      </w:r>
    </w:p>
    <w:p>
      <w:pPr>
        <w:spacing w:after="120" w:line="276" w:lineRule="auto"/>
      </w:pPr>
      <w:r>
        <w:t>---</w:t>
      </w:r>
    </w:p>
    <w:p>
      <w:pPr>
        <w:spacing w:after="120" w:line="276" w:lineRule="auto"/>
      </w:pPr>
      <w:r>
        <w:t>### PARTIE 4 : CONCLUSION D'INVESTISSEMENT</w:t>
      </w:r>
    </w:p>
    <w:p>
      <w:pPr>
        <w:spacing w:after="120" w:line="276" w:lineRule="auto"/>
      </w:pPr>
      <w:r>
        <w:t>La valorisation de SDCC (PER 23,3x, P/B 5,52x, EV/EBITDA 14,5x) est exigeante, mais justifiée par une croissance solide des bénéfices et un ROE de 23,65%. Le comportement du cours montre une tendance haussière forte (+65,62% sur 100 jours) avec une volatilité élevée (35,6%), mais les statistiques (kurtosis platykurtique, skewness négatif) suggèrent une certaine stabilité dans la progression. Les signaux techniques sont mitigés : le MACD est positif, mais le Stochastique et la proximité de la borne supérieure de Bollinger indiquent un risque de consolidation à court terme. Les fondamentaux sont solides, avec une amélioration notable des résultats au T1 2026, mais les tensions de trésorerie et le délai client élevé restent des risques. Les prédictions IA (baisse progressive de 11 716 à 11 247 FCFA sur 10 jours) confirment un scénario de correction technique après la forte hausse. En synthèse, la convergence entre la valorisation élevée, les signaux techniques de surachat et les prédictions IA suggère une pause dans la dynamique haussière. **Recommandation : CONSERVER**, avec un niveau de confiance **Moyen** et un risque global **Élevé**. L'horizon d'investissement optimal est le **moyen terme (3-12 mois)**, en attendant une stabilisation du cours et une confirmation de la croissance des bénéfices sur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148.88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16,774 titres</w:t>
            </w:r>
          </w:p>
        </w:tc>
        <w:tc>
          <w:tcPr>
            <w:tcW w:type="dxa" w:w="2268"/>
            <w:shd w:fill="FFF2CC" w:val="clear"/>
          </w:tcPr>
          <w:p>
            <w:r>
              <w:rPr>
                <w:b/>
                <w:color w:val="503200"/>
                <w:sz w:val="16"/>
              </w:rPr>
              <w:t xml:space="preserve">Cours actuel : </w:t>
            </w:r>
            <w:r>
              <w:rPr>
                <w:color w:val="000000"/>
                <w:sz w:val="17"/>
              </w:rPr>
              <w:t>2,735 FCFA</w:t>
            </w:r>
          </w:p>
          <w:p>
            <w:r>
              <w:rPr>
                <w:b/>
                <w:color w:val="503200"/>
                <w:sz w:val="16"/>
              </w:rPr>
              <w:t xml:space="preserve">Var. 100 jours : </w:t>
            </w:r>
            <w:r>
              <w:rPr>
                <w:b/>
                <w:color w:val="007800"/>
                <w:sz w:val="17"/>
              </w:rPr>
              <w:t>+38.83%</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17.43% (Élevée) — μ=2,176 FCFA, σ=379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β=0.0662 (Défensif) — Cov=0.000002, Var(idx)=0.000031, ρ=0.012,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16,774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2026-08-21</w:t>
            </w:r>
          </w:p>
        </w:tc>
        <w:tc>
          <w:tcPr>
            <w:tcW w:type="dxa" w:w="1440"/>
            <w:shd w:fill="FAFAFA" w:val="clear"/>
          </w:tcPr>
          <w:p>
            <w:r>
              <w:rPr>
                <w:sz w:val="17"/>
              </w:rPr>
              <w:t>2,528</w:t>
            </w:r>
          </w:p>
        </w:tc>
        <w:tc>
          <w:tcPr>
            <w:tcW w:type="dxa" w:w="1440"/>
            <w:shd w:fill="FAFAFA" w:val="clear"/>
          </w:tcPr>
          <w:p>
            <w:r>
              <w:rPr>
                <w:b/>
                <w:sz w:val="17"/>
              </w:rPr>
              <w:t>2,698</w:t>
            </w:r>
          </w:p>
        </w:tc>
        <w:tc>
          <w:tcPr>
            <w:tcW w:type="dxa" w:w="1440"/>
            <w:shd w:fill="FAFAFA" w:val="clear"/>
          </w:tcPr>
          <w:p>
            <w:r>
              <w:rPr>
                <w:sz w:val="17"/>
              </w:rPr>
              <w:t>2,869</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2,426</w:t>
            </w:r>
          </w:p>
        </w:tc>
        <w:tc>
          <w:tcPr>
            <w:tcW w:type="dxa" w:w="1440"/>
            <w:shd w:fill="FFDCE0" w:val="clear"/>
          </w:tcPr>
          <w:p>
            <w:r>
              <w:rPr>
                <w:b/>
                <w:sz w:val="17"/>
              </w:rPr>
              <w:t>2,664</w:t>
            </w:r>
          </w:p>
        </w:tc>
        <w:tc>
          <w:tcPr>
            <w:tcW w:type="dxa" w:w="1440"/>
            <w:shd w:fill="FFDCE0" w:val="clear"/>
          </w:tcPr>
          <w:p>
            <w:r>
              <w:rPr>
                <w:sz w:val="17"/>
              </w:rPr>
              <w:t>2,902</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2,348</w:t>
            </w:r>
          </w:p>
        </w:tc>
        <w:tc>
          <w:tcPr>
            <w:tcW w:type="dxa" w:w="1440"/>
            <w:shd w:fill="FFDCE0" w:val="clear"/>
          </w:tcPr>
          <w:p>
            <w:r>
              <w:rPr>
                <w:b/>
                <w:sz w:val="17"/>
              </w:rPr>
              <w:t>2,637</w:t>
            </w:r>
          </w:p>
        </w:tc>
        <w:tc>
          <w:tcPr>
            <w:tcW w:type="dxa" w:w="1440"/>
            <w:shd w:fill="FFDCE0" w:val="clear"/>
          </w:tcPr>
          <w:p>
            <w:r>
              <w:rPr>
                <w:sz w:val="17"/>
              </w:rPr>
              <w:t>2,925</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2,284</w:t>
            </w:r>
          </w:p>
        </w:tc>
        <w:tc>
          <w:tcPr>
            <w:tcW w:type="dxa" w:w="1440"/>
            <w:shd w:fill="FFDCE0" w:val="clear"/>
          </w:tcPr>
          <w:p>
            <w:r>
              <w:rPr>
                <w:b/>
                <w:sz w:val="17"/>
              </w:rPr>
              <w:t>2,615</w:t>
            </w:r>
          </w:p>
        </w:tc>
        <w:tc>
          <w:tcPr>
            <w:tcW w:type="dxa" w:w="1440"/>
            <w:shd w:fill="FFDCE0" w:val="clear"/>
          </w:tcPr>
          <w:p>
            <w:r>
              <w:rPr>
                <w:sz w:val="17"/>
              </w:rPr>
              <w:t>2,945</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2,228</w:t>
            </w:r>
          </w:p>
        </w:tc>
        <w:tc>
          <w:tcPr>
            <w:tcW w:type="dxa" w:w="1440"/>
            <w:shd w:fill="FFDCE0" w:val="clear"/>
          </w:tcPr>
          <w:p>
            <w:r>
              <w:rPr>
                <w:b/>
                <w:sz w:val="17"/>
              </w:rPr>
              <w:t>2,595</w:t>
            </w:r>
          </w:p>
        </w:tc>
        <w:tc>
          <w:tcPr>
            <w:tcW w:type="dxa" w:w="1440"/>
            <w:shd w:fill="FFDCE0" w:val="clear"/>
          </w:tcPr>
          <w:p>
            <w:r>
              <w:rPr>
                <w:sz w:val="17"/>
              </w:rPr>
              <w:t>2,961</w:t>
            </w:r>
          </w:p>
        </w:tc>
        <w:tc>
          <w:tcPr>
            <w:tcW w:type="dxa" w:w="1440"/>
            <w:shd w:fill="FFDCE0" w:val="clear"/>
          </w:tcPr>
          <w:p>
            <w:r>
              <w:rPr>
                <w:b/>
                <w:color w:val="C00000"/>
                <w:sz w:val="17"/>
              </w:rPr>
              <w:t>-5.1%</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2,178</w:t>
            </w:r>
          </w:p>
        </w:tc>
        <w:tc>
          <w:tcPr>
            <w:tcW w:type="dxa" w:w="1440"/>
            <w:shd w:fill="FFDCE0" w:val="clear"/>
          </w:tcPr>
          <w:p>
            <w:r>
              <w:rPr>
                <w:b/>
                <w:sz w:val="17"/>
              </w:rPr>
              <w:t>2,576</w:t>
            </w:r>
          </w:p>
        </w:tc>
        <w:tc>
          <w:tcPr>
            <w:tcW w:type="dxa" w:w="1440"/>
            <w:shd w:fill="FFDCE0" w:val="clear"/>
          </w:tcPr>
          <w:p>
            <w:r>
              <w:rPr>
                <w:sz w:val="17"/>
              </w:rPr>
              <w:t>2,975</w:t>
            </w:r>
          </w:p>
        </w:tc>
        <w:tc>
          <w:tcPr>
            <w:tcW w:type="dxa" w:w="1440"/>
            <w:shd w:fill="FFDCE0" w:val="clear"/>
          </w:tcPr>
          <w:p>
            <w:r>
              <w:rPr>
                <w:b/>
                <w:color w:val="C00000"/>
                <w:sz w:val="17"/>
              </w:rPr>
              <w:t>-5.8%</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2,131</w:t>
            </w:r>
          </w:p>
        </w:tc>
        <w:tc>
          <w:tcPr>
            <w:tcW w:type="dxa" w:w="1440"/>
            <w:shd w:fill="FFDCE0" w:val="clear"/>
          </w:tcPr>
          <w:p>
            <w:r>
              <w:rPr>
                <w:b/>
                <w:sz w:val="17"/>
              </w:rPr>
              <w:t>2,559</w:t>
            </w:r>
          </w:p>
        </w:tc>
        <w:tc>
          <w:tcPr>
            <w:tcW w:type="dxa" w:w="1440"/>
            <w:shd w:fill="FFDCE0" w:val="clear"/>
          </w:tcPr>
          <w:p>
            <w:r>
              <w:rPr>
                <w:sz w:val="17"/>
              </w:rPr>
              <w:t>2,987</w:t>
            </w:r>
          </w:p>
        </w:tc>
        <w:tc>
          <w:tcPr>
            <w:tcW w:type="dxa" w:w="1440"/>
            <w:shd w:fill="FFDCE0" w:val="clear"/>
          </w:tcPr>
          <w:p>
            <w:r>
              <w:rPr>
                <w:b/>
                <w:color w:val="C00000"/>
                <w:sz w:val="17"/>
              </w:rPr>
              <w:t>-6.4%</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2,088</w:t>
            </w:r>
          </w:p>
        </w:tc>
        <w:tc>
          <w:tcPr>
            <w:tcW w:type="dxa" w:w="1440"/>
            <w:shd w:fill="FFDCE0" w:val="clear"/>
          </w:tcPr>
          <w:p>
            <w:r>
              <w:rPr>
                <w:b/>
                <w:sz w:val="17"/>
              </w:rPr>
              <w:t>2,542</w:t>
            </w:r>
          </w:p>
        </w:tc>
        <w:tc>
          <w:tcPr>
            <w:tcW w:type="dxa" w:w="1440"/>
            <w:shd w:fill="FFDCE0" w:val="clear"/>
          </w:tcPr>
          <w:p>
            <w:r>
              <w:rPr>
                <w:sz w:val="17"/>
              </w:rPr>
              <w:t>2,996</w:t>
            </w:r>
          </w:p>
        </w:tc>
        <w:tc>
          <w:tcPr>
            <w:tcW w:type="dxa" w:w="1440"/>
            <w:shd w:fill="FFDCE0" w:val="clear"/>
          </w:tcPr>
          <w:p>
            <w:r>
              <w:rPr>
                <w:b/>
                <w:color w:val="C00000"/>
                <w:sz w:val="17"/>
              </w:rPr>
              <w:t>-7.1%</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2,047</w:t>
            </w:r>
          </w:p>
        </w:tc>
        <w:tc>
          <w:tcPr>
            <w:tcW w:type="dxa" w:w="1440"/>
            <w:shd w:fill="FFDCE0" w:val="clear"/>
          </w:tcPr>
          <w:p>
            <w:r>
              <w:rPr>
                <w:b/>
                <w:sz w:val="17"/>
              </w:rPr>
              <w:t>2,526</w:t>
            </w:r>
          </w:p>
        </w:tc>
        <w:tc>
          <w:tcPr>
            <w:tcW w:type="dxa" w:w="1440"/>
            <w:shd w:fill="FFDCE0" w:val="clear"/>
          </w:tcPr>
          <w:p>
            <w:r>
              <w:rPr>
                <w:sz w:val="17"/>
              </w:rPr>
              <w:t>3,004</w:t>
            </w:r>
          </w:p>
        </w:tc>
        <w:tc>
          <w:tcPr>
            <w:tcW w:type="dxa" w:w="1440"/>
            <w:shd w:fill="FFDCE0" w:val="clear"/>
          </w:tcPr>
          <w:p>
            <w:r>
              <w:rPr>
                <w:b/>
                <w:color w:val="C00000"/>
                <w:sz w:val="17"/>
              </w:rPr>
              <w:t>-7.7%</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2,008</w:t>
            </w:r>
          </w:p>
        </w:tc>
        <w:tc>
          <w:tcPr>
            <w:tcW w:type="dxa" w:w="1440"/>
            <w:shd w:fill="FFDCE0" w:val="clear"/>
          </w:tcPr>
          <w:p>
            <w:r>
              <w:rPr>
                <w:b/>
                <w:sz w:val="17"/>
              </w:rPr>
              <w:t>2,510</w:t>
            </w:r>
          </w:p>
        </w:tc>
        <w:tc>
          <w:tcPr>
            <w:tcW w:type="dxa" w:w="1440"/>
            <w:shd w:fill="FFDCE0" w:val="clear"/>
          </w:tcPr>
          <w:p>
            <w:r>
              <w:rPr>
                <w:sz w:val="17"/>
              </w:rPr>
              <w:t>3,011</w:t>
            </w:r>
          </w:p>
        </w:tc>
        <w:tc>
          <w:tcPr>
            <w:tcW w:type="dxa" w:w="1440"/>
            <w:shd w:fill="FFDCE0" w:val="clear"/>
          </w:tcPr>
          <w:p>
            <w:r>
              <w:rPr>
                <w:b/>
                <w:color w:val="C00000"/>
                <w:sz w:val="17"/>
              </w:rPr>
              <w:t>-8.2%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148,88 milliards FCFA, ce qui la positionne parmi les valeurs moyennes de la BRVM, dans un secteur logistique stratégique pour l'économie ivoirienne. Le BPA de 387 FCFA indique que chaque action génère un bénéfice substantiel, justifiant un PER de 7,1x, nettement inférieur à la moyenne du marché BRVM (8-12x), ce qui suggère une sous-évaluation relative du titre. Le P/B de 1,91x reste dans une zone raisonnable, le marché valorisant la société à près du double de sa valeur comptable, ce qui témoigne d'une confiance modérée des investisseurs. En revanche, l'EV/EBITDA de 32,1x est particulièrement exigeant, indiquant que la valeur d'entreprise par rapport à la capacité opérationnelle est élevée, ce qui pourrait refléter des attentes de croissance future ou une prime sectorielle. Cette combinaison de ratios contrastés suggère une valorisation mitigée, avec un PER attractif mais un EV/EBITDA qui tempère l'enthousiasme.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+38,83%, avec une dernière séance en hausse de +1,48% à 2 735 FCFA, démontrant une dynamique haussière soutenue. Le titre a évolué dans une fourchette large de 1 650 à 2 820 FCFA, illustrant une forte amplitude de trading sur la période. La moyenne de 2 176 FCFA est inférieure à la médiane de 2 042 FCFA, indiquant une distribution légèrement asymétrique avec des valeurs extrêmes élevées qui tirent la moyenne vers le haut. L'écart-type de 381 FCFA, avec un coefficient de variation de 17,5%, révèle une dispersion modérée du cours autour de sa moyenne. Le kurtosis de -1,459 (platykurtique) signale une distribution aplatie avec peu de pics extrêmes, tandis que le skewness de 0,268 confirme une asymétrie positive légère. La volatilité annualisée de 48,9% classe le titre comme très volatil, nettement au-dessus du seuil de 30%, ce qui implique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de 2 735 FCFA se situe au-dessus de la MM20 (2 667,25 FCFA) et de la MM50 (2 515,9 FCFA), confirmant une tendance haussière à court et moyen terme. La configuration des moyennes mobiles, avec le cours au-dessus des deux moyennes, génère un signal d'achat cohérent avec la dynamique positive observée.</w:t>
      </w:r>
    </w:p>
    <w:p>
      <w:pPr>
        <w:spacing w:after="120" w:line="276" w:lineRule="auto"/>
      </w:pPr>
      <w:r>
        <w:t>**Bandes de Bollinger** : Le prix évolue entre la borne inférieure (2 457,125 FCFA) et la borne supérieure (2 877,375 FCFA), se positionnant à 2 735 FCFA, proche de la partie haute des bandes. Cette position indique une volatilité modérée avec un potentiel de poursuite haussière, mais le signal reste neutre, suggérant une possible consolidation avant un nouveau mouvement directionnel.</w:t>
      </w:r>
    </w:p>
    <w:p>
      <w:pPr>
        <w:spacing w:after="120" w:line="276" w:lineRule="auto"/>
      </w:pPr>
      <w:r>
        <w:t>**MACD** : La valeur du MACD (55,23) est inférieure à son signal (62,29), indiquant un momentum baissier à court terme malgré la tendance haussière globale. Cette divergence négative génère un signal de vente, suggérant une possible correction technique après la forte progression récente.</w:t>
      </w:r>
    </w:p>
    <w:p>
      <w:pPr>
        <w:spacing w:after="120" w:line="276" w:lineRule="auto"/>
      </w:pPr>
      <w:r>
        <w:t>**RSI** : À 51,417, le RSI se situe en zone neutre, entre 30 et 70, indiquant un équilibre entre pression acheteuse et vendeuse. Cette valeur ne montre ni surachat ni survente, laissant place à une poursuite du mouvement dans un sens ou dans l'autre sans signal directionnel fort.</w:t>
      </w:r>
    </w:p>
    <w:p>
      <w:pPr>
        <w:spacing w:after="120" w:line="276" w:lineRule="auto"/>
      </w:pPr>
      <w:r>
        <w:t>**Stochastique** : Le %K (86,364) est nettement supérieur au %D (73,106), indiquant une zone de surachat technique. Cette configuration génère un signal de vente, suggérant un risque de retournement à court terme après la hausse récente.</w:t>
      </w:r>
    </w:p>
    <w:p>
      <w:pPr>
        <w:spacing w:after="120" w:line="276" w:lineRule="auto"/>
      </w:pPr>
      <w:r>
        <w:t>**Conclusion technique** : Les signaux sont mitigés, avec une tendance haussière confirmée par les moyennes mobiles mais des indicateurs de momentum (MACD, Stochastique) montrant des signes d'essoufflement. Le RSI neutre et les bandes de Bollinger neutres suggèrent une possible consolidation. La prudence est de mise à court terme, mais la tendance de fond reste positive.</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démontrant une rentabilité solide avec une marge nette de 24,6%. Le ROE de 27,08% est excellent, largement au-dessus du seuil de 15%, et le ROA de 11,2% confirme une bonne utilisation des actifs. La structure financière est saine avec une autonomie financière de 41,36%, une solvabilité générale de 170,53% et une capacité de remboursement de 0,56 an. Cependant, le délai clients de 467 jours est préoccupant, représentant un risque de trésorerie significatif, bien que le délai fournisseurs de 4 534 jours compense partiellement ce risque. Les rapports trimestriels 2025 montrent une dégradation marquée : le T1 2025 affiche un résultat net de 223 millions FCFA (contre -193 millions au T1 2024), le S1 2025 est déficitaire à -427 millions FCFA, et le T3 2025 enregistre un résultat net de 4,341 milliards FCFA, en chute de 77% sur un an. Les états financiers provisoires 2025 (rapport du 31 décembre 2025) confirment cette tendance avec un résultat net de seulement 784,97 millions FCFA contre 21,069 milliards en 2024, soit une chute de 96%, malgré un CA en hausse de 7,43% à 92 milliards FCFA. Cette dégradation s'explique par un résultat d'exploitation négatif (-2,271 milliards FCFA) et une dépendance aux dividendes des filiales, qui ont fortement diminué. La trésorerie nette reste abondante à 74,78 milliards FCFA, mais la rentabilité opérationnelle est préoccupante.</w:t>
      </w:r>
    </w:p>
    <w:p>
      <w:pPr>
        <w:spacing w:after="120" w:line="276" w:lineRule="auto" w:before="240"/>
      </w:pPr>
      <w:r>
        <w:rPr>
          <w:b/>
          <w:color w:val="003366"/>
          <w:sz w:val="24"/>
        </w:rPr>
        <w:t>**PARTIE 4 : CONCLUSION D'INVESTISSEMENT**</w:t>
      </w:r>
    </w:p>
    <w:p>
      <w:pPr>
        <w:spacing w:after="120" w:line="276" w:lineRule="auto"/>
      </w:pPr>
      <w:r>
        <w:t>La valorisation de SDSC présente un paradoxe : le PER de 7,1x suggère une sous-évaluation attractive, mais l'EV/EBITDA de 32,1x et la chute de 96% du résultat net en 2025 tempèrent cet optimisme. Le comportement du cours montre une tendance haussière spectaculaire de +38,83% sur 100 jours, avec une volatilité élevée de 48,9% et une distribution platykurtique indiquant des mouvements modérés. Les signaux techniques sont divergents : les moyennes mobiles sont haussières, mais le MACD et le Stochastique suggèrent un essoufflement à court terme. Fondamentalement, la société affiche une solidité financière indéniable (trésorerie de 74,78 milliards, capitaux propres de 73,55 milliards), mais la rentabilité s'effondre en 2025, avec un résultat net marginal de 0,78 milliard. Les prédictions IA pour les 10 prochains jours indiquent une baisse progressive de 2 698 à 2 595 FCFA, confirmant le signal technique de correction. La recommandation finale est **CONSERVER** avec un niveau de confiance **Moyen** et un risque global **Élevé**. L'horizon d'investissement optimal serait le **moyen terme (3-12 mois)**, en attendant une clarification de la capacité de la direction à restaurer les marges opérationnelles et à stabiliser les revenus des filiales.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40.05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5,497 titres</w:t>
            </w:r>
          </w:p>
        </w:tc>
        <w:tc>
          <w:tcPr>
            <w:tcW w:type="dxa" w:w="2268"/>
            <w:shd w:fill="FFF2CC" w:val="clear"/>
          </w:tcPr>
          <w:p>
            <w:r>
              <w:rPr>
                <w:b/>
                <w:color w:val="503200"/>
                <w:sz w:val="16"/>
              </w:rPr>
              <w:t xml:space="preserve">Cours actuel : </w:t>
            </w:r>
            <w:r>
              <w:rPr>
                <w:color w:val="000000"/>
                <w:sz w:val="17"/>
              </w:rPr>
              <w:t>1,590 FCFA</w:t>
            </w:r>
          </w:p>
          <w:p>
            <w:r>
              <w:rPr>
                <w:b/>
                <w:color w:val="503200"/>
                <w:sz w:val="16"/>
              </w:rPr>
              <w:t xml:space="preserve">Var. 100 jours : </w:t>
            </w:r>
            <w:r>
              <w:rPr>
                <w:b/>
                <w:color w:val="B40000"/>
                <w:sz w:val="17"/>
              </w:rPr>
              <w:t>-29.80%</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11.05% (Moyenne) — μ=1,595 FCFA, σ=176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β=1.5201 (Agressif) — Cov=0.000048, Var(idx)=0.000031, ρ=0.263,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5,497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1,445</w:t>
            </w:r>
          </w:p>
        </w:tc>
        <w:tc>
          <w:tcPr>
            <w:tcW w:type="dxa" w:w="1440"/>
            <w:shd w:fill="FFDCE0" w:val="clear"/>
          </w:tcPr>
          <w:p>
            <w:r>
              <w:rPr>
                <w:b/>
                <w:sz w:val="17"/>
              </w:rPr>
              <w:t>1,517</w:t>
            </w:r>
          </w:p>
        </w:tc>
        <w:tc>
          <w:tcPr>
            <w:tcW w:type="dxa" w:w="1440"/>
            <w:shd w:fill="FFDCE0" w:val="clear"/>
          </w:tcPr>
          <w:p>
            <w:r>
              <w:rPr>
                <w:sz w:val="17"/>
              </w:rPr>
              <w:t>1,589</w:t>
            </w:r>
          </w:p>
        </w:tc>
        <w:tc>
          <w:tcPr>
            <w:tcW w:type="dxa" w:w="1440"/>
            <w:shd w:fill="FFDCE0" w:val="clear"/>
          </w:tcPr>
          <w:p>
            <w:r>
              <w:rPr>
                <w:b/>
                <w:color w:val="C00000"/>
                <w:sz w:val="17"/>
              </w:rPr>
              <w:t>-4.6%</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1,411</w:t>
            </w:r>
          </w:p>
        </w:tc>
        <w:tc>
          <w:tcPr>
            <w:tcW w:type="dxa" w:w="1440"/>
            <w:shd w:fill="FFDCE0" w:val="clear"/>
          </w:tcPr>
          <w:p>
            <w:r>
              <w:rPr>
                <w:b/>
                <w:sz w:val="17"/>
              </w:rPr>
              <w:t>1,512</w:t>
            </w:r>
          </w:p>
        </w:tc>
        <w:tc>
          <w:tcPr>
            <w:tcW w:type="dxa" w:w="1440"/>
            <w:shd w:fill="FFDCE0" w:val="clear"/>
          </w:tcPr>
          <w:p>
            <w:r>
              <w:rPr>
                <w:sz w:val="17"/>
              </w:rPr>
              <w:t>1,613</w:t>
            </w:r>
          </w:p>
        </w:tc>
        <w:tc>
          <w:tcPr>
            <w:tcW w:type="dxa" w:w="1440"/>
            <w:shd w:fill="FFDCE0" w:val="clear"/>
          </w:tcPr>
          <w:p>
            <w:r>
              <w:rPr>
                <w:b/>
                <w:color w:val="C00000"/>
                <w:sz w:val="17"/>
              </w:rPr>
              <w:t>-4.9%</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1,376</w:t>
            </w:r>
          </w:p>
        </w:tc>
        <w:tc>
          <w:tcPr>
            <w:tcW w:type="dxa" w:w="1440"/>
            <w:shd w:fill="FFDCE0" w:val="clear"/>
          </w:tcPr>
          <w:p>
            <w:r>
              <w:rPr>
                <w:b/>
                <w:sz w:val="17"/>
              </w:rPr>
              <w:t>1,499</w:t>
            </w:r>
          </w:p>
        </w:tc>
        <w:tc>
          <w:tcPr>
            <w:tcW w:type="dxa" w:w="1440"/>
            <w:shd w:fill="FFDCE0" w:val="clear"/>
          </w:tcPr>
          <w:p>
            <w:r>
              <w:rPr>
                <w:sz w:val="17"/>
              </w:rPr>
              <w:t>1,622</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1,343</w:t>
            </w:r>
          </w:p>
        </w:tc>
        <w:tc>
          <w:tcPr>
            <w:tcW w:type="dxa" w:w="1440"/>
            <w:shd w:fill="FFDCE0" w:val="clear"/>
          </w:tcPr>
          <w:p>
            <w:r>
              <w:rPr>
                <w:b/>
                <w:sz w:val="17"/>
              </w:rPr>
              <w:t>1,484</w:t>
            </w:r>
          </w:p>
        </w:tc>
        <w:tc>
          <w:tcPr>
            <w:tcW w:type="dxa" w:w="1440"/>
            <w:shd w:fill="FFDCE0" w:val="clear"/>
          </w:tcPr>
          <w:p>
            <w:r>
              <w:rPr>
                <w:sz w:val="17"/>
              </w:rPr>
              <w:t>1,624</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1,313</w:t>
            </w:r>
          </w:p>
        </w:tc>
        <w:tc>
          <w:tcPr>
            <w:tcW w:type="dxa" w:w="1440"/>
            <w:shd w:fill="FFDCE0" w:val="clear"/>
          </w:tcPr>
          <w:p>
            <w:r>
              <w:rPr>
                <w:b/>
                <w:sz w:val="17"/>
              </w:rPr>
              <w:t>1,468</w:t>
            </w:r>
          </w:p>
        </w:tc>
        <w:tc>
          <w:tcPr>
            <w:tcW w:type="dxa" w:w="1440"/>
            <w:shd w:fill="FFDCE0" w:val="clear"/>
          </w:tcPr>
          <w:p>
            <w:r>
              <w:rPr>
                <w:sz w:val="17"/>
              </w:rPr>
              <w:t>1,624</w:t>
            </w:r>
          </w:p>
        </w:tc>
        <w:tc>
          <w:tcPr>
            <w:tcW w:type="dxa" w:w="1440"/>
            <w:shd w:fill="FFDCE0" w:val="clear"/>
          </w:tcPr>
          <w:p>
            <w:r>
              <w:rPr>
                <w:b/>
                <w:color w:val="C00000"/>
                <w:sz w:val="17"/>
              </w:rPr>
              <w:t>-7.6%</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1,285</w:t>
            </w:r>
          </w:p>
        </w:tc>
        <w:tc>
          <w:tcPr>
            <w:tcW w:type="dxa" w:w="1440"/>
            <w:shd w:fill="FFDCE0" w:val="clear"/>
          </w:tcPr>
          <w:p>
            <w:r>
              <w:rPr>
                <w:b/>
                <w:sz w:val="17"/>
              </w:rPr>
              <w:t>1,453</w:t>
            </w:r>
          </w:p>
        </w:tc>
        <w:tc>
          <w:tcPr>
            <w:tcW w:type="dxa" w:w="1440"/>
            <w:shd w:fill="FFDCE0" w:val="clear"/>
          </w:tcPr>
          <w:p>
            <w:r>
              <w:rPr>
                <w:sz w:val="17"/>
              </w:rPr>
              <w:t>1,622</w:t>
            </w:r>
          </w:p>
        </w:tc>
        <w:tc>
          <w:tcPr>
            <w:tcW w:type="dxa" w:w="1440"/>
            <w:shd w:fill="FFDCE0" w:val="clear"/>
          </w:tcPr>
          <w:p>
            <w:r>
              <w:rPr>
                <w:b/>
                <w:color w:val="C00000"/>
                <w:sz w:val="17"/>
              </w:rPr>
              <w:t>-8.6%</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1,258</w:t>
            </w:r>
          </w:p>
        </w:tc>
        <w:tc>
          <w:tcPr>
            <w:tcW w:type="dxa" w:w="1440"/>
            <w:shd w:fill="FFDCE0" w:val="clear"/>
          </w:tcPr>
          <w:p>
            <w:r>
              <w:rPr>
                <w:b/>
                <w:sz w:val="17"/>
              </w:rPr>
              <w:t>1,439</w:t>
            </w:r>
          </w:p>
        </w:tc>
        <w:tc>
          <w:tcPr>
            <w:tcW w:type="dxa" w:w="1440"/>
            <w:shd w:fill="FFDCE0" w:val="clear"/>
          </w:tcPr>
          <w:p>
            <w:r>
              <w:rPr>
                <w:sz w:val="17"/>
              </w:rPr>
              <w:t>1,619</w:t>
            </w:r>
          </w:p>
        </w:tc>
        <w:tc>
          <w:tcPr>
            <w:tcW w:type="dxa" w:w="1440"/>
            <w:shd w:fill="FFDCE0" w:val="clear"/>
          </w:tcPr>
          <w:p>
            <w:r>
              <w:rPr>
                <w:b/>
                <w:color w:val="C00000"/>
                <w:sz w:val="17"/>
              </w:rPr>
              <w:t>-9.5%</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1,233</w:t>
            </w:r>
          </w:p>
        </w:tc>
        <w:tc>
          <w:tcPr>
            <w:tcW w:type="dxa" w:w="1440"/>
            <w:shd w:fill="FFDCE0" w:val="clear"/>
          </w:tcPr>
          <w:p>
            <w:r>
              <w:rPr>
                <w:b/>
                <w:sz w:val="17"/>
              </w:rPr>
              <w:t>1,424</w:t>
            </w:r>
          </w:p>
        </w:tc>
        <w:tc>
          <w:tcPr>
            <w:tcW w:type="dxa" w:w="1440"/>
            <w:shd w:fill="FFDCE0" w:val="clear"/>
          </w:tcPr>
          <w:p>
            <w:r>
              <w:rPr>
                <w:sz w:val="17"/>
              </w:rPr>
              <w:t>1,615</w:t>
            </w:r>
          </w:p>
        </w:tc>
        <w:tc>
          <w:tcPr>
            <w:tcW w:type="dxa" w:w="1440"/>
            <w:shd w:fill="FFDCE0" w:val="clear"/>
          </w:tcPr>
          <w:p>
            <w:r>
              <w:rPr>
                <w:b/>
                <w:color w:val="C00000"/>
                <w:sz w:val="17"/>
              </w:rPr>
              <w:t>-10.4%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1,210</w:t>
            </w:r>
          </w:p>
        </w:tc>
        <w:tc>
          <w:tcPr>
            <w:tcW w:type="dxa" w:w="1440"/>
            <w:shd w:fill="FFDCE0" w:val="clear"/>
          </w:tcPr>
          <w:p>
            <w:r>
              <w:rPr>
                <w:b/>
                <w:sz w:val="17"/>
              </w:rPr>
              <w:t>1,410</w:t>
            </w:r>
          </w:p>
        </w:tc>
        <w:tc>
          <w:tcPr>
            <w:tcW w:type="dxa" w:w="1440"/>
            <w:shd w:fill="FFDCE0" w:val="clear"/>
          </w:tcPr>
          <w:p>
            <w:r>
              <w:rPr>
                <w:sz w:val="17"/>
              </w:rPr>
              <w:t>1,610</w:t>
            </w:r>
          </w:p>
        </w:tc>
        <w:tc>
          <w:tcPr>
            <w:tcW w:type="dxa" w:w="1440"/>
            <w:shd w:fill="FFDCE0" w:val="clear"/>
          </w:tcPr>
          <w:p>
            <w:r>
              <w:rPr>
                <w:b/>
                <w:color w:val="C00000"/>
                <w:sz w:val="17"/>
              </w:rPr>
              <w:t>-11.3%</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1,187</w:t>
            </w:r>
          </w:p>
        </w:tc>
        <w:tc>
          <w:tcPr>
            <w:tcW w:type="dxa" w:w="1440"/>
            <w:shd w:fill="FFDCE0" w:val="clear"/>
          </w:tcPr>
          <w:p>
            <w:r>
              <w:rPr>
                <w:b/>
                <w:sz w:val="17"/>
              </w:rPr>
              <w:t>1,396</w:t>
            </w:r>
          </w:p>
        </w:tc>
        <w:tc>
          <w:tcPr>
            <w:tcW w:type="dxa" w:w="1440"/>
            <w:shd w:fill="FFDCE0" w:val="clear"/>
          </w:tcPr>
          <w:p>
            <w:r>
              <w:rPr>
                <w:sz w:val="17"/>
              </w:rPr>
              <w:t>1,605</w:t>
            </w:r>
          </w:p>
        </w:tc>
        <w:tc>
          <w:tcPr>
            <w:tcW w:type="dxa" w:w="1440"/>
            <w:shd w:fill="FFDCE0" w:val="clear"/>
          </w:tcPr>
          <w:p>
            <w:r>
              <w:rPr>
                <w:b/>
                <w:color w:val="C00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(EVIOSYS PACKAGING SIEM)**</w:t>
        <w:br/>
        <w:t>**Date de l'analyse : 20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40,05 milliards FCFA, un niveau modeste qui la classe parmi les valeurs de taille moyenne sur la BRVM. Ce montant reflète la décote appliquée par le marché suite à la baisse significative du cours sur la période. Les ratios de valorisation (BPA, PER, P/B, EV/EBITDA) ne sont pas calculables en raison de l'absence de données financières structurées à jour dans la base. Toutefois, sur la base du résultat net de 1,01 milliard FCFA en 2023, le PER implicite serait d'environ 40x, un niveau très élevé comparé à la moyenne du marché BRVM (8-12x), indiquant que le marché valorise fortement les perspectives de rebond futures plutôt que les bénéfices actuels. Cette situation s'explique par la faiblesse temporaire des résultats 2023 et les attentes de redressement portées par le nouveau plan stratégique.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SEMC a enregistré une dépréciation de 29,80%, avec une légère baisse de 0,62% lors de la dernière séance, portant le cours à 1 590 FCFA. Le titre a évolué dans une fourchette de 1 350 à 2 265 FCFA, illustrant une forte amplitude de trading. La moyenne de 1 595 FCFA est très proche de la médiane de 1 538 FCFA, suggérant une distribution relativement symétrique des cours, mais le mode à 1 500 FCFA indique une concentration des échanges autour de ce niveau. L'écart-type de 177 FCFA (CV=11,1%) révèle une dispersion modérée des prix autour de la moyenne. Le kurtosis de 2,109 signale un risque de mouvements extrêmes, tandis que le skewness positif de 1,616 confirme une asymétrie avec davantage de séances sous la moyenne. La volatilité annualisée de 50,7% est très élevée, positionnant SEMC comme un titre spéculatif à fort risque.</w:t>
      </w:r>
    </w:p>
    <w:p>
      <w:pPr>
        <w:spacing w:after="120" w:line="276" w:lineRule="auto"/>
      </w:pPr>
      <w:r>
        <w:t>---</w:t>
      </w:r>
    </w:p>
    <w:p>
      <w:pPr>
        <w:spacing w:after="120" w:line="276" w:lineRule="auto"/>
      </w:pPr>
      <w:r>
        <w:t>### PARTIE 2 : ANALYSE TECHNIQUE DÉTAILLÉE</w:t>
      </w:r>
    </w:p>
    <w:p>
      <w:pPr>
        <w:spacing w:after="120" w:line="276" w:lineRule="auto"/>
      </w:pPr>
      <w:r>
        <w:t>**Moyennes Mobiles** : Les MM20 (1 503 FCFA) et MM50 (1 506,6 FCFA) sont très proches l'une de l'autre, indiquant une consolidation. Le cours actuel (1 590 FCFA) se situe au-dessus de ces moyennes, ce qui pourrait suggérer un début de retournement haussier. Cependant, la décision globale reste "Vente", car la tendance de fond demeure baissière après la chute récente.</w:t>
      </w:r>
    </w:p>
    <w:p>
      <w:pPr>
        <w:spacing w:after="120" w:line="276" w:lineRule="auto"/>
      </w:pPr>
      <w:r>
        <w:t>**Bandes de Bollinger** : Le prix évolue près de la borne supérieure (1 594,5 FCFA), après avoir touché la borne inférieure (1 411,5 FCFA) il y a quelques semaines. Cette position indique une volatilité élevée et un rebond technique en cours. La décision "Neutre" reflète l'absence de cassure claire des bornes, le titre testant actuellement la résistance de la borne supérieure.</w:t>
      </w:r>
    </w:p>
    <w:p>
      <w:pPr>
        <w:spacing w:after="120" w:line="276" w:lineRule="auto"/>
      </w:pPr>
      <w:r>
        <w:t>**MACD** : Le MACD (18,63) est nettement au-dessus de sa ligne de signal (3,83), générant un signal d'achat. Cette divergence positive indique un momentum haussier qui se renforce, suggérant une poursuite possible du rebond à court terme malgré la tendance baissière de fond.</w:t>
      </w:r>
    </w:p>
    <w:p>
      <w:pPr>
        <w:spacing w:after="120" w:line="276" w:lineRule="auto"/>
      </w:pPr>
      <w:r>
        <w:t>**RSI** : À 66,667, le RSI se situe en zone neutre-haute, proche du seuil de surachat (70). Cette valeur indique une pression acheteuse soutenue sans pour autant signaler une surextension immédiate. La décision "Neutre" est cohérente avec cette lecture, le titre disposant encore d'une marge avant d'atteindre des conditions de surachat.</w:t>
      </w:r>
    </w:p>
    <w:p>
      <w:pPr>
        <w:spacing w:after="120" w:line="276" w:lineRule="auto"/>
      </w:pPr>
      <w:r>
        <w:t>**Stochastique** : Le %K (93,548) et le %D (97,849) sont tous deux en zone de surachat extrême (&gt;80), avec un %D supérieur au %K. Cette configuration signale un épuisement probable du mouvement haussier à court terme et justifie la décision "Vente", anticipant un repli technique.</w:t>
      </w:r>
    </w:p>
    <w:p>
      <w:pPr>
        <w:spacing w:after="120" w:line="276" w:lineRule="auto"/>
      </w:pPr>
      <w:r>
        <w:t>**Conclusion technique** : Les indicateurs sont partagés entre un momentum haussier à court terme (MACD, RSI) et des conditions de surachat extrême (Stochastique) dans une tendance baissière de fond (MM). Cette divergence suggère un rebond technique fragile qui pourrait s'essouffler rapidement. La prudence est de mise, le titre étant à un point de décision technique important.</w:t>
      </w:r>
    </w:p>
    <w:p>
      <w:pPr>
        <w:spacing w:after="120" w:line="276" w:lineRule="auto"/>
      </w:pPr>
      <w:r>
        <w:t>---</w:t>
      </w:r>
    </w:p>
    <w:p>
      <w:pPr>
        <w:spacing w:after="120" w:line="276" w:lineRule="auto"/>
      </w:pPr>
      <w:r>
        <w:t>### PARTIE 3 : ANALYSE FONDAMENTALE (SECTION CRITIQUE)</w:t>
      </w:r>
    </w:p>
    <w:p>
      <w:pPr>
        <w:spacing w:after="120" w:line="276" w:lineRule="auto"/>
      </w:pPr>
      <w:r>
        <w:t>Les états financiers annuels disponibles datent de l'exercice 2023 (rapport du 31/12/2024, analysé le 15/03/2026). En 2023, SEMC a réalisé un chiffre d'affaires de 27,88 milliards FCFA, en baisse de 6% par rapport à 2022 (29,60 milliards FCFA). Le résultat net s'est effondré à 1,01 milliard FCFA, contre 3,86 milliards FCFA en 2022, soit une chute de 74%. La marge nette est passée de 13,0% à 3,6%, traduisant une forte érosion de la rentabilité. Le résultat d'exploitation a diminué de 55% (1,93 milliard FCFA), pénalisé par la baisse des volumes (-12%), la perte de clients clés (AIRONE : -81% du CA) et l'arrêt des ventes dans le secteur Tomate. Aucun dividende n'a été distribué en 2022 et 2023, la société privilégiant la conservation de sa trésorerie (3,35 milliards FCFA). Le rapport du 1er trimestre 2023 (daté du 31/12/2023) montrait pourtant une dynamique positive avec un CA de 7,65 milliards FCFA (+16,5%) et un bénéfice net de 855,65 millions FCFA (+37,9%), suggérant que la dégradation s'est accentuée au cours de l'année. La société a été rachetée par Sonoco Products Company (finalisé en décembre 2024), ce qui pourrait apporter des capitaux et une expertise stratégique. Les perspectives 2024 visent un CA de 32 milliards FCFA (+18%), porté par les bouchons couronnes (+61% en volume) et les exportations. La recommandation fondamentale est "CONSERVER avec vigilance", la société traversant une phase de transition avec des risques opérationnels et financiers significatifs, mais des opportunités de redressement réelles.</w:t>
      </w:r>
    </w:p>
    <w:p>
      <w:pPr>
        <w:spacing w:after="120" w:line="276" w:lineRule="auto"/>
      </w:pPr>
      <w:r>
        <w:t>---</w:t>
      </w:r>
    </w:p>
    <w:p>
      <w:pPr>
        <w:spacing w:after="120" w:line="276" w:lineRule="auto"/>
      </w:pPr>
      <w:r>
        <w:t>### PARTIE 4 : CONCLUSION D'INVESTISSEMENT</w:t>
      </w:r>
    </w:p>
    <w:p>
      <w:pPr>
        <w:spacing w:after="120" w:line="276" w:lineRule="auto"/>
      </w:pPr>
      <w:r>
        <w:t>La valorisation de SEMC est difficile à apprécier faute de ratios calculables, mais le PER implicite d'environ 40x sur les résultats 2023 suggère une décote insuffisante pour compenser la faiblesse des bénéfices. Le comportement du cours est préoccupant avec une baisse de 29,80% sur 100 jours, une volatilité annualisée de 50,7% et un skewness positif indiquant des risques de mouvements brusques. Les signaux techniques sont mitigés : le MACD et le RSI suggèrent un rebond à court terme, mais le Stochastique en surachat extrême et les moyennes mobiles en tendance baissière tempèrent cet optimisme. Fondamentalement, la société traverse une période difficile avec des résultats 2023 en forte baisse, mais le rachat par Sonoco et les objectifs de croissance 2024 offrent des perspectives de redressement. Les prédictions IA (1 517 FCFA à J+1, puis 1 468 FCFA à J+10) confirment une poursuite de la baisse à court terme, contredisant les signaux techniques haussiers. La divergence entre les indicateurs techniques et les prédictions IA suggère une prudence accrue. **Recommandation finale : VENTE** avec un niveau de confiance **Moyen** et un risque global **Élevé**. L'horizon d'investissement optimal est le **court terme (&lt;3 mois)** pour les investisseurs cherchant à limiter leurs pertes, avec un suivi attentif des développements liés au rachat par Sonoco et à la levée de la suspension de cote.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1173.04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4,827 titres</w:t>
            </w:r>
          </w:p>
        </w:tc>
        <w:tc>
          <w:tcPr>
            <w:tcW w:type="dxa" w:w="2268"/>
            <w:shd w:fill="FFF2CC" w:val="clear"/>
          </w:tcPr>
          <w:p>
            <w:r>
              <w:rPr>
                <w:b/>
                <w:color w:val="503200"/>
                <w:sz w:val="16"/>
              </w:rPr>
              <w:t xml:space="preserve">Cours actuel : </w:t>
            </w:r>
            <w:r>
              <w:rPr>
                <w:color w:val="000000"/>
                <w:sz w:val="17"/>
              </w:rPr>
              <w:t>37,705 FCFA</w:t>
            </w:r>
          </w:p>
          <w:p>
            <w:r>
              <w:rPr>
                <w:b/>
                <w:color w:val="503200"/>
                <w:sz w:val="16"/>
              </w:rPr>
              <w:t xml:space="preserve">Var. 100 jours : </w:t>
            </w:r>
            <w:r>
              <w:rPr>
                <w:b/>
                <w:color w:val="007800"/>
                <w:sz w:val="17"/>
              </w:rPr>
              <w:t>+7.73%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5.74% (Moyenne) — μ=36,835 FCFA, σ=2,116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β=0.4804 (Défensif) — Cov=0.000015, Var(idx)=0.000031, ρ=0.187,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σ_j=1.49%/j (Stable) — Vol. annualisée≈23.6%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37,695</w:t>
            </w:r>
          </w:p>
        </w:tc>
        <w:tc>
          <w:tcPr>
            <w:tcW w:type="dxa" w:w="1440"/>
            <w:shd w:fill="FAFAFA" w:val="clear"/>
          </w:tcPr>
          <w:p>
            <w:r>
              <w:rPr>
                <w:b/>
                <w:sz w:val="17"/>
              </w:rPr>
              <w:t>38,359</w:t>
            </w:r>
          </w:p>
        </w:tc>
        <w:tc>
          <w:tcPr>
            <w:tcW w:type="dxa" w:w="1440"/>
            <w:shd w:fill="FAFAFA" w:val="clear"/>
          </w:tcPr>
          <w:p>
            <w:r>
              <w:rPr>
                <w:sz w:val="17"/>
              </w:rPr>
              <w:t>39,023</w:t>
            </w:r>
          </w:p>
        </w:tc>
        <w:tc>
          <w:tcPr>
            <w:tcW w:type="dxa" w:w="1440"/>
            <w:shd w:fill="FAFAFA" w:val="clear"/>
          </w:tcPr>
          <w:p>
            <w:r>
              <w:rPr>
                <w:b/>
                <w:color w:val="008000"/>
                <w:sz w:val="17"/>
              </w:rPr>
              <w:t>+1.7%</w:t>
            </w:r>
          </w:p>
        </w:tc>
      </w:tr>
      <w:tr>
        <w:tc>
          <w:tcPr>
            <w:tcW w:type="dxa" w:w="1440"/>
            <w:shd w:fill="FAFAFA" w:val="clear"/>
          </w:tcPr>
          <w:p>
            <w:r>
              <w:rPr>
                <w:sz w:val="17"/>
              </w:rPr>
              <w:t>J+2  ⭐⭐⭐</w:t>
            </w:r>
          </w:p>
        </w:tc>
        <w:tc>
          <w:tcPr>
            <w:tcW w:type="dxa" w:w="1440"/>
            <w:shd w:fill="FAFAFA" w:val="clear"/>
          </w:tcPr>
          <w:p>
            <w:r>
              <w:rPr>
                <w:sz w:val="17"/>
              </w:rPr>
              <w:t>2026-08-24</w:t>
            </w:r>
          </w:p>
        </w:tc>
        <w:tc>
          <w:tcPr>
            <w:tcW w:type="dxa" w:w="1440"/>
            <w:shd w:fill="FAFAFA" w:val="clear"/>
          </w:tcPr>
          <w:p>
            <w:r>
              <w:rPr>
                <w:sz w:val="17"/>
              </w:rPr>
              <w:t>37,299</w:t>
            </w:r>
          </w:p>
        </w:tc>
        <w:tc>
          <w:tcPr>
            <w:tcW w:type="dxa" w:w="1440"/>
            <w:shd w:fill="FAFAFA" w:val="clear"/>
          </w:tcPr>
          <w:p>
            <w:r>
              <w:rPr>
                <w:b/>
                <w:sz w:val="17"/>
              </w:rPr>
              <w:t>38,235</w:t>
            </w:r>
          </w:p>
        </w:tc>
        <w:tc>
          <w:tcPr>
            <w:tcW w:type="dxa" w:w="1440"/>
            <w:shd w:fill="FAFAFA" w:val="clear"/>
          </w:tcPr>
          <w:p>
            <w:r>
              <w:rPr>
                <w:sz w:val="17"/>
              </w:rPr>
              <w:t>39,172</w:t>
            </w:r>
          </w:p>
        </w:tc>
        <w:tc>
          <w:tcPr>
            <w:tcW w:type="dxa" w:w="1440"/>
            <w:shd w:fill="FAFAFA" w:val="clear"/>
          </w:tcPr>
          <w:p>
            <w:r>
              <w:rPr>
                <w:b/>
                <w:color w:val="008000"/>
                <w:sz w:val="17"/>
              </w:rPr>
              <w:t>+1.4%</w:t>
            </w:r>
          </w:p>
        </w:tc>
      </w:tr>
      <w:tr>
        <w:tc>
          <w:tcPr>
            <w:tcW w:type="dxa" w:w="1440"/>
            <w:shd w:fill="FAFAFA" w:val="clear"/>
          </w:tcPr>
          <w:p>
            <w:r>
              <w:rPr>
                <w:sz w:val="17"/>
              </w:rPr>
              <w:t>J+3  ⭐⭐⭐</w:t>
            </w:r>
          </w:p>
        </w:tc>
        <w:tc>
          <w:tcPr>
            <w:tcW w:type="dxa" w:w="1440"/>
            <w:shd w:fill="FAFAFA" w:val="clear"/>
          </w:tcPr>
          <w:p>
            <w:r>
              <w:rPr>
                <w:sz w:val="17"/>
              </w:rPr>
              <w:t>2026-08-25</w:t>
            </w:r>
          </w:p>
        </w:tc>
        <w:tc>
          <w:tcPr>
            <w:tcW w:type="dxa" w:w="1440"/>
            <w:shd w:fill="FAFAFA" w:val="clear"/>
          </w:tcPr>
          <w:p>
            <w:r>
              <w:rPr>
                <w:sz w:val="17"/>
              </w:rPr>
              <w:t>37,002</w:t>
            </w:r>
          </w:p>
        </w:tc>
        <w:tc>
          <w:tcPr>
            <w:tcW w:type="dxa" w:w="1440"/>
            <w:shd w:fill="FAFAFA" w:val="clear"/>
          </w:tcPr>
          <w:p>
            <w:r>
              <w:rPr>
                <w:b/>
                <w:sz w:val="17"/>
              </w:rPr>
              <w:t>38,146</w:t>
            </w:r>
          </w:p>
        </w:tc>
        <w:tc>
          <w:tcPr>
            <w:tcW w:type="dxa" w:w="1440"/>
            <w:shd w:fill="FAFAFA" w:val="clear"/>
          </w:tcPr>
          <w:p>
            <w:r>
              <w:rPr>
                <w:sz w:val="17"/>
              </w:rPr>
              <w:t>39,290</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2026-08-27</w:t>
            </w:r>
          </w:p>
        </w:tc>
        <w:tc>
          <w:tcPr>
            <w:tcW w:type="dxa" w:w="1440"/>
            <w:shd w:fill="FAFAFA" w:val="clear"/>
          </w:tcPr>
          <w:p>
            <w:r>
              <w:rPr>
                <w:sz w:val="17"/>
              </w:rPr>
              <w:t>36,745</w:t>
            </w:r>
          </w:p>
        </w:tc>
        <w:tc>
          <w:tcPr>
            <w:tcW w:type="dxa" w:w="1440"/>
            <w:shd w:fill="FAFAFA" w:val="clear"/>
          </w:tcPr>
          <w:p>
            <w:r>
              <w:rPr>
                <w:b/>
                <w:sz w:val="17"/>
              </w:rPr>
              <w:t>38,063</w:t>
            </w:r>
          </w:p>
        </w:tc>
        <w:tc>
          <w:tcPr>
            <w:tcW w:type="dxa" w:w="1440"/>
            <w:shd w:fill="FAFAFA" w:val="clear"/>
          </w:tcPr>
          <w:p>
            <w:r>
              <w:rPr>
                <w:sz w:val="17"/>
              </w:rPr>
              <w:t>39,381</w:t>
            </w:r>
          </w:p>
        </w:tc>
        <w:tc>
          <w:tcPr>
            <w:tcW w:type="dxa" w:w="1440"/>
            <w:shd w:fill="FAFAFA" w:val="clear"/>
          </w:tcPr>
          <w:p>
            <w:r>
              <w:rPr>
                <w:b/>
                <w:color w:val="008000"/>
                <w:sz w:val="17"/>
              </w:rPr>
              <w:t>+1.0%</w:t>
            </w:r>
          </w:p>
        </w:tc>
      </w:tr>
      <w:tr>
        <w:tc>
          <w:tcPr>
            <w:tcW w:type="dxa" w:w="1440"/>
            <w:shd w:fill="FAFAFA" w:val="clear"/>
          </w:tcPr>
          <w:p>
            <w:r>
              <w:rPr>
                <w:sz w:val="17"/>
              </w:rPr>
              <w:t>J+5  Moyenne</w:t>
            </w:r>
          </w:p>
        </w:tc>
        <w:tc>
          <w:tcPr>
            <w:tcW w:type="dxa" w:w="1440"/>
            <w:shd w:fill="FAFAFA" w:val="clear"/>
          </w:tcPr>
          <w:p>
            <w:r>
              <w:rPr>
                <w:sz w:val="17"/>
              </w:rPr>
              <w:t>2026-08-28</w:t>
            </w:r>
          </w:p>
        </w:tc>
        <w:tc>
          <w:tcPr>
            <w:tcW w:type="dxa" w:w="1440"/>
            <w:shd w:fill="FAFAFA" w:val="clear"/>
          </w:tcPr>
          <w:p>
            <w:r>
              <w:rPr>
                <w:sz w:val="17"/>
              </w:rPr>
              <w:t>36,512</w:t>
            </w:r>
          </w:p>
        </w:tc>
        <w:tc>
          <w:tcPr>
            <w:tcW w:type="dxa" w:w="1440"/>
            <w:shd w:fill="FAFAFA" w:val="clear"/>
          </w:tcPr>
          <w:p>
            <w:r>
              <w:rPr>
                <w:b/>
                <w:sz w:val="17"/>
              </w:rPr>
              <w:t>37,982</w:t>
            </w:r>
          </w:p>
        </w:tc>
        <w:tc>
          <w:tcPr>
            <w:tcW w:type="dxa" w:w="1440"/>
            <w:shd w:fill="FAFAFA" w:val="clear"/>
          </w:tcPr>
          <w:p>
            <w:r>
              <w:rPr>
                <w:sz w:val="17"/>
              </w:rPr>
              <w:t>39,452</w:t>
            </w:r>
          </w:p>
        </w:tc>
        <w:tc>
          <w:tcPr>
            <w:tcW w:type="dxa" w:w="1440"/>
            <w:shd w:fill="FAFAFA" w:val="clear"/>
          </w:tcPr>
          <w:p>
            <w:r>
              <w:rPr>
                <w:b/>
                <w:color w:val="008000"/>
                <w:sz w:val="17"/>
              </w:rPr>
              <w:t>+0.7%</w:t>
            </w:r>
          </w:p>
        </w:tc>
      </w:tr>
      <w:tr>
        <w:tc>
          <w:tcPr>
            <w:tcW w:type="dxa" w:w="1440"/>
            <w:shd w:fill="FAFAFA" w:val="clear"/>
          </w:tcPr>
          <w:p>
            <w:r>
              <w:rPr>
                <w:sz w:val="17"/>
              </w:rPr>
              <w:t>J+6  Moyenne</w:t>
            </w:r>
          </w:p>
        </w:tc>
        <w:tc>
          <w:tcPr>
            <w:tcW w:type="dxa" w:w="1440"/>
            <w:shd w:fill="FAFAFA" w:val="clear"/>
          </w:tcPr>
          <w:p>
            <w:r>
              <w:rPr>
                <w:sz w:val="17"/>
              </w:rPr>
              <w:t>2026-08-31</w:t>
            </w:r>
          </w:p>
        </w:tc>
        <w:tc>
          <w:tcPr>
            <w:tcW w:type="dxa" w:w="1440"/>
            <w:shd w:fill="FAFAFA" w:val="clear"/>
          </w:tcPr>
          <w:p>
            <w:r>
              <w:rPr>
                <w:sz w:val="17"/>
              </w:rPr>
              <w:t>36,294</w:t>
            </w:r>
          </w:p>
        </w:tc>
        <w:tc>
          <w:tcPr>
            <w:tcW w:type="dxa" w:w="1440"/>
            <w:shd w:fill="FAFAFA" w:val="clear"/>
          </w:tcPr>
          <w:p>
            <w:r>
              <w:rPr>
                <w:b/>
                <w:sz w:val="17"/>
              </w:rPr>
              <w:t>37,902</w:t>
            </w:r>
          </w:p>
        </w:tc>
        <w:tc>
          <w:tcPr>
            <w:tcW w:type="dxa" w:w="1440"/>
            <w:shd w:fill="FAFAFA" w:val="clear"/>
          </w:tcPr>
          <w:p>
            <w:r>
              <w:rPr>
                <w:sz w:val="17"/>
              </w:rPr>
              <w:t>39,509</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2026-09-01</w:t>
            </w:r>
          </w:p>
        </w:tc>
        <w:tc>
          <w:tcPr>
            <w:tcW w:type="dxa" w:w="1440"/>
            <w:shd w:fill="FAFAFA" w:val="clear"/>
          </w:tcPr>
          <w:p>
            <w:r>
              <w:rPr>
                <w:sz w:val="17"/>
              </w:rPr>
              <w:t>36,090</w:t>
            </w:r>
          </w:p>
        </w:tc>
        <w:tc>
          <w:tcPr>
            <w:tcW w:type="dxa" w:w="1440"/>
            <w:shd w:fill="FAFAFA" w:val="clear"/>
          </w:tcPr>
          <w:p>
            <w:r>
              <w:rPr>
                <w:b/>
                <w:sz w:val="17"/>
              </w:rPr>
              <w:t>37,822</w:t>
            </w:r>
          </w:p>
        </w:tc>
        <w:tc>
          <w:tcPr>
            <w:tcW w:type="dxa" w:w="1440"/>
            <w:shd w:fill="FAFAFA" w:val="clear"/>
          </w:tcPr>
          <w:p>
            <w:r>
              <w:rPr>
                <w:sz w:val="17"/>
              </w:rPr>
              <w:t>39,555</w:t>
            </w:r>
          </w:p>
        </w:tc>
        <w:tc>
          <w:tcPr>
            <w:tcW w:type="dxa" w:w="1440"/>
            <w:shd w:fill="FAFAFA" w:val="clear"/>
          </w:tcPr>
          <w:p>
            <w:r>
              <w:rPr>
                <w:b/>
                <w:color w:val="008000"/>
                <w:sz w:val="17"/>
              </w:rPr>
              <w:t>+0.3%</w:t>
            </w:r>
          </w:p>
        </w:tc>
      </w:tr>
      <w:tr>
        <w:tc>
          <w:tcPr>
            <w:tcW w:type="dxa" w:w="1440"/>
            <w:shd w:fill="FAFAFA" w:val="clear"/>
          </w:tcPr>
          <w:p>
            <w:r>
              <w:rPr>
                <w:sz w:val="17"/>
              </w:rPr>
              <w:t>J+8  Moyenne</w:t>
            </w:r>
          </w:p>
        </w:tc>
        <w:tc>
          <w:tcPr>
            <w:tcW w:type="dxa" w:w="1440"/>
            <w:shd w:fill="FAFAFA" w:val="clear"/>
          </w:tcPr>
          <w:p>
            <w:r>
              <w:rPr>
                <w:sz w:val="17"/>
              </w:rPr>
              <w:t>2026-09-02</w:t>
            </w:r>
          </w:p>
        </w:tc>
        <w:tc>
          <w:tcPr>
            <w:tcW w:type="dxa" w:w="1440"/>
            <w:shd w:fill="FAFAFA" w:val="clear"/>
          </w:tcPr>
          <w:p>
            <w:r>
              <w:rPr>
                <w:sz w:val="17"/>
              </w:rPr>
              <w:t>35,896</w:t>
            </w:r>
          </w:p>
        </w:tc>
        <w:tc>
          <w:tcPr>
            <w:tcW w:type="dxa" w:w="1440"/>
            <w:shd w:fill="FAFAFA" w:val="clear"/>
          </w:tcPr>
          <w:p>
            <w:r>
              <w:rPr>
                <w:b/>
                <w:sz w:val="17"/>
              </w:rPr>
              <w:t>37,744</w:t>
            </w:r>
          </w:p>
        </w:tc>
        <w:tc>
          <w:tcPr>
            <w:tcW w:type="dxa" w:w="1440"/>
            <w:shd w:fill="FAFAFA" w:val="clear"/>
          </w:tcPr>
          <w:p>
            <w:r>
              <w:rPr>
                <w:sz w:val="17"/>
              </w:rPr>
              <w:t>39,593</w:t>
            </w:r>
          </w:p>
        </w:tc>
        <w:tc>
          <w:tcPr>
            <w:tcW w:type="dxa" w:w="1440"/>
            <w:shd w:fill="FAFAFA" w:val="clear"/>
          </w:tcPr>
          <w:p>
            <w:r>
              <w:rPr>
                <w:b/>
                <w:color w:val="008000"/>
                <w:sz w:val="17"/>
              </w:rPr>
              <w:t>+0.1%</w:t>
            </w:r>
          </w:p>
        </w:tc>
      </w:tr>
      <w:tr>
        <w:tc>
          <w:tcPr>
            <w:tcW w:type="dxa" w:w="1440"/>
            <w:shd w:fill="FAFAFA" w:val="clear"/>
          </w:tcPr>
          <w:p>
            <w:r>
              <w:rPr>
                <w:sz w:val="17"/>
              </w:rPr>
              <w:t>J+9  Moyenne</w:t>
            </w:r>
          </w:p>
        </w:tc>
        <w:tc>
          <w:tcPr>
            <w:tcW w:type="dxa" w:w="1440"/>
            <w:shd w:fill="FAFAFA" w:val="clear"/>
          </w:tcPr>
          <w:p>
            <w:r>
              <w:rPr>
                <w:sz w:val="17"/>
              </w:rPr>
              <w:t>2026-09-03</w:t>
            </w:r>
          </w:p>
        </w:tc>
        <w:tc>
          <w:tcPr>
            <w:tcW w:type="dxa" w:w="1440"/>
            <w:shd w:fill="FAFAFA" w:val="clear"/>
          </w:tcPr>
          <w:p>
            <w:r>
              <w:rPr>
                <w:sz w:val="17"/>
              </w:rPr>
              <w:t>35,711</w:t>
            </w:r>
          </w:p>
        </w:tc>
        <w:tc>
          <w:tcPr>
            <w:tcW w:type="dxa" w:w="1440"/>
            <w:shd w:fill="FAFAFA" w:val="clear"/>
          </w:tcPr>
          <w:p>
            <w:r>
              <w:rPr>
                <w:b/>
                <w:sz w:val="17"/>
              </w:rPr>
              <w:t>37,667</w:t>
            </w:r>
          </w:p>
        </w:tc>
        <w:tc>
          <w:tcPr>
            <w:tcW w:type="dxa" w:w="1440"/>
            <w:shd w:fill="FAFAFA" w:val="clear"/>
          </w:tcPr>
          <w:p>
            <w:r>
              <w:rPr>
                <w:sz w:val="17"/>
              </w:rPr>
              <w:t>39,624</w:t>
            </w:r>
          </w:p>
        </w:tc>
        <w:tc>
          <w:tcPr>
            <w:tcW w:type="dxa" w:w="1440"/>
            <w:shd w:fill="FAFAFA" w:val="clear"/>
          </w:tcPr>
          <w:p>
            <w:r>
              <w:rPr>
                <w:b/>
                <w:color w:val="C00000"/>
                <w:sz w:val="17"/>
              </w:rPr>
              <w:t>-0.1%</w:t>
            </w:r>
          </w:p>
        </w:tc>
      </w:tr>
      <w:tr>
        <w:tc>
          <w:tcPr>
            <w:tcW w:type="dxa" w:w="1440"/>
            <w:shd w:fill="FAFAFA" w:val="clear"/>
          </w:tcPr>
          <w:p>
            <w:r>
              <w:rPr>
                <w:sz w:val="17"/>
              </w:rPr>
              <w:t>J+10  Moyenne</w:t>
            </w:r>
          </w:p>
        </w:tc>
        <w:tc>
          <w:tcPr>
            <w:tcW w:type="dxa" w:w="1440"/>
            <w:shd w:fill="FAFAFA" w:val="clear"/>
          </w:tcPr>
          <w:p>
            <w:r>
              <w:rPr>
                <w:sz w:val="17"/>
              </w:rPr>
              <w:t>2026-09-04</w:t>
            </w:r>
          </w:p>
        </w:tc>
        <w:tc>
          <w:tcPr>
            <w:tcW w:type="dxa" w:w="1440"/>
            <w:shd w:fill="FAFAFA" w:val="clear"/>
          </w:tcPr>
          <w:p>
            <w:r>
              <w:rPr>
                <w:sz w:val="17"/>
              </w:rPr>
              <w:t>35,534</w:t>
            </w:r>
          </w:p>
        </w:tc>
        <w:tc>
          <w:tcPr>
            <w:tcW w:type="dxa" w:w="1440"/>
            <w:shd w:fill="FAFAFA" w:val="clear"/>
          </w:tcPr>
          <w:p>
            <w:r>
              <w:rPr>
                <w:b/>
                <w:sz w:val="17"/>
              </w:rPr>
              <w:t>37,592</w:t>
            </w:r>
          </w:p>
        </w:tc>
        <w:tc>
          <w:tcPr>
            <w:tcW w:type="dxa" w:w="1440"/>
            <w:shd w:fill="FAFAFA" w:val="clear"/>
          </w:tcPr>
          <w:p>
            <w:r>
              <w:rPr>
                <w:sz w:val="17"/>
              </w:rPr>
              <w:t>39,650</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1 173 milliards FCFA, ce qui en fait l'une des plus importantes capitalisations de la BRVM, reflétant son statut de leader bancaire en Côte d'Ivoire. Avec un BPA de 3 258 FCFA, chaque action génère un bénéfice substantiel, justifiant un PER de 11,6x, légèrement au-dessus de la moyenne historique de la BRVM (8-12x), ce qui indique une valorisation raisonnable mais non bradée. Le P/B de 2,37x montre que le marché accorde une prime de croissance à la banque par rapport à sa valeur comptable, signe de confiance dans sa rentabilité future. En revanche, l'EV/EBITDA de 24,4x est particulièrement exigeant, suggérant que la valeur totale de l'entreprise (dette incluse) est élevée par rapport à sa capacité opérationnelle, un point de vigilance pour les investisseurs axés sur la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enregistré une progression totale de +7,73%, mais la dernière séance montre un recul marqué de -4,06%, signalant une possible prise de bénéfices après une période haussière. Le cours a évolué dans une fourchette de 32 800 FCFA (plus bas) à 39 300 FCFA (plus haut), soit une amplitude de 6 500 FCFA, indiquant une volatilité notable. La moyenne (36 835 FCFA) est inférieure à la médiane (37 928 FCFA), ce qui, combiné à un skewness négatif (-0,503), révèle une distribution asymétrique avec des journées majoritairement au-dessus de la moyenne mais quelques fortes baisses. Le kurtosis négatif (-1,236) indique une distribution aplatie, réduisant le risque de mouvements extrêmes, tandis que l'écart-type de 2 127 FCFA (CV=5,8%) montre une dispersion modérée. La volatilité annualisée de 23,6% classe le titre dans une zone modérée (15-30%), offrant un équilibre entre risque et rendement.</w:t>
      </w:r>
    </w:p>
    <w:p>
      <w:pPr>
        <w:spacing w:after="120" w:line="276" w:lineRule="auto" w:before="240"/>
      </w:pPr>
      <w:r>
        <w:rPr>
          <w:b/>
          <w:color w:val="003366"/>
          <w:sz w:val="24"/>
        </w:rPr>
        <w:t>**PARTIE 2 : ANALYSE TECHNIQUE DÉTAILLÉE**</w:t>
      </w:r>
    </w:p>
    <w:p>
      <w:pPr>
        <w:spacing w:after="120" w:line="276" w:lineRule="auto"/>
      </w:pPr>
      <w:r>
        <w:t>**Moyennes Mobiles** : Les MM20 (38 407 FCFA) et MM50 (38 563 FCFA) sont toutes deux supérieures au cours actuel de 37 705 FCFA, indiquant une tendance baissière à court et moyen terme. Le croisement de ces moyennes au-dessus du prix suggère une pression vendeuse, justifiant la décision de vente.</w:t>
      </w:r>
    </w:p>
    <w:p>
      <w:pPr>
        <w:spacing w:after="120" w:line="276" w:lineRule="auto"/>
      </w:pPr>
      <w:r>
        <w:t>**Bandes de Bollinger** : Le cours se situe près de la borne inférieure (37 255 FCFA) mais au-dessus, dans une zone neutre. La largeur des bandes (39 558 - 37 255 FCFA) reflète une volatilité modérée, et le prix proche de la borne basse pourrait signaler une zone de support, mais sans signal directionnel fort.</w:t>
      </w:r>
    </w:p>
    <w:p>
      <w:pPr>
        <w:spacing w:after="120" w:line="276" w:lineRule="auto"/>
      </w:pPr>
      <w:r>
        <w:t>**MACD** : La valeur du MACD (159,826) est supérieure à son signal (149,027), indiquant un momentum haussier positif. Cette divergence positive suggère une dynamique d'achat, malgré le repli récent, justifiant la décision d'achat.</w:t>
      </w:r>
    </w:p>
    <w:p>
      <w:pPr>
        <w:spacing w:after="120" w:line="276" w:lineRule="auto"/>
      </w:pPr>
      <w:r>
        <w:t>**RSI** : À 46,865, le RSI se situe en zone neutre (30-70), indiquant un équilibre entre pressions acheteuses et vendeuses. Aucun signal de surachat ou de survente, laissant place à une évolution directionnelle sans extrême.</w:t>
      </w:r>
    </w:p>
    <w:p>
      <w:pPr>
        <w:spacing w:after="120" w:line="276" w:lineRule="auto"/>
      </w:pPr>
      <w:r>
        <w:t>**Stochastique** : Le %K à 0,0 est extrêmement bas, tandis que le %D à 64,277 est élevé, créant un écart important. Cette configuration suggère un croisement baissier potentiel, mais le %K en territoire de survente pourrait précéder un rebond, justifiant la décision d'achat.</w:t>
      </w:r>
    </w:p>
    <w:p>
      <w:pPr>
        <w:spacing w:after="120" w:line="276" w:lineRule="auto"/>
      </w:pPr>
      <w:r>
        <w:t>**Conclusion technique** : Les signaux sont mitigés, avec des moyennes mobiles baissières contrastant avec un MACD et un stochastique haussiers. Le RSI neutre et les bandes de Bollinger neutres indiquent une absence de direction claire. Globalement, le titre semble en consolidation après une hausse, avec un potentiel de rebond technique à court terme, mais une prudence s'impose en raison de la tendance des moyennes mobiles.</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montrent que SGBC affiche un PNB de 276,048 milliards FCFA, en hausse de +4,9% par rapport à 2024, et un résultat net de 101,352 milliards FCFA, stable par rapport aux 101,2 milliards de 2024. Le ROE s'établit à 20,47%, un niveau excellent (&gt;15%), et le ROA à 2,69%, reflétant une utilisation efficace des actifs. Le coefficient d'exploitation de 38,75% est remarquablement bas, indiquant une banque très efficace dans la gestion de ses charges. Le coût du risque, calculé via les provisions (17,995 milliards FCFA) rapportées aux charges financières (47,775 milliards FCFA), ressort à 37,7%, un niveau modéré qui témoigne d'un portefeuille de crédits globalement sain, bien que le rapport S1 2025 (daté de juin 2025) mentionne une hausse du NPL à 7,8% et une baisse de la couverture à 91%. Les dépôts clientèle (2 907,675 milliards FCFA) dépassent largement les créances (2 546,290 milliards FCFA), donnant un ratio prêts/dépôts de 87,6%, signe d'une liquidité confortable. En croisant avec les rapports trimestriels, le T1 2025 (PNB de 66,3 milliards, +1,3%) et le S1 2025 (PNB de 132 milliards, +1,0%) montrent une croissance modérée, mais le cumul 9 mois 2025 (PNB de 201 milliards, +2,5% et résultat net de 83,3 milliards, +11,7%) indique une accélération au T3. Sur cette base, on estime que l'exercice 2025 devrait confirmer un résultat net autour de 101 milliards, avec une amélioration continue de l'efficacité opérationnelle. La solidité financière est renforcée par une notation AAA (unique sur le marché) et un ratio de solvabilité de 17,7% (S1 2025), bien au-dessus du minimum réglementaire. Les risques résident dans la hausse des créances en souffrance et la concurrence accrue, mais les fondamentaux restent robustes, justifiant une recommandation positive.</w:t>
      </w:r>
    </w:p>
    <w:p>
      <w:pPr>
        <w:spacing w:after="120" w:line="276" w:lineRule="auto" w:before="240"/>
      </w:pPr>
      <w:r>
        <w:rPr>
          <w:b/>
          <w:color w:val="003366"/>
          <w:sz w:val="24"/>
        </w:rPr>
        <w:t>**PARTIE 4 : CONCLUSION D'INVESTISSEMENT**</w:t>
      </w:r>
    </w:p>
    <w:p>
      <w:pPr>
        <w:spacing w:after="120" w:line="276" w:lineRule="auto"/>
      </w:pPr>
      <w:r>
        <w:t>La valorisation de SGBC (PER 11,6x, P/B 2,37x) est raisonnable, mais l'EV/EBITDA élevé (24,4x) tempère l'attrait, indiquant une prime pour la qualité. Le comportement du cours montre une tendance haussière sur 100 jours (+7,73%) avec une volatilité modérée (23,6%), mais la baisse récente de -4,06% et le skewness négatif suggèrent une prudence à court terme. Les signaux techniques sont divergents : les moyennes mobiles sont baissières, tandis que le MACD et le stochastique sont haussiers, créant une incertitude directionnelle. Les fondamentaux sont excellents, avec un ROE de 20,47%, un coefficient d'exploitation de 38,75% et une liquidité solide, soutenus par des rapports trimestriels 2025 montrant une croissance du résultat net de +11,7% sur 9 mois. Les prédictions IA (J+1 à J+10) prévoient une légère baisse progressive de 38 359 à 37 982 FCFA, confirmant la consolidation technique. En synthèse, la convergence entre des fondamentaux solides et une valorisation modérée, malgré des signaux techniques mitigés, conduit à une recommandation **CONSERVER**, avec un niveau de confiance **Moyen** et un risque global **Moyen**. L'horizon d'investissement optimal est le **moyen terme (3-12 mois)**, en attendant une clarification technique et une confirmation de la croissance des bénéfices.</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154.35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4,311 titres</w:t>
            </w:r>
          </w:p>
        </w:tc>
        <w:tc>
          <w:tcPr>
            <w:tcW w:type="dxa" w:w="2268"/>
            <w:shd w:fill="FFF2CC" w:val="clear"/>
          </w:tcPr>
          <w:p>
            <w:r>
              <w:rPr>
                <w:b/>
                <w:color w:val="503200"/>
                <w:sz w:val="16"/>
              </w:rPr>
              <w:t xml:space="preserve">Cours actuel : </w:t>
            </w:r>
            <w:r>
              <w:rPr>
                <w:color w:val="000000"/>
                <w:sz w:val="17"/>
              </w:rPr>
              <w:t>2,450 FCFA</w:t>
            </w:r>
          </w:p>
          <w:p>
            <w:r>
              <w:rPr>
                <w:b/>
                <w:color w:val="503200"/>
                <w:sz w:val="16"/>
              </w:rPr>
              <w:t xml:space="preserve">Var. 100 jours : </w:t>
            </w:r>
            <w:r>
              <w:rPr>
                <w:b/>
                <w:color w:val="007800"/>
                <w:sz w:val="17"/>
              </w:rPr>
              <w:t>+9.62%</w:t>
            </w:r>
          </w:p>
          <w:p>
            <w:r>
              <w:rPr>
                <w:b/>
                <w:color w:val="503200"/>
                <w:sz w:val="16"/>
              </w:rPr>
              <w:t xml:space="preserve">Plus haut 100j : </w:t>
            </w:r>
            <w:r>
              <w:rPr>
                <w:color w:val="000000"/>
                <w:sz w:val="17"/>
              </w:rPr>
              <w:t>2,450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6.38% (Moyenne) — μ=2,111 FCFA, σ=135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β=1.1070 (Neutre (suit le marché)) — Cov=0.000035, Var(idx)=0.000031, ρ=0.275,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2,203</w:t>
            </w:r>
          </w:p>
        </w:tc>
        <w:tc>
          <w:tcPr>
            <w:tcW w:type="dxa" w:w="1440"/>
            <w:shd w:fill="FFDCE0" w:val="clear"/>
          </w:tcPr>
          <w:p>
            <w:r>
              <w:rPr>
                <w:b/>
                <w:sz w:val="17"/>
              </w:rPr>
              <w:t>2,288</w:t>
            </w:r>
          </w:p>
        </w:tc>
        <w:tc>
          <w:tcPr>
            <w:tcW w:type="dxa" w:w="1440"/>
            <w:shd w:fill="FFDCE0" w:val="clear"/>
          </w:tcPr>
          <w:p>
            <w:r>
              <w:rPr>
                <w:sz w:val="17"/>
              </w:rPr>
              <w:t>2,374</w:t>
            </w:r>
          </w:p>
        </w:tc>
        <w:tc>
          <w:tcPr>
            <w:tcW w:type="dxa" w:w="1440"/>
            <w:shd w:fill="FFDCE0" w:val="clear"/>
          </w:tcPr>
          <w:p>
            <w:r>
              <w:rPr>
                <w:b/>
                <w:color w:val="C00000"/>
                <w:sz w:val="17"/>
              </w:rPr>
              <w:t>-6.6%</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2,058</w:t>
            </w:r>
          </w:p>
        </w:tc>
        <w:tc>
          <w:tcPr>
            <w:tcW w:type="dxa" w:w="1440"/>
            <w:shd w:fill="FFDCE0" w:val="clear"/>
          </w:tcPr>
          <w:p>
            <w:r>
              <w:rPr>
                <w:b/>
                <w:sz w:val="17"/>
              </w:rPr>
              <w:t>2,173</w:t>
            </w:r>
          </w:p>
        </w:tc>
        <w:tc>
          <w:tcPr>
            <w:tcW w:type="dxa" w:w="1440"/>
            <w:shd w:fill="FFDCE0" w:val="clear"/>
          </w:tcPr>
          <w:p>
            <w:r>
              <w:rPr>
                <w:sz w:val="17"/>
              </w:rPr>
              <w:t>2,289</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1,935</w:t>
            </w:r>
          </w:p>
        </w:tc>
        <w:tc>
          <w:tcPr>
            <w:tcW w:type="dxa" w:w="1440"/>
            <w:shd w:fill="FFDCE0" w:val="clear"/>
          </w:tcPr>
          <w:p>
            <w:r>
              <w:rPr>
                <w:b/>
                <w:sz w:val="17"/>
              </w:rPr>
              <w:t>2,070</w:t>
            </w:r>
          </w:p>
        </w:tc>
        <w:tc>
          <w:tcPr>
            <w:tcW w:type="dxa" w:w="1440"/>
            <w:shd w:fill="FFDCE0" w:val="clear"/>
          </w:tcPr>
          <w:p>
            <w:r>
              <w:rPr>
                <w:sz w:val="17"/>
              </w:rPr>
              <w:t>2,204</w:t>
            </w:r>
          </w:p>
        </w:tc>
        <w:tc>
          <w:tcPr>
            <w:tcW w:type="dxa" w:w="1440"/>
            <w:shd w:fill="FFDCE0" w:val="clear"/>
          </w:tcPr>
          <w:p>
            <w:r>
              <w:rPr>
                <w:b/>
                <w:color w:val="C00000"/>
                <w:sz w:val="17"/>
              </w:rPr>
              <w:t>-15.5%</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1,836</w:t>
            </w:r>
          </w:p>
        </w:tc>
        <w:tc>
          <w:tcPr>
            <w:tcW w:type="dxa" w:w="1440"/>
            <w:shd w:fill="FFDCE0" w:val="clear"/>
          </w:tcPr>
          <w:p>
            <w:r>
              <w:rPr>
                <w:b/>
                <w:sz w:val="17"/>
              </w:rPr>
              <w:t>1,985</w:t>
            </w:r>
          </w:p>
        </w:tc>
        <w:tc>
          <w:tcPr>
            <w:tcW w:type="dxa" w:w="1440"/>
            <w:shd w:fill="FFDCE0" w:val="clear"/>
          </w:tcPr>
          <w:p>
            <w:r>
              <w:rPr>
                <w:sz w:val="17"/>
              </w:rPr>
              <w:t>2,134</w:t>
            </w:r>
          </w:p>
        </w:tc>
        <w:tc>
          <w:tcPr>
            <w:tcW w:type="dxa" w:w="1440"/>
            <w:shd w:fill="FFDCE0" w:val="clear"/>
          </w:tcPr>
          <w:p>
            <w:r>
              <w:rPr>
                <w:b/>
                <w:color w:val="C00000"/>
                <w:sz w:val="17"/>
              </w:rPr>
              <w:t>-19.0%</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1,755</w:t>
            </w:r>
          </w:p>
        </w:tc>
        <w:tc>
          <w:tcPr>
            <w:tcW w:type="dxa" w:w="1440"/>
            <w:shd w:fill="FFDCE0" w:val="clear"/>
          </w:tcPr>
          <w:p>
            <w:r>
              <w:rPr>
                <w:b/>
                <w:sz w:val="17"/>
              </w:rPr>
              <w:t>1,916</w:t>
            </w:r>
          </w:p>
        </w:tc>
        <w:tc>
          <w:tcPr>
            <w:tcW w:type="dxa" w:w="1440"/>
            <w:shd w:fill="FFDCE0" w:val="clear"/>
          </w:tcPr>
          <w:p>
            <w:r>
              <w:rPr>
                <w:sz w:val="17"/>
              </w:rPr>
              <w:t>2,077</w:t>
            </w:r>
          </w:p>
        </w:tc>
        <w:tc>
          <w:tcPr>
            <w:tcW w:type="dxa" w:w="1440"/>
            <w:shd w:fill="FFDCE0" w:val="clear"/>
          </w:tcPr>
          <w:p>
            <w:r>
              <w:rPr>
                <w:b/>
                <w:color w:val="C00000"/>
                <w:sz w:val="17"/>
              </w:rPr>
              <w:t>-21.8%</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1,688</w:t>
            </w:r>
          </w:p>
        </w:tc>
        <w:tc>
          <w:tcPr>
            <w:tcW w:type="dxa" w:w="1440"/>
            <w:shd w:fill="FFDCE0" w:val="clear"/>
          </w:tcPr>
          <w:p>
            <w:r>
              <w:rPr>
                <w:b/>
                <w:sz w:val="17"/>
              </w:rPr>
              <w:t>1,859</w:t>
            </w:r>
          </w:p>
        </w:tc>
        <w:tc>
          <w:tcPr>
            <w:tcW w:type="dxa" w:w="1440"/>
            <w:shd w:fill="FFDCE0" w:val="clear"/>
          </w:tcPr>
          <w:p>
            <w:r>
              <w:rPr>
                <w:sz w:val="17"/>
              </w:rPr>
              <w:t>2,030</w:t>
            </w:r>
          </w:p>
        </w:tc>
        <w:tc>
          <w:tcPr>
            <w:tcW w:type="dxa" w:w="1440"/>
            <w:shd w:fill="FFDCE0" w:val="clear"/>
          </w:tcPr>
          <w:p>
            <w:r>
              <w:rPr>
                <w:b/>
                <w:color w:val="C00000"/>
                <w:sz w:val="17"/>
              </w:rPr>
              <w:t>-24.1%</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1,631</w:t>
            </w:r>
          </w:p>
        </w:tc>
        <w:tc>
          <w:tcPr>
            <w:tcW w:type="dxa" w:w="1440"/>
            <w:shd w:fill="FFDCE0" w:val="clear"/>
          </w:tcPr>
          <w:p>
            <w:r>
              <w:rPr>
                <w:b/>
                <w:sz w:val="17"/>
              </w:rPr>
              <w:t>1,810</w:t>
            </w:r>
          </w:p>
        </w:tc>
        <w:tc>
          <w:tcPr>
            <w:tcW w:type="dxa" w:w="1440"/>
            <w:shd w:fill="FFDCE0" w:val="clear"/>
          </w:tcPr>
          <w:p>
            <w:r>
              <w:rPr>
                <w:sz w:val="17"/>
              </w:rPr>
              <w:t>1,990</w:t>
            </w:r>
          </w:p>
        </w:tc>
        <w:tc>
          <w:tcPr>
            <w:tcW w:type="dxa" w:w="1440"/>
            <w:shd w:fill="FFDCE0" w:val="clear"/>
          </w:tcPr>
          <w:p>
            <w:r>
              <w:rPr>
                <w:b/>
                <w:color w:val="C00000"/>
                <w:sz w:val="17"/>
              </w:rPr>
              <w:t>-26.1%</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1,580</w:t>
            </w:r>
          </w:p>
        </w:tc>
        <w:tc>
          <w:tcPr>
            <w:tcW w:type="dxa" w:w="1440"/>
            <w:shd w:fill="FFDCE0" w:val="clear"/>
          </w:tcPr>
          <w:p>
            <w:r>
              <w:rPr>
                <w:b/>
                <w:sz w:val="17"/>
              </w:rPr>
              <w:t>1,768</w:t>
            </w:r>
          </w:p>
        </w:tc>
        <w:tc>
          <w:tcPr>
            <w:tcW w:type="dxa" w:w="1440"/>
            <w:shd w:fill="FFDCE0" w:val="clear"/>
          </w:tcPr>
          <w:p>
            <w:r>
              <w:rPr>
                <w:sz w:val="17"/>
              </w:rPr>
              <w:t>1,955</w:t>
            </w:r>
          </w:p>
        </w:tc>
        <w:tc>
          <w:tcPr>
            <w:tcW w:type="dxa" w:w="1440"/>
            <w:shd w:fill="FFDCE0" w:val="clear"/>
          </w:tcPr>
          <w:p>
            <w:r>
              <w:rPr>
                <w:b/>
                <w:color w:val="C00000"/>
                <w:sz w:val="17"/>
              </w:rPr>
              <w:t>-27.8%</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1,535</w:t>
            </w:r>
          </w:p>
        </w:tc>
        <w:tc>
          <w:tcPr>
            <w:tcW w:type="dxa" w:w="1440"/>
            <w:shd w:fill="FFDCE0" w:val="clear"/>
          </w:tcPr>
          <w:p>
            <w:r>
              <w:rPr>
                <w:b/>
                <w:sz w:val="17"/>
              </w:rPr>
              <w:t>1,730</w:t>
            </w:r>
          </w:p>
        </w:tc>
        <w:tc>
          <w:tcPr>
            <w:tcW w:type="dxa" w:w="1440"/>
            <w:shd w:fill="FFDCE0" w:val="clear"/>
          </w:tcPr>
          <w:p>
            <w:r>
              <w:rPr>
                <w:sz w:val="17"/>
              </w:rPr>
              <w:t>1,924</w:t>
            </w:r>
          </w:p>
        </w:tc>
        <w:tc>
          <w:tcPr>
            <w:tcW w:type="dxa" w:w="1440"/>
            <w:shd w:fill="FFDCE0" w:val="clear"/>
          </w:tcPr>
          <w:p>
            <w:r>
              <w:rPr>
                <w:b/>
                <w:color w:val="C00000"/>
                <w:sz w:val="17"/>
              </w:rPr>
              <w:t>-29.4%</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1,494</w:t>
            </w:r>
          </w:p>
        </w:tc>
        <w:tc>
          <w:tcPr>
            <w:tcW w:type="dxa" w:w="1440"/>
            <w:shd w:fill="FFDCE0" w:val="clear"/>
          </w:tcPr>
          <w:p>
            <w:r>
              <w:rPr>
                <w:b/>
                <w:sz w:val="17"/>
              </w:rPr>
              <w:t>1,695</w:t>
            </w:r>
          </w:p>
        </w:tc>
        <w:tc>
          <w:tcPr>
            <w:tcW w:type="dxa" w:w="1440"/>
            <w:shd w:fill="FFDCE0" w:val="clear"/>
          </w:tcPr>
          <w:p>
            <w:r>
              <w:rPr>
                <w:sz w:val="17"/>
              </w:rPr>
              <w:t>1,896</w:t>
            </w:r>
          </w:p>
        </w:tc>
        <w:tc>
          <w:tcPr>
            <w:tcW w:type="dxa" w:w="1440"/>
            <w:shd w:fill="FFDCE0" w:val="clear"/>
          </w:tcPr>
          <w:p>
            <w:r>
              <w:rPr>
                <w:b/>
                <w:color w:val="C00000"/>
                <w:sz w:val="17"/>
              </w:rPr>
              <w:t>-30.8%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154,35 milliards FCFA, ce qui positionne la société parmi les valeurs moyennes de la BRVM, reflétant un profil de liquidité modéré. Avec un BPA de 96 FCFA, le titre se négocie à un PER de 25,6 fois, un niveau nettement supérieur à la moyenne historique du marché (8-12x), indiquant que les investisseurs intègrent des attentes de croissance élevées ou une prime de rareté. Le P/B de 5,68x confirme cette valorisation exigeante, le marché valorisant fortement les actifs nets de la société. Enfin, l'EV/EBITDA de 13,5x, bien que dans la fourchette haute (10-15x), suggère que la valeur totale de l'entreprise (dette incluse) reste cohérente avec sa capacité opérationnelle, mais sans marge de sécurité significative.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+9,62%, avec une accélération notable lors de la dernière séance (+2,08%), portant le cours à 2 450 FCFA, son plus haut niveau sur la période. Le titre a évolué dans une fourchette de 1 840 à 2 450 FCFA, démontrant une tendance haussière soutenue. La moyenne du cours (2 111 FCFA) est inférieure à la médiane (2 160 FCFA), indiquant une asymétrie positive avec des extrêmes hauts plus marqués. L'écart-type de 135 FCFA (CV de 6,4%) révèle une dispersion relativement faible autour de la moyenne, suggérant une stabilité relative. Le kurtosis de -0,658 (mésokurtique) indique une distribution proche de la normale, sans risque de pics extrêmes, tandis que le skewness de -0,029 confirme une symétrie quasi parfaite. La volatilité annualisée de 35,6% classe le titre comme très volatil (&gt;30%), un niveau élevé qui implique des fluctuations importantes à court terme.</w:t>
      </w:r>
    </w:p>
    <w:p>
      <w:pPr>
        <w:spacing w:after="120" w:line="276" w:lineRule="auto" w:before="240"/>
      </w:pPr>
      <w:r>
        <w:rPr>
          <w:b/>
          <w:color w:val="003366"/>
          <w:sz w:val="24"/>
        </w:rPr>
        <w:t>**PARTIE 2 : ANALYSE TECHNIQUE DÉTAILLÉE**</w:t>
      </w:r>
    </w:p>
    <w:p>
      <w:pPr>
        <w:spacing w:after="120" w:line="276" w:lineRule="auto"/>
      </w:pPr>
      <w:r>
        <w:t>Les **Moyennes Mobiles** (MM20 à 2 266 FCFA et MM50 à 2 203 FCFA) sont toutes deux inférieures au cours actuel de 2 450 FCFA, confirmant une tendance haussière solide. La MM20 étant au-dessus de la MM50, la configuration en "courbe de tendance" est positive, justifiant la décision d'achat, bien que l'écart croissant suggère une possible correction à court terme.</w:t>
      </w:r>
    </w:p>
    <w:p>
      <w:pPr>
        <w:spacing w:after="120" w:line="276" w:lineRule="auto"/>
      </w:pPr>
      <w:r>
        <w:t>Les **Bandes de Bollinger** montrent un cours à 2 450 FCFA, très proche de la borne supérieure (2 447 FCFA), indiquant une situation de surachat technique. Cette proximité avec la borne haute suggère une volatilité accrue et un risque de retour vers la moyenne (2 266 FCFA), justifiant la décision de vente.</w:t>
      </w:r>
    </w:p>
    <w:p>
      <w:pPr>
        <w:spacing w:after="120" w:line="276" w:lineRule="auto"/>
      </w:pPr>
      <w:r>
        <w:t>Le **MACD** affiche une valeur de 54,07 contre un signal à 37,8, avec un écart positif de 16,3 points. Cette divergence positive confirme un momentum haussier puissant, mais l'ampleur de l'écart pourrait signaler une exubérance excessive, justifiant la décision d'achat avec prudence.</w:t>
      </w:r>
    </w:p>
    <w:p>
      <w:pPr>
        <w:spacing w:after="120" w:line="276" w:lineRule="auto"/>
      </w:pPr>
      <w:r>
        <w:t>Le **RSI** à 75,0 dépasse largement le seuil de surachat (70), indiquant que le titre est techniquement surévalué à court terme. Cette zone de surachat suggère un risque de retournement ou de consolidation, justifiant la décision de vente.</w:t>
      </w:r>
    </w:p>
    <w:p>
      <w:pPr>
        <w:spacing w:after="120" w:line="276" w:lineRule="auto"/>
      </w:pPr>
      <w:r>
        <w:t>Le **Stochastique** avec %K et %D à 100,0 est en zone de surachat extrême, signalant une pression acheteuse excessive. Cette configuration extrême précède souvent un repli technique, justifiant la décision de vente.</w:t>
      </w:r>
    </w:p>
    <w:p>
      <w:pPr>
        <w:spacing w:after="120" w:line="276" w:lineRule="auto"/>
      </w:pPr>
      <w:r>
        <w:t>**Conclusion technique** : Les indicateurs sont partagés : les moyennes mobiles et le MACD soutiennent la tendance haussière, tandis que le RSI, le Stochastique et les Bandes de Bollinger signalent un surachat imminent. Cette divergence indique un risque élevé de correction à court terme, malgré une tendance de fond positive.</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progression de +0,71% par rapport à 2024 (600,708 milliards FCFA), avec un résultat net de 6,028 milliards FCFA (+12,6%). La marge nette reste faible à 1,0%, mais le ROE atteint 22,2%, un niveau excellent (&gt;15%), tandis que le ROA s'établit à 3,1%. Le BFR de 15,315 milliards FCFA est positif, indiquant un besoin de financement, avec un délai clients de 23,3 jours et un délai fournisseurs de 35,5 jours, ce qui est favorable pour la trésorerie. L'endettement est élevé avec un ratio de dépendance financière de 86%, et la trésorerie nette est fortement négative à -65,264 milliards FCFA. Les rapports trimestriels (T1 2026, S1 2026) montrent une baisse du CA (-1% à 305 milliards FCFA au S1 2026), mais une amélioration du résultat d'exploitation (+17% à 6,133 milliards FCFA), portée par le butane. Le dividende proposé pour 2025 est de 6,09 milliards FCFA, soit un taux de distribution de 101%, ce qui fragilise la structure financière. Les perspectives 2026 restent prudentes, avec une dépendance aux segments aviation et bitume, mais une dynamique positive sur le butane et les lubrifiants.</w:t>
      </w:r>
    </w:p>
    <w:p>
      <w:pPr>
        <w:spacing w:after="120" w:line="276" w:lineRule="auto" w:before="240"/>
      </w:pPr>
      <w:r>
        <w:rPr>
          <w:b/>
          <w:color w:val="003366"/>
          <w:sz w:val="24"/>
        </w:rPr>
        <w:t>**PARTIE 4 : CONCLUSION D'INVESTISSEMENT**</w:t>
      </w:r>
    </w:p>
    <w:p>
      <w:pPr>
        <w:spacing w:after="120" w:line="276" w:lineRule="auto"/>
      </w:pPr>
      <w:r>
        <w:t>La valorisation de SHEC est exigeante (PER 25,6x, P/B 5,68x), indiquant une surévaluation relative par rapport au marché BRVM, malgré un EV/EBITDA acceptable. Le comportement du cours montre une tendance haussière solide (+9,62% sur 100 jours) mais avec une volatilité élevée (35,6%) et des statistiques de distribution normales, sans signe de risque extrême. Les signaux techniques sont divergents : les moyennes mobiles et le MACD sont positifs, mais le RSI, le Stochastique et les Bandes de Bollinger signalent un surachat imminent, suggérant une correction probable à court terme. Les fondamentaux sont contrastés : une rentabilité nette faible (1%) mais un ROE excellent (22,2%), avec une trésorerie très négative et un endettement élevé. Les prédictions IA (J+1 à J+10) prévoient une baisse significative du cours (de 2 288 à 1 916 FCFA), confirmant les signaux de surachat technique. En synthèse, la convergence entre les signaux techniques de surachat, la valorisation élevée et les prédictions IA baissières, malgré des fondamentaux opérationnels corrects, conduit à une recommandation **CONSERVER** avec un niveau de confiance **Moyen** et un risque global **Élevé**. L'horizon d'investissement optimal serait le **moyen terme (3-12 mois)**, en attendant une correction du cours pour renforcer la position.</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8,949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007800"/>
                <w:sz w:val="17"/>
              </w:rPr>
              <w:t>+30.00%</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10.93% (Moyenne) — μ=8,201 FCFA, σ=896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β=0.5723 (Défensif) — Cov=0.000018, Var(idx)=0.000031, ρ=0.178,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8,499</w:t>
            </w:r>
          </w:p>
        </w:tc>
        <w:tc>
          <w:tcPr>
            <w:tcW w:type="dxa" w:w="1440"/>
            <w:shd w:fill="FFDCE0" w:val="clear"/>
          </w:tcPr>
          <w:p>
            <w:r>
              <w:rPr>
                <w:b/>
                <w:sz w:val="17"/>
              </w:rPr>
              <w:t>8,774</w:t>
            </w:r>
          </w:p>
        </w:tc>
        <w:tc>
          <w:tcPr>
            <w:tcW w:type="dxa" w:w="1440"/>
            <w:shd w:fill="FFDCE0" w:val="clear"/>
          </w:tcPr>
          <w:p>
            <w:r>
              <w:rPr>
                <w:sz w:val="17"/>
              </w:rPr>
              <w:t>9,050</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8,107</w:t>
            </w:r>
          </w:p>
        </w:tc>
        <w:tc>
          <w:tcPr>
            <w:tcW w:type="dxa" w:w="1440"/>
            <w:shd w:fill="FFDCE0" w:val="clear"/>
          </w:tcPr>
          <w:p>
            <w:r>
              <w:rPr>
                <w:b/>
                <w:sz w:val="17"/>
              </w:rPr>
              <w:t>8,483</w:t>
            </w:r>
          </w:p>
        </w:tc>
        <w:tc>
          <w:tcPr>
            <w:tcW w:type="dxa" w:w="1440"/>
            <w:shd w:fill="FFDCE0" w:val="clear"/>
          </w:tcPr>
          <w:p>
            <w:r>
              <w:rPr>
                <w:sz w:val="17"/>
              </w:rPr>
              <w:t>8,859</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7,780</w:t>
            </w:r>
          </w:p>
        </w:tc>
        <w:tc>
          <w:tcPr>
            <w:tcW w:type="dxa" w:w="1440"/>
            <w:shd w:fill="FFDCE0" w:val="clear"/>
          </w:tcPr>
          <w:p>
            <w:r>
              <w:rPr>
                <w:b/>
                <w:sz w:val="17"/>
              </w:rPr>
              <w:t>8,227</w:t>
            </w:r>
          </w:p>
        </w:tc>
        <w:tc>
          <w:tcPr>
            <w:tcW w:type="dxa" w:w="1440"/>
            <w:shd w:fill="FFDCE0" w:val="clear"/>
          </w:tcPr>
          <w:p>
            <w:r>
              <w:rPr>
                <w:sz w:val="17"/>
              </w:rPr>
              <w:t>8,674</w:t>
            </w:r>
          </w:p>
        </w:tc>
        <w:tc>
          <w:tcPr>
            <w:tcW w:type="dxa" w:w="1440"/>
            <w:shd w:fill="FFDCE0" w:val="clear"/>
          </w:tcPr>
          <w:p>
            <w:r>
              <w:rPr>
                <w:b/>
                <w:color w:val="C00000"/>
                <w:sz w:val="17"/>
              </w:rPr>
              <w:t>-9.6%</w:t>
            </w:r>
          </w:p>
        </w:tc>
      </w:tr>
      <w:tr>
        <w:tc>
          <w:tcPr>
            <w:tcW w:type="dxa" w:w="1440"/>
            <w:shd w:fill="FFDCE0" w:val="clear"/>
          </w:tcPr>
          <w:p>
            <w:r>
              <w:rPr>
                <w:sz w:val="17"/>
              </w:rPr>
              <w:t>J+4  Moyenne</w:t>
            </w:r>
          </w:p>
        </w:tc>
        <w:tc>
          <w:tcPr>
            <w:tcW w:type="dxa" w:w="1440"/>
            <w:shd w:fill="FFDCE0" w:val="clear"/>
          </w:tcPr>
          <w:p>
            <w:r>
              <w:rPr>
                <w:sz w:val="17"/>
              </w:rPr>
              <w:t>2026-08-27</w:t>
            </w:r>
          </w:p>
        </w:tc>
        <w:tc>
          <w:tcPr>
            <w:tcW w:type="dxa" w:w="1440"/>
            <w:shd w:fill="FFDCE0" w:val="clear"/>
          </w:tcPr>
          <w:p>
            <w:r>
              <w:rPr>
                <w:sz w:val="17"/>
              </w:rPr>
              <w:t>7,508</w:t>
            </w:r>
          </w:p>
        </w:tc>
        <w:tc>
          <w:tcPr>
            <w:tcW w:type="dxa" w:w="1440"/>
            <w:shd w:fill="FFDCE0" w:val="clear"/>
          </w:tcPr>
          <w:p>
            <w:r>
              <w:rPr>
                <w:b/>
                <w:sz w:val="17"/>
              </w:rPr>
              <w:t>8,010</w:t>
            </w:r>
          </w:p>
        </w:tc>
        <w:tc>
          <w:tcPr>
            <w:tcW w:type="dxa" w:w="1440"/>
            <w:shd w:fill="FFDCE0" w:val="clear"/>
          </w:tcPr>
          <w:p>
            <w:r>
              <w:rPr>
                <w:sz w:val="17"/>
              </w:rPr>
              <w:t>8,513</w:t>
            </w:r>
          </w:p>
        </w:tc>
        <w:tc>
          <w:tcPr>
            <w:tcW w:type="dxa" w:w="1440"/>
            <w:shd w:fill="FFDCE0" w:val="clear"/>
          </w:tcPr>
          <w:p>
            <w:r>
              <w:rPr>
                <w:b/>
                <w:color w:val="C00000"/>
                <w:sz w:val="17"/>
              </w:rPr>
              <w:t>-12.0%</w:t>
            </w:r>
          </w:p>
        </w:tc>
      </w:tr>
      <w:tr>
        <w:tc>
          <w:tcPr>
            <w:tcW w:type="dxa" w:w="1440"/>
            <w:shd w:fill="FFDCE0" w:val="clear"/>
          </w:tcPr>
          <w:p>
            <w:r>
              <w:rPr>
                <w:sz w:val="17"/>
              </w:rPr>
              <w:t>J+5  Moyenne</w:t>
            </w:r>
          </w:p>
        </w:tc>
        <w:tc>
          <w:tcPr>
            <w:tcW w:type="dxa" w:w="1440"/>
            <w:shd w:fill="FFDCE0" w:val="clear"/>
          </w:tcPr>
          <w:p>
            <w:r>
              <w:rPr>
                <w:sz w:val="17"/>
              </w:rPr>
              <w:t>2026-08-28</w:t>
            </w:r>
          </w:p>
        </w:tc>
        <w:tc>
          <w:tcPr>
            <w:tcW w:type="dxa" w:w="1440"/>
            <w:shd w:fill="FFDCE0" w:val="clear"/>
          </w:tcPr>
          <w:p>
            <w:r>
              <w:rPr>
                <w:sz w:val="17"/>
              </w:rPr>
              <w:t>7,278</w:t>
            </w:r>
          </w:p>
        </w:tc>
        <w:tc>
          <w:tcPr>
            <w:tcW w:type="dxa" w:w="1440"/>
            <w:shd w:fill="FFDCE0" w:val="clear"/>
          </w:tcPr>
          <w:p>
            <w:r>
              <w:rPr>
                <w:b/>
                <w:sz w:val="17"/>
              </w:rPr>
              <w:t>7,826</w:t>
            </w:r>
          </w:p>
        </w:tc>
        <w:tc>
          <w:tcPr>
            <w:tcW w:type="dxa" w:w="1440"/>
            <w:shd w:fill="FFDCE0" w:val="clear"/>
          </w:tcPr>
          <w:p>
            <w:r>
              <w:rPr>
                <w:sz w:val="17"/>
              </w:rPr>
              <w:t>8,375</w:t>
            </w:r>
          </w:p>
        </w:tc>
        <w:tc>
          <w:tcPr>
            <w:tcW w:type="dxa" w:w="1440"/>
            <w:shd w:fill="FFDCE0" w:val="clear"/>
          </w:tcPr>
          <w:p>
            <w:r>
              <w:rPr>
                <w:b/>
                <w:color w:val="C00000"/>
                <w:sz w:val="17"/>
              </w:rPr>
              <w:t>-14.0%</w:t>
            </w:r>
          </w:p>
        </w:tc>
      </w:tr>
      <w:tr>
        <w:tc>
          <w:tcPr>
            <w:tcW w:type="dxa" w:w="1440"/>
            <w:shd w:fill="FFDCE0" w:val="clear"/>
          </w:tcPr>
          <w:p>
            <w:r>
              <w:rPr>
                <w:sz w:val="17"/>
              </w:rPr>
              <w:t>J+6  Moyenne</w:t>
            </w:r>
          </w:p>
        </w:tc>
        <w:tc>
          <w:tcPr>
            <w:tcW w:type="dxa" w:w="1440"/>
            <w:shd w:fill="FFDCE0" w:val="clear"/>
          </w:tcPr>
          <w:p>
            <w:r>
              <w:rPr>
                <w:sz w:val="17"/>
              </w:rPr>
              <w:t>2026-08-31</w:t>
            </w:r>
          </w:p>
        </w:tc>
        <w:tc>
          <w:tcPr>
            <w:tcW w:type="dxa" w:w="1440"/>
            <w:shd w:fill="FFDCE0" w:val="clear"/>
          </w:tcPr>
          <w:p>
            <w:r>
              <w:rPr>
                <w:sz w:val="17"/>
              </w:rPr>
              <w:t>7,078</w:t>
            </w:r>
          </w:p>
        </w:tc>
        <w:tc>
          <w:tcPr>
            <w:tcW w:type="dxa" w:w="1440"/>
            <w:shd w:fill="FFDCE0" w:val="clear"/>
          </w:tcPr>
          <w:p>
            <w:r>
              <w:rPr>
                <w:b/>
                <w:sz w:val="17"/>
              </w:rPr>
              <w:t>7,667</w:t>
            </w:r>
          </w:p>
        </w:tc>
        <w:tc>
          <w:tcPr>
            <w:tcW w:type="dxa" w:w="1440"/>
            <w:shd w:fill="FFDCE0" w:val="clear"/>
          </w:tcPr>
          <w:p>
            <w:r>
              <w:rPr>
                <w:sz w:val="17"/>
              </w:rPr>
              <w:t>8,256</w:t>
            </w:r>
          </w:p>
        </w:tc>
        <w:tc>
          <w:tcPr>
            <w:tcW w:type="dxa" w:w="1440"/>
            <w:shd w:fill="FFDCE0" w:val="clear"/>
          </w:tcPr>
          <w:p>
            <w:r>
              <w:rPr>
                <w:b/>
                <w:color w:val="C00000"/>
                <w:sz w:val="17"/>
              </w:rPr>
              <w:t>-15.7%</w:t>
            </w:r>
          </w:p>
        </w:tc>
      </w:tr>
      <w:tr>
        <w:tc>
          <w:tcPr>
            <w:tcW w:type="dxa" w:w="1440"/>
            <w:shd w:fill="FFDCE0" w:val="clear"/>
          </w:tcPr>
          <w:p>
            <w:r>
              <w:rPr>
                <w:sz w:val="17"/>
              </w:rPr>
              <w:t>J+7  Moyenne</w:t>
            </w:r>
          </w:p>
        </w:tc>
        <w:tc>
          <w:tcPr>
            <w:tcW w:type="dxa" w:w="1440"/>
            <w:shd w:fill="FFDCE0" w:val="clear"/>
          </w:tcPr>
          <w:p>
            <w:r>
              <w:rPr>
                <w:sz w:val="17"/>
              </w:rPr>
              <w:t>2026-09-01</w:t>
            </w:r>
          </w:p>
        </w:tc>
        <w:tc>
          <w:tcPr>
            <w:tcW w:type="dxa" w:w="1440"/>
            <w:shd w:fill="FFDCE0" w:val="clear"/>
          </w:tcPr>
          <w:p>
            <w:r>
              <w:rPr>
                <w:sz w:val="17"/>
              </w:rPr>
              <w:t>6,902</w:t>
            </w:r>
          </w:p>
        </w:tc>
        <w:tc>
          <w:tcPr>
            <w:tcW w:type="dxa" w:w="1440"/>
            <w:shd w:fill="FFDCE0" w:val="clear"/>
          </w:tcPr>
          <w:p>
            <w:r>
              <w:rPr>
                <w:b/>
                <w:sz w:val="17"/>
              </w:rPr>
              <w:t>7,527</w:t>
            </w:r>
          </w:p>
        </w:tc>
        <w:tc>
          <w:tcPr>
            <w:tcW w:type="dxa" w:w="1440"/>
            <w:shd w:fill="FFDCE0" w:val="clear"/>
          </w:tcPr>
          <w:p>
            <w:r>
              <w:rPr>
                <w:sz w:val="17"/>
              </w:rPr>
              <w:t>8,151</w:t>
            </w:r>
          </w:p>
        </w:tc>
        <w:tc>
          <w:tcPr>
            <w:tcW w:type="dxa" w:w="1440"/>
            <w:shd w:fill="FFDCE0" w:val="clear"/>
          </w:tcPr>
          <w:p>
            <w:r>
              <w:rPr>
                <w:b/>
                <w:color w:val="C00000"/>
                <w:sz w:val="17"/>
              </w:rPr>
              <w:t>-17.3%</w:t>
            </w:r>
          </w:p>
        </w:tc>
      </w:tr>
      <w:tr>
        <w:tc>
          <w:tcPr>
            <w:tcW w:type="dxa" w:w="1440"/>
            <w:shd w:fill="FFDCE0" w:val="clear"/>
          </w:tcPr>
          <w:p>
            <w:r>
              <w:rPr>
                <w:sz w:val="17"/>
              </w:rPr>
              <w:t>J+8  Moyenne</w:t>
            </w:r>
          </w:p>
        </w:tc>
        <w:tc>
          <w:tcPr>
            <w:tcW w:type="dxa" w:w="1440"/>
            <w:shd w:fill="FFDCE0" w:val="clear"/>
          </w:tcPr>
          <w:p>
            <w:r>
              <w:rPr>
                <w:sz w:val="17"/>
              </w:rPr>
              <w:t>2026-09-02</w:t>
            </w:r>
          </w:p>
        </w:tc>
        <w:tc>
          <w:tcPr>
            <w:tcW w:type="dxa" w:w="1440"/>
            <w:shd w:fill="FFDCE0" w:val="clear"/>
          </w:tcPr>
          <w:p>
            <w:r>
              <w:rPr>
                <w:sz w:val="17"/>
              </w:rPr>
              <w:t>6,745</w:t>
            </w:r>
          </w:p>
        </w:tc>
        <w:tc>
          <w:tcPr>
            <w:tcW w:type="dxa" w:w="1440"/>
            <w:shd w:fill="FFDCE0" w:val="clear"/>
          </w:tcPr>
          <w:p>
            <w:r>
              <w:rPr>
                <w:b/>
                <w:sz w:val="17"/>
              </w:rPr>
              <w:t>7,401</w:t>
            </w:r>
          </w:p>
        </w:tc>
        <w:tc>
          <w:tcPr>
            <w:tcW w:type="dxa" w:w="1440"/>
            <w:shd w:fill="FFDCE0" w:val="clear"/>
          </w:tcPr>
          <w:p>
            <w:r>
              <w:rPr>
                <w:sz w:val="17"/>
              </w:rPr>
              <w:t>8,058</w:t>
            </w:r>
          </w:p>
        </w:tc>
        <w:tc>
          <w:tcPr>
            <w:tcW w:type="dxa" w:w="1440"/>
            <w:shd w:fill="FFDCE0" w:val="clear"/>
          </w:tcPr>
          <w:p>
            <w:r>
              <w:rPr>
                <w:b/>
                <w:color w:val="C00000"/>
                <w:sz w:val="17"/>
              </w:rPr>
              <w:t>-18.7%</w:t>
            </w:r>
          </w:p>
        </w:tc>
      </w:tr>
      <w:tr>
        <w:tc>
          <w:tcPr>
            <w:tcW w:type="dxa" w:w="1440"/>
            <w:shd w:fill="FFDCE0" w:val="clear"/>
          </w:tcPr>
          <w:p>
            <w:r>
              <w:rPr>
                <w:sz w:val="17"/>
              </w:rPr>
              <w:t>J+9  Moyenne</w:t>
            </w:r>
          </w:p>
        </w:tc>
        <w:tc>
          <w:tcPr>
            <w:tcW w:type="dxa" w:w="1440"/>
            <w:shd w:fill="FFDCE0" w:val="clear"/>
          </w:tcPr>
          <w:p>
            <w:r>
              <w:rPr>
                <w:sz w:val="17"/>
              </w:rPr>
              <w:t>2026-09-03</w:t>
            </w:r>
          </w:p>
        </w:tc>
        <w:tc>
          <w:tcPr>
            <w:tcW w:type="dxa" w:w="1440"/>
            <w:shd w:fill="FFDCE0" w:val="clear"/>
          </w:tcPr>
          <w:p>
            <w:r>
              <w:rPr>
                <w:sz w:val="17"/>
              </w:rPr>
              <w:t>6,602</w:t>
            </w:r>
          </w:p>
        </w:tc>
        <w:tc>
          <w:tcPr>
            <w:tcW w:type="dxa" w:w="1440"/>
            <w:shd w:fill="FFDCE0" w:val="clear"/>
          </w:tcPr>
          <w:p>
            <w:r>
              <w:rPr>
                <w:b/>
                <w:sz w:val="17"/>
              </w:rPr>
              <w:t>7,288</w:t>
            </w:r>
          </w:p>
        </w:tc>
        <w:tc>
          <w:tcPr>
            <w:tcW w:type="dxa" w:w="1440"/>
            <w:shd w:fill="FFDCE0" w:val="clear"/>
          </w:tcPr>
          <w:p>
            <w:r>
              <w:rPr>
                <w:sz w:val="17"/>
              </w:rPr>
              <w:t>7,973</w:t>
            </w:r>
          </w:p>
        </w:tc>
        <w:tc>
          <w:tcPr>
            <w:tcW w:type="dxa" w:w="1440"/>
            <w:shd w:fill="FFDCE0" w:val="clear"/>
          </w:tcPr>
          <w:p>
            <w:r>
              <w:rPr>
                <w:b/>
                <w:color w:val="C00000"/>
                <w:sz w:val="17"/>
              </w:rPr>
              <w:t>-19.9%</w:t>
            </w:r>
          </w:p>
        </w:tc>
      </w:tr>
      <w:tr>
        <w:tc>
          <w:tcPr>
            <w:tcW w:type="dxa" w:w="1440"/>
            <w:shd w:fill="FFDCE0" w:val="clear"/>
          </w:tcPr>
          <w:p>
            <w:r>
              <w:rPr>
                <w:sz w:val="17"/>
              </w:rPr>
              <w:t>J+10  Moyenne</w:t>
            </w:r>
          </w:p>
        </w:tc>
        <w:tc>
          <w:tcPr>
            <w:tcW w:type="dxa" w:w="1440"/>
            <w:shd w:fill="FFDCE0" w:val="clear"/>
          </w:tcPr>
          <w:p>
            <w:r>
              <w:rPr>
                <w:sz w:val="17"/>
              </w:rPr>
              <w:t>2026-09-04</w:t>
            </w:r>
          </w:p>
        </w:tc>
        <w:tc>
          <w:tcPr>
            <w:tcW w:type="dxa" w:w="1440"/>
            <w:shd w:fill="FFDCE0" w:val="clear"/>
          </w:tcPr>
          <w:p>
            <w:r>
              <w:rPr>
                <w:sz w:val="17"/>
              </w:rPr>
              <w:t>6,471</w:t>
            </w:r>
          </w:p>
        </w:tc>
        <w:tc>
          <w:tcPr>
            <w:tcW w:type="dxa" w:w="1440"/>
            <w:shd w:fill="FFDCE0" w:val="clear"/>
          </w:tcPr>
          <w:p>
            <w:r>
              <w:rPr>
                <w:b/>
                <w:sz w:val="17"/>
              </w:rPr>
              <w:t>7,184</w:t>
            </w:r>
          </w:p>
        </w:tc>
        <w:tc>
          <w:tcPr>
            <w:tcW w:type="dxa" w:w="1440"/>
            <w:shd w:fill="FFDCE0" w:val="clear"/>
          </w:tcPr>
          <w:p>
            <w:r>
              <w:rPr>
                <w:sz w:val="17"/>
              </w:rPr>
              <w:t>7,896</w:t>
            </w:r>
          </w:p>
        </w:tc>
        <w:tc>
          <w:tcPr>
            <w:tcW w:type="dxa" w:w="1440"/>
            <w:shd w:fill="FFDCE0" w:val="clear"/>
          </w:tcPr>
          <w:p>
            <w:r>
              <w:rPr>
                <w:b/>
                <w:color w:val="C00000"/>
                <w:sz w:val="17"/>
              </w:rPr>
              <w:t>-21.1%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910 milliards FCFA, ce qui en fait l'une des valeurs les plus significatives de la BRVM, reflétant son statut de banque systémique en Côte d'Ivoire. Avec un BPA de 556 FCFA, chaque action génère un bénéfice substantiel, mais le PER de 16,4x indique que les investisseurs paient une prime notable par rapport à la moyenne historique de la BRVM (8-12x), traduisant des anticipations de croissance élevées. Le P/B de 4,44x confirme cette valorisation exigeante, le marché valorisant fortement les actifs nets de la banque, tandis que l'EV/EBITDA de 15,2x souligne également une décote relative à la capacité opérationnelle. Ces ratios, bien que reflétant la qualité de la franchise, suggèrent que le titre intègre déjà une large part de ses perspectives de croissance.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affiche une progression remarquable de +30%, passant d'un plus bas de 6 805 FCFA à un plus haut de 9 500 FCFA, avant de clôturer à 9 100 FCFA, soit une légère baisse de -1,09% lors de la dernière séance. La moyenne de 8 201 FCFA, inférieure à la médiane de 8 700 FCFA, révèle une distribution asymétrique avec une concentration des cours vers le haut de la fourchette, confirmée par un skewness négatif (-0,366). L'écart-type de 901 FCFA (CV=11%) indique une dispersion modérée, tandis que le kurtosis de -1,614 (platykurtique) suggère une distribution aplatie avec peu de valeurs extrêmes, réduisant le risque de pics soudains. La volatilité annualisée de 28,4% positionne le titre dans une zone modérée à élevée, reflétant une dynamique haussière soutenue mais non excessive.</w:t>
      </w:r>
    </w:p>
    <w:p>
      <w:pPr>
        <w:spacing w:after="120" w:line="276" w:lineRule="auto" w:before="240"/>
      </w:pPr>
      <w:r>
        <w:rPr>
          <w:b/>
          <w:color w:val="003366"/>
          <w:sz w:val="24"/>
        </w:rPr>
        <w:t>**PARTIE 2 : ANALYSE TECHNIQUE DÉTAILLÉE**</w:t>
      </w:r>
    </w:p>
    <w:p>
      <w:pPr>
        <w:spacing w:after="120" w:line="276" w:lineRule="auto"/>
      </w:pPr>
      <w:r>
        <w:t>**Moyennes Mobiles** : Le cours actuel de 9 100 FCFA se positionne au-dessus de la MM20 (9 104 FCFA) et de la MM50 (8 954 FCFA), avec un écart positif de 1,6% par rapport à la MM50, indiquant une tendance haussière solide. La proximité avec la MM20 suggère un possible test de support à court terme, mais la configuration globale reste constructive, justifiant la décision d'achat.</w:t>
      </w:r>
    </w:p>
    <w:p>
      <w:pPr>
        <w:spacing w:after="120" w:line="276" w:lineRule="auto"/>
      </w:pPr>
      <w:r>
        <w:t>**Bandes de Bollinger** : Le cours évolue dans la partie supérieure de l'enveloppe, entre la borne inférieure (8 656 FCFA) et la borne supérieure (9 552 FCFA), avec une position médiane à 9 104 FCFA. Cette configuration indique une volatilité normale et un mouvement latéral potentiel, d'où la décision neutre, le titre n'étant ni suracheté ni survendu.</w:t>
      </w:r>
    </w:p>
    <w:p>
      <w:pPr>
        <w:spacing w:after="120" w:line="276" w:lineRule="auto"/>
      </w:pPr>
      <w:r>
        <w:t>**MACD** : La valeur du MACD (98,5) reste positive mais inférieure à son signal (111,3), créant une divergence baissière à court terme. Ce croisement suggère un ralentissement du momentum haussier, justifiant la décision de vente, bien que le niveau absolu reste élevé, indiquant que la tendance de fond demeure positive.</w:t>
      </w:r>
    </w:p>
    <w:p>
      <w:pPr>
        <w:spacing w:after="120" w:line="276" w:lineRule="auto"/>
      </w:pPr>
      <w:r>
        <w:t>**RSI** : À 59,5, le RSI se situe dans la zone neutre (30-70), sans signal de surachat ni de survente. Cette valeur reflète un équilibre entre acheteurs et vendeurs, avec une légère prédominance haussière, justifiant la décision neutre.</w:t>
      </w:r>
    </w:p>
    <w:p>
      <w:pPr>
        <w:spacing w:after="120" w:line="276" w:lineRule="auto"/>
      </w:pPr>
      <w:r>
        <w:t>**Stochastique** : Le %K (42,9) est inférieur au %D (59,5), indiquant une dynamique baissière à court terme, mais les deux restent dans la zone neutre. Ce croisement suggère une consolidation après la hausse récente, justifiant la décision neutre.</w:t>
      </w:r>
    </w:p>
    <w:p>
      <w:pPr>
        <w:spacing w:after="120" w:line="276" w:lineRule="auto"/>
      </w:pPr>
      <w:r>
        <w:t>**Conclusion technique** : La convergence des indicateurs montre un titre en consolidation après une forte progression, avec une tendance de fond haussière (MM) mais un momentum à court terme affaibli (MACD, Stochastique). Le RSI et les bandes de Bollinger indiquent une pause saine, sans signal de retournement majeur, suggérant une accumulation possible avant la reprise de la tendance.</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Produit Net Bancaire de 108,7 milliards FCFA et un résultat net de 55,6 milliards FCFA, soit une marge nette exceptionnelle de 51,2%. Le ROE de 27,2% et le ROA de 2,96% confirment une rentabilité parmi les meilleures du secteur, soutenue par un coefficient d'exploitation de 38,6%, témoignant d'une excellente maîtrise des coûts. Les dépôts clientèle (1 503 milliards FCFA) couvrent largement les crédits (1 227 milliards FCFA), avec un ratio de transformation de 81,6%, indiquant une gestion prudente de la liquidité. Le coût du risque, bien que non détaillé, semble maîtrisé avec des provisions de 14,1 milliards FCFA. Les rapports trimestriels confirment cette dynamique : le T1 2025 (PNB +12%, RN +10%), le S1 2025 (PNB +9%, RN +15%) et le T3 2025 (PNB +8%, RN +11%) montrent une croissance soutenue. Le rapport T1 2026 (PNB 27,7 milliards, RN 15,2 milliards, +11%) suggère une poursuite de cette tendance, avec des dépôts en hausse de 9% et des crédits de 7%. Sur la base de ces données, on estime que l'exercice 2026 pourrait dépasser les 60 milliards de résultat net, confirmant la solidité du modèle économique.</w:t>
      </w:r>
    </w:p>
    <w:p>
      <w:pPr>
        <w:spacing w:after="120" w:line="276" w:lineRule="auto" w:before="240"/>
      </w:pPr>
      <w:r>
        <w:rPr>
          <w:b/>
          <w:color w:val="003366"/>
          <w:sz w:val="24"/>
        </w:rPr>
        <w:t>**PARTIE 4 : CONCLUSION D'INVESTISSEMENT**</w:t>
      </w:r>
    </w:p>
    <w:p>
      <w:pPr>
        <w:spacing w:after="120" w:line="276" w:lineRule="auto"/>
      </w:pPr>
      <w:r>
        <w:t>La synthèse globale révèle une convergence positive entre les fondamentaux et la dynamique du cours, malgré une valorisation exigeante. Les ratios de valorisation (PER 16,4x, P/B 4,44x, EV/EBITDA 15,2x) indiquent une prime substantielle, mais justifiée par une rentabilité exceptionnelle (ROE &gt;27%) et une croissance soutenue du PNB et du résultat net. Le comportement du cours (+30% sur 100 jours) reflète cette performance, avec une volatilité modérée et une distribution statistique saine. Les signaux techniques montrent une consolidation à court terme, mais la tendance de fond reste haussière. Les fondamentaux solides, avec un coefficient d'exploitation de 38,6% et une marge nette de 51,2%, soutiennent une recommandation positive. Les prédictions IA indiquent une correction à court terme (8 774 à 7 826 FCFA sur 10 jours), ce qui pourrait offrir un point d'entrée attractif. **Recommandation finale : ACHAT** avec un niveau de confiance **Élevé** et un risque global **Moyen**, pour un horizon d'investissement **moyen terme (3-12 mois)**, en capitalisant sur la solidité des fondamentaux et les perspectives de croissance du marché ivoirien.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5.61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114 titres</w:t>
            </w:r>
          </w:p>
        </w:tc>
        <w:tc>
          <w:tcPr>
            <w:tcW w:type="dxa" w:w="2268"/>
            <w:shd w:fill="FFF2CC" w:val="clear"/>
          </w:tcPr>
          <w:p>
            <w:r>
              <w:rPr>
                <w:b/>
                <w:color w:val="503200"/>
                <w:sz w:val="16"/>
              </w:rPr>
              <w:t xml:space="preserve">Cours actuel : </w:t>
            </w:r>
            <w:r>
              <w:rPr>
                <w:color w:val="000000"/>
                <w:sz w:val="17"/>
              </w:rPr>
              <w:t>9,350 FCFA</w:t>
            </w:r>
          </w:p>
          <w:p>
            <w:r>
              <w:rPr>
                <w:b/>
                <w:color w:val="503200"/>
                <w:sz w:val="16"/>
              </w:rPr>
              <w:t xml:space="preserve">Var. 100 jours : </w:t>
            </w:r>
            <w:r>
              <w:rPr>
                <w:b/>
                <w:color w:val="007800"/>
                <w:sz w:val="17"/>
              </w:rPr>
              <w:t>+126.12%</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29.27% (Élevée) — μ=5,100 FCFA, σ=1,493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β=-0.0381 (Contre-cyclique) — Cov=-0.000001, Var(idx)=0.000031, ρ=-0.006,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114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σ_j=3.64%/j (Modérée) — Vol. annualisée≈57.8%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8,347</w:t>
            </w:r>
          </w:p>
        </w:tc>
        <w:tc>
          <w:tcPr>
            <w:tcW w:type="dxa" w:w="1440"/>
            <w:shd w:fill="FFDCE0" w:val="clear"/>
          </w:tcPr>
          <w:p>
            <w:r>
              <w:rPr>
                <w:b/>
                <w:sz w:val="17"/>
              </w:rPr>
              <w:t>9,024</w:t>
            </w:r>
          </w:p>
        </w:tc>
        <w:tc>
          <w:tcPr>
            <w:tcW w:type="dxa" w:w="1440"/>
            <w:shd w:fill="FFDCE0" w:val="clear"/>
          </w:tcPr>
          <w:p>
            <w:r>
              <w:rPr>
                <w:sz w:val="17"/>
              </w:rPr>
              <w:t>9,701</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7,824</w:t>
            </w:r>
          </w:p>
        </w:tc>
        <w:tc>
          <w:tcPr>
            <w:tcW w:type="dxa" w:w="1440"/>
            <w:shd w:fill="FFDCE0" w:val="clear"/>
          </w:tcPr>
          <w:p>
            <w:r>
              <w:rPr>
                <w:b/>
                <w:sz w:val="17"/>
              </w:rPr>
              <w:t>8,766</w:t>
            </w:r>
          </w:p>
        </w:tc>
        <w:tc>
          <w:tcPr>
            <w:tcW w:type="dxa" w:w="1440"/>
            <w:shd w:fill="FFDCE0" w:val="clear"/>
          </w:tcPr>
          <w:p>
            <w:r>
              <w:rPr>
                <w:sz w:val="17"/>
              </w:rPr>
              <w:t>9,707</w:t>
            </w:r>
          </w:p>
        </w:tc>
        <w:tc>
          <w:tcPr>
            <w:tcW w:type="dxa" w:w="1440"/>
            <w:shd w:fill="FFDCE0" w:val="clear"/>
          </w:tcPr>
          <w:p>
            <w:r>
              <w:rPr>
                <w:b/>
                <w:color w:val="C00000"/>
                <w:sz w:val="17"/>
              </w:rPr>
              <w:t>-6.3%</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7,400</w:t>
            </w:r>
          </w:p>
        </w:tc>
        <w:tc>
          <w:tcPr>
            <w:tcW w:type="dxa" w:w="1440"/>
            <w:shd w:fill="FFDCE0" w:val="clear"/>
          </w:tcPr>
          <w:p>
            <w:r>
              <w:rPr>
                <w:b/>
                <w:sz w:val="17"/>
              </w:rPr>
              <w:t>8,522</w:t>
            </w:r>
          </w:p>
        </w:tc>
        <w:tc>
          <w:tcPr>
            <w:tcW w:type="dxa" w:w="1440"/>
            <w:shd w:fill="FFDCE0" w:val="clear"/>
          </w:tcPr>
          <w:p>
            <w:r>
              <w:rPr>
                <w:sz w:val="17"/>
              </w:rPr>
              <w:t>9,643</w:t>
            </w:r>
          </w:p>
        </w:tc>
        <w:tc>
          <w:tcPr>
            <w:tcW w:type="dxa" w:w="1440"/>
            <w:shd w:fill="FFDCE0" w:val="clear"/>
          </w:tcPr>
          <w:p>
            <w:r>
              <w:rPr>
                <w:b/>
                <w:color w:val="C00000"/>
                <w:sz w:val="17"/>
              </w:rPr>
              <w:t>-8.9%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7,029</w:t>
            </w:r>
          </w:p>
        </w:tc>
        <w:tc>
          <w:tcPr>
            <w:tcW w:type="dxa" w:w="1440"/>
            <w:shd w:fill="FFDCE0" w:val="clear"/>
          </w:tcPr>
          <w:p>
            <w:r>
              <w:rPr>
                <w:b/>
                <w:sz w:val="17"/>
              </w:rPr>
              <w:t>8,288</w:t>
            </w:r>
          </w:p>
        </w:tc>
        <w:tc>
          <w:tcPr>
            <w:tcW w:type="dxa" w:w="1440"/>
            <w:shd w:fill="FFDCE0" w:val="clear"/>
          </w:tcPr>
          <w:p>
            <w:r>
              <w:rPr>
                <w:sz w:val="17"/>
              </w:rPr>
              <w:t>9,547</w:t>
            </w:r>
          </w:p>
        </w:tc>
        <w:tc>
          <w:tcPr>
            <w:tcW w:type="dxa" w:w="1440"/>
            <w:shd w:fill="FFDCE0" w:val="clear"/>
          </w:tcPr>
          <w:p>
            <w:r>
              <w:rPr>
                <w:b/>
                <w:color w:val="C00000"/>
                <w:sz w:val="17"/>
              </w:rPr>
              <w:t>-11.4%</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6,696</w:t>
            </w:r>
          </w:p>
        </w:tc>
        <w:tc>
          <w:tcPr>
            <w:tcW w:type="dxa" w:w="1440"/>
            <w:shd w:fill="FFDCE0" w:val="clear"/>
          </w:tcPr>
          <w:p>
            <w:r>
              <w:rPr>
                <w:b/>
                <w:sz w:val="17"/>
              </w:rPr>
              <w:t>8,066</w:t>
            </w:r>
          </w:p>
        </w:tc>
        <w:tc>
          <w:tcPr>
            <w:tcW w:type="dxa" w:w="1440"/>
            <w:shd w:fill="FFDCE0" w:val="clear"/>
          </w:tcPr>
          <w:p>
            <w:r>
              <w:rPr>
                <w:sz w:val="17"/>
              </w:rPr>
              <w:t>9,436</w:t>
            </w:r>
          </w:p>
        </w:tc>
        <w:tc>
          <w:tcPr>
            <w:tcW w:type="dxa" w:w="1440"/>
            <w:shd w:fill="FFDCE0" w:val="clear"/>
          </w:tcPr>
          <w:p>
            <w:r>
              <w:rPr>
                <w:b/>
                <w:color w:val="C00000"/>
                <w:sz w:val="17"/>
              </w:rPr>
              <w:t>-13.7%</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6,395</w:t>
            </w:r>
          </w:p>
        </w:tc>
        <w:tc>
          <w:tcPr>
            <w:tcW w:type="dxa" w:w="1440"/>
            <w:shd w:fill="FFDCE0" w:val="clear"/>
          </w:tcPr>
          <w:p>
            <w:r>
              <w:rPr>
                <w:b/>
                <w:sz w:val="17"/>
              </w:rPr>
              <w:t>7,857</w:t>
            </w:r>
          </w:p>
        </w:tc>
        <w:tc>
          <w:tcPr>
            <w:tcW w:type="dxa" w:w="1440"/>
            <w:shd w:fill="FFDCE0" w:val="clear"/>
          </w:tcPr>
          <w:p>
            <w:r>
              <w:rPr>
                <w:sz w:val="17"/>
              </w:rPr>
              <w:t>9,319</w:t>
            </w:r>
          </w:p>
        </w:tc>
        <w:tc>
          <w:tcPr>
            <w:tcW w:type="dxa" w:w="1440"/>
            <w:shd w:fill="FFDCE0" w:val="clear"/>
          </w:tcPr>
          <w:p>
            <w:r>
              <w:rPr>
                <w:b/>
                <w:color w:val="C00000"/>
                <w:sz w:val="17"/>
              </w:rPr>
              <w:t>-16.0%</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6,121</w:t>
            </w:r>
          </w:p>
        </w:tc>
        <w:tc>
          <w:tcPr>
            <w:tcW w:type="dxa" w:w="1440"/>
            <w:shd w:fill="FFDCE0" w:val="clear"/>
          </w:tcPr>
          <w:p>
            <w:r>
              <w:rPr>
                <w:b/>
                <w:sz w:val="17"/>
              </w:rPr>
              <w:t>7,661</w:t>
            </w:r>
          </w:p>
        </w:tc>
        <w:tc>
          <w:tcPr>
            <w:tcW w:type="dxa" w:w="1440"/>
            <w:shd w:fill="FFDCE0" w:val="clear"/>
          </w:tcPr>
          <w:p>
            <w:r>
              <w:rPr>
                <w:sz w:val="17"/>
              </w:rPr>
              <w:t>9,201</w:t>
            </w:r>
          </w:p>
        </w:tc>
        <w:tc>
          <w:tcPr>
            <w:tcW w:type="dxa" w:w="1440"/>
            <w:shd w:fill="FFDCE0" w:val="clear"/>
          </w:tcPr>
          <w:p>
            <w:r>
              <w:rPr>
                <w:b/>
                <w:color w:val="C00000"/>
                <w:sz w:val="17"/>
              </w:rPr>
              <w:t>-18.1%</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5,870</w:t>
            </w:r>
          </w:p>
        </w:tc>
        <w:tc>
          <w:tcPr>
            <w:tcW w:type="dxa" w:w="1440"/>
            <w:shd w:fill="FFDCE0" w:val="clear"/>
          </w:tcPr>
          <w:p>
            <w:r>
              <w:rPr>
                <w:b/>
                <w:sz w:val="17"/>
              </w:rPr>
              <w:t>7,477</w:t>
            </w:r>
          </w:p>
        </w:tc>
        <w:tc>
          <w:tcPr>
            <w:tcW w:type="dxa" w:w="1440"/>
            <w:shd w:fill="FFDCE0" w:val="clear"/>
          </w:tcPr>
          <w:p>
            <w:r>
              <w:rPr>
                <w:sz w:val="17"/>
              </w:rPr>
              <w:t>9,084</w:t>
            </w:r>
          </w:p>
        </w:tc>
        <w:tc>
          <w:tcPr>
            <w:tcW w:type="dxa" w:w="1440"/>
            <w:shd w:fill="FFDCE0" w:val="clear"/>
          </w:tcPr>
          <w:p>
            <w:r>
              <w:rPr>
                <w:b/>
                <w:color w:val="C00000"/>
                <w:sz w:val="17"/>
              </w:rPr>
              <w:t>-20.0%</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5,640</w:t>
            </w:r>
          </w:p>
        </w:tc>
        <w:tc>
          <w:tcPr>
            <w:tcW w:type="dxa" w:w="1440"/>
            <w:shd w:fill="FFDCE0" w:val="clear"/>
          </w:tcPr>
          <w:p>
            <w:r>
              <w:rPr>
                <w:b/>
                <w:sz w:val="17"/>
              </w:rPr>
              <w:t>7,305</w:t>
            </w:r>
          </w:p>
        </w:tc>
        <w:tc>
          <w:tcPr>
            <w:tcW w:type="dxa" w:w="1440"/>
            <w:shd w:fill="FFDCE0" w:val="clear"/>
          </w:tcPr>
          <w:p>
            <w:r>
              <w:rPr>
                <w:sz w:val="17"/>
              </w:rPr>
              <w:t>8,970</w:t>
            </w:r>
          </w:p>
        </w:tc>
        <w:tc>
          <w:tcPr>
            <w:tcW w:type="dxa" w:w="1440"/>
            <w:shd w:fill="FFDCE0" w:val="clear"/>
          </w:tcPr>
          <w:p>
            <w:r>
              <w:rPr>
                <w:b/>
                <w:color w:val="C00000"/>
                <w:sz w:val="17"/>
              </w:rPr>
              <w:t>-21.9%</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5,428</w:t>
            </w:r>
          </w:p>
        </w:tc>
        <w:tc>
          <w:tcPr>
            <w:tcW w:type="dxa" w:w="1440"/>
            <w:shd w:fill="FFDCE0" w:val="clear"/>
          </w:tcPr>
          <w:p>
            <w:r>
              <w:rPr>
                <w:b/>
                <w:sz w:val="17"/>
              </w:rPr>
              <w:t>7,144</w:t>
            </w:r>
          </w:p>
        </w:tc>
        <w:tc>
          <w:tcPr>
            <w:tcW w:type="dxa" w:w="1440"/>
            <w:shd w:fill="FFDCE0" w:val="clear"/>
          </w:tcPr>
          <w:p>
            <w:r>
              <w:rPr>
                <w:sz w:val="17"/>
              </w:rPr>
              <w:t>8,860</w:t>
            </w:r>
          </w:p>
        </w:tc>
        <w:tc>
          <w:tcPr>
            <w:tcW w:type="dxa" w:w="1440"/>
            <w:shd w:fill="FFDCE0" w:val="clear"/>
          </w:tcPr>
          <w:p>
            <w:r>
              <w:rPr>
                <w:b/>
                <w:color w:val="C00000"/>
                <w:sz w:val="17"/>
              </w:rPr>
              <w:t>-23.6%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5,61 milliards FCFA, un niveau modeste qui la classe parmi les petites capitalisations de la BRVM, reflétant un intérêt limité des investisseurs institutionnels pour ce titre. Les ratios de valorisation (BPA, PER, P/B, EV/EBITDA) ne sont pas calculables en raison de l'absence de données financières structurées récentes dans la base, ce qui constitue une lacune importante pour évaluer si le marché paie un prix juste pour les bénéfices de l'entreprise. Toutefois, sur la base du dernier résultat net connu de 19,25 millions FCFA (exercice 2023), le PER implicite serait d'environ 291 fois, un niveau extrêmement élevé par rapport à la moyenne BRVM de 8 à 12 fois, suggérant une valorisation très généreuse. Cette situation s'explique par la forte hausse du cours (+126%) qui a largement devancé l'amélioration des fondamentaux, créant un décalage préoccupant entre le prix de marché et la valeur intrinsèque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+126,12%, passant d'un plus bas de 3 765 FCFA à un plus haut de 10 200 FCFA, avec un cours actuel de 9 350 FCFA, soit une légère baisse de -0,32% lors de la dernière séance. La moyenne du cours sur la période (5 100 FCFA) est nettement supérieure à la médiane (4 470 FCFA), ce qui traduit une distribution asymétrique positive où les fortes hausses récentes tirent la moyenne vers le haut. L'écart-type de 1 500 FCFA (coefficient de variation de 29,4%) indique une dispersion importante des prix autour de la moyenne, confirmant une volatilité élevée. Le kurtosis excédentaire de 3,656 révèle une distribution leptokurtique avec des queues épaisses, signe de mouvements extrêmes fréquents, tandis que le skewness positif de 2,101 indique que le titre a passé plus de journées sous sa moyenne, avec des pics de hausse ponctuels. La volatilité annualisée de 57,8% classe le titre dans la catégorie des actifs à très haut risque,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La MM20 à 7 577 FCFA et la MM50 à 5 953 FCFA sont toutes deux largement inférieures au cours actuel de 9 350 FCFA, confirmant une tendance haussière soutenue. L'écart positif entre le cours et les moyennes mobiles, couplé à une MM20 au-dessus de la MM50, valide la dynamique positive et justifie la décision d'achat, bien que l'écart important suggère un possible essoufflement à court terme.</w:t>
      </w:r>
    </w:p>
    <w:p>
      <w:pPr>
        <w:spacing w:after="120" w:line="276" w:lineRule="auto"/>
      </w:pPr>
      <w:r>
        <w:t>**Bandes de Bollinger** : Le cours se positionne près de la borne supérieure (10 993 FCFA) tout en restant dans le canal, avec une borne inférieure à 4 160 FCFA, indiquant une volatilité extrême. La décision neutre s'explique par le fait que le prix, bien qu'élevé, n'a pas encore franchi la borne supérieure, mais la proximité de cette résistance suggère un risque de correction imminente.</w:t>
      </w:r>
    </w:p>
    <w:p>
      <w:pPr>
        <w:spacing w:after="120" w:line="276" w:lineRule="auto"/>
      </w:pPr>
      <w:r>
        <w:t>**MACD** : La valeur du MACD à 1 179,168 est nettement supérieure à son signal à 998,031, confirmant un momentum haussier puissant. La divergence positive entre la ligne MACD et sa ligne de signal indique que la tendance haussière reste intacte, justifiant la décision d'achat, même si l'ampleur de l'écart pourrait signaler une suraccélération.</w:t>
      </w:r>
    </w:p>
    <w:p>
      <w:pPr>
        <w:spacing w:after="120" w:line="276" w:lineRule="auto"/>
      </w:pPr>
      <w:r>
        <w:t>**RSI** : Avec une valeur de 83,121, le RSI est profondément en zone de surachat (au-delà de 70), signalant que le titre est techniquement surévalué à court terme. Cette situation appelle à la prudence car elle précède souvent une correction, justifiant la décision de vente malgré la tendance haussière sous-jacente.</w:t>
      </w:r>
    </w:p>
    <w:p>
      <w:pPr>
        <w:spacing w:after="120" w:line="276" w:lineRule="auto"/>
      </w:pPr>
      <w:r>
        <w:t>**Stochastique** : Le %K à 77,632 et le %D à 85,285 montrent que le titre est également en zone de surachat, mais la décision neutre s'explique par l'absence de croisement baissier confirmé. La configuration actuelle suggère que le momentum haussier s'essouffle, mais sans signal de retournement clair.</w:t>
      </w:r>
    </w:p>
    <w:p>
      <w:pPr>
        <w:spacing w:after="120" w:line="276" w:lineRule="auto"/>
      </w:pPr>
      <w:r>
        <w:t>**Conclusion technique** : La convergence des indicateurs de tendance (MM, MACD) vers l'achat contraste fortement avec les oscillateurs de momentum (RSI, Stochastique) qui signalent un surachat extrême. Cette divergence classique en fin de tendance haussière suggère qu'une consolidation ou correction est probable à court terme, mais la tendance de fond reste résolument positive.</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la SICOR ne sont pas disponibles dans la base, mais les rapports officiels fournis permettent une analyse approfondie. Le rapport daté du 31 décembre 2024 (couvrant l'exercice 2023) révèle un chiffre d'affaires de 701,09 millions FCFA, en baisse de 38,4% par rapport à 2022 (1 138,17 millions FCFA), mais un retour à la profitabilité avec un résultat net positif de 19,25 millions FCFA contre une perte de 39,95 millions en 2022. La marge nette s'établit à 2,75%, nettement inférieure à la moyenne sectorielle de 5-10%, reflétant des coûts structurels élevés. Les charges totales ont été réduites de 43,68% grâce au transfert de 50% du personnel vers la SIPAL, mais les frais financiers ont bondi de 50,97% avec des découverts bancaires multipliés par 14. Le rapport de l'exercice 2022 (également daté du 31 décembre 2024) montre une perte nette de 39,95 millions FCFA avec un CA de 1 138 millions, illustrant la volatilité des résultats. Historiquement, la société a connu des exercices contrastés : bénéfice de 109,8 millions en 2020, 2,35 millions en 2019, et 989 millions en 2018 (année exceptionnelle). Le report à nouveau reste lourdement déficitaire à -689,86 millions FCFA, interdisant toute distribution de dividendes jusqu'en 2025-2026 au mieux. La société n'a versé aucun dividende depuis 2017, et la convocation à l'AGO du 22 mai 2026 pour l'exercice 2024 suggère une continuité dans cette politique. Les risques identifiés incluent les vols de noix de coco, la dépendance aux cours mondiaux et une trésorerie tendue, mais le retour à la profitabilité et la réduction des coûts offrent des perspectives de redressement progressif.</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paradoxale pour la SICOR. La valorisation boursière (PER implicite d'environ 291 fois) indique une surévaluation massive par rapport aux bénéfices, tandis que le comportement du cours montre une tendance haussière spectaculaire mais avec une volatilité extrême (57,8%) et des statistiques révélant un risque de correction élevé (kurtosis leptokurtique, skewness positif). Les signaux techniques sont contradictoires : les indicateurs de tendance (MM, MACD) restent positifs, mais les oscillateurs (RSI à 83, Stochastique en surachat) signalent un essoufflement imminent. Les fondamentaux, bien qu'en amélioration avec un retour à la profitabilité en 2023, restent fragiles avec une marge nette de 2,75%, un report à nouveau négatif et l'absence de dividendes. Les prédictions IA pour les 10 prochains jours (de 9 024 à 8 066 FCFA) confirment cette analyse en projetant une correction progressive de 13,7%, validant les signaux de surachat technique. La convergence entre la surévaluation fondamentale, les signaux techniques de surachat et les prédictions IA baissières conduit à une recommandation de **VENTE** avec un niveau de confiance **Moyen**, un risque global **Élevé**, et un horizon d'investissement optimal à **court terme** (moins de 3 mois) pour les investisseurs cherchant à sécuriser leurs gains avant la correction attendue.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5,592 titres</w:t>
            </w:r>
          </w:p>
        </w:tc>
        <w:tc>
          <w:tcPr>
            <w:tcW w:type="dxa" w:w="2268"/>
            <w:shd w:fill="FFF2CC" w:val="clear"/>
          </w:tcPr>
          <w:p>
            <w:r>
              <w:rPr>
                <w:b/>
                <w:color w:val="503200"/>
                <w:sz w:val="16"/>
              </w:rPr>
              <w:t xml:space="preserve">Cours actuel : </w:t>
            </w:r>
            <w:r>
              <w:rPr>
                <w:color w:val="000000"/>
                <w:sz w:val="17"/>
              </w:rPr>
              <w:t>2,380 FCFA</w:t>
            </w:r>
          </w:p>
          <w:p>
            <w:r>
              <w:rPr>
                <w:b/>
                <w:color w:val="503200"/>
                <w:sz w:val="16"/>
              </w:rPr>
              <w:t xml:space="preserve">Var. 100 jours : </w:t>
            </w:r>
            <w:r>
              <w:rPr>
                <w:b/>
                <w:color w:val="B40000"/>
                <w:sz w:val="17"/>
              </w:rPr>
              <w:t>-15.00%</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11.23% (Moyenne) — μ=2,624 FCFA, σ=295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β=0.5391 (Défensif) — Cov=0.000017, Var(idx)=0.000031, ρ=0.091,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2,090</w:t>
            </w:r>
          </w:p>
        </w:tc>
        <w:tc>
          <w:tcPr>
            <w:tcW w:type="dxa" w:w="1440"/>
            <w:shd w:fill="FFDCE0" w:val="clear"/>
          </w:tcPr>
          <w:p>
            <w:r>
              <w:rPr>
                <w:b/>
                <w:sz w:val="17"/>
              </w:rPr>
              <w:t>2,236</w:t>
            </w:r>
          </w:p>
        </w:tc>
        <w:tc>
          <w:tcPr>
            <w:tcW w:type="dxa" w:w="1440"/>
            <w:shd w:fill="FFDCE0" w:val="clear"/>
          </w:tcPr>
          <w:p>
            <w:r>
              <w:rPr>
                <w:sz w:val="17"/>
              </w:rPr>
              <w:t>2,383</w:t>
            </w:r>
          </w:p>
        </w:tc>
        <w:tc>
          <w:tcPr>
            <w:tcW w:type="dxa" w:w="1440"/>
            <w:shd w:fill="FFDCE0" w:val="clear"/>
          </w:tcPr>
          <w:p>
            <w:r>
              <w:rPr>
                <w:b/>
                <w:color w:val="C00000"/>
                <w:sz w:val="17"/>
              </w:rPr>
              <w:t>-6.0%</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1,993</w:t>
            </w:r>
          </w:p>
        </w:tc>
        <w:tc>
          <w:tcPr>
            <w:tcW w:type="dxa" w:w="1440"/>
            <w:shd w:fill="FFDCE0" w:val="clear"/>
          </w:tcPr>
          <w:p>
            <w:r>
              <w:rPr>
                <w:b/>
                <w:sz w:val="17"/>
              </w:rPr>
              <w:t>2,196</w:t>
            </w:r>
          </w:p>
        </w:tc>
        <w:tc>
          <w:tcPr>
            <w:tcW w:type="dxa" w:w="1440"/>
            <w:shd w:fill="FFDCE0" w:val="clear"/>
          </w:tcPr>
          <w:p>
            <w:r>
              <w:rPr>
                <w:sz w:val="17"/>
              </w:rPr>
              <w:t>2,400</w:t>
            </w:r>
          </w:p>
        </w:tc>
        <w:tc>
          <w:tcPr>
            <w:tcW w:type="dxa" w:w="1440"/>
            <w:shd w:fill="FFDCE0" w:val="clear"/>
          </w:tcPr>
          <w:p>
            <w:r>
              <w:rPr>
                <w:b/>
                <w:color w:val="C00000"/>
                <w:sz w:val="17"/>
              </w:rPr>
              <w:t>-7.7%</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1,904</w:t>
            </w:r>
          </w:p>
        </w:tc>
        <w:tc>
          <w:tcPr>
            <w:tcW w:type="dxa" w:w="1440"/>
            <w:shd w:fill="FFDCE0" w:val="clear"/>
          </w:tcPr>
          <w:p>
            <w:r>
              <w:rPr>
                <w:b/>
                <w:sz w:val="17"/>
              </w:rPr>
              <w:t>2,148</w:t>
            </w:r>
          </w:p>
        </w:tc>
        <w:tc>
          <w:tcPr>
            <w:tcW w:type="dxa" w:w="1440"/>
            <w:shd w:fill="FFDCE0" w:val="clear"/>
          </w:tcPr>
          <w:p>
            <w:r>
              <w:rPr>
                <w:sz w:val="17"/>
              </w:rPr>
              <w:t>2,391</w:t>
            </w:r>
          </w:p>
        </w:tc>
        <w:tc>
          <w:tcPr>
            <w:tcW w:type="dxa" w:w="1440"/>
            <w:shd w:fill="FFDCE0" w:val="clear"/>
          </w:tcPr>
          <w:p>
            <w:r>
              <w:rPr>
                <w:b/>
                <w:color w:val="C00000"/>
                <w:sz w:val="17"/>
              </w:rPr>
              <w:t>-9.8%</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1,824</w:t>
            </w:r>
          </w:p>
        </w:tc>
        <w:tc>
          <w:tcPr>
            <w:tcW w:type="dxa" w:w="1440"/>
            <w:shd w:fill="FFDCE0" w:val="clear"/>
          </w:tcPr>
          <w:p>
            <w:r>
              <w:rPr>
                <w:b/>
                <w:sz w:val="17"/>
              </w:rPr>
              <w:t>2,099</w:t>
            </w:r>
          </w:p>
        </w:tc>
        <w:tc>
          <w:tcPr>
            <w:tcW w:type="dxa" w:w="1440"/>
            <w:shd w:fill="FFDCE0" w:val="clear"/>
          </w:tcPr>
          <w:p>
            <w:r>
              <w:rPr>
                <w:sz w:val="17"/>
              </w:rPr>
              <w:t>2,374</w:t>
            </w:r>
          </w:p>
        </w:tc>
        <w:tc>
          <w:tcPr>
            <w:tcW w:type="dxa" w:w="1440"/>
            <w:shd w:fill="FFDCE0" w:val="clear"/>
          </w:tcPr>
          <w:p>
            <w:r>
              <w:rPr>
                <w:b/>
                <w:color w:val="C00000"/>
                <w:sz w:val="17"/>
              </w:rPr>
              <w:t>-11.8%</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1,750</w:t>
            </w:r>
          </w:p>
        </w:tc>
        <w:tc>
          <w:tcPr>
            <w:tcW w:type="dxa" w:w="1440"/>
            <w:shd w:fill="FFDCE0" w:val="clear"/>
          </w:tcPr>
          <w:p>
            <w:r>
              <w:rPr>
                <w:b/>
                <w:sz w:val="17"/>
              </w:rPr>
              <w:t>2,051</w:t>
            </w:r>
          </w:p>
        </w:tc>
        <w:tc>
          <w:tcPr>
            <w:tcW w:type="dxa" w:w="1440"/>
            <w:shd w:fill="FFDCE0" w:val="clear"/>
          </w:tcPr>
          <w:p>
            <w:r>
              <w:rPr>
                <w:sz w:val="17"/>
              </w:rPr>
              <w:t>2,351</w:t>
            </w:r>
          </w:p>
        </w:tc>
        <w:tc>
          <w:tcPr>
            <w:tcW w:type="dxa" w:w="1440"/>
            <w:shd w:fill="FFDCE0" w:val="clear"/>
          </w:tcPr>
          <w:p>
            <w:r>
              <w:rPr>
                <w:b/>
                <w:color w:val="C00000"/>
                <w:sz w:val="17"/>
              </w:rPr>
              <w:t>-13.8%</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1,683</w:t>
            </w:r>
          </w:p>
        </w:tc>
        <w:tc>
          <w:tcPr>
            <w:tcW w:type="dxa" w:w="1440"/>
            <w:shd w:fill="FFDCE0" w:val="clear"/>
          </w:tcPr>
          <w:p>
            <w:r>
              <w:rPr>
                <w:b/>
                <w:sz w:val="17"/>
              </w:rPr>
              <w:t>2,004</w:t>
            </w:r>
          </w:p>
        </w:tc>
        <w:tc>
          <w:tcPr>
            <w:tcW w:type="dxa" w:w="1440"/>
            <w:shd w:fill="FFDCE0" w:val="clear"/>
          </w:tcPr>
          <w:p>
            <w:r>
              <w:rPr>
                <w:sz w:val="17"/>
              </w:rPr>
              <w:t>2,326</w:t>
            </w:r>
          </w:p>
        </w:tc>
        <w:tc>
          <w:tcPr>
            <w:tcW w:type="dxa" w:w="1440"/>
            <w:shd w:fill="FFDCE0" w:val="clear"/>
          </w:tcPr>
          <w:p>
            <w:r>
              <w:rPr>
                <w:b/>
                <w:color w:val="C00000"/>
                <w:sz w:val="17"/>
              </w:rPr>
              <w:t>-15.8%</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1,620</w:t>
            </w:r>
          </w:p>
        </w:tc>
        <w:tc>
          <w:tcPr>
            <w:tcW w:type="dxa" w:w="1440"/>
            <w:shd w:fill="FFDCE0" w:val="clear"/>
          </w:tcPr>
          <w:p>
            <w:r>
              <w:rPr>
                <w:b/>
                <w:sz w:val="17"/>
              </w:rPr>
              <w:t>1,959</w:t>
            </w:r>
          </w:p>
        </w:tc>
        <w:tc>
          <w:tcPr>
            <w:tcW w:type="dxa" w:w="1440"/>
            <w:shd w:fill="FFDCE0" w:val="clear"/>
          </w:tcPr>
          <w:p>
            <w:r>
              <w:rPr>
                <w:sz w:val="17"/>
              </w:rPr>
              <w:t>2,299</w:t>
            </w:r>
          </w:p>
        </w:tc>
        <w:tc>
          <w:tcPr>
            <w:tcW w:type="dxa" w:w="1440"/>
            <w:shd w:fill="FFDCE0" w:val="clear"/>
          </w:tcPr>
          <w:p>
            <w:r>
              <w:rPr>
                <w:b/>
                <w:color w:val="C00000"/>
                <w:sz w:val="17"/>
              </w:rPr>
              <w:t>-17.7%</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1,561</w:t>
            </w:r>
          </w:p>
        </w:tc>
        <w:tc>
          <w:tcPr>
            <w:tcW w:type="dxa" w:w="1440"/>
            <w:shd w:fill="FFDCE0" w:val="clear"/>
          </w:tcPr>
          <w:p>
            <w:r>
              <w:rPr>
                <w:b/>
                <w:sz w:val="17"/>
              </w:rPr>
              <w:t>1,916</w:t>
            </w:r>
          </w:p>
        </w:tc>
        <w:tc>
          <w:tcPr>
            <w:tcW w:type="dxa" w:w="1440"/>
            <w:shd w:fill="FFDCE0" w:val="clear"/>
          </w:tcPr>
          <w:p>
            <w:r>
              <w:rPr>
                <w:sz w:val="17"/>
              </w:rPr>
              <w:t>2,271</w:t>
            </w:r>
          </w:p>
        </w:tc>
        <w:tc>
          <w:tcPr>
            <w:tcW w:type="dxa" w:w="1440"/>
            <w:shd w:fill="FFDCE0" w:val="clear"/>
          </w:tcPr>
          <w:p>
            <w:r>
              <w:rPr>
                <w:b/>
                <w:color w:val="C00000"/>
                <w:sz w:val="17"/>
              </w:rPr>
              <w:t>-19.5%</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1,506</w:t>
            </w:r>
          </w:p>
        </w:tc>
        <w:tc>
          <w:tcPr>
            <w:tcW w:type="dxa" w:w="1440"/>
            <w:shd w:fill="FFDCE0" w:val="clear"/>
          </w:tcPr>
          <w:p>
            <w:r>
              <w:rPr>
                <w:b/>
                <w:sz w:val="17"/>
              </w:rPr>
              <w:t>1,874</w:t>
            </w:r>
          </w:p>
        </w:tc>
        <w:tc>
          <w:tcPr>
            <w:tcW w:type="dxa" w:w="1440"/>
            <w:shd w:fill="FFDCE0" w:val="clear"/>
          </w:tcPr>
          <w:p>
            <w:r>
              <w:rPr>
                <w:sz w:val="17"/>
              </w:rPr>
              <w:t>2,242</w:t>
            </w:r>
          </w:p>
        </w:tc>
        <w:tc>
          <w:tcPr>
            <w:tcW w:type="dxa" w:w="1440"/>
            <w:shd w:fill="FFDCE0" w:val="clear"/>
          </w:tcPr>
          <w:p>
            <w:r>
              <w:rPr>
                <w:b/>
                <w:color w:val="C00000"/>
                <w:sz w:val="17"/>
              </w:rPr>
              <w:t>-21.3%</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1,454</w:t>
            </w:r>
          </w:p>
        </w:tc>
        <w:tc>
          <w:tcPr>
            <w:tcW w:type="dxa" w:w="1440"/>
            <w:shd w:fill="FFDCE0" w:val="clear"/>
          </w:tcPr>
          <w:p>
            <w:r>
              <w:rPr>
                <w:b/>
                <w:sz w:val="17"/>
              </w:rPr>
              <w:t>1,834</w:t>
            </w:r>
          </w:p>
        </w:tc>
        <w:tc>
          <w:tcPr>
            <w:tcW w:type="dxa" w:w="1440"/>
            <w:shd w:fill="FFDCE0" w:val="clear"/>
          </w:tcPr>
          <w:p>
            <w:r>
              <w:rPr>
                <w:sz w:val="17"/>
              </w:rPr>
              <w:t>2,214</w:t>
            </w:r>
          </w:p>
        </w:tc>
        <w:tc>
          <w:tcPr>
            <w:tcW w:type="dxa" w:w="1440"/>
            <w:shd w:fill="FFDCE0" w:val="clear"/>
          </w:tcPr>
          <w:p>
            <w:r>
              <w:rPr>
                <w:b/>
                <w:color w:val="C00000"/>
                <w:sz w:val="17"/>
              </w:rPr>
              <w:t>-22.9%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CI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20,79 milliards FCFA positionne Erium CI comme une valeur de taille moyenne sur la BRVM. Avec un BPA de 43 FCFA, le titre se paie actuellement 55,1 fois ses bénéfices, un niveau extrêmement élevé comparé à la moyenne historique du marché qui se situe entre 8 et 12 fois. Cette décote reflète des attentes de croissance très optimistes, mais expose l'investisseur à un risque de correction significatif si les résultats déçoivent. Le P/B de 6,35x confirme cette prime, le marché valorisant l'actif net comptable plus de six fois sa valeur. Enfin, un EV/EBITDA de 17,3x indique que la valeur totale de l'entreprise (dette incluse) est chère par rapport à sa capacité opérationnelle, renforçant l'idée d'une valorisation exigeante qui laisse peu de place à l'erreur.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a enregistré une baisse de 15%, malgré un rebond de +1,28% lors de la dernière séance, s'échangeant à 2 380 FCFA. Cette période a été marquée par une forte amplitude, avec un plus haut à 3 215 FCFA et un plus bas à 1 920 FCFA, illustrant une volatilité extrême. La moyenne du cours (2 624 FCFA) est inférieure à la médiane (2 745 FCFA), ce qui, combiné à un skewness négatif (-0.460), indique une distribution asymétrique avec une queue de distribution vers les valeurs basses, typique d'une pression vendeuse dominante. L'écart-type de 296 FCFA (CV = 11,3%) montre une dispersion modérée, tandis que le kurtosis de -0.905 (mésokurtique) suggère une absence de pics de volatilité extrêmes. La volatilité annualisée de 52% classe le titre comme très risqué, bien au-dessus du seuil de 30%, confirmant un profil spéculatif.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(2 380 FCFA) se situe au-dessus de la MM20 (2 277,5 FCFA) mais en dessous de la MM50 (2 389,5 FCFA). Cette configuration en croisement baissier indique une tendance de fond négative, le rebond récent n'étant pas suffisant pour inverser la dynamique. La décision de "Vente" est justifiée par la position sous la MM50, qui agit comme une résistance dynamique.</w:t>
      </w:r>
    </w:p>
    <w:p>
      <w:pPr>
        <w:spacing w:after="120" w:line="276" w:lineRule="auto"/>
      </w:pPr>
      <w:r>
        <w:t>**Bandes de Bollinger** : Le prix se situe dans la partie médiane-haute des bandes, entre la borne inférieure (2 051,8 FCFA) et la borne supérieure (2 503,2 FCFA). L'écart entre les bornes reflète la volatilité élevée. La décision "Neutre" est cohérente, le titre n'étant ni en situation de surachat ni de survente, mais la largeur des bandes suggère des mouvements brusques possibles.</w:t>
      </w:r>
    </w:p>
    <w:p>
      <w:pPr>
        <w:spacing w:after="120" w:line="276" w:lineRule="auto"/>
      </w:pPr>
      <w:r>
        <w:t>**MACD** : La valeur du MACD (12,13) est positive et supérieure à sa ligne de signal (-14,58), indiquant un momentum haussier à court terme. Ce croisement haussier récent est un signal d'achat technique, suggérant que la pression vendeuse s'atténue et qu'un rebond pourrait se poursuivre.</w:t>
      </w:r>
    </w:p>
    <w:p>
      <w:pPr>
        <w:spacing w:after="120" w:line="276" w:lineRule="auto"/>
      </w:pPr>
      <w:r>
        <w:t>**RSI** : À 64,12, le RSI est en zone neutre, proche de la limite de surachat (70). Cela indique que le titre dispose encore d'un potentiel haussier à court terme, mais qu'il approche d'une zone où une consolidation pourrait survenir. La décision "Neutre" est appropriée.</w:t>
      </w:r>
    </w:p>
    <w:p>
      <w:pPr>
        <w:spacing w:after="120" w:line="276" w:lineRule="auto"/>
      </w:pPr>
      <w:r>
        <w:t>**Stochastique** : Avec un %K à 85,9 et un %D à 84,0, l'oscillateur est en zone de surachat. Cette configuration, couplée à la décision de "Vente", suggère qu'un repli technique est probable à très court terme, le marché ayant intégré une hausse trop rapide.</w:t>
      </w:r>
    </w:p>
    <w:p>
      <w:pPr>
        <w:spacing w:after="120" w:line="276" w:lineRule="auto"/>
      </w:pPr>
      <w:r>
        <w:t>**Conclusion technique** : Les signaux sont mitigés. Le MACD est haussier, mais les moyennes mobiles et le stochastique en surachat plaident pour une prudence. La configuration globale suggère un rebond technique fragile, susceptible de s'essouffler rapidement. Un investisseur à court terme devrait attendre une confirmation avant d'entrer, tandis qu'un détenteur pourrait envisager de prendre des bénéfices.</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indiquent un PNB de 9,283 milliards FCFA, un résultat net de 376,96 millions FCFA et un ROE de 11,52%, avec un coefficient d'exploitation très élevé de 95,83%, signe d'une efficacité opérationnelle limitée. Le coût du risque de 3,10% est préoccupant, signalant une dégradation de la qualité du portefeuille de créances. Le rapport annuel 2025 (daté du 31/12/2025) montre une croissance du chiffre d'affaires de +8,53% à 10,07 milliards FCFA, mais une chute brutale du résultat net de -52,4% à 179,3 millions FCFA, la marge nette s'effondrant à 1,78%. Cette dégradation s'explique par une perte financière de -114 millions FCFA et une hausse des charges. Les rapports trimestriels 2025 (S1 et T3) peignent un tableau contrasté : le S1 affiche un résultat net de 512,9 millions FCFA (+4,6%), et le T3 cumulé atteint 832,5 millions FCFA (+58%). Sur la base de ces données, on estime que l'exercice 2025 aurait dû être excellent, mais le résultat final de 179 millions FCFA suggère un T4 2025 catastrophique, avec des pertes massives. La structure financière reste fragile avec une trésorerie nette négative de -1,66 milliard FCFA et un endettement en hausse à 4,16 milliards FCFA. La recommandation fondamentale est de **CONSERVER** avec une surveillance accrue, la société devant prouver sa capacité à stabiliser sa rentabilité.</w:t>
      </w:r>
    </w:p>
    <w:p>
      <w:pPr>
        <w:spacing w:after="120" w:line="276" w:lineRule="auto"/>
      </w:pPr>
      <w:r>
        <w:t>---</w:t>
      </w:r>
    </w:p>
    <w:p>
      <w:pPr>
        <w:spacing w:after="120" w:line="276" w:lineRule="auto"/>
      </w:pPr>
      <w:r>
        <w:t>### PARTIE 4 : CONCLUSION D'INVESTISSEMENT</w:t>
      </w:r>
    </w:p>
    <w:p>
      <w:pPr>
        <w:spacing w:after="120" w:line="276" w:lineRule="auto"/>
      </w:pPr>
      <w:r>
        <w:t>La synthèse globale révèle des signaux fortement divergents. La valorisation (Partie 0) est extrêmement exigeante avec un PER de 55x et un P/B de 6,35x, indiquant une surévaluation par rapport aux fondamentaux actuels. Le comportement du cours (Partie 1) est baissier sur la période, avec une volatilité élevée et une distribution asymétrique négative, signe de fragilité. Les signaux techniques (Partie 2) sont mitigés, avec un MACD haussier contredit par un stochastique en surachat et des moyennes mobiles baissières. Les fondamentaux (Partie 3) montrent une croissance du chiffre d'affaires, mais une rentabilité en chute libre et une structure financière fragile. Les prédictions IA pour les 10 prochains jours (2 236 à 2 051 FCFA) confirment une poursuite de la tendance baissière, en ligne avec l'analyse technique et la dégradation des fondamentaux. **Recommandation finale : VENTE.** La convergence entre la surévaluation, la tendance baissière du cours, les signaux techniques négatifs à moyen terme et les prédictions IA est forte. Le niveau de confiance est **Élevé**, le risque global est **Élevé**. L'horizon d'investissement optimal est le **court terme (&lt; 3 mois)** pour les investisseurs existants cherchant à limiter leurs pertes, tandis que les nouveaux investisseurs devraient attendre une amélioration significative des fondamentaux et une valorisation plus raisonnable.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620.57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1,113 titres</w:t>
            </w:r>
          </w:p>
        </w:tc>
        <w:tc>
          <w:tcPr>
            <w:tcW w:type="dxa" w:w="2268"/>
            <w:shd w:fill="FFF2CC" w:val="clear"/>
          </w:tcPr>
          <w:p>
            <w:r>
              <w:rPr>
                <w:b/>
                <w:color w:val="503200"/>
                <w:sz w:val="16"/>
              </w:rPr>
              <w:t xml:space="preserve">Cours actuel : </w:t>
            </w:r>
            <w:r>
              <w:rPr>
                <w:color w:val="000000"/>
                <w:sz w:val="17"/>
              </w:rPr>
              <w:t>37,700 FCFA</w:t>
            </w:r>
          </w:p>
          <w:p>
            <w:r>
              <w:rPr>
                <w:b/>
                <w:color w:val="503200"/>
                <w:sz w:val="16"/>
              </w:rPr>
              <w:t xml:space="preserve">Var. 100 jours : </w:t>
            </w:r>
            <w:r>
              <w:rPr>
                <w:b/>
                <w:color w:val="B40000"/>
                <w:sz w:val="17"/>
              </w:rPr>
              <w:t>-3.33%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2.45% (Faible) — μ=38,398 FCFA, σ=941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β=0.2446 (Défensif) — Cov=0.000008, Var(idx)=0.000031, ρ=0.073,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σ_j=1.85%/j (Stable) — Vol. annualisée≈29.4%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36,497</w:t>
            </w:r>
          </w:p>
        </w:tc>
        <w:tc>
          <w:tcPr>
            <w:tcW w:type="dxa" w:w="1440"/>
            <w:shd w:fill="FAFAFA" w:val="clear"/>
          </w:tcPr>
          <w:p>
            <w:r>
              <w:rPr>
                <w:b/>
                <w:sz w:val="17"/>
              </w:rPr>
              <w:t>37,725</w:t>
            </w:r>
          </w:p>
        </w:tc>
        <w:tc>
          <w:tcPr>
            <w:tcW w:type="dxa" w:w="1440"/>
            <w:shd w:fill="FAFAFA" w:val="clear"/>
          </w:tcPr>
          <w:p>
            <w:r>
              <w:rPr>
                <w:sz w:val="17"/>
              </w:rPr>
              <w:t>38,952</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2026-08-24</w:t>
            </w:r>
          </w:p>
        </w:tc>
        <w:tc>
          <w:tcPr>
            <w:tcW w:type="dxa" w:w="1440"/>
            <w:shd w:fill="FAFAFA" w:val="clear"/>
          </w:tcPr>
          <w:p>
            <w:r>
              <w:rPr>
                <w:sz w:val="17"/>
              </w:rPr>
              <w:t>35,956</w:t>
            </w:r>
          </w:p>
        </w:tc>
        <w:tc>
          <w:tcPr>
            <w:tcW w:type="dxa" w:w="1440"/>
            <w:shd w:fill="FAFAFA" w:val="clear"/>
          </w:tcPr>
          <w:p>
            <w:r>
              <w:rPr>
                <w:b/>
                <w:sz w:val="17"/>
              </w:rPr>
              <w:t>37,691</w:t>
            </w:r>
          </w:p>
        </w:tc>
        <w:tc>
          <w:tcPr>
            <w:tcW w:type="dxa" w:w="1440"/>
            <w:shd w:fill="FAFAFA" w:val="clear"/>
          </w:tcPr>
          <w:p>
            <w:r>
              <w:rPr>
                <w:sz w:val="17"/>
              </w:rPr>
              <w:t>39,425</w:t>
            </w:r>
          </w:p>
        </w:tc>
        <w:tc>
          <w:tcPr>
            <w:tcW w:type="dxa" w:w="1440"/>
            <w:shd w:fill="FAFAFA" w:val="clear"/>
          </w:tcPr>
          <w:p>
            <w:r>
              <w:rPr>
                <w:b/>
                <w:color w:val="C00000"/>
                <w:sz w:val="17"/>
              </w:rPr>
              <w:t>-0.0%</w:t>
            </w:r>
          </w:p>
        </w:tc>
      </w:tr>
      <w:tr>
        <w:tc>
          <w:tcPr>
            <w:tcW w:type="dxa" w:w="1440"/>
            <w:shd w:fill="FAFAFA" w:val="clear"/>
          </w:tcPr>
          <w:p>
            <w:r>
              <w:rPr>
                <w:sz w:val="17"/>
              </w:rPr>
              <w:t>J+3  ⭐⭐⭐</w:t>
            </w:r>
          </w:p>
        </w:tc>
        <w:tc>
          <w:tcPr>
            <w:tcW w:type="dxa" w:w="1440"/>
            <w:shd w:fill="FAFAFA" w:val="clear"/>
          </w:tcPr>
          <w:p>
            <w:r>
              <w:rPr>
                <w:sz w:val="17"/>
              </w:rPr>
              <w:t>2026-08-25</w:t>
            </w:r>
          </w:p>
        </w:tc>
        <w:tc>
          <w:tcPr>
            <w:tcW w:type="dxa" w:w="1440"/>
            <w:shd w:fill="FAFAFA" w:val="clear"/>
          </w:tcPr>
          <w:p>
            <w:r>
              <w:rPr>
                <w:sz w:val="17"/>
              </w:rPr>
              <w:t>35,531</w:t>
            </w:r>
          </w:p>
        </w:tc>
        <w:tc>
          <w:tcPr>
            <w:tcW w:type="dxa" w:w="1440"/>
            <w:shd w:fill="FAFAFA" w:val="clear"/>
          </w:tcPr>
          <w:p>
            <w:r>
              <w:rPr>
                <w:b/>
                <w:sz w:val="17"/>
              </w:rPr>
              <w:t>37,653</w:t>
            </w:r>
          </w:p>
        </w:tc>
        <w:tc>
          <w:tcPr>
            <w:tcW w:type="dxa" w:w="1440"/>
            <w:shd w:fill="FAFAFA" w:val="clear"/>
          </w:tcPr>
          <w:p>
            <w:r>
              <w:rPr>
                <w:sz w:val="17"/>
              </w:rPr>
              <w:t>39,775</w:t>
            </w:r>
          </w:p>
        </w:tc>
        <w:tc>
          <w:tcPr>
            <w:tcW w:type="dxa" w:w="1440"/>
            <w:shd w:fill="FAFAFA" w:val="clear"/>
          </w:tcPr>
          <w:p>
            <w:r>
              <w:rPr>
                <w:b/>
                <w:color w:val="C00000"/>
                <w:sz w:val="17"/>
              </w:rPr>
              <w:t>-0.1%</w:t>
            </w:r>
          </w:p>
        </w:tc>
      </w:tr>
      <w:tr>
        <w:tc>
          <w:tcPr>
            <w:tcW w:type="dxa" w:w="1440"/>
            <w:shd w:fill="FAFAFA" w:val="clear"/>
          </w:tcPr>
          <w:p>
            <w:r>
              <w:rPr>
                <w:sz w:val="17"/>
              </w:rPr>
              <w:t>J+4  Moyenne</w:t>
            </w:r>
          </w:p>
        </w:tc>
        <w:tc>
          <w:tcPr>
            <w:tcW w:type="dxa" w:w="1440"/>
            <w:shd w:fill="FAFAFA" w:val="clear"/>
          </w:tcPr>
          <w:p>
            <w:r>
              <w:rPr>
                <w:sz w:val="17"/>
              </w:rPr>
              <w:t>2026-08-27</w:t>
            </w:r>
          </w:p>
        </w:tc>
        <w:tc>
          <w:tcPr>
            <w:tcW w:type="dxa" w:w="1440"/>
            <w:shd w:fill="FAFAFA" w:val="clear"/>
          </w:tcPr>
          <w:p>
            <w:r>
              <w:rPr>
                <w:sz w:val="17"/>
              </w:rPr>
              <w:t>35,168</w:t>
            </w:r>
          </w:p>
        </w:tc>
        <w:tc>
          <w:tcPr>
            <w:tcW w:type="dxa" w:w="1440"/>
            <w:shd w:fill="FAFAFA" w:val="clear"/>
          </w:tcPr>
          <w:p>
            <w:r>
              <w:rPr>
                <w:b/>
                <w:sz w:val="17"/>
              </w:rPr>
              <w:t>37,616</w:t>
            </w:r>
          </w:p>
        </w:tc>
        <w:tc>
          <w:tcPr>
            <w:tcW w:type="dxa" w:w="1440"/>
            <w:shd w:fill="FAFAFA" w:val="clear"/>
          </w:tcPr>
          <w:p>
            <w:r>
              <w:rPr>
                <w:sz w:val="17"/>
              </w:rPr>
              <w:t>40,064</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2026-08-28</w:t>
            </w:r>
          </w:p>
        </w:tc>
        <w:tc>
          <w:tcPr>
            <w:tcW w:type="dxa" w:w="1440"/>
            <w:shd w:fill="FAFAFA" w:val="clear"/>
          </w:tcPr>
          <w:p>
            <w:r>
              <w:rPr>
                <w:sz w:val="17"/>
              </w:rPr>
              <w:t>34,846</w:t>
            </w:r>
          </w:p>
        </w:tc>
        <w:tc>
          <w:tcPr>
            <w:tcW w:type="dxa" w:w="1440"/>
            <w:shd w:fill="FAFAFA" w:val="clear"/>
          </w:tcPr>
          <w:p>
            <w:r>
              <w:rPr>
                <w:b/>
                <w:sz w:val="17"/>
              </w:rPr>
              <w:t>37,580</w:t>
            </w:r>
          </w:p>
        </w:tc>
        <w:tc>
          <w:tcPr>
            <w:tcW w:type="dxa" w:w="1440"/>
            <w:shd w:fill="FAFAFA" w:val="clear"/>
          </w:tcPr>
          <w:p>
            <w:r>
              <w:rPr>
                <w:sz w:val="17"/>
              </w:rPr>
              <w:t>40,314</w:t>
            </w:r>
          </w:p>
        </w:tc>
        <w:tc>
          <w:tcPr>
            <w:tcW w:type="dxa" w:w="1440"/>
            <w:shd w:fill="FAFAFA" w:val="clear"/>
          </w:tcPr>
          <w:p>
            <w:r>
              <w:rPr>
                <w:b/>
                <w:color w:val="C00000"/>
                <w:sz w:val="17"/>
              </w:rPr>
              <w:t>-0.3%</w:t>
            </w:r>
          </w:p>
        </w:tc>
      </w:tr>
      <w:tr>
        <w:tc>
          <w:tcPr>
            <w:tcW w:type="dxa" w:w="1440"/>
            <w:shd w:fill="FAFAFA" w:val="clear"/>
          </w:tcPr>
          <w:p>
            <w:r>
              <w:rPr>
                <w:sz w:val="17"/>
              </w:rPr>
              <w:t>J+6  Moyenne</w:t>
            </w:r>
          </w:p>
        </w:tc>
        <w:tc>
          <w:tcPr>
            <w:tcW w:type="dxa" w:w="1440"/>
            <w:shd w:fill="FAFAFA" w:val="clear"/>
          </w:tcPr>
          <w:p>
            <w:r>
              <w:rPr>
                <w:sz w:val="17"/>
              </w:rPr>
              <w:t>2026-08-31</w:t>
            </w:r>
          </w:p>
        </w:tc>
        <w:tc>
          <w:tcPr>
            <w:tcW w:type="dxa" w:w="1440"/>
            <w:shd w:fill="FAFAFA" w:val="clear"/>
          </w:tcPr>
          <w:p>
            <w:r>
              <w:rPr>
                <w:sz w:val="17"/>
              </w:rPr>
              <w:t>34,552</w:t>
            </w:r>
          </w:p>
        </w:tc>
        <w:tc>
          <w:tcPr>
            <w:tcW w:type="dxa" w:w="1440"/>
            <w:shd w:fill="FAFAFA" w:val="clear"/>
          </w:tcPr>
          <w:p>
            <w:r>
              <w:rPr>
                <w:b/>
                <w:sz w:val="17"/>
              </w:rPr>
              <w:t>37,545</w:t>
            </w:r>
          </w:p>
        </w:tc>
        <w:tc>
          <w:tcPr>
            <w:tcW w:type="dxa" w:w="1440"/>
            <w:shd w:fill="FAFAFA" w:val="clear"/>
          </w:tcPr>
          <w:p>
            <w:r>
              <w:rPr>
                <w:sz w:val="17"/>
              </w:rPr>
              <w:t>40,537</w:t>
            </w:r>
          </w:p>
        </w:tc>
        <w:tc>
          <w:tcPr>
            <w:tcW w:type="dxa" w:w="1440"/>
            <w:shd w:fill="FAFAFA" w:val="clear"/>
          </w:tcPr>
          <w:p>
            <w:r>
              <w:rPr>
                <w:b/>
                <w:color w:val="C00000"/>
                <w:sz w:val="17"/>
              </w:rPr>
              <w:t>-0.4%</w:t>
            </w:r>
          </w:p>
        </w:tc>
      </w:tr>
      <w:tr>
        <w:tc>
          <w:tcPr>
            <w:tcW w:type="dxa" w:w="1440"/>
            <w:shd w:fill="FAFAFA" w:val="clear"/>
          </w:tcPr>
          <w:p>
            <w:r>
              <w:rPr>
                <w:sz w:val="17"/>
              </w:rPr>
              <w:t>J+7  Moyenne</w:t>
            </w:r>
          </w:p>
        </w:tc>
        <w:tc>
          <w:tcPr>
            <w:tcW w:type="dxa" w:w="1440"/>
            <w:shd w:fill="FAFAFA" w:val="clear"/>
          </w:tcPr>
          <w:p>
            <w:r>
              <w:rPr>
                <w:sz w:val="17"/>
              </w:rPr>
              <w:t>2026-09-01</w:t>
            </w:r>
          </w:p>
        </w:tc>
        <w:tc>
          <w:tcPr>
            <w:tcW w:type="dxa" w:w="1440"/>
            <w:shd w:fill="FAFAFA" w:val="clear"/>
          </w:tcPr>
          <w:p>
            <w:r>
              <w:rPr>
                <w:sz w:val="17"/>
              </w:rPr>
              <w:t>34,281</w:t>
            </w:r>
          </w:p>
        </w:tc>
        <w:tc>
          <w:tcPr>
            <w:tcW w:type="dxa" w:w="1440"/>
            <w:shd w:fill="FAFAFA" w:val="clear"/>
          </w:tcPr>
          <w:p>
            <w:r>
              <w:rPr>
                <w:b/>
                <w:sz w:val="17"/>
              </w:rPr>
              <w:t>37,510</w:t>
            </w:r>
          </w:p>
        </w:tc>
        <w:tc>
          <w:tcPr>
            <w:tcW w:type="dxa" w:w="1440"/>
            <w:shd w:fill="FAFAFA" w:val="clear"/>
          </w:tcPr>
          <w:p>
            <w:r>
              <w:rPr>
                <w:sz w:val="17"/>
              </w:rPr>
              <w:t>40,739</w:t>
            </w:r>
          </w:p>
        </w:tc>
        <w:tc>
          <w:tcPr>
            <w:tcW w:type="dxa" w:w="1440"/>
            <w:shd w:fill="FAFAFA" w:val="clear"/>
          </w:tcPr>
          <w:p>
            <w:r>
              <w:rPr>
                <w:b/>
                <w:color w:val="C00000"/>
                <w:sz w:val="17"/>
              </w:rPr>
              <w:t>-0.5%</w:t>
            </w:r>
          </w:p>
        </w:tc>
      </w:tr>
      <w:tr>
        <w:tc>
          <w:tcPr>
            <w:tcW w:type="dxa" w:w="1440"/>
            <w:shd w:fill="FAFAFA" w:val="clear"/>
          </w:tcPr>
          <w:p>
            <w:r>
              <w:rPr>
                <w:sz w:val="17"/>
              </w:rPr>
              <w:t>J+8  Moyenne</w:t>
            </w:r>
          </w:p>
        </w:tc>
        <w:tc>
          <w:tcPr>
            <w:tcW w:type="dxa" w:w="1440"/>
            <w:shd w:fill="FAFAFA" w:val="clear"/>
          </w:tcPr>
          <w:p>
            <w:r>
              <w:rPr>
                <w:sz w:val="17"/>
              </w:rPr>
              <w:t>2026-09-02</w:t>
            </w:r>
          </w:p>
        </w:tc>
        <w:tc>
          <w:tcPr>
            <w:tcW w:type="dxa" w:w="1440"/>
            <w:shd w:fill="FAFAFA" w:val="clear"/>
          </w:tcPr>
          <w:p>
            <w:r>
              <w:rPr>
                <w:sz w:val="17"/>
              </w:rPr>
              <w:t>34,027</w:t>
            </w:r>
          </w:p>
        </w:tc>
        <w:tc>
          <w:tcPr>
            <w:tcW w:type="dxa" w:w="1440"/>
            <w:shd w:fill="FAFAFA" w:val="clear"/>
          </w:tcPr>
          <w:p>
            <w:r>
              <w:rPr>
                <w:b/>
                <w:sz w:val="17"/>
              </w:rPr>
              <w:t>37,476</w:t>
            </w:r>
          </w:p>
        </w:tc>
        <w:tc>
          <w:tcPr>
            <w:tcW w:type="dxa" w:w="1440"/>
            <w:shd w:fill="FAFAFA" w:val="clear"/>
          </w:tcPr>
          <w:p>
            <w:r>
              <w:rPr>
                <w:sz w:val="17"/>
              </w:rPr>
              <w:t>40,924</w:t>
            </w:r>
          </w:p>
        </w:tc>
        <w:tc>
          <w:tcPr>
            <w:tcW w:type="dxa" w:w="1440"/>
            <w:shd w:fill="FAFAFA" w:val="clear"/>
          </w:tcPr>
          <w:p>
            <w:r>
              <w:rPr>
                <w:b/>
                <w:color w:val="C00000"/>
                <w:sz w:val="17"/>
              </w:rPr>
              <w:t>-0.6%</w:t>
            </w:r>
          </w:p>
        </w:tc>
      </w:tr>
      <w:tr>
        <w:tc>
          <w:tcPr>
            <w:tcW w:type="dxa" w:w="1440"/>
            <w:shd w:fill="FAFAFA" w:val="clear"/>
          </w:tcPr>
          <w:p>
            <w:r>
              <w:rPr>
                <w:sz w:val="17"/>
              </w:rPr>
              <w:t>J+9  Moyenne</w:t>
            </w:r>
          </w:p>
        </w:tc>
        <w:tc>
          <w:tcPr>
            <w:tcW w:type="dxa" w:w="1440"/>
            <w:shd w:fill="FAFAFA" w:val="clear"/>
          </w:tcPr>
          <w:p>
            <w:r>
              <w:rPr>
                <w:sz w:val="17"/>
              </w:rPr>
              <w:t>2026-09-03</w:t>
            </w:r>
          </w:p>
        </w:tc>
        <w:tc>
          <w:tcPr>
            <w:tcW w:type="dxa" w:w="1440"/>
            <w:shd w:fill="FAFAFA" w:val="clear"/>
          </w:tcPr>
          <w:p>
            <w:r>
              <w:rPr>
                <w:sz w:val="17"/>
              </w:rPr>
              <w:t>33,787</w:t>
            </w:r>
          </w:p>
        </w:tc>
        <w:tc>
          <w:tcPr>
            <w:tcW w:type="dxa" w:w="1440"/>
            <w:shd w:fill="FAFAFA" w:val="clear"/>
          </w:tcPr>
          <w:p>
            <w:r>
              <w:rPr>
                <w:b/>
                <w:sz w:val="17"/>
              </w:rPr>
              <w:t>37,442</w:t>
            </w:r>
          </w:p>
        </w:tc>
        <w:tc>
          <w:tcPr>
            <w:tcW w:type="dxa" w:w="1440"/>
            <w:shd w:fill="FAFAFA" w:val="clear"/>
          </w:tcPr>
          <w:p>
            <w:r>
              <w:rPr>
                <w:sz w:val="17"/>
              </w:rPr>
              <w:t>41,096</w:t>
            </w:r>
          </w:p>
        </w:tc>
        <w:tc>
          <w:tcPr>
            <w:tcW w:type="dxa" w:w="1440"/>
            <w:shd w:fill="FAFAFA" w:val="clear"/>
          </w:tcPr>
          <w:p>
            <w:r>
              <w:rPr>
                <w:b/>
                <w:color w:val="C00000"/>
                <w:sz w:val="17"/>
              </w:rPr>
              <w:t>-0.7%</w:t>
            </w:r>
          </w:p>
        </w:tc>
      </w:tr>
      <w:tr>
        <w:tc>
          <w:tcPr>
            <w:tcW w:type="dxa" w:w="1440"/>
            <w:shd w:fill="FAFAFA" w:val="clear"/>
          </w:tcPr>
          <w:p>
            <w:r>
              <w:rPr>
                <w:sz w:val="17"/>
              </w:rPr>
              <w:t>J+10  Moyenne</w:t>
            </w:r>
          </w:p>
        </w:tc>
        <w:tc>
          <w:tcPr>
            <w:tcW w:type="dxa" w:w="1440"/>
            <w:shd w:fill="FAFAFA" w:val="clear"/>
          </w:tcPr>
          <w:p>
            <w:r>
              <w:rPr>
                <w:sz w:val="17"/>
              </w:rPr>
              <w:t>2026-09-04</w:t>
            </w:r>
          </w:p>
        </w:tc>
        <w:tc>
          <w:tcPr>
            <w:tcW w:type="dxa" w:w="1440"/>
            <w:shd w:fill="FAFAFA" w:val="clear"/>
          </w:tcPr>
          <w:p>
            <w:r>
              <w:rPr>
                <w:sz w:val="17"/>
              </w:rPr>
              <w:t>33,560</w:t>
            </w:r>
          </w:p>
        </w:tc>
        <w:tc>
          <w:tcPr>
            <w:tcW w:type="dxa" w:w="1440"/>
            <w:shd w:fill="FAFAFA" w:val="clear"/>
          </w:tcPr>
          <w:p>
            <w:r>
              <w:rPr>
                <w:b/>
                <w:sz w:val="17"/>
              </w:rPr>
              <w:t>37,408</w:t>
            </w:r>
          </w:p>
        </w:tc>
        <w:tc>
          <w:tcPr>
            <w:tcW w:type="dxa" w:w="1440"/>
            <w:shd w:fill="FAFAFA" w:val="clear"/>
          </w:tcPr>
          <w:p>
            <w:r>
              <w:rPr>
                <w:sz w:val="17"/>
              </w:rPr>
              <w:t>41,257</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620,57 milliards FCFA, ce qui en fait l'une des valeurs les plus significatives de la BRVM, reflétant la position dominante de SOLIBRA dans le secteur des boissons en Afrique de l'Ouest. Le BPA de 2 781 FCFA indique que chaque action génère un bénéfice substantiel, justifiant un PER de 13,6x, légèrement supérieur à la moyenne historique de la BRVM (8-12x), ce qui traduit une prime de croissance accordée par le marché aux excellentes performances récentes de l'entreprise. Le P/B de 3,18x confirme cette prime, le marché valorisant la société à plus de trois fois sa valeur comptable, signe de confiance dans la création de valeur future. Enfin, l'EV/EBITDA de 7,4x reste dans une zone raisonnable (5-10x), indiquant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-3,33%, avec une dernière séance en baisse de -0,79%, s'établissant à 37 700 FCFA. Le titre a évolué dans une fourchette relativement étroite entre 35 540 FCFA (plus bas) et 41 500 FCFA (plus haut), soit une amplitude d'environ 16,8%, indiquant une tendance globalement baissière mais sans effondrement brutal. La moyenne de 38 398 FCFA et la médiane de 38 498 FCFA sont très proches, confirmant une distribution symétrique des cours, corroborée par un skewness de 0,134. L'écart-type de 946 FCFA avec un coefficient de variation de seulement 2,5% révèle une dispersion très faible, le titre évoluant dans un couloir resserré. Le kurtosis de 0,336 (mésokurtique) indique l'absence de mouvements extrêmes ou de pics de volatilité inhabituels. La volatilité annualisée de 29,4% place le titre dans la catégorie modérée à élevée, ce qui est cohérent avec les variations observées sur la période.</w:t>
      </w:r>
    </w:p>
    <w:p>
      <w:pPr>
        <w:spacing w:after="120" w:line="276" w:lineRule="auto" w:before="240"/>
      </w:pPr>
      <w:r>
        <w:rPr>
          <w:b/>
          <w:color w:val="003366"/>
          <w:sz w:val="24"/>
        </w:rPr>
        <w:t>**PARTIE 2 : ANALYSE TECHNIQUE DÉTAILLÉE**</w:t>
      </w:r>
    </w:p>
    <w:p>
      <w:pPr>
        <w:spacing w:after="120" w:line="276" w:lineRule="auto"/>
      </w:pPr>
      <w:r>
        <w:t>**Moyennes Mobiles** : La MM20 à 37 954 FCFA et la MM50 à 38 663 FCFA sont toutes deux supérieures au cours actuel de 37 700 FCFA, avec une MM50 au-dessus de la MM20, configuration typique d'une tendance baissière à moyen terme. Le croisement baissier des moyennes mobiles et la position du cours sous ces niveaux clés justifient la décision de vente, le titre peinant à retrouver une dynamique haussière.</w:t>
      </w:r>
    </w:p>
    <w:p>
      <w:pPr>
        <w:spacing w:after="120" w:line="276" w:lineRule="auto"/>
      </w:pPr>
      <w:r>
        <w:t>**Bandes de Bollinger** : Le cours se situe à 37 700 FCFA, proche de la borne inférieure à 36 069,68 FCFA et nettement sous la borne supérieure à 39 838,82 FCFA. Cette position suggère que le titre évolue dans la moitié inférieure de son canal de volatilité, sans toutefois atteindre des niveaux extrêmes. La décision neutre s'explique par l'absence de cassure franche, le marché attendant un signal directionnel plus clair.</w:t>
      </w:r>
    </w:p>
    <w:p>
      <w:pPr>
        <w:spacing w:after="120" w:line="276" w:lineRule="auto"/>
      </w:pPr>
      <w:r>
        <w:t>**MACD** : Le MACD à -326,65 est supérieur à sa ligne de signal à -378,22, indiquant un croisement haussier récent malgré des valeurs négatives. Cette configuration suggère un ralentissement de la dynamique baissière et un potentiel retournement à court terme, justifiant la décision d'achat. Le momentum semble s'améliorer progressivement, même si la tendance de fond reste négative.</w:t>
      </w:r>
    </w:p>
    <w:p>
      <w:pPr>
        <w:spacing w:after="120" w:line="276" w:lineRule="auto"/>
      </w:pPr>
      <w:r>
        <w:t>**RSI** : Avec une valeur de 35,97, le RSI se situe dans la zone neutre (30-70), mais proche de la zone de survente. Cette position indique que le titre n'est ni suracheté ni survendu, mais que la pression vendeuse s'atténue. La décision neutre reflète l'absence de signal fort, le marché attendant une direction claire.</w:t>
      </w:r>
    </w:p>
    <w:p>
      <w:pPr>
        <w:spacing w:after="120" w:line="276" w:lineRule="auto"/>
      </w:pPr>
      <w:r>
        <w:t>**Stochastique** : Le %K à 72,73 est nettement supérieur au %D à 44,55, indiquant un croisement haussier récent. Cette configuration suggère un potentiel de rebond à court terme, le %K ayant rapidement remonté. La décision neutre s'explique par la divergence entre les deux lignes, qui n'est pas encore confirmée par une tendance soutenue.</w:t>
      </w:r>
    </w:p>
    <w:p>
      <w:pPr>
        <w:spacing w:after="120" w:line="276" w:lineRule="auto"/>
      </w:pPr>
      <w:r>
        <w:t>**Conclusion technique** : La convergence des signaux est mitigée : les moyennes mobiles restent baissières, mais le MACD et le stochastique montrent des signes de retournement haussier. Le RSI neutre et les bandes de Bollinger sans cassure indiquent une phase de consolidation. Globalement, le titre semble en train de former un plancher, avec un potentiel de rebond technique à court terme, mais sans confirmation franche d'un renversement de tendance.</w:t>
      </w:r>
    </w:p>
    <w:p>
      <w:pPr>
        <w:spacing w:after="120" w:line="276" w:lineRule="auto" w:before="240"/>
      </w:pPr>
      <w:r>
        <w:rPr>
          <w:b/>
          <w:color w:val="003366"/>
          <w:sz w:val="24"/>
        </w:rPr>
        <w:t>**PARTIE 3 : ANALYSE FONDAMENTALE (SECTION CRITIQUE)**</w:t>
      </w:r>
    </w:p>
    <w:p>
      <w:pPr>
        <w:spacing w:after="120" w:line="276" w:lineRule="auto"/>
      </w:pPr>
      <w:r>
        <w:t>En 2025, SLBC a réalisé un chiffre d'affaires de 378,123 milliards FCFA, en croissance de 22,1% par rapport à 2024, avec un résultat net de 45,781 milliards FCFA, soit une marge nette de 12,1% contre 6,9% l'année précédente. Le ROE s'établit à 23,46% et le ROA à 13,48%, des niveaux excellents témoignant d'une gestion très efficace des capitaux propres et des actifs. En tant qu'entreprise industrielle, l'analyse des délais d'exploitation révèle un délai clients de 64 jours, un délai fournisseurs de 77 jours et une durée de stockage de 117 jours, indiquant un BFR de 61,587 milliards FCFA, financé par un fonds de roulement de 83,689 milliards FCFA, laissant une trésorerie nette positive de 22,117 milliards FCFA. Le rapport du premier trimestre 2026 (daté de 2026) confirme cette dynamique avec un CA de 93,46 milliards FCFA (+7,6%) et un résultat net de 16,26 milliards FCFA (+4,8%), suggérant une poursuite de la croissance, bien qu'à un rythme plus modéré. Les performances 2025 marquent une amélioration spectaculaire par rapport à 2024 (CA de 309,7 milliards, résultat net de 21,47 milliards) et 2023 (CA de 311,4 milliards, résultat net de 15,08 milliards), illustrant une trajectoire ascendante remarquable. La solidité financière est confirmée par une autonomie financière de 57,5%, une capacité de remboursement de 0,67 an et une couverture des intérêts de 3 374%. Le dividende proposé de 2 127 FCFA par action pour 2025, avec un taux de distribution de 76,5%, reflète une politique généreuse de rémunération des actionnaires. La recommandation fondamentale est clairement ACHAT, portée par des fondamentaux exceptionnels, une croissance soutenue et une situation financière robuste.</w:t>
      </w:r>
    </w:p>
    <w:p>
      <w:pPr>
        <w:spacing w:after="120" w:line="276" w:lineRule="auto" w:before="240"/>
      </w:pPr>
      <w:r>
        <w:rPr>
          <w:b/>
          <w:color w:val="003366"/>
          <w:sz w:val="24"/>
        </w:rPr>
        <w:t>**PARTIE 4 : CONCLUSION D'INVESTISSEMENT**</w:t>
      </w:r>
    </w:p>
    <w:p>
      <w:pPr>
        <w:spacing w:after="120" w:line="276" w:lineRule="auto"/>
      </w:pPr>
      <w:r>
        <w:t>La valorisation de SLBC (PER de 13,6x, P/B de 3,18x, EV/EBITDA de 7,4x) indique une prime de croissance justifiée par des fondamentaux exceptionnels, mais le cours a reculé de 3,33% sur 100 jours avec une volatilité modérée, évoluant dans un canal baissier technique. Les signaux techniques sont mitigés : les moyennes mobiles restent vendeuses, mais le MACD et le stochastique suggèrent un potentiel de rebond, tandis que le RSI neutre et les bandes de Bollinger indiquent une consolidation. Les fondamentaux sont indiscutablement solides avec une croissance du CA de 22% en 2025, un résultat net doublé, un ROE de 23,5% et une trésorerie nette positive de 22 milliards FCFA, confirmés par un T1 2026 en croissance. Les prédictions IA sur 10 jours (37 725 à 37 580 FCFA) suggèrent une stabilisation du cours autour de 37 500-37 700 FCFA, sans cassure majeure. La convergence entre des fondamentaux excellents, une valorisation raisonnable et des signaux techniques de retournement imminent justifie une recommandation **ACHAT** avec un niveau de confiance **Élevé** et un risque global **Faible**. L'horizon d'investissement optimal est le **moyen terme (3-12 mois)**, permettant de capter à la fois le potentiel de rebond technique et la poursuite de la création de valeur fondamentale, avec un rendement de dividende attractif en soutien.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1,273 titres</w:t>
            </w:r>
          </w:p>
        </w:tc>
        <w:tc>
          <w:tcPr>
            <w:tcW w:type="dxa" w:w="2268"/>
            <w:shd w:fill="FFF2CC" w:val="clear"/>
          </w:tcPr>
          <w:p>
            <w:r>
              <w:rPr>
                <w:b/>
                <w:color w:val="503200"/>
                <w:sz w:val="16"/>
              </w:rPr>
              <w:t xml:space="preserve">Cours actuel : </w:t>
            </w:r>
            <w:r>
              <w:rPr>
                <w:color w:val="000000"/>
                <w:sz w:val="17"/>
              </w:rPr>
              <w:t>16,620 FCFA</w:t>
            </w:r>
          </w:p>
          <w:p>
            <w:r>
              <w:rPr>
                <w:b/>
                <w:color w:val="503200"/>
                <w:sz w:val="16"/>
              </w:rPr>
              <w:t xml:space="preserve">Var. 100 jours : </w:t>
            </w:r>
            <w:r>
              <w:rPr>
                <w:b/>
                <w:color w:val="007800"/>
                <w:sz w:val="17"/>
              </w:rPr>
              <w:t>+28.09%</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14.98% (Moyenne) — μ=14,434 FCFA, σ=2,162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β=-0.6917 (Contre-cyclique) — Cov=-0.000022, Var(idx)=0.000031, ρ=-0.161,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2026-08-21</w:t>
            </w:r>
          </w:p>
        </w:tc>
        <w:tc>
          <w:tcPr>
            <w:tcW w:type="dxa" w:w="1440"/>
            <w:shd w:fill="FAFAFA" w:val="clear"/>
          </w:tcPr>
          <w:p>
            <w:r>
              <w:rPr>
                <w:sz w:val="17"/>
              </w:rPr>
              <w:t>15,818</w:t>
            </w:r>
          </w:p>
        </w:tc>
        <w:tc>
          <w:tcPr>
            <w:tcW w:type="dxa" w:w="1440"/>
            <w:shd w:fill="FAFAFA" w:val="clear"/>
          </w:tcPr>
          <w:p>
            <w:r>
              <w:rPr>
                <w:b/>
                <w:sz w:val="17"/>
              </w:rPr>
              <w:t>16,418</w:t>
            </w:r>
          </w:p>
        </w:tc>
        <w:tc>
          <w:tcPr>
            <w:tcW w:type="dxa" w:w="1440"/>
            <w:shd w:fill="FAFAFA" w:val="clear"/>
          </w:tcPr>
          <w:p>
            <w:r>
              <w:rPr>
                <w:sz w:val="17"/>
              </w:rPr>
              <w:t>17,018</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2026-08-24</w:t>
            </w:r>
          </w:p>
        </w:tc>
        <w:tc>
          <w:tcPr>
            <w:tcW w:type="dxa" w:w="1440"/>
            <w:shd w:fill="FAFAFA" w:val="clear"/>
          </w:tcPr>
          <w:p>
            <w:r>
              <w:rPr>
                <w:sz w:val="17"/>
              </w:rPr>
              <w:t>15,522</w:t>
            </w:r>
          </w:p>
        </w:tc>
        <w:tc>
          <w:tcPr>
            <w:tcW w:type="dxa" w:w="1440"/>
            <w:shd w:fill="FAFAFA" w:val="clear"/>
          </w:tcPr>
          <w:p>
            <w:r>
              <w:rPr>
                <w:b/>
                <w:sz w:val="17"/>
              </w:rPr>
              <w:t>16,368</w:t>
            </w:r>
          </w:p>
        </w:tc>
        <w:tc>
          <w:tcPr>
            <w:tcW w:type="dxa" w:w="1440"/>
            <w:shd w:fill="FAFAFA" w:val="clear"/>
          </w:tcPr>
          <w:p>
            <w:r>
              <w:rPr>
                <w:sz w:val="17"/>
              </w:rPr>
              <w:t>17,214</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2026-08-25</w:t>
            </w:r>
          </w:p>
        </w:tc>
        <w:tc>
          <w:tcPr>
            <w:tcW w:type="dxa" w:w="1440"/>
            <w:shd w:fill="FAFAFA" w:val="clear"/>
          </w:tcPr>
          <w:p>
            <w:r>
              <w:rPr>
                <w:sz w:val="17"/>
              </w:rPr>
              <w:t>15,272</w:t>
            </w:r>
          </w:p>
        </w:tc>
        <w:tc>
          <w:tcPr>
            <w:tcW w:type="dxa" w:w="1440"/>
            <w:shd w:fill="FAFAFA" w:val="clear"/>
          </w:tcPr>
          <w:p>
            <w:r>
              <w:rPr>
                <w:b/>
                <w:sz w:val="17"/>
              </w:rPr>
              <w:t>16,304</w:t>
            </w:r>
          </w:p>
        </w:tc>
        <w:tc>
          <w:tcPr>
            <w:tcW w:type="dxa" w:w="1440"/>
            <w:shd w:fill="FAFAFA" w:val="clear"/>
          </w:tcPr>
          <w:p>
            <w:r>
              <w:rPr>
                <w:sz w:val="17"/>
              </w:rPr>
              <w:t>17,335</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15,057</w:t>
            </w:r>
          </w:p>
        </w:tc>
        <w:tc>
          <w:tcPr>
            <w:tcW w:type="dxa" w:w="1440"/>
            <w:shd w:fill="FFDCE0" w:val="clear"/>
          </w:tcPr>
          <w:p>
            <w:r>
              <w:rPr>
                <w:b/>
                <w:sz w:val="17"/>
              </w:rPr>
              <w:t>16,244</w:t>
            </w:r>
          </w:p>
        </w:tc>
        <w:tc>
          <w:tcPr>
            <w:tcW w:type="dxa" w:w="1440"/>
            <w:shd w:fill="FFDCE0" w:val="clear"/>
          </w:tcPr>
          <w:p>
            <w:r>
              <w:rPr>
                <w:sz w:val="17"/>
              </w:rPr>
              <w:t>17,431</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14,864</w:t>
            </w:r>
          </w:p>
        </w:tc>
        <w:tc>
          <w:tcPr>
            <w:tcW w:type="dxa" w:w="1440"/>
            <w:shd w:fill="FFDCE0" w:val="clear"/>
          </w:tcPr>
          <w:p>
            <w:r>
              <w:rPr>
                <w:b/>
                <w:sz w:val="17"/>
              </w:rPr>
              <w:t>16,187</w:t>
            </w:r>
          </w:p>
        </w:tc>
        <w:tc>
          <w:tcPr>
            <w:tcW w:type="dxa" w:w="1440"/>
            <w:shd w:fill="FFDCE0" w:val="clear"/>
          </w:tcPr>
          <w:p>
            <w:r>
              <w:rPr>
                <w:sz w:val="17"/>
              </w:rPr>
              <w:t>17,509</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14,687</w:t>
            </w:r>
          </w:p>
        </w:tc>
        <w:tc>
          <w:tcPr>
            <w:tcW w:type="dxa" w:w="1440"/>
            <w:shd w:fill="FFDCE0" w:val="clear"/>
          </w:tcPr>
          <w:p>
            <w:r>
              <w:rPr>
                <w:b/>
                <w:sz w:val="17"/>
              </w:rPr>
              <w:t>16,131</w:t>
            </w:r>
          </w:p>
        </w:tc>
        <w:tc>
          <w:tcPr>
            <w:tcW w:type="dxa" w:w="1440"/>
            <w:shd w:fill="FFDCE0" w:val="clear"/>
          </w:tcPr>
          <w:p>
            <w:r>
              <w:rPr>
                <w:sz w:val="17"/>
              </w:rPr>
              <w:t>17,575</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14,521</w:t>
            </w:r>
          </w:p>
        </w:tc>
        <w:tc>
          <w:tcPr>
            <w:tcW w:type="dxa" w:w="1440"/>
            <w:shd w:fill="FFDCE0" w:val="clear"/>
          </w:tcPr>
          <w:p>
            <w:r>
              <w:rPr>
                <w:b/>
                <w:sz w:val="17"/>
              </w:rPr>
              <w:t>16,076</w:t>
            </w:r>
          </w:p>
        </w:tc>
        <w:tc>
          <w:tcPr>
            <w:tcW w:type="dxa" w:w="1440"/>
            <w:shd w:fill="FFDCE0" w:val="clear"/>
          </w:tcPr>
          <w:p>
            <w:r>
              <w:rPr>
                <w:sz w:val="17"/>
              </w:rPr>
              <w:t>17,630</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14,365</w:t>
            </w:r>
          </w:p>
        </w:tc>
        <w:tc>
          <w:tcPr>
            <w:tcW w:type="dxa" w:w="1440"/>
            <w:shd w:fill="FFDCE0" w:val="clear"/>
          </w:tcPr>
          <w:p>
            <w:r>
              <w:rPr>
                <w:b/>
                <w:sz w:val="17"/>
              </w:rPr>
              <w:t>16,021</w:t>
            </w:r>
          </w:p>
        </w:tc>
        <w:tc>
          <w:tcPr>
            <w:tcW w:type="dxa" w:w="1440"/>
            <w:shd w:fill="FFDCE0" w:val="clear"/>
          </w:tcPr>
          <w:p>
            <w:r>
              <w:rPr>
                <w:sz w:val="17"/>
              </w:rPr>
              <w:t>17,677</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14,217</w:t>
            </w:r>
          </w:p>
        </w:tc>
        <w:tc>
          <w:tcPr>
            <w:tcW w:type="dxa" w:w="1440"/>
            <w:shd w:fill="FFDCE0" w:val="clear"/>
          </w:tcPr>
          <w:p>
            <w:r>
              <w:rPr>
                <w:b/>
                <w:sz w:val="17"/>
              </w:rPr>
              <w:t>15,967</w:t>
            </w:r>
          </w:p>
        </w:tc>
        <w:tc>
          <w:tcPr>
            <w:tcW w:type="dxa" w:w="1440"/>
            <w:shd w:fill="FFDCE0" w:val="clear"/>
          </w:tcPr>
          <w:p>
            <w:r>
              <w:rPr>
                <w:sz w:val="17"/>
              </w:rPr>
              <w:t>17,718</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14,076</w:t>
            </w:r>
          </w:p>
        </w:tc>
        <w:tc>
          <w:tcPr>
            <w:tcW w:type="dxa" w:w="1440"/>
            <w:shd w:fill="FFDCE0" w:val="clear"/>
          </w:tcPr>
          <w:p>
            <w:r>
              <w:rPr>
                <w:b/>
                <w:sz w:val="17"/>
              </w:rPr>
              <w:t>15,915</w:t>
            </w:r>
          </w:p>
        </w:tc>
        <w:tc>
          <w:tcPr>
            <w:tcW w:type="dxa" w:w="1440"/>
            <w:shd w:fill="FFDCE0" w:val="clear"/>
          </w:tcPr>
          <w:p>
            <w:r>
              <w:rPr>
                <w:sz w:val="17"/>
              </w:rPr>
              <w:t>17,754</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129,56 milliards FCFA, un niveau significatif qui la positionne parmi les valeurs moyennes de la BRVM. Avec un BPA de 1 677 FCFA, chaque action génère un bénéfice substantiel, justifiant un PER de 9,9x, légèrement sous la moyenne du marché (8-12x), ce qui suggère une sous-évaluation relative du titre. Le P/B de 3,02x indique que le marché valorise la société à plus de trois fois ses capitaux propres, traduisant une prime de croissance accordée par les investisseurs. L'EV/EBITDA de 6,2x, dans la fourchette raisonnable de 5-10x, confirme une valorisation cohérente avec la capacité opérationnelle de l'entreprise. Ces ratios, globalement attractifs, suggèrent que le titre n'est pas surévalué malgré sa récente progression.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affiche une progression remarquable de +28,09%, avec une dernière séance en hausse de +0,73% à 16 620 FCFA. Le titre a évolué dans une fourchette large de 11 450 FCFA (plus bas) à 17 735 FCFA (plus haut), démontrant une forte dynamique haussière. La moyenne (14 434 FCFA) est inférieure à la médiane (15 438 FCFA), indiquant une asymétrie positive avec des valeurs extrêmes élevées récentes. L'écart-type de 2 173 FCFA (CV=15,1%) reflète une dispersion modérée des cours. Le kurtosis de -1,632 (platykurtique) suggère une distribution aplatie avec peu de pics extrêmes, tandis que le skewness de -0,087 indique une symétrie quasi parfaite. La volatilité annualisée de 37,8% classe le titre comme très volatil, ce qui implique un risque élevé mais aussi un potentiel de rendement important.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16 193 FCFA et la MM50 à 16 427 FCFA sont toutes deux inférieures au cours actuel de 16 620 FCFA, indiquant une tendance haussière à court terme. Cependant, la MM50 est supérieure à la MM20, suggérant un possible retournement baissier à moyen terme. La décision de "Vente" signale que le prix pourrait avoir dépassé son niveau d'équilibre.</w:t>
      </w:r>
    </w:p>
    <w:p>
      <w:pPr>
        <w:spacing w:after="120" w:line="276" w:lineRule="auto"/>
      </w:pPr>
      <w:r>
        <w:t>**Bandes de Bollinger** : Le cours à 16 620 FCFA se situe dans la partie supérieure des bandes (borne supérieure à 16 954 FCFA, borne inférieure à 15 431 FCFA), indiquant une pression acheteuse soutenue. La position proche de la borne supérieure suggère une volatilité élevée et un marché potentiellement suracheté. La décision "Neutre" reflète l'attente d'une consolidation possible.</w:t>
      </w:r>
    </w:p>
    <w:p>
      <w:pPr>
        <w:spacing w:after="120" w:line="276" w:lineRule="auto"/>
      </w:pPr>
      <w:r>
        <w:t>**MACD** : Le MACD (109,445) est nettement supérieur à son signal (74,623), confirmant un momentum haussier fort. Cette divergence positive indique que la tendance haussière est toujours en vigueur. La décision "Achat" est cohérente avec cette configuration technique favorable.</w:t>
      </w:r>
    </w:p>
    <w:p>
      <w:pPr>
        <w:spacing w:after="120" w:line="276" w:lineRule="auto"/>
      </w:pPr>
      <w:r>
        <w:t>**RSI** : Le RSI à 75,543 dépasse largement le seuil de surachat (70), signalant que le titre est techniquement suracheté. Cette situation suggère un risque de correction à court terme, d'où la décision "Vente". Les investisseurs pourraient être tentés de prendre leurs profits.</w:t>
      </w:r>
    </w:p>
    <w:p>
      <w:pPr>
        <w:spacing w:after="120" w:line="276" w:lineRule="auto"/>
      </w:pPr>
      <w:r>
        <w:t>**Stochastique** : Le %K à 100,0 et le %D à 92,308 sont en zone de surachat extrême, avec un %K nettement supérieur au %D. Cette configuration indique un épuisement potentiel de la dynamique haussière. La décision "Vente" reflète ce risque de retournement imminent.</w:t>
      </w:r>
    </w:p>
    <w:p>
      <w:pPr>
        <w:spacing w:after="120" w:line="276" w:lineRule="auto"/>
      </w:pPr>
      <w:r>
        <w:t>**Conclusion technique** : Les indicateurs sont partagés entre un momentum haussier (MACD) et des conditions de surachat (RSI, Stochastique). La tendance reste positive mais un essoufflement est probable à court terme. La prudence est recommandée, avec un possible repli vers les moyennes mobiles avant une reprise.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mais un résultat net en forte progression de +50,3% à 13,075 milliards FCFA. La marge nette s'améliore spectaculairement à 6,3% (contre 3,8% en 2024), et le ROE atteint 30,47%, un niveau excellent (&gt;15%). Le ROA de 7,26% confirme une bonne utilisation des actifs. La structure financière s'est renforcée avec des capitaux propres de 42,913 milliards FCFA (+21,6%) et une trésorerie nette positive de 23,988 milliards FCFA. Le BFR de 1,693 milliards FCFA est faible, mais le délai clients de 193,75 jours reste élevé, constituant un risque de trésorerie. L'endettement est maîtrisé avec une capacité de remboursement de 0,68 an. Les rapports trimestriels 2025 montrent une amélioration continue des marges opérationnelles (5,4% au T3 2025), malgré une baisse du CA liée à la chute des prix du Brent. Le rapport de DeepSeek (2026-05-12) recommande de conserver le titre, soulignant la performance opérationnelle exceptionnelle mais la prudence face à la baisse du CA. Les perspectives 2026 sont positives avec une demande locale soutenue par les chantiers routiers et un redressement attendu des exportations.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(PER 9,9x, P/B 3,02x, EV/EBITDA 6,2x) indique une sous-évaluation relative avec une prime de croissance justifiée par la forte rentabilité. Le comportement du cours sur 100 jours (+28,09%) montre une tendance haussière soutenue, mais la volatilité élevée (37,8%) et le kurtosis platykurtique suggèrent un risque de retournement. Les signaux techniques sont mitigés : le MACD reste positif mais le RSI et le Stochastique en surachat appellent à la prudence. Les fondamentaux sont solides avec un ROE exceptionnel de 30,47% et une trésorerie abondante, malgré une baisse du CA. Les prédictions IA (16 418 à 16 187 FCFA sur 10 jours) anticipent une légère correction, cohérente avec les signaux de surachat technique. La convergence entre la sous-évaluation fondamentale et la prudence technique suggère une consolidation à court terme avant une possible reprise. **Recommandation : CONSERVER** avec un niveau de confiance Moyen et un risque global Moyen. L'horizon optimal est le moyen terme (3-12 mois), en attendant une confirmation de la reprise du chiffre d'affaires et un apaisement des indicateurs techniques.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3440.00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9,469 titres</w:t>
            </w:r>
          </w:p>
        </w:tc>
        <w:tc>
          <w:tcPr>
            <w:tcW w:type="dxa" w:w="2268"/>
            <w:shd w:fill="FFF2CC" w:val="clear"/>
          </w:tcPr>
          <w:p>
            <w:r>
              <w:rPr>
                <w:b/>
                <w:color w:val="503200"/>
                <w:sz w:val="16"/>
              </w:rPr>
              <w:t xml:space="preserve">Cours actuel : </w:t>
            </w:r>
            <w:r>
              <w:rPr>
                <w:color w:val="000000"/>
                <w:sz w:val="17"/>
              </w:rPr>
              <w:t>34,400 FCFA</w:t>
            </w:r>
          </w:p>
          <w:p>
            <w:r>
              <w:rPr>
                <w:b/>
                <w:color w:val="503200"/>
                <w:sz w:val="16"/>
              </w:rPr>
              <w:t xml:space="preserve">Var. 100 jours : </w:t>
            </w:r>
            <w:r>
              <w:rPr>
                <w:b/>
                <w:color w:val="007800"/>
                <w:sz w:val="17"/>
              </w:rPr>
              <w:t>+21.02%</w:t>
            </w:r>
          </w:p>
          <w:p>
            <w:r>
              <w:rPr>
                <w:b/>
                <w:color w:val="503200"/>
                <w:sz w:val="16"/>
              </w:rPr>
              <w:t xml:space="preserve">Plus haut 100j : </w:t>
            </w:r>
            <w:r>
              <w:rPr>
                <w:color w:val="000000"/>
                <w:sz w:val="17"/>
              </w:rPr>
              <w:t>34,400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5.17% (Moyenne) — μ=29,592 FCFA, σ=1,530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β=1.2735 (Agressif) — Cov=0.000040, Var(idx)=0.000031, ρ=0.443,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9,469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32,175</w:t>
            </w:r>
          </w:p>
        </w:tc>
        <w:tc>
          <w:tcPr>
            <w:tcW w:type="dxa" w:w="1440"/>
            <w:shd w:fill="FFDCE0" w:val="clear"/>
          </w:tcPr>
          <w:p>
            <w:r>
              <w:rPr>
                <w:b/>
                <w:sz w:val="17"/>
              </w:rPr>
              <w:t>33,124</w:t>
            </w:r>
          </w:p>
        </w:tc>
        <w:tc>
          <w:tcPr>
            <w:tcW w:type="dxa" w:w="1440"/>
            <w:shd w:fill="FFDCE0" w:val="clear"/>
          </w:tcPr>
          <w:p>
            <w:r>
              <w:rPr>
                <w:sz w:val="17"/>
              </w:rPr>
              <w:t>34,074</w:t>
            </w:r>
          </w:p>
        </w:tc>
        <w:tc>
          <w:tcPr>
            <w:tcW w:type="dxa" w:w="1440"/>
            <w:shd w:fill="FFDCE0" w:val="clear"/>
          </w:tcPr>
          <w:p>
            <w:r>
              <w:rPr>
                <w:b/>
                <w:color w:val="C00000"/>
                <w:sz w:val="17"/>
              </w:rPr>
              <w:t>-3.7%</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31,820</w:t>
            </w:r>
          </w:p>
        </w:tc>
        <w:tc>
          <w:tcPr>
            <w:tcW w:type="dxa" w:w="1440"/>
            <w:shd w:fill="FFDCE0" w:val="clear"/>
          </w:tcPr>
          <w:p>
            <w:r>
              <w:rPr>
                <w:b/>
                <w:sz w:val="17"/>
              </w:rPr>
              <w:t>33,164</w:t>
            </w:r>
          </w:p>
        </w:tc>
        <w:tc>
          <w:tcPr>
            <w:tcW w:type="dxa" w:w="1440"/>
            <w:shd w:fill="FFDCE0" w:val="clear"/>
          </w:tcPr>
          <w:p>
            <w:r>
              <w:rPr>
                <w:sz w:val="17"/>
              </w:rPr>
              <w:t>34,508</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31,432</w:t>
            </w:r>
          </w:p>
        </w:tc>
        <w:tc>
          <w:tcPr>
            <w:tcW w:type="dxa" w:w="1440"/>
            <w:shd w:fill="FFDCE0" w:val="clear"/>
          </w:tcPr>
          <w:p>
            <w:r>
              <w:rPr>
                <w:b/>
                <w:sz w:val="17"/>
              </w:rPr>
              <w:t>33,074</w:t>
            </w:r>
          </w:p>
        </w:tc>
        <w:tc>
          <w:tcPr>
            <w:tcW w:type="dxa" w:w="1440"/>
            <w:shd w:fill="FFDCE0" w:val="clear"/>
          </w:tcPr>
          <w:p>
            <w:r>
              <w:rPr>
                <w:sz w:val="17"/>
              </w:rPr>
              <w:t>34,715</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31,098</w:t>
            </w:r>
          </w:p>
        </w:tc>
        <w:tc>
          <w:tcPr>
            <w:tcW w:type="dxa" w:w="1440"/>
            <w:shd w:fill="FFDCE0" w:val="clear"/>
          </w:tcPr>
          <w:p>
            <w:r>
              <w:rPr>
                <w:b/>
                <w:sz w:val="17"/>
              </w:rPr>
              <w:t>32,989</w:t>
            </w:r>
          </w:p>
        </w:tc>
        <w:tc>
          <w:tcPr>
            <w:tcW w:type="dxa" w:w="1440"/>
            <w:shd w:fill="FFDCE0" w:val="clear"/>
          </w:tcPr>
          <w:p>
            <w:r>
              <w:rPr>
                <w:sz w:val="17"/>
              </w:rPr>
              <w:t>34,879</w:t>
            </w:r>
          </w:p>
        </w:tc>
        <w:tc>
          <w:tcPr>
            <w:tcW w:type="dxa" w:w="1440"/>
            <w:shd w:fill="FFDCE0" w:val="clear"/>
          </w:tcPr>
          <w:p>
            <w:r>
              <w:rPr>
                <w:b/>
                <w:color w:val="C00000"/>
                <w:sz w:val="17"/>
              </w:rPr>
              <w:t>-4.1%</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30,814</w:t>
            </w:r>
          </w:p>
        </w:tc>
        <w:tc>
          <w:tcPr>
            <w:tcW w:type="dxa" w:w="1440"/>
            <w:shd w:fill="FFDCE0" w:val="clear"/>
          </w:tcPr>
          <w:p>
            <w:r>
              <w:rPr>
                <w:b/>
                <w:sz w:val="17"/>
              </w:rPr>
              <w:t>32,923</w:t>
            </w:r>
          </w:p>
        </w:tc>
        <w:tc>
          <w:tcPr>
            <w:tcW w:type="dxa" w:w="1440"/>
            <w:shd w:fill="FFDCE0" w:val="clear"/>
          </w:tcPr>
          <w:p>
            <w:r>
              <w:rPr>
                <w:sz w:val="17"/>
              </w:rPr>
              <w:t>35,033</w:t>
            </w:r>
          </w:p>
        </w:tc>
        <w:tc>
          <w:tcPr>
            <w:tcW w:type="dxa" w:w="1440"/>
            <w:shd w:fill="FFDCE0" w:val="clear"/>
          </w:tcPr>
          <w:p>
            <w:r>
              <w:rPr>
                <w:b/>
                <w:color w:val="C00000"/>
                <w:sz w:val="17"/>
              </w:rPr>
              <w:t>-4.3%</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30,562</w:t>
            </w:r>
          </w:p>
        </w:tc>
        <w:tc>
          <w:tcPr>
            <w:tcW w:type="dxa" w:w="1440"/>
            <w:shd w:fill="FFDCE0" w:val="clear"/>
          </w:tcPr>
          <w:p>
            <w:r>
              <w:rPr>
                <w:b/>
                <w:sz w:val="17"/>
              </w:rPr>
              <w:t>32,869</w:t>
            </w:r>
          </w:p>
        </w:tc>
        <w:tc>
          <w:tcPr>
            <w:tcW w:type="dxa" w:w="1440"/>
            <w:shd w:fill="FFDCE0" w:val="clear"/>
          </w:tcPr>
          <w:p>
            <w:r>
              <w:rPr>
                <w:sz w:val="17"/>
              </w:rPr>
              <w:t>35,176</w:t>
            </w:r>
          </w:p>
        </w:tc>
        <w:tc>
          <w:tcPr>
            <w:tcW w:type="dxa" w:w="1440"/>
            <w:shd w:fill="FFDCE0" w:val="clear"/>
          </w:tcPr>
          <w:p>
            <w:r>
              <w:rPr>
                <w:b/>
                <w:color w:val="C00000"/>
                <w:sz w:val="17"/>
              </w:rPr>
              <w:t>-4.5%</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30,331</w:t>
            </w:r>
          </w:p>
        </w:tc>
        <w:tc>
          <w:tcPr>
            <w:tcW w:type="dxa" w:w="1440"/>
            <w:shd w:fill="FFDCE0" w:val="clear"/>
          </w:tcPr>
          <w:p>
            <w:r>
              <w:rPr>
                <w:b/>
                <w:sz w:val="17"/>
              </w:rPr>
              <w:t>32,820</w:t>
            </w:r>
          </w:p>
        </w:tc>
        <w:tc>
          <w:tcPr>
            <w:tcW w:type="dxa" w:w="1440"/>
            <w:shd w:fill="FFDCE0" w:val="clear"/>
          </w:tcPr>
          <w:p>
            <w:r>
              <w:rPr>
                <w:sz w:val="17"/>
              </w:rPr>
              <w:t>35,308</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30,116</w:t>
            </w:r>
          </w:p>
        </w:tc>
        <w:tc>
          <w:tcPr>
            <w:tcW w:type="dxa" w:w="1440"/>
            <w:shd w:fill="FFDCE0" w:val="clear"/>
          </w:tcPr>
          <w:p>
            <w:r>
              <w:rPr>
                <w:b/>
                <w:sz w:val="17"/>
              </w:rPr>
              <w:t>32,773</w:t>
            </w:r>
          </w:p>
        </w:tc>
        <w:tc>
          <w:tcPr>
            <w:tcW w:type="dxa" w:w="1440"/>
            <w:shd w:fill="FFDCE0" w:val="clear"/>
          </w:tcPr>
          <w:p>
            <w:r>
              <w:rPr>
                <w:sz w:val="17"/>
              </w:rPr>
              <w:t>35,429</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29,914</w:t>
            </w:r>
          </w:p>
        </w:tc>
        <w:tc>
          <w:tcPr>
            <w:tcW w:type="dxa" w:w="1440"/>
            <w:shd w:fill="FFDCE0" w:val="clear"/>
          </w:tcPr>
          <w:p>
            <w:r>
              <w:rPr>
                <w:b/>
                <w:sz w:val="17"/>
              </w:rPr>
              <w:t>32,727</w:t>
            </w:r>
          </w:p>
        </w:tc>
        <w:tc>
          <w:tcPr>
            <w:tcW w:type="dxa" w:w="1440"/>
            <w:shd w:fill="FFDCE0" w:val="clear"/>
          </w:tcPr>
          <w:p>
            <w:r>
              <w:rPr>
                <w:sz w:val="17"/>
              </w:rPr>
              <w:t>35,540</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29,721</w:t>
            </w:r>
          </w:p>
        </w:tc>
        <w:tc>
          <w:tcPr>
            <w:tcW w:type="dxa" w:w="1440"/>
            <w:shd w:fill="FFDCE0" w:val="clear"/>
          </w:tcPr>
          <w:p>
            <w:r>
              <w:rPr>
                <w:b/>
                <w:sz w:val="17"/>
              </w:rPr>
              <w:t>32,682</w:t>
            </w:r>
          </w:p>
        </w:tc>
        <w:tc>
          <w:tcPr>
            <w:tcW w:type="dxa" w:w="1440"/>
            <w:shd w:fill="FFDCE0" w:val="clear"/>
          </w:tcPr>
          <w:p>
            <w:r>
              <w:rPr>
                <w:sz w:val="17"/>
              </w:rPr>
              <w:t>35,644</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20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3 440 milliards FCFA, ce qui en fait la valeur la plus lourde et la plus liquide du marché de la BRVM, représentant une part significative de l'indice composite. Avec un BPA de 4 136 FCFA, le titre se négocie à un PER de 8,3x, un niveau inférieur à la moyenne historique de la place (~8-12x), suggérant une décote relative et un potentiel de revalorisation. Le P/B de 2,46x indique que le marché valorise la société à plus de deux fois ses capitaux propres, ce qui est cohérent avec une prime de croissance pour un leader régional. Enfin, un EV/EBITDA de 3,6x, très inférieur au seuil de 5x, confirme une valorisation boursière très attractive au regard de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remarquable de +21,02%, avec une stabilité lors de la dernière séance (0,00%). Le titre a évolué dans un range de 27 160 FCFA (plus bas) à 34 400 FCFA (plus haut), démontrant une dynamique haussière soutenue. La moyenne du cours sur la période (29 592 FCFA) est supérieure à la médiane (28 900 FCFA), et le skewness positif de 1,038 indique une asymétrie avec des journées plus fréquentes sous la moyenne, mais des mouvements de hausse plus amples. L'écart-type de 1 537 FCFA (CV=5,2%) reflète une dispersion modérée, tandis que le kurtosis de 0,244 (mésokurtique) suggère une distribution proche de la normale, sans risque de pics extrêmes. La volatilité annualisée de 26,8% classe le titre dans une zone de volatilité modérée à élevée, typique des valeurs de croissance sur ce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(34 400 FCFA) se situe nettement au-dessus de la MM20 (31 750 FCFA) et de la MM50 (30 543 FCFA), confirmant une tendance haussière de court et moyen terme. La configuration des MM en pente ascendante renforce le signal d'achat, indiquant que la dynamique positive est toujours en place.</w:t>
      </w:r>
    </w:p>
    <w:p>
      <w:pPr>
        <w:spacing w:after="120" w:line="276" w:lineRule="auto"/>
      </w:pPr>
      <w:r>
        <w:t>**Bandes de Bollinger** : Le prix a franchi la borne supérieure (33 873 FCFA), ce qui signale une phase de surachat temporaire. Cette sortie de canal, combinée à un écart-type en expansion, suggère une volatilité accrue et un possible retour vers la moyenne (MM20) à court terme. La décision de vente est donc justifiée par une extension excessive des prix.</w:t>
      </w:r>
    </w:p>
    <w:p>
      <w:pPr>
        <w:spacing w:after="120" w:line="276" w:lineRule="auto"/>
      </w:pPr>
      <w:r>
        <w:t>**MACD** : La valeur du MACD (755,1) est supérieure à son signal (510,8), avec un écart positif croissant. Cette configuration indique un momentum haussier puissant et une accélération de la tendance. Le signal d'achat est confirmé, même si un éventuel croisement baissier pourrait apparaître après une période de consolidation.</w:t>
      </w:r>
    </w:p>
    <w:p>
      <w:pPr>
        <w:spacing w:after="120" w:line="276" w:lineRule="auto"/>
      </w:pPr>
      <w:r>
        <w:t>**RSI** : À 78,3, le RSI est en zone de surachat (&gt;70), signalant que le titre est temporairement surévalué d'un point de vue technique. Cette lecture suggère une correction ou une consolidation à venir, justifiant la décision de vente pour les traders à court terme.</w:t>
      </w:r>
    </w:p>
    <w:p>
      <w:pPr>
        <w:spacing w:after="120" w:line="276" w:lineRule="auto"/>
      </w:pPr>
      <w:r>
        <w:t>**Stochastique** : %K et %D sont tous deux à 100, en zone de surachat extrême. Cette configuration reflète une pression acheteuse très forte, mais historiquement, un tel niveau précède souvent un retournement baissier. La décision de vente est donc cohérente avec ce signal de retournement potentiel.</w:t>
      </w:r>
    </w:p>
    <w:p>
      <w:pPr>
        <w:spacing w:after="120" w:line="276" w:lineRule="auto"/>
      </w:pPr>
      <w:r>
        <w:t>**Conclusion technique** : Les indicateurs de tendance (MM, MACD) sont positifs, mais les oscillateurs (RSI, Stochastique, Bollinger) signalent un surachat prononcé. La convergence de ces signaux suggère une pause dans la tendance haussière, avec un risque de correction à court terme avant une reprise de la dynamique.</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performances financières solides : un chiffre d'affaires de 1 923,1 milliards FCFA (+8,3% vs 2024) et un résultat net de 413,6 milliards FCFA (+5,1%). La marge nette s'établit à 21,5%, le ROE à 29,6% et le ROA à 12,6%, des niveaux excellents qui confirment une gestion efficiente. La structure financière est saine avec une autonomie financière de 42,8% et un BFR négatif de -284,9 milliards FCFA, signe d'une trésorerie excédentaire. Le délai clients de 46 jours est maîtrisé, tandis que le délai fournisseurs de 201 jours offre un avantage de trésorerie significatif. Les rapports trimestriels 2025 (T1, S1, T3) montrent une croissance régulière du CA (+8,6% à 9M) et une marge EBITDAaL stable autour de 47,8%. Le rapport S1 2026, publié en juillet 2026, confirme cette dynamique avec un CA de 1 049,8 milliards FCFA (+9,3%) et un résultat net de 230 milliards FCFA (+10,5%). Le dividende proposé pour 2025 est de 1 933 FCFA brut par action (1 740 FCFA net), offrant un rendement attractif. La notation AAA (wu) de GCR Ratings et l'obtention de licences 5G renforcent les perspectives de croissance à long terme.</w:t>
      </w:r>
    </w:p>
    <w:p>
      <w:pPr>
        <w:spacing w:after="120" w:line="276" w:lineRule="auto"/>
      </w:pPr>
      <w:r>
        <w:t>---</w:t>
      </w:r>
    </w:p>
    <w:p>
      <w:pPr>
        <w:spacing w:after="120" w:line="276" w:lineRule="auto"/>
      </w:pPr>
      <w:r>
        <w:t>### PARTIE 4 : CONCLUSION D'INVESTISSEMENT</w:t>
      </w:r>
    </w:p>
    <w:p>
      <w:pPr>
        <w:spacing w:after="120" w:line="276" w:lineRule="auto"/>
      </w:pPr>
      <w:r>
        <w:t>La valorisation de SNTS (PER 8,3x, EV/EBITDA 3,6x) indique une sous-évaluation relative malgré la hausse récente du cours, tandis que les fondamentaux (ROE 29,6%, croissance du CA de +8,3% en 2025 et +9,3% au S1 2026) restent excellents. Le comportement du cours montre une tendance haussière solide, mais les statistiques (skewness positif, volatilité de 26,8%) et les signaux techniques de surachat (RSI 78,3, Stochastique 100, sortie des bandes de Bollinger) suggèrent une consolidation à court terme. Les prédictions IA (33 124 FCFA à J+10) confirment ce scénario de léger repli technique, sans remettre en cause la tendance de fond. La convergence entre la sous-évaluation fondamentale et la solidité financière plaide pour une stratégie d'accumulation. **Recommandation : ACHAT** avec un niveau de confiance **Élevé**, un risque global **Moyen** (volatilité et pression réglementaire), et un horizon d'investissement **moyen terme (3-12 mois)** pour profiter du potentiel de revalorisation après la phase de consolidation technique.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177.03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5,796 titres</w:t>
            </w:r>
          </w:p>
        </w:tc>
        <w:tc>
          <w:tcPr>
            <w:tcW w:type="dxa" w:w="2268"/>
            <w:shd w:fill="FFF2CC" w:val="clear"/>
          </w:tcPr>
          <w:p>
            <w:r>
              <w:rPr>
                <w:b/>
                <w:color w:val="503200"/>
                <w:sz w:val="16"/>
              </w:rPr>
              <w:t xml:space="preserve">Cours actuel : </w:t>
            </w:r>
            <w:r>
              <w:rPr>
                <w:color w:val="000000"/>
                <w:sz w:val="17"/>
              </w:rPr>
              <w:t>8,195 FCFA</w:t>
            </w:r>
          </w:p>
          <w:p>
            <w:r>
              <w:rPr>
                <w:b/>
                <w:color w:val="503200"/>
                <w:sz w:val="16"/>
              </w:rPr>
              <w:t xml:space="preserve">Var. 100 jours : </w:t>
            </w:r>
            <w:r>
              <w:rPr>
                <w:b/>
                <w:color w:val="007800"/>
                <w:sz w:val="17"/>
              </w:rPr>
              <w:t>+2.82%</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4.80% (Faible) — μ=7,974 FCFA, σ=383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β=0.2581 (Défensif) — Cov=0.000008, Var(idx)=0.000031, ρ=0.061,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2026-08-21</w:t>
            </w:r>
          </w:p>
        </w:tc>
        <w:tc>
          <w:tcPr>
            <w:tcW w:type="dxa" w:w="1440"/>
            <w:shd w:fill="FAFAFA" w:val="clear"/>
          </w:tcPr>
          <w:p>
            <w:r>
              <w:rPr>
                <w:sz w:val="17"/>
              </w:rPr>
              <w:t>7,801</w:t>
            </w:r>
          </w:p>
        </w:tc>
        <w:tc>
          <w:tcPr>
            <w:tcW w:type="dxa" w:w="1440"/>
            <w:shd w:fill="FAFAFA" w:val="clear"/>
          </w:tcPr>
          <w:p>
            <w:r>
              <w:rPr>
                <w:b/>
                <w:sz w:val="17"/>
              </w:rPr>
              <w:t>8,180</w:t>
            </w:r>
          </w:p>
        </w:tc>
        <w:tc>
          <w:tcPr>
            <w:tcW w:type="dxa" w:w="1440"/>
            <w:shd w:fill="FAFAFA" w:val="clear"/>
          </w:tcPr>
          <w:p>
            <w:r>
              <w:rPr>
                <w:sz w:val="17"/>
              </w:rPr>
              <w:t>8,559</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2026-08-24</w:t>
            </w:r>
          </w:p>
        </w:tc>
        <w:tc>
          <w:tcPr>
            <w:tcW w:type="dxa" w:w="1440"/>
            <w:shd w:fill="FAFAFA" w:val="clear"/>
          </w:tcPr>
          <w:p>
            <w:r>
              <w:rPr>
                <w:sz w:val="17"/>
              </w:rPr>
              <w:t>7,652</w:t>
            </w:r>
          </w:p>
        </w:tc>
        <w:tc>
          <w:tcPr>
            <w:tcW w:type="dxa" w:w="1440"/>
            <w:shd w:fill="FAFAFA" w:val="clear"/>
          </w:tcPr>
          <w:p>
            <w:r>
              <w:rPr>
                <w:b/>
                <w:sz w:val="17"/>
              </w:rPr>
              <w:t>8,188</w:t>
            </w:r>
          </w:p>
        </w:tc>
        <w:tc>
          <w:tcPr>
            <w:tcW w:type="dxa" w:w="1440"/>
            <w:shd w:fill="FAFAFA" w:val="clear"/>
          </w:tcPr>
          <w:p>
            <w:r>
              <w:rPr>
                <w:sz w:val="17"/>
              </w:rPr>
              <w:t>8,725</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2026-08-25</w:t>
            </w:r>
          </w:p>
        </w:tc>
        <w:tc>
          <w:tcPr>
            <w:tcW w:type="dxa" w:w="1440"/>
            <w:shd w:fill="FAFAFA" w:val="clear"/>
          </w:tcPr>
          <w:p>
            <w:r>
              <w:rPr>
                <w:sz w:val="17"/>
              </w:rPr>
              <w:t>7,539</w:t>
            </w:r>
          </w:p>
        </w:tc>
        <w:tc>
          <w:tcPr>
            <w:tcW w:type="dxa" w:w="1440"/>
            <w:shd w:fill="FAFAFA" w:val="clear"/>
          </w:tcPr>
          <w:p>
            <w:r>
              <w:rPr>
                <w:b/>
                <w:sz w:val="17"/>
              </w:rPr>
              <w:t>8,197</w:t>
            </w:r>
          </w:p>
        </w:tc>
        <w:tc>
          <w:tcPr>
            <w:tcW w:type="dxa" w:w="1440"/>
            <w:shd w:fill="FAFAFA" w:val="clear"/>
          </w:tcPr>
          <w:p>
            <w:r>
              <w:rPr>
                <w:sz w:val="17"/>
              </w:rPr>
              <w:t>8,855</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2026-08-27</w:t>
            </w:r>
          </w:p>
        </w:tc>
        <w:tc>
          <w:tcPr>
            <w:tcW w:type="dxa" w:w="1440"/>
            <w:shd w:fill="FAFAFA" w:val="clear"/>
          </w:tcPr>
          <w:p>
            <w:r>
              <w:rPr>
                <w:sz w:val="17"/>
              </w:rPr>
              <w:t>7,448</w:t>
            </w:r>
          </w:p>
        </w:tc>
        <w:tc>
          <w:tcPr>
            <w:tcW w:type="dxa" w:w="1440"/>
            <w:shd w:fill="FAFAFA" w:val="clear"/>
          </w:tcPr>
          <w:p>
            <w:r>
              <w:rPr>
                <w:b/>
                <w:sz w:val="17"/>
              </w:rPr>
              <w:t>8,209</w:t>
            </w:r>
          </w:p>
        </w:tc>
        <w:tc>
          <w:tcPr>
            <w:tcW w:type="dxa" w:w="1440"/>
            <w:shd w:fill="FAFAFA" w:val="clear"/>
          </w:tcPr>
          <w:p>
            <w:r>
              <w:rPr>
                <w:sz w:val="17"/>
              </w:rPr>
              <w:t>8,970</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2026-08-28</w:t>
            </w:r>
          </w:p>
        </w:tc>
        <w:tc>
          <w:tcPr>
            <w:tcW w:type="dxa" w:w="1440"/>
            <w:shd w:fill="FAFAFA" w:val="clear"/>
          </w:tcPr>
          <w:p>
            <w:r>
              <w:rPr>
                <w:sz w:val="17"/>
              </w:rPr>
              <w:t>7,369</w:t>
            </w:r>
          </w:p>
        </w:tc>
        <w:tc>
          <w:tcPr>
            <w:tcW w:type="dxa" w:w="1440"/>
            <w:shd w:fill="FAFAFA" w:val="clear"/>
          </w:tcPr>
          <w:p>
            <w:r>
              <w:rPr>
                <w:b/>
                <w:sz w:val="17"/>
              </w:rPr>
              <w:t>8,220</w:t>
            </w:r>
          </w:p>
        </w:tc>
        <w:tc>
          <w:tcPr>
            <w:tcW w:type="dxa" w:w="1440"/>
            <w:shd w:fill="FAFAFA" w:val="clear"/>
          </w:tcPr>
          <w:p>
            <w:r>
              <w:rPr>
                <w:sz w:val="17"/>
              </w:rPr>
              <w:t>9,072</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2026-08-31</w:t>
            </w:r>
          </w:p>
        </w:tc>
        <w:tc>
          <w:tcPr>
            <w:tcW w:type="dxa" w:w="1440"/>
            <w:shd w:fill="FAFAFA" w:val="clear"/>
          </w:tcPr>
          <w:p>
            <w:r>
              <w:rPr>
                <w:sz w:val="17"/>
              </w:rPr>
              <w:t>7,297</w:t>
            </w:r>
          </w:p>
        </w:tc>
        <w:tc>
          <w:tcPr>
            <w:tcW w:type="dxa" w:w="1440"/>
            <w:shd w:fill="FAFAFA" w:val="clear"/>
          </w:tcPr>
          <w:p>
            <w:r>
              <w:rPr>
                <w:b/>
                <w:sz w:val="17"/>
              </w:rPr>
              <w:t>8,232</w:t>
            </w:r>
          </w:p>
        </w:tc>
        <w:tc>
          <w:tcPr>
            <w:tcW w:type="dxa" w:w="1440"/>
            <w:shd w:fill="FAFAFA" w:val="clear"/>
          </w:tcPr>
          <w:p>
            <w:r>
              <w:rPr>
                <w:sz w:val="17"/>
              </w:rPr>
              <w:t>9,166</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2026-09-01</w:t>
            </w:r>
          </w:p>
        </w:tc>
        <w:tc>
          <w:tcPr>
            <w:tcW w:type="dxa" w:w="1440"/>
            <w:shd w:fill="FAFAFA" w:val="clear"/>
          </w:tcPr>
          <w:p>
            <w:r>
              <w:rPr>
                <w:sz w:val="17"/>
              </w:rPr>
              <w:t>7,233</w:t>
            </w:r>
          </w:p>
        </w:tc>
        <w:tc>
          <w:tcPr>
            <w:tcW w:type="dxa" w:w="1440"/>
            <w:shd w:fill="FAFAFA" w:val="clear"/>
          </w:tcPr>
          <w:p>
            <w:r>
              <w:rPr>
                <w:b/>
                <w:sz w:val="17"/>
              </w:rPr>
              <w:t>8,243</w:t>
            </w:r>
          </w:p>
        </w:tc>
        <w:tc>
          <w:tcPr>
            <w:tcW w:type="dxa" w:w="1440"/>
            <w:shd w:fill="FAFAFA" w:val="clear"/>
          </w:tcPr>
          <w:p>
            <w:r>
              <w:rPr>
                <w:sz w:val="17"/>
              </w:rPr>
              <w:t>9,254</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2026-09-02</w:t>
            </w:r>
          </w:p>
        </w:tc>
        <w:tc>
          <w:tcPr>
            <w:tcW w:type="dxa" w:w="1440"/>
            <w:shd w:fill="FAFAFA" w:val="clear"/>
          </w:tcPr>
          <w:p>
            <w:r>
              <w:rPr>
                <w:sz w:val="17"/>
              </w:rPr>
              <w:t>7,173</w:t>
            </w:r>
          </w:p>
        </w:tc>
        <w:tc>
          <w:tcPr>
            <w:tcW w:type="dxa" w:w="1440"/>
            <w:shd w:fill="FAFAFA" w:val="clear"/>
          </w:tcPr>
          <w:p>
            <w:r>
              <w:rPr>
                <w:b/>
                <w:sz w:val="17"/>
              </w:rPr>
              <w:t>8,255</w:t>
            </w:r>
          </w:p>
        </w:tc>
        <w:tc>
          <w:tcPr>
            <w:tcW w:type="dxa" w:w="1440"/>
            <w:shd w:fill="FAFAFA" w:val="clear"/>
          </w:tcPr>
          <w:p>
            <w:r>
              <w:rPr>
                <w:sz w:val="17"/>
              </w:rPr>
              <w:t>9,336</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2026-09-03</w:t>
            </w:r>
          </w:p>
        </w:tc>
        <w:tc>
          <w:tcPr>
            <w:tcW w:type="dxa" w:w="1440"/>
            <w:shd w:fill="FAFAFA" w:val="clear"/>
          </w:tcPr>
          <w:p>
            <w:r>
              <w:rPr>
                <w:sz w:val="17"/>
              </w:rPr>
              <w:t>7,117</w:t>
            </w:r>
          </w:p>
        </w:tc>
        <w:tc>
          <w:tcPr>
            <w:tcW w:type="dxa" w:w="1440"/>
            <w:shd w:fill="FAFAFA" w:val="clear"/>
          </w:tcPr>
          <w:p>
            <w:r>
              <w:rPr>
                <w:b/>
                <w:sz w:val="17"/>
              </w:rPr>
              <w:t>8,266</w:t>
            </w:r>
          </w:p>
        </w:tc>
        <w:tc>
          <w:tcPr>
            <w:tcW w:type="dxa" w:w="1440"/>
            <w:shd w:fill="FAFAFA" w:val="clear"/>
          </w:tcPr>
          <w:p>
            <w:r>
              <w:rPr>
                <w:sz w:val="17"/>
              </w:rPr>
              <w:t>9,415</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2026-09-04</w:t>
            </w:r>
          </w:p>
        </w:tc>
        <w:tc>
          <w:tcPr>
            <w:tcW w:type="dxa" w:w="1440"/>
            <w:shd w:fill="FAFAFA" w:val="clear"/>
          </w:tcPr>
          <w:p>
            <w:r>
              <w:rPr>
                <w:sz w:val="17"/>
              </w:rPr>
              <w:t>7,064</w:t>
            </w:r>
          </w:p>
        </w:tc>
        <w:tc>
          <w:tcPr>
            <w:tcW w:type="dxa" w:w="1440"/>
            <w:shd w:fill="FAFAFA" w:val="clear"/>
          </w:tcPr>
          <w:p>
            <w:r>
              <w:rPr>
                <w:b/>
                <w:sz w:val="17"/>
              </w:rPr>
              <w:t>8,277</w:t>
            </w:r>
          </w:p>
        </w:tc>
        <w:tc>
          <w:tcPr>
            <w:tcW w:type="dxa" w:w="1440"/>
            <w:shd w:fill="FAFAFA" w:val="clear"/>
          </w:tcPr>
          <w:p>
            <w:r>
              <w:rPr>
                <w:sz w:val="17"/>
              </w:rPr>
              <w:t>9,490</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SOGC s'établit à 177,03 milliards FCFA, ce qui en fait une valeur de première importance sur la BRVM, reflétant la confiance des investisseurs dans ce leader agro-industriel. Avec un BPA de 578 FCFA, chaque action génère un bénéfice substantiel, justifiant un PER de 14,2x. Ce ratio, bien que supérieur à la moyenne historique de la BRVM (8-12x), reste modéré et témoigne d'une valorisation raisonnable pour une société affichant une croissance soutenue. Le P/B de 2,59x indique que le marché valorise la société à plus du double de sa valeur comptable, une prime de croissance justifiée par ses performances. Enfin, un EV/EBITDA de 7,4x, situé dans la fourchette raisonnable, confirme que la valeur totale de l'entreprise reste attractive par rapport à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SOGC affiche une progression modeste de +2,82%, avec une légère baisse de -1,15% lors de la dernière séance, signe d'une consolidation après une période de hausse. Le cours a évolué dans un range de 7 100 à 8 600 FCFA, démontrant une amplitude de trading notable. La moyenne (7 974 FCFA) et la médiane (7 995 FCFA) sont très proches, indiquant une distribution des prix relativement symétrique, tandis que le mode à 7 700 FCFA suggère un niveau de prix fréquemment touché. L'écart-type de 385 FCFA, avec un coefficient de variation de 4,8%, révèle une dispersion modérée des cours autour de la moyenne. Le kurtosis négatif (-0,943) indique une distribution mésokurtique, avec un risque de mouvements extrêmes plus faible que la normale. Le skewness de -0,331, bien que légèrement négatif, confirme une asymétrie mineure. La volatilité annualisée de 37,8% classe le titre comme très volatil, un niveau élevé qui requiert une attention particulière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(8 195 FCFA) se situe sous la MM20 (8 062,75 FCFA) mais au-dessus de la MM50 (8 216,4 FCFA), créant une configuration ambiguë. La position sous la MM20 indique une faiblesse à court terme, tandis que le maintien au-dessus de la MM50 suggère une tendance de fond positive. La décision de "Vente" est justifiée par la dynamique baissière à court terme.</w:t>
      </w:r>
    </w:p>
    <w:p>
      <w:pPr>
        <w:spacing w:after="120" w:line="276" w:lineRule="auto"/>
      </w:pPr>
      <w:r>
        <w:t>**Bandes de Bollinger** : Le prix se positionne entre la borne inférieure (7 542,45 FCFA) et la borne supérieure (8 583,05 FCFA), plus proche de la borne supérieure, indiquant une pression acheteuse modérée. La largeur des bandes reflète la volatilité élevée du titre. La décision "Neutre" est appropriée, le cours n'étant pas en situation de surachat ou de survente extrême.</w:t>
      </w:r>
    </w:p>
    <w:p>
      <w:pPr>
        <w:spacing w:after="120" w:line="276" w:lineRule="auto"/>
      </w:pPr>
      <w:r>
        <w:t>**MACD** : La valeur du MACD (-54,324) est supérieure à sa ligne de signal (-79,132), formant un croisement haussier. Cette configuration indique un momentum positif en train de se construire, suggérant un potentiel de hausse à moyen terme. La décision "Achat" est cohérente avec cette dynamique émergente.</w:t>
      </w:r>
    </w:p>
    <w:p>
      <w:pPr>
        <w:spacing w:after="120" w:line="276" w:lineRule="auto"/>
      </w:pPr>
      <w:r>
        <w:t>**RSI** : Avec une valeur de 51,618, le RSI se situe en zone neutre, indiquant un équilibre entre pressions acheteuses et vendeuses. Ce niveau n'est ni suracheté ni survendu, laissant une marge de manœuvre pour une évolution future. La décision "Neutre" est justifiée.</w:t>
      </w:r>
    </w:p>
    <w:p>
      <w:pPr>
        <w:spacing w:after="120" w:line="276" w:lineRule="auto"/>
      </w:pPr>
      <w:r>
        <w:t>**Stochastique** : Le %K (81,106) est supérieur au %D (74,962), mais les deux valeurs sont élevées, proches de la zone de surachat. Cette configuration suggère un essoufflement potentiel de la dynamique haussière à court terme. La décision "Vente" est prudente, anticipant un possible repli.</w:t>
      </w:r>
    </w:p>
    <w:p>
      <w:pPr>
        <w:spacing w:after="120" w:line="276" w:lineRule="auto"/>
      </w:pPr>
      <w:r>
        <w:t>**Conclusion technique** : Les indicateurs sont mitigés, avec un MACD haussier contrastant avec des moyennes mobiles baissières et un stochastique en surachat. Cette divergence suggère une phase de consolidation avec un biais haussier à moyen terme, mais un risque de correction à court terme. La prudence est de mise.</w:t>
      </w:r>
    </w:p>
    <w:p>
      <w:pPr>
        <w:spacing w:after="120" w:line="276" w:lineRule="auto" w:before="240"/>
      </w:pPr>
      <w:r>
        <w:rPr>
          <w:b/>
          <w:color w:val="003366"/>
          <w:sz w:val="24"/>
        </w:rPr>
        <w:t>**PARTIE 3 : ANALYSE FONDAMENTALE (SECTION CRITIQUE)**</w:t>
      </w:r>
    </w:p>
    <w:p>
      <w:pPr>
        <w:spacing w:after="120" w:line="276" w:lineRule="auto"/>
      </w:pPr>
      <w:r>
        <w:t>En 2025, SOGC a réalisé un chiffre d'affaires de 98,979 milliards FCFA, en croissance de 10,7% par rapport à 2024, et un résultat net de 12,493 milliards FCFA. La rentabilité reste excellente avec un ROE de 18,26% et un ROA de 13,84%, bien que le résultat net soit en légère baisse de 5% par rapport à 2024 (13,11 milliards FCFA), comme le confirme le rapport annuel 2025. La marge nette s'établit à 12,62%, en retrait par rapport aux 14% de 2024, impactée par la hausse de 15% des coûts des matières premières. La structure financière est très saine avec une autonomie financière de 75,79% et une capacité de remboursement quasi nulle (0,04 an). Le BFR de 7,124 milliards FCFA est positif, mais la trésorerie nette de 4,575 milliards FCFA offre une marge de sécurité. Les délais clients (29,6 jours) et fournisseurs (31,72 jours) sont équilibrés, mais la durée de stockage (97,67 jours) est élevée. Les rapports trimestriels 2025 montrent une performance exceptionnelle au T1 (CA +63,1%, RN +262,9%) et au S1 (CA +51,9%, RN +151,6%), mais un ralentissement au 9M (CA +21,3%, RN +39,5%), confirmant la tendance baissière des prix du caoutchouc au S2. Sur la base de ces données, on estime que l'exercice 2025, bien que moins spectaculaire que 2024, reste solide, avec un dividende proposé de 570 FCFA par action, offrant un rendement attractif d'environ 7%.</w:t>
      </w:r>
    </w:p>
    <w:p>
      <w:pPr>
        <w:spacing w:after="120" w:line="276" w:lineRule="auto" w:before="240"/>
      </w:pPr>
      <w:r>
        <w:rPr>
          <w:b/>
          <w:color w:val="003366"/>
          <w:sz w:val="24"/>
        </w:rPr>
        <w:t>**PARTIE 4 : CONCLUSION D'INVESTISSEMENT**</w:t>
      </w:r>
    </w:p>
    <w:p>
      <w:pPr>
        <w:spacing w:after="120" w:line="276" w:lineRule="auto"/>
      </w:pPr>
      <w:r>
        <w:t>La valorisation de SOGC (PER 14,2x, P/B 2,59x, EV/EBITDA 7,4x) est raisonnable, reflétant une prime de croissance justifiée par des fondamentaux solides. Le comportement du cours sur 100 jours montre une tendance stable avec une volatilité élevée (37,8%), mais des statistiques (kurtosis et skewness) rassurantes. Les signaux techniques sont mitigés, avec un MACD haussier contre des MM et un stochastique baissiers, suggérant une consolidation. Les fondamentaux restent robustes avec un ROE de 18,26%, une croissance du CA de 10,7% en 2025, et une politique de dividende généreuse (570 FCFA/action). Les prédictions IA (8 180 à 8 220 FCFA sur 10 jours) confirment une légère tendance haussière, en ligne avec le MACD. La convergence entre la valorisation raisonnable, les fondamentaux solides et les prédictions IA positives, malgré des signaux techniques mitigés, conduit à une recommandation **CONSERVER**. Le niveau de confiance est **Moyen**, le risque global est **Moyen**, et l'horizon d'investissement optimal est le **moyen terme (3-12 mois)**, en attendant une clarification de la tendance technique et une stabilisation des prix des matières premières.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228.49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5,233 titres</w:t>
            </w:r>
          </w:p>
        </w:tc>
        <w:tc>
          <w:tcPr>
            <w:tcW w:type="dxa" w:w="2268"/>
            <w:shd w:fill="FFF2CC" w:val="clear"/>
          </w:tcPr>
          <w:p>
            <w:r>
              <w:rPr>
                <w:b/>
                <w:color w:val="503200"/>
                <w:sz w:val="16"/>
              </w:rPr>
              <w:t xml:space="preserve">Cours actuel : </w:t>
            </w:r>
            <w:r>
              <w:rPr>
                <w:color w:val="000000"/>
                <w:sz w:val="17"/>
              </w:rPr>
              <w:t>8,940 FCFA</w:t>
            </w:r>
          </w:p>
          <w:p>
            <w:r>
              <w:rPr>
                <w:b/>
                <w:color w:val="503200"/>
                <w:sz w:val="16"/>
              </w:rPr>
              <w:t xml:space="preserve">Var. 100 jours : </w:t>
            </w:r>
            <w:r>
              <w:rPr>
                <w:b/>
                <w:color w:val="007800"/>
                <w:sz w:val="17"/>
              </w:rPr>
              <w:t>+24.17%</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6.07% (Moyenne) — μ=7,449 FCFA, σ=452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β=0.8252 (Neutre (suit le marché)) — Cov=0.000026, Var(idx)=0.000031, ρ=0.210,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2026-08-21</w:t>
            </w:r>
          </w:p>
        </w:tc>
        <w:tc>
          <w:tcPr>
            <w:tcW w:type="dxa" w:w="1440"/>
            <w:shd w:fill="FAFAFA" w:val="clear"/>
          </w:tcPr>
          <w:p>
            <w:r>
              <w:rPr>
                <w:sz w:val="17"/>
              </w:rPr>
              <w:t>8,528</w:t>
            </w:r>
          </w:p>
        </w:tc>
        <w:tc>
          <w:tcPr>
            <w:tcW w:type="dxa" w:w="1440"/>
            <w:shd w:fill="FAFAFA" w:val="clear"/>
          </w:tcPr>
          <w:p>
            <w:r>
              <w:rPr>
                <w:b/>
                <w:sz w:val="17"/>
              </w:rPr>
              <w:t>8,961</w:t>
            </w:r>
          </w:p>
        </w:tc>
        <w:tc>
          <w:tcPr>
            <w:tcW w:type="dxa" w:w="1440"/>
            <w:shd w:fill="FAFAFA" w:val="clear"/>
          </w:tcPr>
          <w:p>
            <w:r>
              <w:rPr>
                <w:sz w:val="17"/>
              </w:rPr>
              <w:t>9,394</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2026-08-24</w:t>
            </w:r>
          </w:p>
        </w:tc>
        <w:tc>
          <w:tcPr>
            <w:tcW w:type="dxa" w:w="1440"/>
            <w:shd w:fill="FAFAFA" w:val="clear"/>
          </w:tcPr>
          <w:p>
            <w:r>
              <w:rPr>
                <w:sz w:val="17"/>
              </w:rPr>
              <w:t>8,302</w:t>
            </w:r>
          </w:p>
        </w:tc>
        <w:tc>
          <w:tcPr>
            <w:tcW w:type="dxa" w:w="1440"/>
            <w:shd w:fill="FAFAFA" w:val="clear"/>
          </w:tcPr>
          <w:p>
            <w:r>
              <w:rPr>
                <w:b/>
                <w:sz w:val="17"/>
              </w:rPr>
              <w:t>8,911</w:t>
            </w:r>
          </w:p>
        </w:tc>
        <w:tc>
          <w:tcPr>
            <w:tcW w:type="dxa" w:w="1440"/>
            <w:shd w:fill="FAFAFA" w:val="clear"/>
          </w:tcPr>
          <w:p>
            <w:r>
              <w:rPr>
                <w:sz w:val="17"/>
              </w:rPr>
              <w:t>9,520</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2026-08-25</w:t>
            </w:r>
          </w:p>
        </w:tc>
        <w:tc>
          <w:tcPr>
            <w:tcW w:type="dxa" w:w="1440"/>
            <w:shd w:fill="FAFAFA" w:val="clear"/>
          </w:tcPr>
          <w:p>
            <w:r>
              <w:rPr>
                <w:sz w:val="17"/>
              </w:rPr>
              <w:t>8,134</w:t>
            </w:r>
          </w:p>
        </w:tc>
        <w:tc>
          <w:tcPr>
            <w:tcW w:type="dxa" w:w="1440"/>
            <w:shd w:fill="FAFAFA" w:val="clear"/>
          </w:tcPr>
          <w:p>
            <w:r>
              <w:rPr>
                <w:b/>
                <w:sz w:val="17"/>
              </w:rPr>
              <w:t>8,876</w:t>
            </w:r>
          </w:p>
        </w:tc>
        <w:tc>
          <w:tcPr>
            <w:tcW w:type="dxa" w:w="1440"/>
            <w:shd w:fill="FAFAFA" w:val="clear"/>
          </w:tcPr>
          <w:p>
            <w:r>
              <w:rPr>
                <w:sz w:val="17"/>
              </w:rPr>
              <w:t>9,619</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2026-08-27</w:t>
            </w:r>
          </w:p>
        </w:tc>
        <w:tc>
          <w:tcPr>
            <w:tcW w:type="dxa" w:w="1440"/>
            <w:shd w:fill="FAFAFA" w:val="clear"/>
          </w:tcPr>
          <w:p>
            <w:r>
              <w:rPr>
                <w:sz w:val="17"/>
              </w:rPr>
              <w:t>7,991</w:t>
            </w:r>
          </w:p>
        </w:tc>
        <w:tc>
          <w:tcPr>
            <w:tcW w:type="dxa" w:w="1440"/>
            <w:shd w:fill="FAFAFA" w:val="clear"/>
          </w:tcPr>
          <w:p>
            <w:r>
              <w:rPr>
                <w:b/>
                <w:sz w:val="17"/>
              </w:rPr>
              <w:t>8,846</w:t>
            </w:r>
          </w:p>
        </w:tc>
        <w:tc>
          <w:tcPr>
            <w:tcW w:type="dxa" w:w="1440"/>
            <w:shd w:fill="FAFAFA" w:val="clear"/>
          </w:tcPr>
          <w:p>
            <w:r>
              <w:rPr>
                <w:sz w:val="17"/>
              </w:rPr>
              <w:t>9,700</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2026-08-28</w:t>
            </w:r>
          </w:p>
        </w:tc>
        <w:tc>
          <w:tcPr>
            <w:tcW w:type="dxa" w:w="1440"/>
            <w:shd w:fill="FAFAFA" w:val="clear"/>
          </w:tcPr>
          <w:p>
            <w:r>
              <w:rPr>
                <w:sz w:val="17"/>
              </w:rPr>
              <w:t>7,863</w:t>
            </w:r>
          </w:p>
        </w:tc>
        <w:tc>
          <w:tcPr>
            <w:tcW w:type="dxa" w:w="1440"/>
            <w:shd w:fill="FAFAFA" w:val="clear"/>
          </w:tcPr>
          <w:p>
            <w:r>
              <w:rPr>
                <w:b/>
                <w:sz w:val="17"/>
              </w:rPr>
              <w:t>8,815</w:t>
            </w:r>
          </w:p>
        </w:tc>
        <w:tc>
          <w:tcPr>
            <w:tcW w:type="dxa" w:w="1440"/>
            <w:shd w:fill="FAFAFA" w:val="clear"/>
          </w:tcPr>
          <w:p>
            <w:r>
              <w:rPr>
                <w:sz w:val="17"/>
              </w:rPr>
              <w:t>9,767</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2026-08-31</w:t>
            </w:r>
          </w:p>
        </w:tc>
        <w:tc>
          <w:tcPr>
            <w:tcW w:type="dxa" w:w="1440"/>
            <w:shd w:fill="FAFAFA" w:val="clear"/>
          </w:tcPr>
          <w:p>
            <w:r>
              <w:rPr>
                <w:sz w:val="17"/>
              </w:rPr>
              <w:t>7,744</w:t>
            </w:r>
          </w:p>
        </w:tc>
        <w:tc>
          <w:tcPr>
            <w:tcW w:type="dxa" w:w="1440"/>
            <w:shd w:fill="FAFAFA" w:val="clear"/>
          </w:tcPr>
          <w:p>
            <w:r>
              <w:rPr>
                <w:b/>
                <w:sz w:val="17"/>
              </w:rPr>
              <w:t>8,784</w:t>
            </w:r>
          </w:p>
        </w:tc>
        <w:tc>
          <w:tcPr>
            <w:tcW w:type="dxa" w:w="1440"/>
            <w:shd w:fill="FAFAFA" w:val="clear"/>
          </w:tcPr>
          <w:p>
            <w:r>
              <w:rPr>
                <w:sz w:val="17"/>
              </w:rPr>
              <w:t>9,823</w:t>
            </w:r>
          </w:p>
        </w:tc>
        <w:tc>
          <w:tcPr>
            <w:tcW w:type="dxa" w:w="1440"/>
            <w:shd w:fill="FAFAFA" w:val="clear"/>
          </w:tcPr>
          <w:p>
            <w:r>
              <w:rPr>
                <w:b/>
                <w:color w:val="C00000"/>
                <w:sz w:val="17"/>
              </w:rPr>
              <w:t>-1.7%</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7,634</w:t>
            </w:r>
          </w:p>
        </w:tc>
        <w:tc>
          <w:tcPr>
            <w:tcW w:type="dxa" w:w="1440"/>
            <w:shd w:fill="FFDCE0" w:val="clear"/>
          </w:tcPr>
          <w:p>
            <w:r>
              <w:rPr>
                <w:b/>
                <w:sz w:val="17"/>
              </w:rPr>
              <w:t>8,752</w:t>
            </w:r>
          </w:p>
        </w:tc>
        <w:tc>
          <w:tcPr>
            <w:tcW w:type="dxa" w:w="1440"/>
            <w:shd w:fill="FFDCE0" w:val="clear"/>
          </w:tcPr>
          <w:p>
            <w:r>
              <w:rPr>
                <w:sz w:val="17"/>
              </w:rPr>
              <w:t>9,871</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7,529</w:t>
            </w:r>
          </w:p>
        </w:tc>
        <w:tc>
          <w:tcPr>
            <w:tcW w:type="dxa" w:w="1440"/>
            <w:shd w:fill="FFDCE0" w:val="clear"/>
          </w:tcPr>
          <w:p>
            <w:r>
              <w:rPr>
                <w:b/>
                <w:sz w:val="17"/>
              </w:rPr>
              <w:t>8,721</w:t>
            </w:r>
          </w:p>
        </w:tc>
        <w:tc>
          <w:tcPr>
            <w:tcW w:type="dxa" w:w="1440"/>
            <w:shd w:fill="FFDCE0" w:val="clear"/>
          </w:tcPr>
          <w:p>
            <w:r>
              <w:rPr>
                <w:sz w:val="17"/>
              </w:rPr>
              <w:t>9,913</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7,430</w:t>
            </w:r>
          </w:p>
        </w:tc>
        <w:tc>
          <w:tcPr>
            <w:tcW w:type="dxa" w:w="1440"/>
            <w:shd w:fill="FFDCE0" w:val="clear"/>
          </w:tcPr>
          <w:p>
            <w:r>
              <w:rPr>
                <w:b/>
                <w:sz w:val="17"/>
              </w:rPr>
              <w:t>8,690</w:t>
            </w:r>
          </w:p>
        </w:tc>
        <w:tc>
          <w:tcPr>
            <w:tcW w:type="dxa" w:w="1440"/>
            <w:shd w:fill="FFDCE0" w:val="clear"/>
          </w:tcPr>
          <w:p>
            <w:r>
              <w:rPr>
                <w:sz w:val="17"/>
              </w:rPr>
              <w:t>9,949</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7,336</w:t>
            </w:r>
          </w:p>
        </w:tc>
        <w:tc>
          <w:tcPr>
            <w:tcW w:type="dxa" w:w="1440"/>
            <w:shd w:fill="FFDCE0" w:val="clear"/>
          </w:tcPr>
          <w:p>
            <w:r>
              <w:rPr>
                <w:b/>
                <w:sz w:val="17"/>
              </w:rPr>
              <w:t>8,659</w:t>
            </w:r>
          </w:p>
        </w:tc>
        <w:tc>
          <w:tcPr>
            <w:tcW w:type="dxa" w:w="1440"/>
            <w:shd w:fill="FFDCE0" w:val="clear"/>
          </w:tcPr>
          <w:p>
            <w:r>
              <w:rPr>
                <w:sz w:val="17"/>
              </w:rPr>
              <w:t>9,982</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228,49 milliards FCFA, ce qui en fait une valeur de première ligne sur la BRVM, représentative du secteur agro-industriel ivoirien. Avec un BPA de 977 FCFA, chaque action génère un bénéfice substantiel, justifiant un PER de 9,1x. Ce niveau est légèrement inférieur à la moyenne historique de la BRVM (8-12x), suggérant une sous-évaluation relative du titre par rapport à ses bénéfices actuels. Le P/B de 1,66x indique que le marché valorise la société à 66% au-dessus de sa valeur comptable, ce qui est raisonnable pour une entreprise avec un ROE de 18,1%. Enfin, un EV/EBITDA de 5,6x confirme une valorisation attractive, la valeur totale de l'entreprise (dette incluse) ne représentant que 5,6 fois sa capacité opérationnelle brute, un niveau inférieur à la zone de confort des 5-10x. Ces ratios combinés dressent le portrait d'une entreprise solidement valorisée, avec un potentiel de revalorisation si la croissance se poursuit.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SPHC a enregistré une performance remarquable de +24,17%, mais la dernière séance affiche un fort repli de -7,45%, signe d'une volatilité accrue. Le titre a évolué dans une fourchette large de 6 720 FCFA (plus bas) à 9 660 FCFA (plus haut), démontrant un fort appétit des investisseurs. La moyenne (7 449 FCFA) et la médiane (7 460 FCFA) sont très proches, indiquant une distribution des prix relativement symétrique, mais le skewness positif de 1,775 révèle que les journées sous la moyenne ont été plus fréquentes, avec des pics à la hausse. L'écart-type de 454 FCFA (CV=6,1%) montre une dispersion modérée autour de la moyenne. Le kurtosis élevé (6,053) signale un risque de mouvements extrêmes, confirmé par la volatilité annualisée de 38,4%, un niveau élevé (&gt;30%) qui reflète un titre spéculatif et sensible aux nouvelles. La tendance générale reste haussière, mais la prudence est de mise après la récente chute.</w:t>
      </w:r>
    </w:p>
    <w:p>
      <w:pPr>
        <w:spacing w:after="120" w:line="276" w:lineRule="auto" w:before="240"/>
      </w:pPr>
      <w:r>
        <w:rPr>
          <w:b/>
          <w:color w:val="003366"/>
          <w:sz w:val="24"/>
        </w:rPr>
        <w:t>**PARTIE 2 : ANALYSE TECHNIQUE DÉTAILLÉE**</w:t>
      </w:r>
    </w:p>
    <w:p>
      <w:pPr>
        <w:spacing w:after="120" w:line="276" w:lineRule="auto"/>
      </w:pPr>
      <w:r>
        <w:t>**Moyennes Mobiles** : Le cours actuel (8 940 FCFA) se situe nettement au-dessus de la MM20 (7 919,75 FCFA) et de la MM50 (7 738,5 FCFA). Cette configuration haussière (cours &gt; MM20 &gt; MM50) confirme une dynamique positive à court et moyen terme. La décision d'« Achat » est justifiée par cette tendance, bien que l'écart important avec la MM20 suggère un risque de correction pour se rapprocher de la moyenne.</w:t>
      </w:r>
    </w:p>
    <w:p>
      <w:pPr>
        <w:spacing w:after="120" w:line="276" w:lineRule="auto"/>
      </w:pPr>
      <w:r>
        <w:t>**Bandes de Bollinger** : Le prix se positionne près de la borne supérieure (9 155,53 FCFA), indiquant une pression acheteuse soutenue. La largeur des bandes (borne inférieure à 6 683,97 FCFA) reflète une volatilité élevée. La décision « Neutre » est pertinente car, bien que le titre soit dans la partie supérieure, il n'a pas encore franchi la borne, ce qui pourrait signaler une poursuite ou un retournement. Un repli vers la MM20 est possible.</w:t>
      </w:r>
    </w:p>
    <w:p>
      <w:pPr>
        <w:spacing w:after="120" w:line="276" w:lineRule="auto"/>
      </w:pPr>
      <w:r>
        <w:t>**MACD** : Le MACD (367,19) est nettement au-dessus de son signal (192,50), avec un histogramme positif. Cette divergence haussière confirme un momentum positif fort. La décision « Achat » est cohérente avec cette dynamique, mais l'écart important entre le MACD et le signal pourrait indiquer une suraccélération, risquant un ralentissement à court terme.</w:t>
      </w:r>
    </w:p>
    <w:p>
      <w:pPr>
        <w:spacing w:after="120" w:line="276" w:lineRule="auto"/>
      </w:pPr>
      <w:r>
        <w:t>**RSI** : Le RSI à 73,67 est en zone de surachat (&gt;70). Cela indique que le titre est survendu à la hausse et qu'un repli technique est probable. La décision « Vente » est justifiée, car ce niveau suggère que le potentiel de hausse immédiat est limité et qu'une consolidation est nécessaire pour assainir la situation.</w:t>
      </w:r>
    </w:p>
    <w:p>
      <w:pPr>
        <w:spacing w:after="120" w:line="276" w:lineRule="auto"/>
      </w:pPr>
      <w:r>
        <w:t>**Stochastique** : Le %K (66,67) est inférieur au %D (88,89), indiquant un croisement baissier potentiel. Bien que les deux lignes soient encore en zone élevée, ce croisement signale un affaiblissement du momentum haussier. La décision « Neutre » est prudente, car le titre pourrait soit rebondir, soit entamer une phase de correction.</w:t>
      </w:r>
    </w:p>
    <w:p>
      <w:pPr>
        <w:spacing w:after="120" w:line="276" w:lineRule="auto"/>
      </w:pPr>
      <w:r>
        <w:t>**Conclusion technique** : Les indicateurs de tendance (MM, MACD) sont positifs, mais les oscillateurs (RSI, Stochastique) signalent une fatigue haussière. La récente chute de -7,45% confirme ce scénario de correction. Le titre est dans une phase de consolidation après une forte hausse, et un repli vers les 8 200-8 400 FCFA (MM20) est envisageable avant une éventuelle reprise. La prudence est recommandée à court terme.</w:t>
      </w:r>
    </w:p>
    <w:p>
      <w:pPr>
        <w:spacing w:after="120" w:line="276" w:lineRule="auto" w:before="240"/>
      </w:pPr>
      <w:r>
        <w:rPr>
          <w:b/>
          <w:color w:val="003366"/>
          <w:sz w:val="24"/>
        </w:rPr>
        <w:t>**PARTIE 3 : ANALYSE FONDAMENTALE (SECTION CRITIQUE)**</w:t>
      </w:r>
    </w:p>
    <w:p>
      <w:pPr>
        <w:spacing w:after="120" w:line="276" w:lineRule="auto"/>
      </w:pPr>
      <w:r>
        <w:t>En 2025, SPHC (SAPH CI) affiche des états financiers annuels solides, avec un chiffre d'affaires de 340,83 milliards FCFA, en hausse de 22,0% par rapport à 2024 (279,44 milliards FCFA). Le résultat net progresse de 32,9% à 24,97 milliards FCFA, portant la marge nette à 7,33%. La rentabilité est excellente : le ROE atteint 18,1% et le ROA 11,06%, contre respectivement 15,3% et 8,5% en 2024, démontrant une amélioration de l'efficacité opérationnelle. Pour une entreprise agro-industrielle, le BFR de 65,39 milliards FCFA est un point de vigilance, mais le délai client de 35 jours est raisonnable. La durée de stockage de 72 jours est élevée, typique du secteur, mais nécessite une gestion rigoureuse. L'endettement est maîtrisé (dettes financières de 35,6 milliards FCFA, ratio d'endettement de 25,8%). Les rapports trimestriels 2025 confirment la dynamique : le T1 2025 (+72% CA, +949% RN) et le S1 2025 (+51% CA, +449% RN) montrent une croissance explosive, mais le T3 2025 (+36% CA, +131% RN) marque un ralentissement. Cependant, le rapport T1 2026 (daté de 2026) révèle une chute drastique : CA de 71,8 milliards FCFA (-24%) et RN de 2,6 milliards FCFA (-78%), pénalisés par la baisse des cours mondiaux du caoutchouc et la concurrence. Sur cette base, on estime que l'exercice 2026 sera nettement moins performant que 2025, avec un résultat net potentiellement en baisse de 50% à 60%. La recommandation fondamentale est de **CONSERVER**, car la société est financièrement solide, mais les perspectives à court terme sont assombries par l'environnement des prix.</w:t>
      </w:r>
    </w:p>
    <w:p>
      <w:pPr>
        <w:spacing w:after="120" w:line="276" w:lineRule="auto" w:before="240"/>
      </w:pPr>
      <w:r>
        <w:rPr>
          <w:b/>
          <w:color w:val="003366"/>
          <w:sz w:val="24"/>
        </w:rPr>
        <w:t>**PARTIE 4 : CONCLUSION D'INVESTISSEMENT**</w:t>
      </w:r>
    </w:p>
    <w:p>
      <w:pPr>
        <w:spacing w:after="120" w:line="276" w:lineRule="auto"/>
      </w:pPr>
      <w:r>
        <w:t>La valorisation de SPHC (PER 9,1x, P/B 1,66x, EV/EBITDA 5,6x) suggère une sous-évaluation relative, mais le comportement du cours (volatilité élevée, kurtosis, récent repli) et les signaux techniques mitigés (RSI suracheté, Stochastique baissier) indiquent un risque de correction à court terme. Les fondamentaux 2025 sont excellents (ROE 18,1%, croissance du CA de 22%), mais les estimations pour 2026, basées sur le T1 2026 (-78% de RN), sont préoccupantes. Les prédictions IA (8 961 à 8 815 FCFA sur 10 jours) suggèrent une stabilisation, mais ne confirment pas un rebond. En synthèse, les signaux sont divergents : la valorisation et les fondamentaux passés sont positifs, mais la dynamique récente (technique et économique) est négative. La recommandation finale est **CONSERVER** avec un niveau de confiance **Moyen**. Le risque global est **Élevé** en raison de la volatilité des cours du caoutchouc et de la chute des résultats 2026. L'horizon d'investissement optimal est le **moyen terme (3-12 mois)**, en attendant une stabilisation des prix et une confirmation de reprise dans les prochains trimestres.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34.27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6,196 titres</w:t>
            </w:r>
          </w:p>
        </w:tc>
        <w:tc>
          <w:tcPr>
            <w:tcW w:type="dxa" w:w="2268"/>
            <w:shd w:fill="FFF2CC" w:val="clear"/>
          </w:tcPr>
          <w:p>
            <w:r>
              <w:rPr>
                <w:b/>
                <w:color w:val="503200"/>
                <w:sz w:val="16"/>
              </w:rPr>
              <w:t xml:space="preserve">Cours actuel : </w:t>
            </w:r>
            <w:r>
              <w:rPr>
                <w:color w:val="000000"/>
                <w:sz w:val="17"/>
              </w:rPr>
              <w:t>2,550 FCFA</w:t>
            </w:r>
          </w:p>
          <w:p>
            <w:r>
              <w:rPr>
                <w:b/>
                <w:color w:val="503200"/>
                <w:sz w:val="16"/>
              </w:rPr>
              <w:t xml:space="preserve">Var. 100 jours : </w:t>
            </w:r>
            <w:r>
              <w:rPr>
                <w:b/>
                <w:color w:val="007800"/>
                <w:sz w:val="17"/>
              </w:rPr>
              <w:t>+8.51%</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2,350 FCFA</w:t>
            </w:r>
          </w:p>
          <w:p>
            <w:r>
              <w:rPr>
                <w:b/>
                <w:color w:val="503200"/>
                <w:sz w:val="16"/>
              </w:rPr>
              <w:t xml:space="preserve">Volatilité ann. : </w:t>
            </w:r>
            <w:r>
              <w:rPr>
                <w:color w:val="000000"/>
                <w:sz w:val="17"/>
              </w:rPr>
              <w:t>67.4%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11.19% (Moyenne) — μ=3,034 FCFA, σ=340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β=-1.0703 (Contre-cyclique) — Cov=-0.000033, Var(idx)=0.000031, ρ=-0.140,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σ_j=4.25%/j (Modérée) — Vol. annualisée≈67.4%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2,304</w:t>
            </w:r>
          </w:p>
        </w:tc>
        <w:tc>
          <w:tcPr>
            <w:tcW w:type="dxa" w:w="1440"/>
            <w:shd w:fill="FFDCE0" w:val="clear"/>
          </w:tcPr>
          <w:p>
            <w:r>
              <w:rPr>
                <w:b/>
                <w:sz w:val="17"/>
              </w:rPr>
              <w:t>2,415</w:t>
            </w:r>
          </w:p>
        </w:tc>
        <w:tc>
          <w:tcPr>
            <w:tcW w:type="dxa" w:w="1440"/>
            <w:shd w:fill="FFDCE0" w:val="clear"/>
          </w:tcPr>
          <w:p>
            <w:r>
              <w:rPr>
                <w:sz w:val="17"/>
              </w:rPr>
              <w:t>2,527</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2,146</w:t>
            </w:r>
          </w:p>
        </w:tc>
        <w:tc>
          <w:tcPr>
            <w:tcW w:type="dxa" w:w="1440"/>
            <w:shd w:fill="FFDCE0" w:val="clear"/>
          </w:tcPr>
          <w:p>
            <w:r>
              <w:rPr>
                <w:b/>
                <w:sz w:val="17"/>
              </w:rPr>
              <w:t>2,295</w:t>
            </w:r>
          </w:p>
        </w:tc>
        <w:tc>
          <w:tcPr>
            <w:tcW w:type="dxa" w:w="1440"/>
            <w:shd w:fill="FFDCE0" w:val="clear"/>
          </w:tcPr>
          <w:p>
            <w:r>
              <w:rPr>
                <w:sz w:val="17"/>
              </w:rPr>
              <w:t>2,445</w:t>
            </w:r>
          </w:p>
        </w:tc>
        <w:tc>
          <w:tcPr>
            <w:tcW w:type="dxa" w:w="1440"/>
            <w:shd w:fill="FFDCE0" w:val="clear"/>
          </w:tcPr>
          <w:p>
            <w:r>
              <w:rPr>
                <w:b/>
                <w:color w:val="C00000"/>
                <w:sz w:val="17"/>
              </w:rPr>
              <w:t>-10.0%</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1,987</w:t>
            </w:r>
          </w:p>
        </w:tc>
        <w:tc>
          <w:tcPr>
            <w:tcW w:type="dxa" w:w="1440"/>
            <w:shd w:fill="FFDCE0" w:val="clear"/>
          </w:tcPr>
          <w:p>
            <w:r>
              <w:rPr>
                <w:b/>
                <w:sz w:val="17"/>
              </w:rPr>
              <w:t>2,160</w:t>
            </w:r>
          </w:p>
        </w:tc>
        <w:tc>
          <w:tcPr>
            <w:tcW w:type="dxa" w:w="1440"/>
            <w:shd w:fill="FFDCE0" w:val="clear"/>
          </w:tcPr>
          <w:p>
            <w:r>
              <w:rPr>
                <w:sz w:val="17"/>
              </w:rPr>
              <w:t>2,332</w:t>
            </w:r>
          </w:p>
        </w:tc>
        <w:tc>
          <w:tcPr>
            <w:tcW w:type="dxa" w:w="1440"/>
            <w:shd w:fill="FFDCE0" w:val="clear"/>
          </w:tcPr>
          <w:p>
            <w:r>
              <w:rPr>
                <w:b/>
                <w:color w:val="C00000"/>
                <w:sz w:val="17"/>
              </w:rPr>
              <w:t>-15.3%</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1,845</w:t>
            </w:r>
          </w:p>
        </w:tc>
        <w:tc>
          <w:tcPr>
            <w:tcW w:type="dxa" w:w="1440"/>
            <w:shd w:fill="FFDCE0" w:val="clear"/>
          </w:tcPr>
          <w:p>
            <w:r>
              <w:rPr>
                <w:b/>
                <w:sz w:val="17"/>
              </w:rPr>
              <w:t>2,033</w:t>
            </w:r>
          </w:p>
        </w:tc>
        <w:tc>
          <w:tcPr>
            <w:tcW w:type="dxa" w:w="1440"/>
            <w:shd w:fill="FFDCE0" w:val="clear"/>
          </w:tcPr>
          <w:p>
            <w:r>
              <w:rPr>
                <w:sz w:val="17"/>
              </w:rPr>
              <w:t>2,220</w:t>
            </w:r>
          </w:p>
        </w:tc>
        <w:tc>
          <w:tcPr>
            <w:tcW w:type="dxa" w:w="1440"/>
            <w:shd w:fill="FFDCE0" w:val="clear"/>
          </w:tcPr>
          <w:p>
            <w:r>
              <w:rPr>
                <w:b/>
                <w:color w:val="C00000"/>
                <w:sz w:val="17"/>
              </w:rPr>
              <w:t>-20.3%</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1,725</w:t>
            </w:r>
          </w:p>
        </w:tc>
        <w:tc>
          <w:tcPr>
            <w:tcW w:type="dxa" w:w="1440"/>
            <w:shd w:fill="FFDCE0" w:val="clear"/>
          </w:tcPr>
          <w:p>
            <w:r>
              <w:rPr>
                <w:b/>
                <w:sz w:val="17"/>
              </w:rPr>
              <w:t>1,923</w:t>
            </w:r>
          </w:p>
        </w:tc>
        <w:tc>
          <w:tcPr>
            <w:tcW w:type="dxa" w:w="1440"/>
            <w:shd w:fill="FFDCE0" w:val="clear"/>
          </w:tcPr>
          <w:p>
            <w:r>
              <w:rPr>
                <w:sz w:val="17"/>
              </w:rPr>
              <w:t>2,121</w:t>
            </w:r>
          </w:p>
        </w:tc>
        <w:tc>
          <w:tcPr>
            <w:tcW w:type="dxa" w:w="1440"/>
            <w:shd w:fill="FFDCE0" w:val="clear"/>
          </w:tcPr>
          <w:p>
            <w:r>
              <w:rPr>
                <w:b/>
                <w:color w:val="C00000"/>
                <w:sz w:val="17"/>
              </w:rPr>
              <w:t>-24.6%</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1,625</w:t>
            </w:r>
          </w:p>
        </w:tc>
        <w:tc>
          <w:tcPr>
            <w:tcW w:type="dxa" w:w="1440"/>
            <w:shd w:fill="FFDCE0" w:val="clear"/>
          </w:tcPr>
          <w:p>
            <w:r>
              <w:rPr>
                <w:b/>
                <w:sz w:val="17"/>
              </w:rPr>
              <w:t>1,832</w:t>
            </w:r>
          </w:p>
        </w:tc>
        <w:tc>
          <w:tcPr>
            <w:tcW w:type="dxa" w:w="1440"/>
            <w:shd w:fill="FFDCE0" w:val="clear"/>
          </w:tcPr>
          <w:p>
            <w:r>
              <w:rPr>
                <w:sz w:val="17"/>
              </w:rPr>
              <w:t>2,039</w:t>
            </w:r>
          </w:p>
        </w:tc>
        <w:tc>
          <w:tcPr>
            <w:tcW w:type="dxa" w:w="1440"/>
            <w:shd w:fill="FFDCE0" w:val="clear"/>
          </w:tcPr>
          <w:p>
            <w:r>
              <w:rPr>
                <w:b/>
                <w:color w:val="C00000"/>
                <w:sz w:val="17"/>
              </w:rPr>
              <w:t>-28.2%</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1,542</w:t>
            </w:r>
          </w:p>
        </w:tc>
        <w:tc>
          <w:tcPr>
            <w:tcW w:type="dxa" w:w="1440"/>
            <w:shd w:fill="FFDCE0" w:val="clear"/>
          </w:tcPr>
          <w:p>
            <w:r>
              <w:rPr>
                <w:b/>
                <w:sz w:val="17"/>
              </w:rPr>
              <w:t>1,757</w:t>
            </w:r>
          </w:p>
        </w:tc>
        <w:tc>
          <w:tcPr>
            <w:tcW w:type="dxa" w:w="1440"/>
            <w:shd w:fill="FFDCE0" w:val="clear"/>
          </w:tcPr>
          <w:p>
            <w:r>
              <w:rPr>
                <w:sz w:val="17"/>
              </w:rPr>
              <w:t>1,971</w:t>
            </w:r>
          </w:p>
        </w:tc>
        <w:tc>
          <w:tcPr>
            <w:tcW w:type="dxa" w:w="1440"/>
            <w:shd w:fill="FFDCE0" w:val="clear"/>
          </w:tcPr>
          <w:p>
            <w:r>
              <w:rPr>
                <w:b/>
                <w:color w:val="C00000"/>
                <w:sz w:val="17"/>
              </w:rPr>
              <w:t>-31.1%</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1,474</w:t>
            </w:r>
          </w:p>
        </w:tc>
        <w:tc>
          <w:tcPr>
            <w:tcW w:type="dxa" w:w="1440"/>
            <w:shd w:fill="FFDCE0" w:val="clear"/>
          </w:tcPr>
          <w:p>
            <w:r>
              <w:rPr>
                <w:b/>
                <w:sz w:val="17"/>
              </w:rPr>
              <w:t>1,694</w:t>
            </w:r>
          </w:p>
        </w:tc>
        <w:tc>
          <w:tcPr>
            <w:tcW w:type="dxa" w:w="1440"/>
            <w:shd w:fill="FFDCE0" w:val="clear"/>
          </w:tcPr>
          <w:p>
            <w:r>
              <w:rPr>
                <w:sz w:val="17"/>
              </w:rPr>
              <w:t>1,915</w:t>
            </w:r>
          </w:p>
        </w:tc>
        <w:tc>
          <w:tcPr>
            <w:tcW w:type="dxa" w:w="1440"/>
            <w:shd w:fill="FFDCE0" w:val="clear"/>
          </w:tcPr>
          <w:p>
            <w:r>
              <w:rPr>
                <w:b/>
                <w:color w:val="C00000"/>
                <w:sz w:val="17"/>
              </w:rPr>
              <w:t>-33.5%</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1,415</w:t>
            </w:r>
          </w:p>
        </w:tc>
        <w:tc>
          <w:tcPr>
            <w:tcW w:type="dxa" w:w="1440"/>
            <w:shd w:fill="FFDCE0" w:val="clear"/>
          </w:tcPr>
          <w:p>
            <w:r>
              <w:rPr>
                <w:b/>
                <w:sz w:val="17"/>
              </w:rPr>
              <w:t>1,642</w:t>
            </w:r>
          </w:p>
        </w:tc>
        <w:tc>
          <w:tcPr>
            <w:tcW w:type="dxa" w:w="1440"/>
            <w:shd w:fill="FFDCE0" w:val="clear"/>
          </w:tcPr>
          <w:p>
            <w:r>
              <w:rPr>
                <w:sz w:val="17"/>
              </w:rPr>
              <w:t>1,869</w:t>
            </w:r>
          </w:p>
        </w:tc>
        <w:tc>
          <w:tcPr>
            <w:tcW w:type="dxa" w:w="1440"/>
            <w:shd w:fill="FFDCE0" w:val="clear"/>
          </w:tcPr>
          <w:p>
            <w:r>
              <w:rPr>
                <w:b/>
                <w:color w:val="C00000"/>
                <w:sz w:val="17"/>
              </w:rPr>
              <w:t>-35.6%</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1,365</w:t>
            </w:r>
          </w:p>
        </w:tc>
        <w:tc>
          <w:tcPr>
            <w:tcW w:type="dxa" w:w="1440"/>
            <w:shd w:fill="FFDCE0" w:val="clear"/>
          </w:tcPr>
          <w:p>
            <w:r>
              <w:rPr>
                <w:b/>
                <w:sz w:val="17"/>
              </w:rPr>
              <w:t>1,598</w:t>
            </w:r>
          </w:p>
        </w:tc>
        <w:tc>
          <w:tcPr>
            <w:tcW w:type="dxa" w:w="1440"/>
            <w:shd w:fill="FFDCE0" w:val="clear"/>
          </w:tcPr>
          <w:p>
            <w:r>
              <w:rPr>
                <w:sz w:val="17"/>
              </w:rPr>
              <w:t>1,830</w:t>
            </w:r>
          </w:p>
        </w:tc>
        <w:tc>
          <w:tcPr>
            <w:tcW w:type="dxa" w:w="1440"/>
            <w:shd w:fill="FFDCE0" w:val="clear"/>
          </w:tcPr>
          <w:p>
            <w:r>
              <w:rPr>
                <w:b/>
                <w:color w:val="C00000"/>
                <w:sz w:val="17"/>
              </w:rPr>
              <w:t>-37.4%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w:t>
        <w:br/>
        <w:t>**Date du rapport : 20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34,27 milliards FCFA, un niveau relativement modeste sur la BRVM, reflétant une société de taille moyenne dans le secteur du BTP. Le BPA est négatif à -7 FCFA, ce qui signifie que chaque action détruite de la valeur pour l'actionnaire sur l'exercice écoulé. Le PER de -354,9x est logiquement négatif et ne peut être comparé à la moyenne du marché (8-12x), car la société est déficitaire. Le P/B de 96,07x est extrêmement élevé, indiquant que le marché valorise l'actif net comptable de la société à une prime considérable, ce qui est exigeant pour une entreprise en perte. Enfin, l'absence de données sur l'EV/EBITDA s'explique par la non-pertinence de ce ratio pour une société dont l'EBITDA est négatif, rendant toute comparaison de valeur d'entreprise inopérante.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positive de +8,51%, avec une légère progression de +0,79% lors de la dernière séance, clôturant à 2 550 FCFA. Le titre a évolué dans une fourchette très large, oscillant entre un plus bas de 2 350 FCFA et un plus haut de 3 895 FCFA, illustrant une forte nervosité. La moyenne du cours sur la période est de 3 034 FCFA, légèrement supérieure à la médiane de 2 990 FCFA, ce qui, combiné à un skewness positif de 0.348, suggère une distribution relativement symétrique avec une légère queue vers les hauts cours. L'écart-type de 341 FCFA (CV de 11,2%) indique une dispersion modérée autour de la moyenne. Le kurtosis de -0.824 (mésokurtique) signale une absence de pics extrêmes, tandis que la volatilité annualisée de 67,4% classe le titre comme extrêmement volatil, un niveau très élevé qui reflète un risque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de 2 550 FCFA est inférieur à la MM20 (2 706 FCFA) et très en dessous de la MM50 (3 102,3 FCFA). Cette configuration en pente descendante confirme une tendance baissière de moyen terme, justifiant la décision de "Vente". Le titre évolue dans une dynamique négative, sous ses principaux supports dynamiques.</w:t>
      </w:r>
    </w:p>
    <w:p>
      <w:pPr>
        <w:spacing w:after="120" w:line="276" w:lineRule="auto"/>
      </w:pPr>
      <w:r>
        <w:t>**Bandes de Bollinger**: Le prix se situe à 2 550 FCFA, proche de la borne inférieure (2 441,45 FCFA) et loin de la borne supérieure (2 970,55 FCFA). Cette position indique une pression vendeuse, mais sans franchissement de la borne, ce qui explique la décision "Neutre". La largeur des bandes suggère une volatilité encore élevée, mais le titre pourrait trouver un support temporaire à ces niveaux.</w:t>
      </w:r>
    </w:p>
    <w:p>
      <w:pPr>
        <w:spacing w:after="120" w:line="276" w:lineRule="auto"/>
      </w:pPr>
      <w:r>
        <w:t>**MACD**: La valeur du MACD (-145,64) est inférieure à son signal (-143,11), tous deux en territoire négatif. Cette configuration baissière indique un momentum négatif persistant. La décision de "Vente" est cohérente avec cette dynamique, signalant que la tendance de fond reste défavorable.</w:t>
      </w:r>
    </w:p>
    <w:p>
      <w:pPr>
        <w:spacing w:after="120" w:line="276" w:lineRule="auto"/>
      </w:pPr>
      <w:r>
        <w:t>**RSI**: Avec une valeur de 30,16, le RSI est en zone de survente (proche du seuil de 30). Cela suggère que le titre est techniquement survendu, ce qui pourrait précéder un rebond technique. La décision "Neutre" est donc justifiée, car le potentiel de baisse supplémentaire semble limité à court terme, mais aucun signal d'achat fort n'est encore déclenché.</w:t>
      </w:r>
    </w:p>
    <w:p>
      <w:pPr>
        <w:spacing w:after="120" w:line="276" w:lineRule="auto"/>
      </w:pPr>
      <w:r>
        <w:t>**Stochastique**: Le %K (6,90) et le %D (2,30) sont tous deux à des niveaux extrêmement bas, en zone de survente profonde. Un croisement haussier du %K au-dessus du %D serait un signal d'achat précoce. La décision "Achat" reflète ce potentiel de retournement technique imminent.</w:t>
      </w:r>
    </w:p>
    <w:p>
      <w:pPr>
        <w:spacing w:after="120" w:line="276" w:lineRule="auto"/>
      </w:pPr>
      <w:r>
        <w:t>**Conclusion technique**: Les indicateurs sont globalement baissiers (MM, MACD) mais montrent des signes de survente extrême (RSI, Stochastique). Le titre est dans une phase de faiblesse marquée, mais les conditions techniques suggèrent un possible rebond à court terme. La prudence reste de mise tant que le cours ne repasse pas au-dessus de la MM20 à 2 706 FCFA.</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très dégradée pour STAC. Le chiffre d'affaires s'établit à 3,878 milliards FCFA, mais la société enregistre une perte nette de -96,56 millions FCFA, avec une marge nette de -2,49%. Le ROE est profondément négatif à -27,07%, et le ROA à -1,77%, indiquant une incapacité à générer du profit sur ses capitaux propres et ses actifs. La structure financière est fragile avec une autonomie financière de seulement 6,55% et un ratio d'endettement de 93,45%. Le BFR est négatif à -930,47 millions FCFA, un point positif pour une entreprise, mais la capacité de remboursement de 77,53 ans est alarmante. Les rapports narratifs de 2024 (datés du 31/12/2024) montraient déjà une chute du CA de -80,6% à 1,793 milliard FCFA et une perte de 348 millions. Cependant, les rapports trimestriels de 2025 indiquent une forte reprise d'activité : le CA du S1 2025 a bondi de +290% à 2,271 milliards FCFA, et le cumul sur 9 mois atteint 3,456 milliards FCFA (+176%). Sur la base de ces rapports, on estime que l'exercice 2025 devrait dépasser la prévision de 4 milliards FCFA de CA, mais la rentabilité reste négative, avec une perte cumulée de -477 millions sur 9 mois. La société dépend fortement du chantier de l'aéroport d'Abidjan, et la réduction des pertes d'exploitation (-50% sur 9 mois) est un signe encourageant, mais la rentabilité nette reste hors de portée à court terme.</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(P/B de 96x) pour une société déficitaire, ce qui indique une surévaluation relative par rapport à ses fondamentaux. Le comportement du cours sur 100 jours montre une volatilité extrême (67,4%) et une tendance récente baissière, malgré une variation positive sur la période, avec des statistiques (kurtosis, skewness) suggérant une distribution normale des rendements mais un risque élevé. Les signaux techniques sont mitigés : les moyennes mobiles et le MACD sont vendeurs, mais le RSI et le stochastique en survente suggèrent un potentiel de rebond technique. Les fondamentaux sont préoccupants avec des pertes récurrentes, bien que les rapports trimestriels 2025 montrent une amélioration de l'activité et une réduction des pertes opérationnelles. Les prédictions IA pour les 10 prochains jours (de 2 415 à 1 923 FCFA) confirment une trajectoire baissière, contredisant les signaux de survente. En synthèse, la convergence des signaux est négative (valorisation, technique, prédiction IA) malgré une amélioration opérationnelle. La recommandation finale est **VENTE**, avec un niveau de confiance **Moyen** et un risque global **Élevé**. L'horizon d'investissement optimal est le **court terme (&lt;3 mois)** pour les investisseurs cherchant à limiter leur exposition, en attendant une confirmation d'un retournement fondamental durable.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412.96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3,530 titres</w:t>
            </w:r>
          </w:p>
        </w:tc>
        <w:tc>
          <w:tcPr>
            <w:tcW w:type="dxa" w:w="2268"/>
            <w:shd w:fill="FFF2CC" w:val="clear"/>
          </w:tcPr>
          <w:p>
            <w:r>
              <w:rPr>
                <w:b/>
                <w:color w:val="503200"/>
                <w:sz w:val="16"/>
              </w:rPr>
              <w:t xml:space="preserve">Cours actuel : </w:t>
            </w:r>
            <w:r>
              <w:rPr>
                <w:color w:val="000000"/>
                <w:sz w:val="17"/>
              </w:rPr>
              <w:t>23,000 FCFA</w:t>
            </w:r>
          </w:p>
          <w:p>
            <w:r>
              <w:rPr>
                <w:b/>
                <w:color w:val="503200"/>
                <w:sz w:val="16"/>
              </w:rPr>
              <w:t xml:space="preserve">Var. 100 jours : </w:t>
            </w:r>
            <w:r>
              <w:rPr>
                <w:b/>
                <w:color w:val="007800"/>
                <w:sz w:val="17"/>
              </w:rPr>
              <w:t>+6.98%</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6.18% (Moyenne) — μ=22,245 FCFA, σ=1,375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β=-0.0574 (Contre-cyclique) — Cov=-0.000002, Var(idx)=0.000031, ρ=-0.015,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22,282</w:t>
            </w:r>
          </w:p>
        </w:tc>
        <w:tc>
          <w:tcPr>
            <w:tcW w:type="dxa" w:w="1440"/>
            <w:shd w:fill="FAFAFA" w:val="clear"/>
          </w:tcPr>
          <w:p>
            <w:r>
              <w:rPr>
                <w:b/>
                <w:sz w:val="17"/>
              </w:rPr>
              <w:t>23,367</w:t>
            </w:r>
          </w:p>
        </w:tc>
        <w:tc>
          <w:tcPr>
            <w:tcW w:type="dxa" w:w="1440"/>
            <w:shd w:fill="FAFAFA" w:val="clear"/>
          </w:tcPr>
          <w:p>
            <w:r>
              <w:rPr>
                <w:sz w:val="17"/>
              </w:rPr>
              <w:t>24,452</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2026-08-24</w:t>
            </w:r>
          </w:p>
        </w:tc>
        <w:tc>
          <w:tcPr>
            <w:tcW w:type="dxa" w:w="1440"/>
            <w:shd w:fill="C6EFCE" w:val="clear"/>
          </w:tcPr>
          <w:p>
            <w:r>
              <w:rPr>
                <w:sz w:val="17"/>
              </w:rPr>
              <w:t>21,999</w:t>
            </w:r>
          </w:p>
        </w:tc>
        <w:tc>
          <w:tcPr>
            <w:tcW w:type="dxa" w:w="1440"/>
            <w:shd w:fill="C6EFCE" w:val="clear"/>
          </w:tcPr>
          <w:p>
            <w:r>
              <w:rPr>
                <w:b/>
                <w:sz w:val="17"/>
              </w:rPr>
              <w:t>23,546</w:t>
            </w:r>
          </w:p>
        </w:tc>
        <w:tc>
          <w:tcPr>
            <w:tcW w:type="dxa" w:w="1440"/>
            <w:shd w:fill="C6EFCE" w:val="clear"/>
          </w:tcPr>
          <w:p>
            <w:r>
              <w:rPr>
                <w:sz w:val="17"/>
              </w:rPr>
              <w:t>25,092</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2026-08-25</w:t>
            </w:r>
          </w:p>
        </w:tc>
        <w:tc>
          <w:tcPr>
            <w:tcW w:type="dxa" w:w="1440"/>
            <w:shd w:fill="C6EFCE" w:val="clear"/>
          </w:tcPr>
          <w:p>
            <w:r>
              <w:rPr>
                <w:sz w:val="17"/>
              </w:rPr>
              <w:t>21,839</w:t>
            </w:r>
          </w:p>
        </w:tc>
        <w:tc>
          <w:tcPr>
            <w:tcW w:type="dxa" w:w="1440"/>
            <w:shd w:fill="C6EFCE" w:val="clear"/>
          </w:tcPr>
          <w:p>
            <w:r>
              <w:rPr>
                <w:b/>
                <w:sz w:val="17"/>
              </w:rPr>
              <w:t>23,749</w:t>
            </w:r>
          </w:p>
        </w:tc>
        <w:tc>
          <w:tcPr>
            <w:tcW w:type="dxa" w:w="1440"/>
            <w:shd w:fill="C6EFCE" w:val="clear"/>
          </w:tcPr>
          <w:p>
            <w:r>
              <w:rPr>
                <w:sz w:val="17"/>
              </w:rPr>
              <w:t>25,659</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2026-08-27</w:t>
            </w:r>
          </w:p>
        </w:tc>
        <w:tc>
          <w:tcPr>
            <w:tcW w:type="dxa" w:w="1440"/>
            <w:shd w:fill="C6EFCE" w:val="clear"/>
          </w:tcPr>
          <w:p>
            <w:r>
              <w:rPr>
                <w:sz w:val="17"/>
              </w:rPr>
              <w:t>21,737</w:t>
            </w:r>
          </w:p>
        </w:tc>
        <w:tc>
          <w:tcPr>
            <w:tcW w:type="dxa" w:w="1440"/>
            <w:shd w:fill="C6EFCE" w:val="clear"/>
          </w:tcPr>
          <w:p>
            <w:r>
              <w:rPr>
                <w:b/>
                <w:sz w:val="17"/>
              </w:rPr>
              <w:t>23,962</w:t>
            </w:r>
          </w:p>
        </w:tc>
        <w:tc>
          <w:tcPr>
            <w:tcW w:type="dxa" w:w="1440"/>
            <w:shd w:fill="C6EFCE" w:val="clear"/>
          </w:tcPr>
          <w:p>
            <w:r>
              <w:rPr>
                <w:sz w:val="17"/>
              </w:rPr>
              <w:t>26,188</w:t>
            </w:r>
          </w:p>
        </w:tc>
        <w:tc>
          <w:tcPr>
            <w:tcW w:type="dxa" w:w="1440"/>
            <w:shd w:fill="C6EFCE" w:val="clear"/>
          </w:tcPr>
          <w:p>
            <w:r>
              <w:rPr>
                <w:b/>
                <w:color w:val="008000"/>
                <w:sz w:val="17"/>
              </w:rPr>
              <w:t>+4.2%</w:t>
            </w:r>
          </w:p>
        </w:tc>
      </w:tr>
      <w:tr>
        <w:tc>
          <w:tcPr>
            <w:tcW w:type="dxa" w:w="1440"/>
            <w:shd w:fill="C6EFCE" w:val="clear"/>
          </w:tcPr>
          <w:p>
            <w:r>
              <w:rPr>
                <w:sz w:val="17"/>
              </w:rPr>
              <w:t>J+5  ⭐</w:t>
            </w:r>
          </w:p>
        </w:tc>
        <w:tc>
          <w:tcPr>
            <w:tcW w:type="dxa" w:w="1440"/>
            <w:shd w:fill="C6EFCE" w:val="clear"/>
          </w:tcPr>
          <w:p>
            <w:r>
              <w:rPr>
                <w:sz w:val="17"/>
              </w:rPr>
              <w:t>2026-08-28</w:t>
            </w:r>
          </w:p>
        </w:tc>
        <w:tc>
          <w:tcPr>
            <w:tcW w:type="dxa" w:w="1440"/>
            <w:shd w:fill="C6EFCE" w:val="clear"/>
          </w:tcPr>
          <w:p>
            <w:r>
              <w:rPr>
                <w:sz w:val="17"/>
              </w:rPr>
              <w:t>21,679</w:t>
            </w:r>
          </w:p>
        </w:tc>
        <w:tc>
          <w:tcPr>
            <w:tcW w:type="dxa" w:w="1440"/>
            <w:shd w:fill="C6EFCE" w:val="clear"/>
          </w:tcPr>
          <w:p>
            <w:r>
              <w:rPr>
                <w:b/>
                <w:sz w:val="17"/>
              </w:rPr>
              <w:t>24,192</w:t>
            </w:r>
          </w:p>
        </w:tc>
        <w:tc>
          <w:tcPr>
            <w:tcW w:type="dxa" w:w="1440"/>
            <w:shd w:fill="C6EFCE" w:val="clear"/>
          </w:tcPr>
          <w:p>
            <w:r>
              <w:rPr>
                <w:sz w:val="17"/>
              </w:rPr>
              <w:t>26,704</w:t>
            </w:r>
          </w:p>
        </w:tc>
        <w:tc>
          <w:tcPr>
            <w:tcW w:type="dxa" w:w="1440"/>
            <w:shd w:fill="C6EFCE" w:val="clear"/>
          </w:tcPr>
          <w:p>
            <w:r>
              <w:rPr>
                <w:b/>
                <w:color w:val="008000"/>
                <w:sz w:val="17"/>
              </w:rPr>
              <w:t>+5.2%</w:t>
            </w:r>
          </w:p>
        </w:tc>
      </w:tr>
      <w:tr>
        <w:tc>
          <w:tcPr>
            <w:tcW w:type="dxa" w:w="1440"/>
            <w:shd w:fill="C6EFCE" w:val="clear"/>
          </w:tcPr>
          <w:p>
            <w:r>
              <w:rPr>
                <w:sz w:val="17"/>
              </w:rPr>
              <w:t>J+6  ⭐</w:t>
            </w:r>
          </w:p>
        </w:tc>
        <w:tc>
          <w:tcPr>
            <w:tcW w:type="dxa" w:w="1440"/>
            <w:shd w:fill="C6EFCE" w:val="clear"/>
          </w:tcPr>
          <w:p>
            <w:r>
              <w:rPr>
                <w:sz w:val="17"/>
              </w:rPr>
              <w:t>2026-08-31</w:t>
            </w:r>
          </w:p>
        </w:tc>
        <w:tc>
          <w:tcPr>
            <w:tcW w:type="dxa" w:w="1440"/>
            <w:shd w:fill="C6EFCE" w:val="clear"/>
          </w:tcPr>
          <w:p>
            <w:r>
              <w:rPr>
                <w:sz w:val="17"/>
              </w:rPr>
              <w:t>21,653</w:t>
            </w:r>
          </w:p>
        </w:tc>
        <w:tc>
          <w:tcPr>
            <w:tcW w:type="dxa" w:w="1440"/>
            <w:shd w:fill="C6EFCE" w:val="clear"/>
          </w:tcPr>
          <w:p>
            <w:r>
              <w:rPr>
                <w:b/>
                <w:sz w:val="17"/>
              </w:rPr>
              <w:t>24,432</w:t>
            </w:r>
          </w:p>
        </w:tc>
        <w:tc>
          <w:tcPr>
            <w:tcW w:type="dxa" w:w="1440"/>
            <w:shd w:fill="C6EFCE" w:val="clear"/>
          </w:tcPr>
          <w:p>
            <w:r>
              <w:rPr>
                <w:sz w:val="17"/>
              </w:rPr>
              <w:t>27,211</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2026-09-01</w:t>
            </w:r>
          </w:p>
        </w:tc>
        <w:tc>
          <w:tcPr>
            <w:tcW w:type="dxa" w:w="1440"/>
            <w:shd w:fill="C6EFCE" w:val="clear"/>
          </w:tcPr>
          <w:p>
            <w:r>
              <w:rPr>
                <w:sz w:val="17"/>
              </w:rPr>
              <w:t>21,642</w:t>
            </w:r>
          </w:p>
        </w:tc>
        <w:tc>
          <w:tcPr>
            <w:tcW w:type="dxa" w:w="1440"/>
            <w:shd w:fill="C6EFCE" w:val="clear"/>
          </w:tcPr>
          <w:p>
            <w:r>
              <w:rPr>
                <w:b/>
                <w:sz w:val="17"/>
              </w:rPr>
              <w:t>24,674</w:t>
            </w:r>
          </w:p>
        </w:tc>
        <w:tc>
          <w:tcPr>
            <w:tcW w:type="dxa" w:w="1440"/>
            <w:shd w:fill="C6EFCE" w:val="clear"/>
          </w:tcPr>
          <w:p>
            <w:r>
              <w:rPr>
                <w:sz w:val="17"/>
              </w:rPr>
              <w:t>27,705</w:t>
            </w:r>
          </w:p>
        </w:tc>
        <w:tc>
          <w:tcPr>
            <w:tcW w:type="dxa" w:w="1440"/>
            <w:shd w:fill="C6EFCE" w:val="clear"/>
          </w:tcPr>
          <w:p>
            <w:r>
              <w:rPr>
                <w:b/>
                <w:color w:val="008000"/>
                <w:sz w:val="17"/>
              </w:rPr>
              <w:t>+7.3%</w:t>
            </w:r>
          </w:p>
        </w:tc>
      </w:tr>
      <w:tr>
        <w:tc>
          <w:tcPr>
            <w:tcW w:type="dxa" w:w="1440"/>
            <w:shd w:fill="C6EFCE" w:val="clear"/>
          </w:tcPr>
          <w:p>
            <w:r>
              <w:rPr>
                <w:sz w:val="17"/>
              </w:rPr>
              <w:t>J+8  ⭐</w:t>
            </w:r>
          </w:p>
        </w:tc>
        <w:tc>
          <w:tcPr>
            <w:tcW w:type="dxa" w:w="1440"/>
            <w:shd w:fill="C6EFCE" w:val="clear"/>
          </w:tcPr>
          <w:p>
            <w:r>
              <w:rPr>
                <w:sz w:val="17"/>
              </w:rPr>
              <w:t>2026-09-02</w:t>
            </w:r>
          </w:p>
        </w:tc>
        <w:tc>
          <w:tcPr>
            <w:tcW w:type="dxa" w:w="1440"/>
            <w:shd w:fill="C6EFCE" w:val="clear"/>
          </w:tcPr>
          <w:p>
            <w:r>
              <w:rPr>
                <w:sz w:val="17"/>
              </w:rPr>
              <w:t>21,648</w:t>
            </w:r>
          </w:p>
        </w:tc>
        <w:tc>
          <w:tcPr>
            <w:tcW w:type="dxa" w:w="1440"/>
            <w:shd w:fill="C6EFCE" w:val="clear"/>
          </w:tcPr>
          <w:p>
            <w:r>
              <w:rPr>
                <w:b/>
                <w:sz w:val="17"/>
              </w:rPr>
              <w:t>24,922</w:t>
            </w:r>
          </w:p>
        </w:tc>
        <w:tc>
          <w:tcPr>
            <w:tcW w:type="dxa" w:w="1440"/>
            <w:shd w:fill="C6EFCE" w:val="clear"/>
          </w:tcPr>
          <w:p>
            <w:r>
              <w:rPr>
                <w:sz w:val="17"/>
              </w:rPr>
              <w:t>28,195</w:t>
            </w:r>
          </w:p>
        </w:tc>
        <w:tc>
          <w:tcPr>
            <w:tcW w:type="dxa" w:w="1440"/>
            <w:shd w:fill="C6EFCE" w:val="clear"/>
          </w:tcPr>
          <w:p>
            <w:r>
              <w:rPr>
                <w:b/>
                <w:color w:val="008000"/>
                <w:sz w:val="17"/>
              </w:rPr>
              <w:t>+8.4%</w:t>
            </w:r>
          </w:p>
        </w:tc>
      </w:tr>
      <w:tr>
        <w:tc>
          <w:tcPr>
            <w:tcW w:type="dxa" w:w="1440"/>
            <w:shd w:fill="C6EFCE" w:val="clear"/>
          </w:tcPr>
          <w:p>
            <w:r>
              <w:rPr>
                <w:sz w:val="17"/>
              </w:rPr>
              <w:t>J+9  ⭐</w:t>
            </w:r>
          </w:p>
        </w:tc>
        <w:tc>
          <w:tcPr>
            <w:tcW w:type="dxa" w:w="1440"/>
            <w:shd w:fill="C6EFCE" w:val="clear"/>
          </w:tcPr>
          <w:p>
            <w:r>
              <w:rPr>
                <w:sz w:val="17"/>
              </w:rPr>
              <w:t>2026-09-03</w:t>
            </w:r>
          </w:p>
        </w:tc>
        <w:tc>
          <w:tcPr>
            <w:tcW w:type="dxa" w:w="1440"/>
            <w:shd w:fill="C6EFCE" w:val="clear"/>
          </w:tcPr>
          <w:p>
            <w:r>
              <w:rPr>
                <w:sz w:val="17"/>
              </w:rPr>
              <w:t>21,663</w:t>
            </w:r>
          </w:p>
        </w:tc>
        <w:tc>
          <w:tcPr>
            <w:tcW w:type="dxa" w:w="1440"/>
            <w:shd w:fill="C6EFCE" w:val="clear"/>
          </w:tcPr>
          <w:p>
            <w:r>
              <w:rPr>
                <w:b/>
                <w:sz w:val="17"/>
              </w:rPr>
              <w:t>25,170</w:t>
            </w:r>
          </w:p>
        </w:tc>
        <w:tc>
          <w:tcPr>
            <w:tcW w:type="dxa" w:w="1440"/>
            <w:shd w:fill="C6EFCE" w:val="clear"/>
          </w:tcPr>
          <w:p>
            <w:r>
              <w:rPr>
                <w:sz w:val="17"/>
              </w:rPr>
              <w:t>28,676</w:t>
            </w:r>
          </w:p>
        </w:tc>
        <w:tc>
          <w:tcPr>
            <w:tcW w:type="dxa" w:w="1440"/>
            <w:shd w:fill="C6EFCE" w:val="clear"/>
          </w:tcPr>
          <w:p>
            <w:r>
              <w:rPr>
                <w:b/>
                <w:color w:val="008000"/>
                <w:sz w:val="17"/>
              </w:rPr>
              <w:t>+9.4%</w:t>
            </w:r>
          </w:p>
        </w:tc>
      </w:tr>
      <w:tr>
        <w:tc>
          <w:tcPr>
            <w:tcW w:type="dxa" w:w="1440"/>
            <w:shd w:fill="C6EFCE" w:val="clear"/>
          </w:tcPr>
          <w:p>
            <w:r>
              <w:rPr>
                <w:sz w:val="17"/>
              </w:rPr>
              <w:t>J+10  ⭐</w:t>
            </w:r>
          </w:p>
        </w:tc>
        <w:tc>
          <w:tcPr>
            <w:tcW w:type="dxa" w:w="1440"/>
            <w:shd w:fill="C6EFCE" w:val="clear"/>
          </w:tcPr>
          <w:p>
            <w:r>
              <w:rPr>
                <w:sz w:val="17"/>
              </w:rPr>
              <w:t>2026-09-04</w:t>
            </w:r>
          </w:p>
        </w:tc>
        <w:tc>
          <w:tcPr>
            <w:tcW w:type="dxa" w:w="1440"/>
            <w:shd w:fill="C6EFCE" w:val="clear"/>
          </w:tcPr>
          <w:p>
            <w:r>
              <w:rPr>
                <w:sz w:val="17"/>
              </w:rPr>
              <w:t>21,690</w:t>
            </w:r>
          </w:p>
        </w:tc>
        <w:tc>
          <w:tcPr>
            <w:tcW w:type="dxa" w:w="1440"/>
            <w:shd w:fill="C6EFCE" w:val="clear"/>
          </w:tcPr>
          <w:p>
            <w:r>
              <w:rPr>
                <w:b/>
                <w:sz w:val="17"/>
              </w:rPr>
              <w:t>25,424</w:t>
            </w:r>
          </w:p>
        </w:tc>
        <w:tc>
          <w:tcPr>
            <w:tcW w:type="dxa" w:w="1440"/>
            <w:shd w:fill="C6EFCE" w:val="clear"/>
          </w:tcPr>
          <w:p>
            <w:r>
              <w:rPr>
                <w:sz w:val="17"/>
              </w:rPr>
              <w:t>29,158</w:t>
            </w:r>
          </w:p>
        </w:tc>
        <w:tc>
          <w:tcPr>
            <w:tcW w:type="dxa" w:w="1440"/>
            <w:shd w:fill="C6EFCE" w:val="clear"/>
          </w:tcPr>
          <w:p>
            <w:r>
              <w:rPr>
                <w:b/>
                <w:color w:val="008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Société Ivoirienne des Tabacs (SITAB) affiche une capitalisation boursière de 412,96 milliards FCFA, ce qui en fait l'une des valeurs les plus significatives de la BRVM, reflétant son statut de leader sur le marché tabacole de l'UEMOA. Avec un BPA de 2 014 FCFA, chaque action génère un bénéfice substantiel, justifiant un PER de 11,4x, légèrement au-dessus de la moyenne historique de la BRVM (8-12x), ce qui indique une valorisation raisonnable mais non bradée. Le P/B de 9,11x est nettement supérieur au seuil de 4x, signalant que le marché valorise fortement les actifs de l'entreprise, ce qui reflète une prime de qualité et de rentabilité exceptionnelle. L'EV/EBITDA de 8,2x se situe dans la fourchette raisonnable (5-10x), suggérant que la valeur d'entreprise reste cohérente avec sa capacité opérationnelle à générer des flux. Globalement, ces ratios dépeignent une entreprise de grande qualité, avec une valorisation qui intègre déjà une partie de ses performances futures.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SITAB a enregistré une progression de +6,98%, avec une légère correction de -0,43% lors de la dernière séance, témoignant d'une tendance globalement haussière mais avec des prises de bénéfices ponctuelles. Le cours a évolué dans un range de 19 705 FCFA à 25 000 FCFA, démontrant une amplitude de trading significative de plus de 26% entre le plus bas et le plus haut. La moyenne du cours sur la période s'établit à 22 245 FCFA, tandis que la médiane est de 21 900 FCFA, l'écart modéré entre ces deux valeurs indiquant une distribution relativement symétrique, confirmée par un skewness de 0,368. L'écart-type de 1 382 FCFA, avec un coefficient de variation de 6,2%, révèle une dispersion modérée des prix autour de la moyenne, suggérant une stabilité relative. Le kurtosis de -0,953, qualifié de mésokurtique, indique une distribution proche de la normale avec un faible risque de mouvements extrêmes. La volatilité annualisée de 32,9% classe le titre dans la catégorie des valeurs à volatilité élevée, ce qui implique des fluctuations de prix plus importantes que la moyenne du marché.</w:t>
      </w:r>
    </w:p>
    <w:p>
      <w:pPr>
        <w:spacing w:after="120" w:line="276" w:lineRule="auto" w:before="240"/>
      </w:pPr>
      <w:r>
        <w:rPr>
          <w:b/>
          <w:color w:val="003366"/>
          <w:sz w:val="24"/>
        </w:rPr>
        <w:t>**PARTIE 2 : ANALYSE TECHNIQUE DÉTAILLÉE**</w:t>
      </w:r>
    </w:p>
    <w:p>
      <w:pPr>
        <w:spacing w:after="120" w:line="276" w:lineRule="auto"/>
      </w:pPr>
      <w:r>
        <w:t>**Moyennes Mobiles** : Les moyennes mobiles sur 20 jours (23 491,5 FCFA) et sur 50 jours (23 398,1 FCFA) sont toutes deux supérieures au cours actuel de 23 000 FCFA, indiquant une pression vendeuse à court terme. Cependant, la MM20 étant supérieure à la MM50, la tendance de fond reste positive, et le signal global d'achat suggère que les moyennes mobiles pourraient servir de support en cas de repli.</w:t>
      </w:r>
    </w:p>
    <w:p>
      <w:pPr>
        <w:spacing w:after="120" w:line="276" w:lineRule="auto"/>
      </w:pPr>
      <w:r>
        <w:t>**Bandes de Bollinger** : Le cours actuel se situe dans la partie médiane des bandes de Bollinger, entre la borne supérieure à 24 979,4 FCFA et la borne inférieure à 22 003,6 FCFA. Cette position neutre indique une volatilité modérée et une absence de mouvement directionnel fort, le prix n'étant ni suracheté ni survendu.</w:t>
      </w:r>
    </w:p>
    <w:p>
      <w:pPr>
        <w:spacing w:after="120" w:line="276" w:lineRule="auto"/>
      </w:pPr>
      <w:r>
        <w:t>**MACD** : Le MACD affiche une valeur négative de -90,034, tandis que le signal est positif à 34,125, créant une divergence baissière. Cette configuration suggère un momentum négatif à court terme, bien que l'écart entre les deux lignes reste modéré, ce qui limite la portée du signal de vente.</w:t>
      </w:r>
    </w:p>
    <w:p>
      <w:pPr>
        <w:spacing w:after="120" w:line="276" w:lineRule="auto"/>
      </w:pPr>
      <w:r>
        <w:t>**RSI** : Le RSI de 48,59 se situe dans la zone neutre (30-70), indiquant un équilibre entre les forces acheteuses et vendeuses. Cette valeur ne montre ni surachat ni survente, laissant place à une évolution directionnelle sans contrainte technique.</w:t>
      </w:r>
    </w:p>
    <w:p>
      <w:pPr>
        <w:spacing w:after="120" w:line="276" w:lineRule="auto"/>
      </w:pPr>
      <w:r>
        <w:t>**Stochastique** : Le %K à 23,81 et le %D à 25,08 sont proches, avec un %K légèrement inférieur au %D, suggérant une dynamique baissière naissante. Les deux indicateurs sont dans la zone de survente (&lt;30), ce qui pourrait précéder un rebond technique.</w:t>
      </w:r>
    </w:p>
    <w:p>
      <w:pPr>
        <w:spacing w:after="120" w:line="276" w:lineRule="auto"/>
      </w:pPr>
      <w:r>
        <w:t>**Conclusion technique** : La convergence des indicateurs est mitigée, avec des signaux d'achat (moyennes mobiles) contrebalancés par des signaux de vente (MACD) et des positions neutres (Bollinger, RSI, Stochastique). Cette configuration suggère une phase de consolidation, avec un potentiel de rebond si le cours maintient le support des moyennes mobiles.</w:t>
      </w:r>
    </w:p>
    <w:p>
      <w:pPr>
        <w:spacing w:after="120" w:line="276" w:lineRule="auto" w:before="240"/>
      </w:pPr>
      <w:r>
        <w:rPr>
          <w:b/>
          <w:color w:val="003366"/>
          <w:sz w:val="24"/>
        </w:rPr>
        <w:t>**PARTIE 3 : ANALYSE FONDAMENTALE (SECTION CRITIQUE)**</w:t>
      </w:r>
    </w:p>
    <w:p>
      <w:pPr>
        <w:spacing w:after="120" w:line="276" w:lineRule="auto"/>
      </w:pPr>
      <w:r>
        <w:t>En 2025, la SITAB a réalisé un chiffre d'affaires de 268,537 milliards FCFA, en hausse de 25,3% par rapport à 2024, démontrant une dynamique commerciale exceptionnelle. Le résultat net s'établit à 36,158 milliards FCFA, en baisse de 17,5% par rapport aux 44,2 milliards de 2024, illustrant une pression sur les marges. La marge nette est passée de 20,4% en 2024 à 13,5% en 2025, tandis que la marge opérationnelle s'établit à 17,1%. Les ratios de rentabilité restent excellents avec un ROE de 79,75% et un ROA de 48,09%, bien au-dessus des seuils de référence (&gt;15% pour le ROE). La structure financière est très saine avec une autonomie financière de 60,3%, une liquidité générale de 225%, et une trésorerie nette de 30,763 milliards FCFA. Le BFR de 5,639 milliards FCFA est positif mais reste gérable, avec un délai clients de 42,57 jours et une durée de stockage de 5,73 jours. En tant qu'entreprise de distribution, la SITAB bénéficie d'une rotation des actifs élevée (357,2%) et d'une capacité de remboursement quasi nulle grâce à l'absence d'endettement financier. Les rapports trimestriels 2025 montrent une progression du CA au T1 (+34,7%) et au T3 (+19%), mais une dégradation au T4 avec une marge nette tombée à 7%. Pour 2026, le rapport T1 2026 indique un CA de 68,8 milliards FCFA (+12%) et un résultat net de 9,3 milliards FCFA (-1%), suggérant une stabilisation. Le dividende proposé de 1 940 FCFA par action, avec un taux de distribution de 84,9%, confirme une politique généreuse de retour aux actionnaires.</w:t>
      </w:r>
    </w:p>
    <w:p>
      <w:pPr>
        <w:spacing w:after="120" w:line="276" w:lineRule="auto" w:before="240"/>
      </w:pPr>
      <w:r>
        <w:rPr>
          <w:b/>
          <w:color w:val="003366"/>
          <w:sz w:val="24"/>
        </w:rPr>
        <w:t>**PARTIE 4 : CONCLUSION D'INVESTISSEMENT**</w:t>
      </w:r>
    </w:p>
    <w:p>
      <w:pPr>
        <w:spacing w:after="120" w:line="276" w:lineRule="auto"/>
      </w:pPr>
      <w:r>
        <w:t>La valorisation de la SITAB, avec un PER de 11,4x et un EV/EBITDA de 8,2x, apparaît raisonnable, mais le P/B de 9,11x indique une prime de valorisation significative qui reflète la qualité exceptionnelle de l'entreprise. Le comportement du cours sur 100 jours montre une tendance haussière modérée (+6,98%) avec une volatilité élevée (32,9%), mais une distribution des prix relativement normale (kurtosis mésokurtique, skewness symétrique), ce qui est rassurant. Les signaux techniques sont mitigés, avec une convergence entre les moyennes mobiles (achat) et le MACD (vente), suggérant une phase de consolidation avant une possible reprise. Les fondamentaux restent solides avec une croissance du CA de 25,3% en 2025, un ROE de 79,75%, et une trésorerie abondante, malgré une baisse de rentabilité due à la pression fiscale. Les prédictions IA pour les 10 prochains jours indiquent une trajectoire haussière progressive de 23 367 à 24 192 FCFA, confirmant le potentiel de rebond technique. La convergence entre les fondamentaux solides, la valorisation raisonnable et les prédictions IA positives, malgré des signaux techniques mitigés, conduit à une recommandation de **CONSERVER** avec un niveau de confiance **Élevé** et un risque global **Moyen**. L'horizon d'investissement optimal serait à **moyen terme (3-12 mois)**, en attendant la confirmation d'une stabilisation des marges et la résolution des incertitudes réglementaires.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207.46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7,829 titres</w:t>
            </w:r>
          </w:p>
        </w:tc>
        <w:tc>
          <w:tcPr>
            <w:tcW w:type="dxa" w:w="2268"/>
            <w:shd w:fill="FFF2CC" w:val="clear"/>
          </w:tcPr>
          <w:p>
            <w:r>
              <w:rPr>
                <w:b/>
                <w:color w:val="503200"/>
                <w:sz w:val="16"/>
              </w:rPr>
              <w:t xml:space="preserve">Cours actuel : </w:t>
            </w:r>
            <w:r>
              <w:rPr>
                <w:color w:val="000000"/>
                <w:sz w:val="17"/>
              </w:rPr>
              <w:t>3,295 FCFA</w:t>
            </w:r>
          </w:p>
          <w:p>
            <w:r>
              <w:rPr>
                <w:b/>
                <w:color w:val="503200"/>
                <w:sz w:val="16"/>
              </w:rPr>
              <w:t xml:space="preserve">Var. 100 jours : </w:t>
            </w:r>
            <w:r>
              <w:rPr>
                <w:b/>
                <w:color w:val="007800"/>
                <w:sz w:val="17"/>
              </w:rPr>
              <w:t>+14.81%</w:t>
            </w:r>
          </w:p>
          <w:p>
            <w:r>
              <w:rPr>
                <w:b/>
                <w:color w:val="503200"/>
                <w:sz w:val="16"/>
              </w:rPr>
              <w:t xml:space="preserve">Plus haut 100j : </w:t>
            </w:r>
            <w:r>
              <w:rPr>
                <w:color w:val="000000"/>
                <w:sz w:val="17"/>
              </w:rPr>
              <w:t>3,300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4.39% (Faible) — μ=2,875 FCFA, σ=126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β=0.2325 (Défensif) — Cov=0.000007, Var(idx)=0.000031, ρ=0.051,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7,829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2026-08-21</w:t>
            </w:r>
          </w:p>
        </w:tc>
        <w:tc>
          <w:tcPr>
            <w:tcW w:type="dxa" w:w="1440"/>
            <w:shd w:fill="FAFAFA" w:val="clear"/>
          </w:tcPr>
          <w:p>
            <w:r>
              <w:rPr>
                <w:sz w:val="17"/>
              </w:rPr>
              <w:t>3,085</w:t>
            </w:r>
          </w:p>
        </w:tc>
        <w:tc>
          <w:tcPr>
            <w:tcW w:type="dxa" w:w="1440"/>
            <w:shd w:fill="FAFAFA" w:val="clear"/>
          </w:tcPr>
          <w:p>
            <w:r>
              <w:rPr>
                <w:b/>
                <w:sz w:val="17"/>
              </w:rPr>
              <w:t>3,273</w:t>
            </w:r>
          </w:p>
        </w:tc>
        <w:tc>
          <w:tcPr>
            <w:tcW w:type="dxa" w:w="1440"/>
            <w:shd w:fill="FAFAFA" w:val="clear"/>
          </w:tcPr>
          <w:p>
            <w:r>
              <w:rPr>
                <w:sz w:val="17"/>
              </w:rPr>
              <w:t>3,461</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2026-08-24</w:t>
            </w:r>
          </w:p>
        </w:tc>
        <w:tc>
          <w:tcPr>
            <w:tcW w:type="dxa" w:w="1440"/>
            <w:shd w:fill="FAFAFA" w:val="clear"/>
          </w:tcPr>
          <w:p>
            <w:r>
              <w:rPr>
                <w:sz w:val="17"/>
              </w:rPr>
              <w:t>2,998</w:t>
            </w:r>
          </w:p>
        </w:tc>
        <w:tc>
          <w:tcPr>
            <w:tcW w:type="dxa" w:w="1440"/>
            <w:shd w:fill="FAFAFA" w:val="clear"/>
          </w:tcPr>
          <w:p>
            <w:r>
              <w:rPr>
                <w:b/>
                <w:sz w:val="17"/>
              </w:rPr>
              <w:t>3,262</w:t>
            </w:r>
          </w:p>
        </w:tc>
        <w:tc>
          <w:tcPr>
            <w:tcW w:type="dxa" w:w="1440"/>
            <w:shd w:fill="FAFAFA" w:val="clear"/>
          </w:tcPr>
          <w:p>
            <w:r>
              <w:rPr>
                <w:sz w:val="17"/>
              </w:rPr>
              <w:t>3,527</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2026-08-25</w:t>
            </w:r>
          </w:p>
        </w:tc>
        <w:tc>
          <w:tcPr>
            <w:tcW w:type="dxa" w:w="1440"/>
            <w:shd w:fill="FAFAFA" w:val="clear"/>
          </w:tcPr>
          <w:p>
            <w:r>
              <w:rPr>
                <w:sz w:val="17"/>
              </w:rPr>
              <w:t>2,925</w:t>
            </w:r>
          </w:p>
        </w:tc>
        <w:tc>
          <w:tcPr>
            <w:tcW w:type="dxa" w:w="1440"/>
            <w:shd w:fill="FAFAFA" w:val="clear"/>
          </w:tcPr>
          <w:p>
            <w:r>
              <w:rPr>
                <w:b/>
                <w:sz w:val="17"/>
              </w:rPr>
              <w:t>3,248</w:t>
            </w:r>
          </w:p>
        </w:tc>
        <w:tc>
          <w:tcPr>
            <w:tcW w:type="dxa" w:w="1440"/>
            <w:shd w:fill="FAFAFA" w:val="clear"/>
          </w:tcPr>
          <w:p>
            <w:r>
              <w:rPr>
                <w:sz w:val="17"/>
              </w:rPr>
              <w:t>3,570</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2026-08-27</w:t>
            </w:r>
          </w:p>
        </w:tc>
        <w:tc>
          <w:tcPr>
            <w:tcW w:type="dxa" w:w="1440"/>
            <w:shd w:fill="FAFAFA" w:val="clear"/>
          </w:tcPr>
          <w:p>
            <w:r>
              <w:rPr>
                <w:sz w:val="17"/>
              </w:rPr>
              <w:t>2,864</w:t>
            </w:r>
          </w:p>
        </w:tc>
        <w:tc>
          <w:tcPr>
            <w:tcW w:type="dxa" w:w="1440"/>
            <w:shd w:fill="FAFAFA" w:val="clear"/>
          </w:tcPr>
          <w:p>
            <w:r>
              <w:rPr>
                <w:b/>
                <w:sz w:val="17"/>
              </w:rPr>
              <w:t>3,235</w:t>
            </w:r>
          </w:p>
        </w:tc>
        <w:tc>
          <w:tcPr>
            <w:tcW w:type="dxa" w:w="1440"/>
            <w:shd w:fill="FAFAFA" w:val="clear"/>
          </w:tcPr>
          <w:p>
            <w:r>
              <w:rPr>
                <w:sz w:val="17"/>
              </w:rPr>
              <w:t>3,606</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2,810</w:t>
            </w:r>
          </w:p>
        </w:tc>
        <w:tc>
          <w:tcPr>
            <w:tcW w:type="dxa" w:w="1440"/>
            <w:shd w:fill="FFDCE0" w:val="clear"/>
          </w:tcPr>
          <w:p>
            <w:r>
              <w:rPr>
                <w:b/>
                <w:sz w:val="17"/>
              </w:rPr>
              <w:t>3,223</w:t>
            </w:r>
          </w:p>
        </w:tc>
        <w:tc>
          <w:tcPr>
            <w:tcW w:type="dxa" w:w="1440"/>
            <w:shd w:fill="FFDCE0" w:val="clear"/>
          </w:tcPr>
          <w:p>
            <w:r>
              <w:rPr>
                <w:sz w:val="17"/>
              </w:rPr>
              <w:t>3,636</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2,761</w:t>
            </w:r>
          </w:p>
        </w:tc>
        <w:tc>
          <w:tcPr>
            <w:tcW w:type="dxa" w:w="1440"/>
            <w:shd w:fill="FFDCE0" w:val="clear"/>
          </w:tcPr>
          <w:p>
            <w:r>
              <w:rPr>
                <w:b/>
                <w:sz w:val="17"/>
              </w:rPr>
              <w:t>3,212</w:t>
            </w:r>
          </w:p>
        </w:tc>
        <w:tc>
          <w:tcPr>
            <w:tcW w:type="dxa" w:w="1440"/>
            <w:shd w:fill="FFDCE0" w:val="clear"/>
          </w:tcPr>
          <w:p>
            <w:r>
              <w:rPr>
                <w:sz w:val="17"/>
              </w:rPr>
              <w:t>3,663</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2,716</w:t>
            </w:r>
          </w:p>
        </w:tc>
        <w:tc>
          <w:tcPr>
            <w:tcW w:type="dxa" w:w="1440"/>
            <w:shd w:fill="FFDCE0" w:val="clear"/>
          </w:tcPr>
          <w:p>
            <w:r>
              <w:rPr>
                <w:b/>
                <w:sz w:val="17"/>
              </w:rPr>
              <w:t>3,202</w:t>
            </w:r>
          </w:p>
        </w:tc>
        <w:tc>
          <w:tcPr>
            <w:tcW w:type="dxa" w:w="1440"/>
            <w:shd w:fill="FFDCE0" w:val="clear"/>
          </w:tcPr>
          <w:p>
            <w:r>
              <w:rPr>
                <w:sz w:val="17"/>
              </w:rPr>
              <w:t>3,687</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2,674</w:t>
            </w:r>
          </w:p>
        </w:tc>
        <w:tc>
          <w:tcPr>
            <w:tcW w:type="dxa" w:w="1440"/>
            <w:shd w:fill="FFDCE0" w:val="clear"/>
          </w:tcPr>
          <w:p>
            <w:r>
              <w:rPr>
                <w:b/>
                <w:sz w:val="17"/>
              </w:rPr>
              <w:t>3,191</w:t>
            </w:r>
          </w:p>
        </w:tc>
        <w:tc>
          <w:tcPr>
            <w:tcW w:type="dxa" w:w="1440"/>
            <w:shd w:fill="FFDCE0" w:val="clear"/>
          </w:tcPr>
          <w:p>
            <w:r>
              <w:rPr>
                <w:sz w:val="17"/>
              </w:rPr>
              <w:t>3,709</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2,634</w:t>
            </w:r>
          </w:p>
        </w:tc>
        <w:tc>
          <w:tcPr>
            <w:tcW w:type="dxa" w:w="1440"/>
            <w:shd w:fill="FFDCE0" w:val="clear"/>
          </w:tcPr>
          <w:p>
            <w:r>
              <w:rPr>
                <w:b/>
                <w:sz w:val="17"/>
              </w:rPr>
              <w:t>3,181</w:t>
            </w:r>
          </w:p>
        </w:tc>
        <w:tc>
          <w:tcPr>
            <w:tcW w:type="dxa" w:w="1440"/>
            <w:shd w:fill="FFDCE0" w:val="clear"/>
          </w:tcPr>
          <w:p>
            <w:r>
              <w:rPr>
                <w:sz w:val="17"/>
              </w:rPr>
              <w:t>3,728</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2,596</w:t>
            </w:r>
          </w:p>
        </w:tc>
        <w:tc>
          <w:tcPr>
            <w:tcW w:type="dxa" w:w="1440"/>
            <w:shd w:fill="FFDCE0" w:val="clear"/>
          </w:tcPr>
          <w:p>
            <w:r>
              <w:rPr>
                <w:b/>
                <w:sz w:val="17"/>
              </w:rPr>
              <w:t>3,171</w:t>
            </w:r>
          </w:p>
        </w:tc>
        <w:tc>
          <w:tcPr>
            <w:tcW w:type="dxa" w:w="1440"/>
            <w:shd w:fill="FFDCE0" w:val="clear"/>
          </w:tcPr>
          <w:p>
            <w:r>
              <w:rPr>
                <w:sz w:val="17"/>
              </w:rPr>
              <w:t>3,746</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r>
    </w:p>
    <w:p>
      <w:pPr>
        <w:spacing w:after="120" w:line="276" w:lineRule="auto"/>
      </w:pPr>
      <w:r>
        <w:t>**Date de l'analyse : 20 août 2026**</w:t>
        <w:br/>
        <w:t>**Cours de référence : 3 295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207,46 milliards FCFA, ce qui en fait une valeur de première ligne sur la BRVM, représentative du secteur de la distribution d'énergie. Le BPA de 144 FCFA indique que chaque action a généré ce bénéfice sur l'exercice 2025. Avec un PER de 22,8x, le titre se paie nettement plus cher que la moyenne historique de la BRVM (8-12x), signalant que le marché intègre des anticipations de croissance future ou une prime de qualité. Le P/B de 5,73x confirme cette prime, le marché valorisant fortement les actifs nets de la société. Enfin, un EV/EBITDA de 11,7x, bien que dans la fourchette haute (10-15x), reste cohérent avec une entreprise disposant d'une solide capacité opérationnelle, justifiant en partie cette valorisation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affiché une progression remarquable de +14,81%, avec une dernière séance en hausse de +2,01% à 3 295 FCFA. Le titre a évolué dans un range de 2 650 à 3 300 FCFA, démontrant une tendance haussière soutenue. La moyenne (2 875 FCFA) étant égale à la médiane, la distribution des prix est parfaitement symétrique sur la période, mais le skewness positif (0.902) indique que les jours de clôture sous la moyenne ont été plus fréquents, bien que les fortes hausses aient tiré le cours vers le haut. L'écart-type de 127 FCFA (CV=4,4%) montre une dispersion modérée autour de la moyenne. Le kurtosis élevé (1.757) signale un risque de mouvements extrêmes, tandis que la volatilité annualisée de 40,1% classe le titre comme très volatil, un niveau élevé qui requiert une gestion du risque attentive.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(3 295 FCFA) se positionne nettement au-dessus de la MM20 (3 026,25 FCFA) et de la MM50 (2 939,5 FCFA). Cette configuration haussière, où le prix est soutenu par les deux moyennes, confirme la solidité de la tendance. La décision d'achat est justifiée par cette dynamique positive et l'écart croissant entre les moyennes.</w:t>
      </w:r>
    </w:p>
    <w:p>
      <w:pPr>
        <w:spacing w:after="120" w:line="276" w:lineRule="auto"/>
      </w:pPr>
      <w:r>
        <w:t>**Bandes de Bollinger :** Le prix (3 295 FCFA) se situe très près de la borne supérieure (3 311,5 FCFA), indiquant que le titre est en zone de surachat à court terme. La largeur des bandes reflète la volatilité élevée. La décision "Neutre" est prudente, car un retour vers la moyenne (MM20) est statistiquement probable, mais la force de la tendance pourrait maintenir le prix en zone haute.</w:t>
      </w:r>
    </w:p>
    <w:p>
      <w:pPr>
        <w:spacing w:after="120" w:line="276" w:lineRule="auto"/>
      </w:pPr>
      <w:r>
        <w:t>**MACD :** La valeur du MACD (85,895) est nettement supérieure à son signal (49,366), avec un écart positif important. Cette configuration indique un momentum haussier très fort. La décision d'achat est validée par cette divergence positive, qui suggère une poursuite du mouvement ascendant à moyen terme.</w:t>
      </w:r>
    </w:p>
    <w:p>
      <w:pPr>
        <w:spacing w:after="120" w:line="276" w:lineRule="auto"/>
      </w:pPr>
      <w:r>
        <w:t>**RSI :** À 70,588, le RSI entre en zone de surachat (au-delà de 70). Cela signale que le titre a fortement monté et qu'un repli technique ou une consolidation est probable à court terme. La décision de vente est un signal de prudence pour les investisseurs à court terme, mais ne remet pas en cause la tendance de fond.</w:t>
      </w:r>
    </w:p>
    <w:p>
      <w:pPr>
        <w:spacing w:after="120" w:line="276" w:lineRule="auto"/>
      </w:pPr>
      <w:r>
        <w:t>**Stochastique :** Le %K (98,99) et le %D (95,261) sont tous deux à des niveaux extrêmement élevés, en territoire de surachat très prononcé. Cette configuration indique que le mouvement haussier est excessif à court terme. La décision de vente est justifiée par ce niveau extrême, qui précède souvent un retournement ou une pause.</w:t>
      </w:r>
    </w:p>
    <w:p>
      <w:pPr>
        <w:spacing w:after="120" w:line="276" w:lineRule="auto"/>
      </w:pPr>
      <w:r>
        <w:t>**Conclusion technique :** Les indicateurs de tendance (MM, MACD) sont résolument haussiers, mais les oscillateurs (RSI, Stochastique) sont en zone de surachat extrême. Le titre est proche de la borne supérieure de Bollinger. Cette divergence entre la tendance de fond et les conditions de surachat suggère une probable consolidation à court terme avant une éventuelle reprise de la hausse. La prudence est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annuels, TTLC a réalisé un chiffre d'affaires de 588,709 milliards FCFA, en baisse de 5% par rapport à 2024 (621,042 milliards FCFA). Le résultat net s'établit à 9,087 milliards FCFA, contre 9,374 milliards en 2024, soit une légère contraction de 3%. La rentabilité des capitaux propres (ROE) reste excellente à 25,1%, et le ROA est de 4,82%. Pour une entreprise de distribution, le BFR négatif de -9,662 milliards FCFA est un point très positif, indiquant que la société finance son cycle d'exploitation grâce aux délais de paiement accordés par ses fournisseurs (49,72 jours). Cependant, la trésorerie nette est fortement négative (-21,926 milliards FCFA) et le ratio d'endettement est élevé (90,2%). Les rapports trimestriels de 2025 (S1 et T3) confirment la tendance baissière du CA (-7,1% au S1, -5,7% au cumul T3) et une chute plus marquée du résultat net (-25,5% au S1, -30,2% au cumul T3), principalement due à un effet de base défavorable et à une charge fiscale anticipée. Cependant, le rapport du T1 2026, publié en 2026, montre un net rebond : le CA progresse de +4,3% à 154,392 milliards FCFA et le résultat net de +5,5% à 2,329 milliards FCFA. Sur la base de ce T1 2026, on estime que l'exercice 2026 pourrait renouer avec une croissance, portée par l'augmentation des volumes vendus. La société maintient une politique de dividende très généreuse (10 milliards FCFA proposés pour 2025, soit un payout &gt;100%), ce qui est un signal fort pour les actionnaires mais pèse sur la trésorerie. Les fondamentaux de TTLC restent solides, avec une excellente rentabilité opérationnelle et une position de leader, mais la dégradation de la trésorerie et l'endettement constituent les principaux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(PER 22,8x, P/B 5,73x), intégrant une prime de qualité et des attentes de croissance. Le comportement du cours est très positif sur 100 jours (+14,81%) mais la volatilité est élevée (40,1%) et les statistiques (kurtosis, skewness) suggèrent un risque de mouvements brusques. Les signaux techniques sont partagés : la tendance de fond est haussière (MM, MACD), mais les indicateurs de surachat (RSI 70,6, Stochastique 99%) signalent un risque de consolidation à court terme. Les fondamentaux sont contrastés : excellente rentabilité (ROE 25,1%) et BFR négatif favorable, mais trésorerie nette très négative et endettement élevé. Les prédictions IA pour les 10 prochains jours (de 3 273 à 3 223 FCFA) confirment l'hypothèse d'un repli technique à court terme, en ligne avec les signaux de surachat. La convergence entre les signaux techniques de court terme (surachat) et les prédictions IA suggère une pause dans la hausse. En synthèse, la recommandation est **CONSERVER** pour les investisseurs en portefeuille, avec un niveau de confiance **Moyen**. Le niveau de risque global est **Élevé** en raison de la volatilité et de la valorisation. L'horizon d'investissement optimal serait le **moyen terme (3-12 mois)**, attendant une correction technique pour renforcer la position, ou une confirmation de la croissance 2026 pour justifier la prime de valorisation.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2,725 titres</w:t>
            </w:r>
          </w:p>
        </w:tc>
        <w:tc>
          <w:tcPr>
            <w:tcW w:type="dxa" w:w="2268"/>
            <w:shd w:fill="FFF2CC" w:val="clear"/>
          </w:tcPr>
          <w:p>
            <w:r>
              <w:rPr>
                <w:b/>
                <w:color w:val="503200"/>
                <w:sz w:val="16"/>
              </w:rPr>
              <w:t xml:space="preserve">Cours actuel : </w:t>
            </w:r>
            <w:r>
              <w:rPr>
                <w:color w:val="000000"/>
                <w:sz w:val="17"/>
              </w:rPr>
              <w:t>3,965 FCFA</w:t>
            </w:r>
          </w:p>
          <w:p>
            <w:r>
              <w:rPr>
                <w:b/>
                <w:color w:val="503200"/>
                <w:sz w:val="16"/>
              </w:rPr>
              <w:t xml:space="preserve">Var. 100 jours : </w:t>
            </w:r>
            <w:r>
              <w:rPr>
                <w:b/>
                <w:color w:val="007800"/>
                <w:sz w:val="17"/>
              </w:rPr>
              <w:t>+27.90%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10.53% (Moyenne) — μ=3,479 FCFA, σ=366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β=0.9808 (Neutre (suit le marché)) — Cov=0.000031, Var(idx)=0.000031, ρ=0.184,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2,725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σ_j=3.05%/j (Modérée) — Vol. annualisée≈48.5%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2026-08-21</w:t>
            </w:r>
          </w:p>
        </w:tc>
        <w:tc>
          <w:tcPr>
            <w:tcW w:type="dxa" w:w="1440"/>
            <w:shd w:fill="FFDCE0" w:val="clear"/>
          </w:tcPr>
          <w:p>
            <w:r>
              <w:rPr>
                <w:sz w:val="17"/>
              </w:rPr>
              <w:t>3,490</w:t>
            </w:r>
          </w:p>
        </w:tc>
        <w:tc>
          <w:tcPr>
            <w:tcW w:type="dxa" w:w="1440"/>
            <w:shd w:fill="FFDCE0" w:val="clear"/>
          </w:tcPr>
          <w:p>
            <w:r>
              <w:rPr>
                <w:b/>
                <w:sz w:val="17"/>
              </w:rPr>
              <w:t>3,692</w:t>
            </w:r>
          </w:p>
        </w:tc>
        <w:tc>
          <w:tcPr>
            <w:tcW w:type="dxa" w:w="1440"/>
            <w:shd w:fill="FFDCE0" w:val="clear"/>
          </w:tcPr>
          <w:p>
            <w:r>
              <w:rPr>
                <w:sz w:val="17"/>
              </w:rPr>
              <w:t>3,895</w:t>
            </w:r>
          </w:p>
        </w:tc>
        <w:tc>
          <w:tcPr>
            <w:tcW w:type="dxa" w:w="1440"/>
            <w:shd w:fill="FFDCE0" w:val="clear"/>
          </w:tcPr>
          <w:p>
            <w:r>
              <w:rPr>
                <w:b/>
                <w:color w:val="C00000"/>
                <w:sz w:val="17"/>
              </w:rPr>
              <w:t>-6.9%</w:t>
            </w:r>
          </w:p>
        </w:tc>
      </w:tr>
      <w:tr>
        <w:tc>
          <w:tcPr>
            <w:tcW w:type="dxa" w:w="1440"/>
            <w:shd w:fill="FFDCE0" w:val="clear"/>
          </w:tcPr>
          <w:p>
            <w:r>
              <w:rPr>
                <w:sz w:val="17"/>
              </w:rPr>
              <w:t>J+2  ⭐</w:t>
            </w:r>
          </w:p>
        </w:tc>
        <w:tc>
          <w:tcPr>
            <w:tcW w:type="dxa" w:w="1440"/>
            <w:shd w:fill="FFDCE0" w:val="clear"/>
          </w:tcPr>
          <w:p>
            <w:r>
              <w:rPr>
                <w:sz w:val="17"/>
              </w:rPr>
              <w:t>2026-08-24</w:t>
            </w:r>
          </w:p>
        </w:tc>
        <w:tc>
          <w:tcPr>
            <w:tcW w:type="dxa" w:w="1440"/>
            <w:shd w:fill="FFDCE0" w:val="clear"/>
          </w:tcPr>
          <w:p>
            <w:r>
              <w:rPr>
                <w:sz w:val="17"/>
              </w:rPr>
              <w:t>3,335</w:t>
            </w:r>
          </w:p>
        </w:tc>
        <w:tc>
          <w:tcPr>
            <w:tcW w:type="dxa" w:w="1440"/>
            <w:shd w:fill="FFDCE0" w:val="clear"/>
          </w:tcPr>
          <w:p>
            <w:r>
              <w:rPr>
                <w:b/>
                <w:sz w:val="17"/>
              </w:rPr>
              <w:t>3,615</w:t>
            </w:r>
          </w:p>
        </w:tc>
        <w:tc>
          <w:tcPr>
            <w:tcW w:type="dxa" w:w="1440"/>
            <w:shd w:fill="FFDCE0" w:val="clear"/>
          </w:tcPr>
          <w:p>
            <w:r>
              <w:rPr>
                <w:sz w:val="17"/>
              </w:rPr>
              <w:t>3,895</w:t>
            </w:r>
          </w:p>
        </w:tc>
        <w:tc>
          <w:tcPr>
            <w:tcW w:type="dxa" w:w="1440"/>
            <w:shd w:fill="FFDCE0" w:val="clear"/>
          </w:tcPr>
          <w:p>
            <w:r>
              <w:rPr>
                <w:b/>
                <w:color w:val="C00000"/>
                <w:sz w:val="17"/>
              </w:rPr>
              <w:t>-8.8%</w:t>
            </w:r>
          </w:p>
        </w:tc>
      </w:tr>
      <w:tr>
        <w:tc>
          <w:tcPr>
            <w:tcW w:type="dxa" w:w="1440"/>
            <w:shd w:fill="FFDCE0" w:val="clear"/>
          </w:tcPr>
          <w:p>
            <w:r>
              <w:rPr>
                <w:sz w:val="17"/>
              </w:rPr>
              <w:t>J+3  ⭐</w:t>
            </w:r>
          </w:p>
        </w:tc>
        <w:tc>
          <w:tcPr>
            <w:tcW w:type="dxa" w:w="1440"/>
            <w:shd w:fill="FFDCE0" w:val="clear"/>
          </w:tcPr>
          <w:p>
            <w:r>
              <w:rPr>
                <w:sz w:val="17"/>
              </w:rPr>
              <w:t>2026-08-25</w:t>
            </w:r>
          </w:p>
        </w:tc>
        <w:tc>
          <w:tcPr>
            <w:tcW w:type="dxa" w:w="1440"/>
            <w:shd w:fill="FFDCE0" w:val="clear"/>
          </w:tcPr>
          <w:p>
            <w:r>
              <w:rPr>
                <w:sz w:val="17"/>
              </w:rPr>
              <w:t>3,213</w:t>
            </w:r>
          </w:p>
        </w:tc>
        <w:tc>
          <w:tcPr>
            <w:tcW w:type="dxa" w:w="1440"/>
            <w:shd w:fill="FFDCE0" w:val="clear"/>
          </w:tcPr>
          <w:p>
            <w:r>
              <w:rPr>
                <w:b/>
                <w:sz w:val="17"/>
              </w:rPr>
              <w:t>3,550</w:t>
            </w:r>
          </w:p>
        </w:tc>
        <w:tc>
          <w:tcPr>
            <w:tcW w:type="dxa" w:w="1440"/>
            <w:shd w:fill="FFDCE0" w:val="clear"/>
          </w:tcPr>
          <w:p>
            <w:r>
              <w:rPr>
                <w:sz w:val="17"/>
              </w:rPr>
              <w:t>3,887</w:t>
            </w:r>
          </w:p>
        </w:tc>
        <w:tc>
          <w:tcPr>
            <w:tcW w:type="dxa" w:w="1440"/>
            <w:shd w:fill="FFDCE0" w:val="clear"/>
          </w:tcPr>
          <w:p>
            <w:r>
              <w:rPr>
                <w:b/>
                <w:color w:val="C00000"/>
                <w:sz w:val="17"/>
              </w:rPr>
              <w:t>-10.5%</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3,115</w:t>
            </w:r>
          </w:p>
        </w:tc>
        <w:tc>
          <w:tcPr>
            <w:tcW w:type="dxa" w:w="1440"/>
            <w:shd w:fill="FFDCE0" w:val="clear"/>
          </w:tcPr>
          <w:p>
            <w:r>
              <w:rPr>
                <w:b/>
                <w:sz w:val="17"/>
              </w:rPr>
              <w:t>3,498</w:t>
            </w:r>
          </w:p>
        </w:tc>
        <w:tc>
          <w:tcPr>
            <w:tcW w:type="dxa" w:w="1440"/>
            <w:shd w:fill="FFDCE0" w:val="clear"/>
          </w:tcPr>
          <w:p>
            <w:r>
              <w:rPr>
                <w:sz w:val="17"/>
              </w:rPr>
              <w:t>3,881</w:t>
            </w:r>
          </w:p>
        </w:tc>
        <w:tc>
          <w:tcPr>
            <w:tcW w:type="dxa" w:w="1440"/>
            <w:shd w:fill="FFDCE0" w:val="clear"/>
          </w:tcPr>
          <w:p>
            <w:r>
              <w:rPr>
                <w:b/>
                <w:color w:val="C00000"/>
                <w:sz w:val="17"/>
              </w:rPr>
              <w:t>-11.8%</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3,030</w:t>
            </w:r>
          </w:p>
        </w:tc>
        <w:tc>
          <w:tcPr>
            <w:tcW w:type="dxa" w:w="1440"/>
            <w:shd w:fill="FFDCE0" w:val="clear"/>
          </w:tcPr>
          <w:p>
            <w:r>
              <w:rPr>
                <w:b/>
                <w:sz w:val="17"/>
              </w:rPr>
              <w:t>3,453</w:t>
            </w:r>
          </w:p>
        </w:tc>
        <w:tc>
          <w:tcPr>
            <w:tcW w:type="dxa" w:w="1440"/>
            <w:shd w:fill="FFDCE0" w:val="clear"/>
          </w:tcPr>
          <w:p>
            <w:r>
              <w:rPr>
                <w:sz w:val="17"/>
              </w:rPr>
              <w:t>3,876</w:t>
            </w:r>
          </w:p>
        </w:tc>
        <w:tc>
          <w:tcPr>
            <w:tcW w:type="dxa" w:w="1440"/>
            <w:shd w:fill="FFDCE0" w:val="clear"/>
          </w:tcPr>
          <w:p>
            <w:r>
              <w:rPr>
                <w:b/>
                <w:color w:val="C00000"/>
                <w:sz w:val="17"/>
              </w:rPr>
              <w:t>-12.9%</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2,954</w:t>
            </w:r>
          </w:p>
        </w:tc>
        <w:tc>
          <w:tcPr>
            <w:tcW w:type="dxa" w:w="1440"/>
            <w:shd w:fill="FFDCE0" w:val="clear"/>
          </w:tcPr>
          <w:p>
            <w:r>
              <w:rPr>
                <w:b/>
                <w:sz w:val="17"/>
              </w:rPr>
              <w:t>3,412</w:t>
            </w:r>
          </w:p>
        </w:tc>
        <w:tc>
          <w:tcPr>
            <w:tcW w:type="dxa" w:w="1440"/>
            <w:shd w:fill="FFDCE0" w:val="clear"/>
          </w:tcPr>
          <w:p>
            <w:r>
              <w:rPr>
                <w:sz w:val="17"/>
              </w:rPr>
              <w:t>3,870</w:t>
            </w:r>
          </w:p>
        </w:tc>
        <w:tc>
          <w:tcPr>
            <w:tcW w:type="dxa" w:w="1440"/>
            <w:shd w:fill="FFDCE0" w:val="clear"/>
          </w:tcPr>
          <w:p>
            <w:r>
              <w:rPr>
                <w:b/>
                <w:color w:val="C00000"/>
                <w:sz w:val="17"/>
              </w:rPr>
              <w:t>-13.9%</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2,885</w:t>
            </w:r>
          </w:p>
        </w:tc>
        <w:tc>
          <w:tcPr>
            <w:tcW w:type="dxa" w:w="1440"/>
            <w:shd w:fill="FFDCE0" w:val="clear"/>
          </w:tcPr>
          <w:p>
            <w:r>
              <w:rPr>
                <w:b/>
                <w:sz w:val="17"/>
              </w:rPr>
              <w:t>3,374</w:t>
            </w:r>
          </w:p>
        </w:tc>
        <w:tc>
          <w:tcPr>
            <w:tcW w:type="dxa" w:w="1440"/>
            <w:shd w:fill="FFDCE0" w:val="clear"/>
          </w:tcPr>
          <w:p>
            <w:r>
              <w:rPr>
                <w:sz w:val="17"/>
              </w:rPr>
              <w:t>3,863</w:t>
            </w:r>
          </w:p>
        </w:tc>
        <w:tc>
          <w:tcPr>
            <w:tcW w:type="dxa" w:w="1440"/>
            <w:shd w:fill="FFDCE0" w:val="clear"/>
          </w:tcPr>
          <w:p>
            <w:r>
              <w:rPr>
                <w:b/>
                <w:color w:val="C00000"/>
                <w:sz w:val="17"/>
              </w:rPr>
              <w:t>-14.9%</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2,821</w:t>
            </w:r>
          </w:p>
        </w:tc>
        <w:tc>
          <w:tcPr>
            <w:tcW w:type="dxa" w:w="1440"/>
            <w:shd w:fill="FFDCE0" w:val="clear"/>
          </w:tcPr>
          <w:p>
            <w:r>
              <w:rPr>
                <w:b/>
                <w:sz w:val="17"/>
              </w:rPr>
              <w:t>3,338</w:t>
            </w:r>
          </w:p>
        </w:tc>
        <w:tc>
          <w:tcPr>
            <w:tcW w:type="dxa" w:w="1440"/>
            <w:shd w:fill="FFDCE0" w:val="clear"/>
          </w:tcPr>
          <w:p>
            <w:r>
              <w:rPr>
                <w:sz w:val="17"/>
              </w:rPr>
              <w:t>3,856</w:t>
            </w:r>
          </w:p>
        </w:tc>
        <w:tc>
          <w:tcPr>
            <w:tcW w:type="dxa" w:w="1440"/>
            <w:shd w:fill="FFDCE0" w:val="clear"/>
          </w:tcPr>
          <w:p>
            <w:r>
              <w:rPr>
                <w:b/>
                <w:color w:val="C00000"/>
                <w:sz w:val="17"/>
              </w:rPr>
              <w:t>-15.8%</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2,762</w:t>
            </w:r>
          </w:p>
        </w:tc>
        <w:tc>
          <w:tcPr>
            <w:tcW w:type="dxa" w:w="1440"/>
            <w:shd w:fill="FFDCE0" w:val="clear"/>
          </w:tcPr>
          <w:p>
            <w:r>
              <w:rPr>
                <w:b/>
                <w:sz w:val="17"/>
              </w:rPr>
              <w:t>3,305</w:t>
            </w:r>
          </w:p>
        </w:tc>
        <w:tc>
          <w:tcPr>
            <w:tcW w:type="dxa" w:w="1440"/>
            <w:shd w:fill="FFDCE0" w:val="clear"/>
          </w:tcPr>
          <w:p>
            <w:r>
              <w:rPr>
                <w:sz w:val="17"/>
              </w:rPr>
              <w:t>3,848</w:t>
            </w:r>
          </w:p>
        </w:tc>
        <w:tc>
          <w:tcPr>
            <w:tcW w:type="dxa" w:w="1440"/>
            <w:shd w:fill="FFDCE0" w:val="clear"/>
          </w:tcPr>
          <w:p>
            <w:r>
              <w:rPr>
                <w:b/>
                <w:color w:val="C00000"/>
                <w:sz w:val="17"/>
              </w:rPr>
              <w:t>-16.6%</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2,707</w:t>
            </w:r>
          </w:p>
        </w:tc>
        <w:tc>
          <w:tcPr>
            <w:tcW w:type="dxa" w:w="1440"/>
            <w:shd w:fill="FFDCE0" w:val="clear"/>
          </w:tcPr>
          <w:p>
            <w:r>
              <w:rPr>
                <w:b/>
                <w:sz w:val="17"/>
              </w:rPr>
              <w:t>3,274</w:t>
            </w:r>
          </w:p>
        </w:tc>
        <w:tc>
          <w:tcPr>
            <w:tcW w:type="dxa" w:w="1440"/>
            <w:shd w:fill="FFDCE0" w:val="clear"/>
          </w:tcPr>
          <w:p>
            <w:r>
              <w:rPr>
                <w:sz w:val="17"/>
              </w:rPr>
              <w:t>3,841</w:t>
            </w:r>
          </w:p>
        </w:tc>
        <w:tc>
          <w:tcPr>
            <w:tcW w:type="dxa" w:w="1440"/>
            <w:shd w:fill="FFDCE0" w:val="clear"/>
          </w:tcPr>
          <w:p>
            <w:r>
              <w:rPr>
                <w:b/>
                <w:color w:val="C00000"/>
                <w:sz w:val="17"/>
              </w:rPr>
              <w:t>-17.4%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129,17 milliards FCFA positionne TTLS comme une valeur de première ligne sur la BRVM, reflétant la confiance des investisseurs dans le leader sénégalais de la distribution pétrolière. Avec un BPA de 208 FCFA, le titre affiche un PER de 19,1x, nettement supérieur à la moyenne historique de la place (~8-12x), ce qui suggère que le marché intègre déjà des perspectives de croissance ou une prime de qualité pour ce titre. Le P/B de 4,57x confirme cette prime, le marché valorisant fortement les actifs nets de la société, tandis que l'EV/EBITDA de 8,1x, dans la fourchette raisonnable de 5-10x, tempère cette lecture en indiquant une valorisation opérationnelle plus mesurée. Ces ratios contrastés traduisent une décote sur la génération de cash-flow opérationnel mais une prime sur la valeur comptable, signe d'une société rentable mais dont le cours a fortement progressé récemment.</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l'action TTLS a enregistré une progression spectaculaire de +27,90%, avec une dernière séance particulièrement dynamique (+7,16% à 3 965 FCFA), témoignant d'un momentum haussier soutenu. Le titre a évolué dans un range de 2 845 à 4 500 FCFA, illustrant une amplitude de trading considérable de plus de 58% entre le plus bas et le plus haut. La moyenne de 3 479 FCFA, inférieure à la médiane de 3 445 FCFA mais avec un mode à 3 250 FCFA, révèle une distribution asymétrique positive (skewness de 0,707), signifiant que le cours a passé davantage de temps sous sa moyenne avant de connaître des poussées haussières récentes. L'écart-type de 368 FCFA (CV de 10,6%) indique une dispersion modérée autour de la moyenne, tandis que le kurtosis de 0,086 (mésokurtique) suggère une distribution proche de la normale, sans risque excessif de mouvements extrêmes. La volatilité annualisée de 48,5% classe le titre dans la catégorie des valeurs à forte volatilité, ce qui implique un risque élevé mais aussi un potentiel de rendement significatif.</w:t>
      </w:r>
    </w:p>
    <w:p>
      <w:pPr>
        <w:spacing w:after="120" w:line="276" w:lineRule="auto" w:before="240"/>
      </w:pPr>
      <w:r>
        <w:rPr>
          <w:b/>
          <w:color w:val="003366"/>
          <w:sz w:val="24"/>
        </w:rPr>
        <w:t>**PARTIE 2 : ANALYSE TECHNIQUE DÉTAILLÉE**</w:t>
      </w:r>
    </w:p>
    <w:p>
      <w:pPr>
        <w:spacing w:after="120" w:line="276" w:lineRule="auto"/>
      </w:pPr>
      <w:r>
        <w:t>**Moyennes Mobiles** : Le cours actuel de 3 965 FCFA se situe nettement au-dessus de la MM20 (3 663 FCFA) et de la MM50 (3 757 FCFA), configuration typiquement haussière. Cependant, la décision de Vente suggère que le marché pourrait considérer cette extension comme excessive à court terme, le prix s'étant éloigné de ses moyennes mobiles, créant un potentiel de correction technique.</w:t>
      </w:r>
    </w:p>
    <w:p>
      <w:pPr>
        <w:spacing w:after="120" w:line="276" w:lineRule="auto"/>
      </w:pPr>
      <w:r>
        <w:t>**Bandes de Bollinger** : Le cours à 3 965 FCFA a franchi la borne supérieure (3 878 FCFA), signalant une condition de surachat temporaire. Cette sortie de bande indique une volatilité accrue et un momentum puissant, mais historiquement, de tels dépassements sont souvent suivis d'un repli vers la moyenne mobile centrale. La décision de Vente reflète cette probabilité statistique de retour à la moyenne.</w:t>
      </w:r>
    </w:p>
    <w:p>
      <w:pPr>
        <w:spacing w:after="120" w:line="276" w:lineRule="auto"/>
      </w:pPr>
      <w:r>
        <w:t>**MACD** : La valeur du MACD à -4,587 avec un signal à -36,669 montre une divergence positive significative, le MACD étant nettement au-dessus de sa ligne de signal. Cette configuration, bien que les deux indicateurs soient en territoire négatif, suggère un momentum haussier naissant. La décision d'Achat est cohérente avec cette lecture, indiquant une dynamique positive en cours de formation.</w:t>
      </w:r>
    </w:p>
    <w:p>
      <w:pPr>
        <w:spacing w:after="120" w:line="276" w:lineRule="auto"/>
      </w:pPr>
      <w:r>
        <w:t>**RSI** : À 64,126, le RSI se situe en zone neutre-haute, approchant mais ne dépassant pas encore le seuil de surachat de 70. Cette valeur indique une pression acheteuse soutenue sans pour autant signaler une exubérance excessive. La décision Neutre est appropriée, laissant une marge de progression avant une éventuelle zone de surachat.</w:t>
      </w:r>
    </w:p>
    <w:p>
      <w:pPr>
        <w:spacing w:after="120" w:line="276" w:lineRule="auto"/>
      </w:pPr>
      <w:r>
        <w:t>**Stochastique** : Avec %K à 100 et %D à 88,889, l'oscillateur stochastique est en zone de surachat extrême, signalant que le cours a clôturé au plus haut de sa période récente. Cette configuration précède fréquemment un repli technique. La décision de Vente est justifiée par cette lecture, le marché étant probablement survendu à la hausse.</w:t>
      </w:r>
    </w:p>
    <w:p>
      <w:pPr>
        <w:spacing w:after="120" w:line="276" w:lineRule="auto"/>
      </w:pPr>
      <w:r>
        <w:t>**Conclusion technique** : La convergence des indicateurs est mitigée : les moyennes mobiles et le MACD suggèrent une tendance haussière sous-jacente, tandis que les bandes de Bollinger et le stochastique signalent des conditions de surachat à court terme. Le RSI, en zone neutre, ne tranche pas clairement. Cette configuration suggère un potentiel de consolidation ou de léger repli technique avant une reprise de la tendance haussière, le momentum global restant positif.</w:t>
      </w:r>
    </w:p>
    <w:p>
      <w:pPr>
        <w:spacing w:after="120" w:line="276" w:lineRule="auto" w:before="240"/>
      </w:pPr>
      <w:r>
        <w:rPr>
          <w:b/>
          <w:color w:val="003366"/>
          <w:sz w:val="24"/>
        </w:rPr>
        <w:t>**PARTIE 3 : ANALYSE FONDAMENTALE (SECTION CRITIQUE)**</w:t>
      </w:r>
    </w:p>
    <w:p>
      <w:pPr>
        <w:spacing w:after="120" w:line="276" w:lineRule="auto"/>
      </w:pPr>
      <w:r>
        <w:t>En 2025, TotalEnergies Marketing Sénégal a réalisé un chiffre d'affaires de 455,209 milliards FCFA, en baisse de 6,1% par rapport à 2024 (484,945 milliards), contraction attribuée à l'arrêt stratégique de la commercialisation du fuel lourd. Le résultat net s'établit à 6,779 milliards FCFA, en repli de 5,1% par rapport aux 7,140 milliards de 2024, mais la marge nette s'améliore légèrement à 1,49%. La rentabilité des fonds propres (ROE) atteint un niveau excellent de 24%, tandis que le ROA de 3,95% reflète la lourdeur du bilan (171,778 milliards d'actifs). Le BFR négatif de -36,899 milliards FCFA constitue un avantage compétitif majeur, la société finançant son exploitation grâce aux délais fournisseurs (97,76 jours) nettement supérieurs aux délais clients (47,43 jours). La trésorerie s'est considérablement renforcée, passant de 8,4 milliards en 2024 à 20,567 milliards en 2025, avec un free cash-flow de 17,483 milliards. Sur la base du rapport T1 2026 (CA de 99,9 milliards, -10% mais résultat net en hausse de +5% à 1,585 milliard grâce à l'amélioration des marges lubrifiants), on estime que l'exercice 2026 pourrait maintenir un résultat net stable autour de 6,5-7 milliards FCFA, malgré la pression réglementaire sur les prix à la pompe. La solidité financière est confortée par une capacité de remboursement de seulement 0,94 an et une couverture des intérêts de 486%. Les risques résident dans la dépendance aux décisions étatiques sur les prix et la concentration géographique au Sénégal, mais la position de leader (140 stations) et le soutien de TotalEnergies (69,1%) offrent une résilience certaine.</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mais globalement positifs pour TTLS. La valorisation (PER de 19,1x, P/B de 4,57x) apparaît exigeante, le marché intégrant une prime de qualité pour ce leader régional, mais l'EV/EBITDA de 8,1x modère cette lecture. Le comportement du cours sur 100 jours (+27,90%) avec une volatilité élevée (48,5%) et une asymétrie positive témoigne d'un intérêt marqué des investisseurs, bien que les conditions de surachat technique (Bollinger, stochastique) suggèrent un possible essoufflement à court terme. Les fondamentaux restent solides avec un ROE de 24%, un BFR négatif favorable et une trésorerie abondante, malgré une baisse du chiffre d'affaires liée à une stratégie de recentrage assumée. Les prédictions IA indiquent un repli progressif vers 3 453 FCFA sur 10 jours, confirmant l'hypothèse d'une correction technique après la récente envolée. La convergence entre les signaux techniques de surachat et les prédictions IA suggère une consolidation à court terme, mais la solidité fondamentale et les perspectives de croissance (GPL, lubrifiants, export) plaident pour une détention à moyen terme. **Recommandation : CONSERVER** avec un niveau de confiance Moyen, un risque global Élevé (volatilité et dépendance réglementaire), et un horizon d'investissement optimal à moyen terme (3-12 mois) pour absorber la correction technique attendue et bénéficier du potentiel de reprise.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477.54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24 titres</w:t>
            </w:r>
          </w:p>
        </w:tc>
        <w:tc>
          <w:tcPr>
            <w:tcW w:type="dxa" w:w="2268"/>
            <w:shd w:fill="FFF2CC" w:val="clear"/>
          </w:tcPr>
          <w:p>
            <w:r>
              <w:rPr>
                <w:b/>
                <w:color w:val="503200"/>
                <w:sz w:val="16"/>
              </w:rPr>
              <w:t xml:space="preserve">Cours actuel : </w:t>
            </w:r>
            <w:r>
              <w:rPr>
                <w:color w:val="000000"/>
                <w:sz w:val="17"/>
              </w:rPr>
              <w:t>52,000 FCFA</w:t>
            </w:r>
          </w:p>
          <w:p>
            <w:r>
              <w:rPr>
                <w:b/>
                <w:color w:val="503200"/>
                <w:sz w:val="16"/>
              </w:rPr>
              <w:t xml:space="preserve">Var. 100 jours : </w:t>
            </w:r>
            <w:r>
              <w:rPr>
                <w:b/>
                <w:color w:val="B40000"/>
                <w:sz w:val="17"/>
              </w:rPr>
              <w:t>-10.34%</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μ=56,701 FCFA, σ=3,569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β=1.3221 (Agressif) — Cov=0.000042, Var(idx)=0.000032, ρ=0.181,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24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σ_j=4.10%/j (Modérée) — Vol. annualisée≈65.1%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2026-08-21</w:t>
            </w:r>
          </w:p>
        </w:tc>
        <w:tc>
          <w:tcPr>
            <w:tcW w:type="dxa" w:w="1440"/>
            <w:shd w:fill="C6EFCE" w:val="clear"/>
          </w:tcPr>
          <w:p>
            <w:r>
              <w:rPr>
                <w:sz w:val="17"/>
              </w:rPr>
              <w:t>51,830</w:t>
            </w:r>
          </w:p>
        </w:tc>
        <w:tc>
          <w:tcPr>
            <w:tcW w:type="dxa" w:w="1440"/>
            <w:shd w:fill="C6EFCE" w:val="clear"/>
          </w:tcPr>
          <w:p>
            <w:r>
              <w:rPr>
                <w:b/>
                <w:sz w:val="17"/>
              </w:rPr>
              <w:t>54,969</w:t>
            </w:r>
          </w:p>
        </w:tc>
        <w:tc>
          <w:tcPr>
            <w:tcW w:type="dxa" w:w="1440"/>
            <w:shd w:fill="C6EFCE" w:val="clear"/>
          </w:tcPr>
          <w:p>
            <w:r>
              <w:rPr>
                <w:sz w:val="17"/>
              </w:rPr>
              <w:t>58,108</w:t>
            </w:r>
          </w:p>
        </w:tc>
        <w:tc>
          <w:tcPr>
            <w:tcW w:type="dxa" w:w="1440"/>
            <w:shd w:fill="C6EFCE" w:val="clear"/>
          </w:tcPr>
          <w:p>
            <w:r>
              <w:rPr>
                <w:b/>
                <w:color w:val="008000"/>
                <w:sz w:val="17"/>
              </w:rPr>
              <w:t>+5.7%</w:t>
            </w:r>
          </w:p>
        </w:tc>
      </w:tr>
      <w:tr>
        <w:tc>
          <w:tcPr>
            <w:tcW w:type="dxa" w:w="1440"/>
            <w:shd w:fill="C6EFCE" w:val="clear"/>
          </w:tcPr>
          <w:p>
            <w:r>
              <w:rPr>
                <w:sz w:val="17"/>
              </w:rPr>
              <w:t>J+2  ⭐</w:t>
            </w:r>
          </w:p>
        </w:tc>
        <w:tc>
          <w:tcPr>
            <w:tcW w:type="dxa" w:w="1440"/>
            <w:shd w:fill="C6EFCE" w:val="clear"/>
          </w:tcPr>
          <w:p>
            <w:r>
              <w:rPr>
                <w:sz w:val="17"/>
              </w:rPr>
              <w:t>2026-08-24</w:t>
            </w:r>
          </w:p>
        </w:tc>
        <w:tc>
          <w:tcPr>
            <w:tcW w:type="dxa" w:w="1440"/>
            <w:shd w:fill="C6EFCE" w:val="clear"/>
          </w:tcPr>
          <w:p>
            <w:r>
              <w:rPr>
                <w:sz w:val="17"/>
              </w:rPr>
              <w:t>50,614</w:t>
            </w:r>
          </w:p>
        </w:tc>
        <w:tc>
          <w:tcPr>
            <w:tcW w:type="dxa" w:w="1440"/>
            <w:shd w:fill="C6EFCE" w:val="clear"/>
          </w:tcPr>
          <w:p>
            <w:r>
              <w:rPr>
                <w:b/>
                <w:sz w:val="17"/>
              </w:rPr>
              <w:t>55,061</w:t>
            </w:r>
          </w:p>
        </w:tc>
        <w:tc>
          <w:tcPr>
            <w:tcW w:type="dxa" w:w="1440"/>
            <w:shd w:fill="C6EFCE" w:val="clear"/>
          </w:tcPr>
          <w:p>
            <w:r>
              <w:rPr>
                <w:sz w:val="17"/>
              </w:rPr>
              <w:t>59,508</w:t>
            </w:r>
          </w:p>
        </w:tc>
        <w:tc>
          <w:tcPr>
            <w:tcW w:type="dxa" w:w="1440"/>
            <w:shd w:fill="C6EFCE" w:val="clear"/>
          </w:tcPr>
          <w:p>
            <w:r>
              <w:rPr>
                <w:b/>
                <w:color w:val="008000"/>
                <w:sz w:val="17"/>
              </w:rPr>
              <w:t>+5.9%</w:t>
            </w:r>
          </w:p>
        </w:tc>
      </w:tr>
      <w:tr>
        <w:tc>
          <w:tcPr>
            <w:tcW w:type="dxa" w:w="1440"/>
            <w:shd w:fill="C6EFCE" w:val="clear"/>
          </w:tcPr>
          <w:p>
            <w:r>
              <w:rPr>
                <w:sz w:val="17"/>
              </w:rPr>
              <w:t>J+3  ⭐</w:t>
            </w:r>
          </w:p>
        </w:tc>
        <w:tc>
          <w:tcPr>
            <w:tcW w:type="dxa" w:w="1440"/>
            <w:shd w:fill="C6EFCE" w:val="clear"/>
          </w:tcPr>
          <w:p>
            <w:r>
              <w:rPr>
                <w:sz w:val="17"/>
              </w:rPr>
              <w:t>2026-08-25</w:t>
            </w:r>
          </w:p>
        </w:tc>
        <w:tc>
          <w:tcPr>
            <w:tcW w:type="dxa" w:w="1440"/>
            <w:shd w:fill="C6EFCE" w:val="clear"/>
          </w:tcPr>
          <w:p>
            <w:r>
              <w:rPr>
                <w:sz w:val="17"/>
              </w:rPr>
              <w:t>50,026</w:t>
            </w:r>
          </w:p>
        </w:tc>
        <w:tc>
          <w:tcPr>
            <w:tcW w:type="dxa" w:w="1440"/>
            <w:shd w:fill="C6EFCE" w:val="clear"/>
          </w:tcPr>
          <w:p>
            <w:r>
              <w:rPr>
                <w:b/>
                <w:sz w:val="17"/>
              </w:rPr>
              <w:t>55,518</w:t>
            </w:r>
          </w:p>
        </w:tc>
        <w:tc>
          <w:tcPr>
            <w:tcW w:type="dxa" w:w="1440"/>
            <w:shd w:fill="C6EFCE" w:val="clear"/>
          </w:tcPr>
          <w:p>
            <w:r>
              <w:rPr>
                <w:sz w:val="17"/>
              </w:rPr>
              <w:t>61,009</w:t>
            </w:r>
          </w:p>
        </w:tc>
        <w:tc>
          <w:tcPr>
            <w:tcW w:type="dxa" w:w="1440"/>
            <w:shd w:fill="C6EFCE" w:val="clear"/>
          </w:tcPr>
          <w:p>
            <w:r>
              <w:rPr>
                <w:b/>
                <w:color w:val="008000"/>
                <w:sz w:val="17"/>
              </w:rPr>
              <w:t>+6.8%</w:t>
            </w:r>
          </w:p>
        </w:tc>
      </w:tr>
      <w:tr>
        <w:tc>
          <w:tcPr>
            <w:tcW w:type="dxa" w:w="1440"/>
            <w:shd w:fill="C6EFCE" w:val="clear"/>
          </w:tcPr>
          <w:p>
            <w:r>
              <w:rPr>
                <w:sz w:val="17"/>
              </w:rPr>
              <w:t>J+4  ⭐</w:t>
            </w:r>
          </w:p>
        </w:tc>
        <w:tc>
          <w:tcPr>
            <w:tcW w:type="dxa" w:w="1440"/>
            <w:shd w:fill="C6EFCE" w:val="clear"/>
          </w:tcPr>
          <w:p>
            <w:r>
              <w:rPr>
                <w:sz w:val="17"/>
              </w:rPr>
              <w:t>2026-08-27</w:t>
            </w:r>
          </w:p>
        </w:tc>
        <w:tc>
          <w:tcPr>
            <w:tcW w:type="dxa" w:w="1440"/>
            <w:shd w:fill="C6EFCE" w:val="clear"/>
          </w:tcPr>
          <w:p>
            <w:r>
              <w:rPr>
                <w:sz w:val="17"/>
              </w:rPr>
              <w:t>49,672</w:t>
            </w:r>
          </w:p>
        </w:tc>
        <w:tc>
          <w:tcPr>
            <w:tcW w:type="dxa" w:w="1440"/>
            <w:shd w:fill="C6EFCE" w:val="clear"/>
          </w:tcPr>
          <w:p>
            <w:r>
              <w:rPr>
                <w:b/>
                <w:sz w:val="17"/>
              </w:rPr>
              <w:t>56,077</w:t>
            </w:r>
          </w:p>
        </w:tc>
        <w:tc>
          <w:tcPr>
            <w:tcW w:type="dxa" w:w="1440"/>
            <w:shd w:fill="C6EFCE" w:val="clear"/>
          </w:tcPr>
          <w:p>
            <w:r>
              <w:rPr>
                <w:sz w:val="17"/>
              </w:rPr>
              <w:t>62,481</w:t>
            </w:r>
          </w:p>
        </w:tc>
        <w:tc>
          <w:tcPr>
            <w:tcW w:type="dxa" w:w="1440"/>
            <w:shd w:fill="C6EFCE" w:val="clear"/>
          </w:tcPr>
          <w:p>
            <w:r>
              <w:rPr>
                <w:b/>
                <w:color w:val="008000"/>
                <w:sz w:val="17"/>
              </w:rPr>
              <w:t>+7.8%</w:t>
            </w:r>
          </w:p>
        </w:tc>
      </w:tr>
      <w:tr>
        <w:tc>
          <w:tcPr>
            <w:tcW w:type="dxa" w:w="1440"/>
            <w:shd w:fill="C6EFCE" w:val="clear"/>
          </w:tcPr>
          <w:p>
            <w:r>
              <w:rPr>
                <w:sz w:val="17"/>
              </w:rPr>
              <w:t>J+5  ⭐</w:t>
            </w:r>
          </w:p>
        </w:tc>
        <w:tc>
          <w:tcPr>
            <w:tcW w:type="dxa" w:w="1440"/>
            <w:shd w:fill="C6EFCE" w:val="clear"/>
          </w:tcPr>
          <w:p>
            <w:r>
              <w:rPr>
                <w:sz w:val="17"/>
              </w:rPr>
              <w:t>2026-08-28</w:t>
            </w:r>
          </w:p>
        </w:tc>
        <w:tc>
          <w:tcPr>
            <w:tcW w:type="dxa" w:w="1440"/>
            <w:shd w:fill="C6EFCE" w:val="clear"/>
          </w:tcPr>
          <w:p>
            <w:r>
              <w:rPr>
                <w:sz w:val="17"/>
              </w:rPr>
              <w:t>49,439</w:t>
            </w:r>
          </w:p>
        </w:tc>
        <w:tc>
          <w:tcPr>
            <w:tcW w:type="dxa" w:w="1440"/>
            <w:shd w:fill="C6EFCE" w:val="clear"/>
          </w:tcPr>
          <w:p>
            <w:r>
              <w:rPr>
                <w:b/>
                <w:sz w:val="17"/>
              </w:rPr>
              <w:t>56,676</w:t>
            </w:r>
          </w:p>
        </w:tc>
        <w:tc>
          <w:tcPr>
            <w:tcW w:type="dxa" w:w="1440"/>
            <w:shd w:fill="C6EFCE" w:val="clear"/>
          </w:tcPr>
          <w:p>
            <w:r>
              <w:rPr>
                <w:sz w:val="17"/>
              </w:rPr>
              <w:t>63,913</w:t>
            </w:r>
          </w:p>
        </w:tc>
        <w:tc>
          <w:tcPr>
            <w:tcW w:type="dxa" w:w="1440"/>
            <w:shd w:fill="C6EFCE" w:val="clear"/>
          </w:tcPr>
          <w:p>
            <w:r>
              <w:rPr>
                <w:b/>
                <w:color w:val="008000"/>
                <w:sz w:val="17"/>
              </w:rPr>
              <w:t>+9.0%</w:t>
            </w:r>
          </w:p>
        </w:tc>
      </w:tr>
      <w:tr>
        <w:tc>
          <w:tcPr>
            <w:tcW w:type="dxa" w:w="1440"/>
            <w:shd w:fill="C6EFCE" w:val="clear"/>
          </w:tcPr>
          <w:p>
            <w:r>
              <w:rPr>
                <w:sz w:val="17"/>
              </w:rPr>
              <w:t>J+6  ⭐</w:t>
            </w:r>
          </w:p>
        </w:tc>
        <w:tc>
          <w:tcPr>
            <w:tcW w:type="dxa" w:w="1440"/>
            <w:shd w:fill="C6EFCE" w:val="clear"/>
          </w:tcPr>
          <w:p>
            <w:r>
              <w:rPr>
                <w:sz w:val="17"/>
              </w:rPr>
              <w:t>2026-08-31</w:t>
            </w:r>
          </w:p>
        </w:tc>
        <w:tc>
          <w:tcPr>
            <w:tcW w:type="dxa" w:w="1440"/>
            <w:shd w:fill="C6EFCE" w:val="clear"/>
          </w:tcPr>
          <w:p>
            <w:r>
              <w:rPr>
                <w:sz w:val="17"/>
              </w:rPr>
              <w:t>49,281</w:t>
            </w:r>
          </w:p>
        </w:tc>
        <w:tc>
          <w:tcPr>
            <w:tcW w:type="dxa" w:w="1440"/>
            <w:shd w:fill="C6EFCE" w:val="clear"/>
          </w:tcPr>
          <w:p>
            <w:r>
              <w:rPr>
                <w:b/>
                <w:sz w:val="17"/>
              </w:rPr>
              <w:t>57,296</w:t>
            </w:r>
          </w:p>
        </w:tc>
        <w:tc>
          <w:tcPr>
            <w:tcW w:type="dxa" w:w="1440"/>
            <w:shd w:fill="C6EFCE" w:val="clear"/>
          </w:tcPr>
          <w:p>
            <w:r>
              <w:rPr>
                <w:sz w:val="17"/>
              </w:rPr>
              <w:t>65,311</w:t>
            </w:r>
          </w:p>
        </w:tc>
        <w:tc>
          <w:tcPr>
            <w:tcW w:type="dxa" w:w="1440"/>
            <w:shd w:fill="C6EFCE" w:val="clear"/>
          </w:tcPr>
          <w:p>
            <w:r>
              <w:rPr>
                <w:b/>
                <w:color w:val="008000"/>
                <w:sz w:val="17"/>
              </w:rPr>
              <w:t>+10.2%</w:t>
            </w:r>
          </w:p>
        </w:tc>
      </w:tr>
      <w:tr>
        <w:tc>
          <w:tcPr>
            <w:tcW w:type="dxa" w:w="1440"/>
            <w:shd w:fill="C6EFCE" w:val="clear"/>
          </w:tcPr>
          <w:p>
            <w:r>
              <w:rPr>
                <w:sz w:val="17"/>
              </w:rPr>
              <w:t>J+7  ⭐</w:t>
            </w:r>
          </w:p>
        </w:tc>
        <w:tc>
          <w:tcPr>
            <w:tcW w:type="dxa" w:w="1440"/>
            <w:shd w:fill="C6EFCE" w:val="clear"/>
          </w:tcPr>
          <w:p>
            <w:r>
              <w:rPr>
                <w:sz w:val="17"/>
              </w:rPr>
              <w:t>2026-09-01</w:t>
            </w:r>
          </w:p>
        </w:tc>
        <w:tc>
          <w:tcPr>
            <w:tcW w:type="dxa" w:w="1440"/>
            <w:shd w:fill="C6EFCE" w:val="clear"/>
          </w:tcPr>
          <w:p>
            <w:r>
              <w:rPr>
                <w:sz w:val="17"/>
              </w:rPr>
              <w:t>49,176</w:t>
            </w:r>
          </w:p>
        </w:tc>
        <w:tc>
          <w:tcPr>
            <w:tcW w:type="dxa" w:w="1440"/>
            <w:shd w:fill="C6EFCE" w:val="clear"/>
          </w:tcPr>
          <w:p>
            <w:r>
              <w:rPr>
                <w:b/>
                <w:sz w:val="17"/>
              </w:rPr>
              <w:t>57,928</w:t>
            </w:r>
          </w:p>
        </w:tc>
        <w:tc>
          <w:tcPr>
            <w:tcW w:type="dxa" w:w="1440"/>
            <w:shd w:fill="C6EFCE" w:val="clear"/>
          </w:tcPr>
          <w:p>
            <w:r>
              <w:rPr>
                <w:sz w:val="17"/>
              </w:rPr>
              <w:t>66,681</w:t>
            </w:r>
          </w:p>
        </w:tc>
        <w:tc>
          <w:tcPr>
            <w:tcW w:type="dxa" w:w="1440"/>
            <w:shd w:fill="C6EFCE" w:val="clear"/>
          </w:tcPr>
          <w:p>
            <w:r>
              <w:rPr>
                <w:b/>
                <w:color w:val="008000"/>
                <w:sz w:val="17"/>
              </w:rPr>
              <w:t>+11.4%</w:t>
            </w:r>
          </w:p>
        </w:tc>
      </w:tr>
      <w:tr>
        <w:tc>
          <w:tcPr>
            <w:tcW w:type="dxa" w:w="1440"/>
            <w:shd w:fill="C6EFCE" w:val="clear"/>
          </w:tcPr>
          <w:p>
            <w:r>
              <w:rPr>
                <w:sz w:val="17"/>
              </w:rPr>
              <w:t>J+8  ⭐</w:t>
            </w:r>
          </w:p>
        </w:tc>
        <w:tc>
          <w:tcPr>
            <w:tcW w:type="dxa" w:w="1440"/>
            <w:shd w:fill="C6EFCE" w:val="clear"/>
          </w:tcPr>
          <w:p>
            <w:r>
              <w:rPr>
                <w:sz w:val="17"/>
              </w:rPr>
              <w:t>2026-09-02</w:t>
            </w:r>
          </w:p>
        </w:tc>
        <w:tc>
          <w:tcPr>
            <w:tcW w:type="dxa" w:w="1440"/>
            <w:shd w:fill="C6EFCE" w:val="clear"/>
          </w:tcPr>
          <w:p>
            <w:r>
              <w:rPr>
                <w:sz w:val="17"/>
              </w:rPr>
              <w:t>49,109</w:t>
            </w:r>
          </w:p>
        </w:tc>
        <w:tc>
          <w:tcPr>
            <w:tcW w:type="dxa" w:w="1440"/>
            <w:shd w:fill="C6EFCE" w:val="clear"/>
          </w:tcPr>
          <w:p>
            <w:r>
              <w:rPr>
                <w:b/>
                <w:sz w:val="17"/>
              </w:rPr>
              <w:t>58,569</w:t>
            </w:r>
          </w:p>
        </w:tc>
        <w:tc>
          <w:tcPr>
            <w:tcW w:type="dxa" w:w="1440"/>
            <w:shd w:fill="C6EFCE" w:val="clear"/>
          </w:tcPr>
          <w:p>
            <w:r>
              <w:rPr>
                <w:sz w:val="17"/>
              </w:rPr>
              <w:t>68,029</w:t>
            </w:r>
          </w:p>
        </w:tc>
        <w:tc>
          <w:tcPr>
            <w:tcW w:type="dxa" w:w="1440"/>
            <w:shd w:fill="C6EFCE" w:val="clear"/>
          </w:tcPr>
          <w:p>
            <w:r>
              <w:rPr>
                <w:b/>
                <w:color w:val="008000"/>
                <w:sz w:val="17"/>
              </w:rPr>
              <w:t>+12.6%</w:t>
            </w:r>
          </w:p>
        </w:tc>
      </w:tr>
      <w:tr>
        <w:tc>
          <w:tcPr>
            <w:tcW w:type="dxa" w:w="1440"/>
            <w:shd w:fill="C6EFCE" w:val="clear"/>
          </w:tcPr>
          <w:p>
            <w:r>
              <w:rPr>
                <w:sz w:val="17"/>
              </w:rPr>
              <w:t>J+9  ⭐</w:t>
            </w:r>
          </w:p>
        </w:tc>
        <w:tc>
          <w:tcPr>
            <w:tcW w:type="dxa" w:w="1440"/>
            <w:shd w:fill="C6EFCE" w:val="clear"/>
          </w:tcPr>
          <w:p>
            <w:r>
              <w:rPr>
                <w:sz w:val="17"/>
              </w:rPr>
              <w:t>2026-09-03</w:t>
            </w:r>
          </w:p>
        </w:tc>
        <w:tc>
          <w:tcPr>
            <w:tcW w:type="dxa" w:w="1440"/>
            <w:shd w:fill="C6EFCE" w:val="clear"/>
          </w:tcPr>
          <w:p>
            <w:r>
              <w:rPr>
                <w:sz w:val="17"/>
              </w:rPr>
              <w:t>49,071</w:t>
            </w:r>
          </w:p>
        </w:tc>
        <w:tc>
          <w:tcPr>
            <w:tcW w:type="dxa" w:w="1440"/>
            <w:shd w:fill="C6EFCE" w:val="clear"/>
          </w:tcPr>
          <w:p>
            <w:r>
              <w:rPr>
                <w:b/>
                <w:sz w:val="17"/>
              </w:rPr>
              <w:t>59,215</w:t>
            </w:r>
          </w:p>
        </w:tc>
        <w:tc>
          <w:tcPr>
            <w:tcW w:type="dxa" w:w="1440"/>
            <w:shd w:fill="C6EFCE" w:val="clear"/>
          </w:tcPr>
          <w:p>
            <w:r>
              <w:rPr>
                <w:sz w:val="17"/>
              </w:rPr>
              <w:t>69,360</w:t>
            </w:r>
          </w:p>
        </w:tc>
        <w:tc>
          <w:tcPr>
            <w:tcW w:type="dxa" w:w="1440"/>
            <w:shd w:fill="C6EFCE" w:val="clear"/>
          </w:tcPr>
          <w:p>
            <w:r>
              <w:rPr>
                <w:b/>
                <w:color w:val="008000"/>
                <w:sz w:val="17"/>
              </w:rPr>
              <w:t>+13.9%</w:t>
            </w:r>
          </w:p>
        </w:tc>
      </w:tr>
      <w:tr>
        <w:tc>
          <w:tcPr>
            <w:tcW w:type="dxa" w:w="1440"/>
            <w:shd w:fill="C6EFCE" w:val="clear"/>
          </w:tcPr>
          <w:p>
            <w:r>
              <w:rPr>
                <w:sz w:val="17"/>
              </w:rPr>
              <w:t>J+10  ⭐</w:t>
            </w:r>
          </w:p>
        </w:tc>
        <w:tc>
          <w:tcPr>
            <w:tcW w:type="dxa" w:w="1440"/>
            <w:shd w:fill="C6EFCE" w:val="clear"/>
          </w:tcPr>
          <w:p>
            <w:r>
              <w:rPr>
                <w:sz w:val="17"/>
              </w:rPr>
              <w:t>2026-09-04</w:t>
            </w:r>
          </w:p>
        </w:tc>
        <w:tc>
          <w:tcPr>
            <w:tcW w:type="dxa" w:w="1440"/>
            <w:shd w:fill="C6EFCE" w:val="clear"/>
          </w:tcPr>
          <w:p>
            <w:r>
              <w:rPr>
                <w:sz w:val="17"/>
              </w:rPr>
              <w:t>49,055</w:t>
            </w:r>
          </w:p>
        </w:tc>
        <w:tc>
          <w:tcPr>
            <w:tcW w:type="dxa" w:w="1440"/>
            <w:shd w:fill="C6EFCE" w:val="clear"/>
          </w:tcPr>
          <w:p>
            <w:r>
              <w:rPr>
                <w:b/>
                <w:sz w:val="17"/>
              </w:rPr>
              <w:t>59,866</w:t>
            </w:r>
          </w:p>
        </w:tc>
        <w:tc>
          <w:tcPr>
            <w:tcW w:type="dxa" w:w="1440"/>
            <w:shd w:fill="C6EFCE" w:val="clear"/>
          </w:tcPr>
          <w:p>
            <w:r>
              <w:rPr>
                <w:sz w:val="17"/>
              </w:rPr>
              <w:t>70,677</w:t>
            </w:r>
          </w:p>
        </w:tc>
        <w:tc>
          <w:tcPr>
            <w:tcW w:type="dxa" w:w="1440"/>
            <w:shd w:fill="C6EFCE" w:val="clear"/>
          </w:tcPr>
          <w:p>
            <w:r>
              <w:rPr>
                <w:b/>
                <w:color w:val="008000"/>
                <w:sz w:val="17"/>
              </w:rPr>
              <w:t>+15.1%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477,54 milliards FCFA, ce qui en fait une valeur de première ligne sur la BRVM, représentant un poids significatif dans l'indice composite. Les ratios de valorisation (BPA, PER, P/B, EV/EBITDA) ne sont pas calculables en raison de l'absence de données financières structurées récentes dans la base de données. Cependant, sur la base des derniers rapports disponibles (exercice 2023), le bénéfice net de 640 millions FCFA impliquerait un PER extrêmement élevé, supérieur à 700x, ce qui traduirait une valorisation très onéreuse par rapport aux bénéfices générés. Cette situation s'explique par la faiblesse persistante de la rentabilité de la société, qui n'a pas encore retrouvé son niveau d'avant-crise.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UNLC a enregistré une baisse significative de 10,34%, avec une chute de 3,70% lors de la dernière séance, portant le cours à 52 000 FCFA. Le titre a évolué dans une fourchette large de 49 630 FCFA (plus bas) à 69 005 FCFA (plus haut), illustrant une volatilité importante. La moyenne du cours sur la période (56 701 FCFA) est proche de la médiane (56 300 FCFA), indiquant une distribution relativement symétrique, confirmée par un skewness de 0,482. L'écart-type de 3 587 FCFA (CV=6,3%) révèle une dispersion modérée autour de la moyenne. Le kurtosis de 0,643 (mésokurtique) suggère une distribution proche de la normale, sans risque extrême de pics. La volatilité annualisée de 65,1% classe UNLC comme un titre à très haute volatilité, bien au-dessus du seuil de 30% considéré comme élevé, ce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52 000 FCFA se situe sous la MM20 (53 982,5 FCFA) et la MM50 (54 673,4 FCFA), confirmant une tendance baissière à court et moyen terme. La décision de Vente est justifiée par cette configuration baissière, le titre n'ayant pas réussi à se maintenir au-dessus de ses moyennes mobiles.</w:t>
      </w:r>
    </w:p>
    <w:p>
      <w:pPr>
        <w:spacing w:after="120" w:line="276" w:lineRule="auto"/>
      </w:pPr>
      <w:r>
        <w:t>**Bandes de Bollinger** : Le cours évolue dans la partie inférieure des bandes, entre la borne inférieure (49 275,7 FCFA) et la borne supérieure (58 689,3 FCFA). La position actuelle proche de la borne inférieure suggère une pression vendeuse persistante, mais la décision Neutre indique que le titre n'est pas encore en situation de survente extrême.</w:t>
      </w:r>
    </w:p>
    <w:p>
      <w:pPr>
        <w:spacing w:after="120" w:line="276" w:lineRule="auto"/>
      </w:pPr>
      <w:r>
        <w:t>**MACD** : La valeur du MACD (194,209) est inférieure à son signal (236,928), indiquant un momentum baissier. Cette configuration négative justifie la décision de Vente, le croisement baissier suggérant une poursuite potentielle du mouvement de baisse.</w:t>
      </w:r>
    </w:p>
    <w:p>
      <w:pPr>
        <w:spacing w:after="120" w:line="276" w:lineRule="auto"/>
      </w:pPr>
      <w:r>
        <w:t>**RSI** : À 39,287, le RSI se situe dans la zone neutre (30-70), mais proche de la zone de survente. Cette valeur indique une faiblesse relative du titre sans signal extrême, justifiant la décision Neutre. Le RSI ne montre pas encore de signe de retournement haussier.</w:t>
      </w:r>
    </w:p>
    <w:p>
      <w:pPr>
        <w:spacing w:after="120" w:line="276" w:lineRule="auto"/>
      </w:pPr>
      <w:r>
        <w:t>**Stochastique** : Le %K (14,286) est nettement inférieur au %D (33,333), avec une valeur très basse indiquant une situation de survente. La décision d'Achat est justifiée par ce niveau extrême, qui pourrait précéder un rebond technique à court terme.</w:t>
      </w:r>
    </w:p>
    <w:p>
      <w:pPr>
        <w:spacing w:after="120" w:line="276" w:lineRule="auto"/>
      </w:pPr>
      <w:r>
        <w:t>**Conclusion technique** : Les indicateurs techniques sont globalement baissiers, avec une convergence des signaux de Vente (MM, MACD) et des signaux Neutres (Bollinger, RSI). Seul le Stochastique suggère un potentiel rebond technique en raison de la survente extrême. La tendance générale reste néanmoins négative, et les investisseurs devraient attendre une confirmation de retournement avant d'envisager des positions acheteuses.</w:t>
      </w:r>
    </w:p>
    <w:p>
      <w:pPr>
        <w:spacing w:after="120" w:line="276" w:lineRule="auto" w:before="240"/>
      </w:pPr>
      <w:r>
        <w:rPr>
          <w:b/>
          <w:color w:val="003366"/>
          <w:sz w:val="24"/>
        </w:rPr>
        <w:t>**PARTIE 3 : ANALYSE FONDAMENTALE (SECTION CRITIQUE)**</w:t>
      </w:r>
    </w:p>
    <w:p>
      <w:pPr>
        <w:spacing w:after="120" w:line="276" w:lineRule="auto"/>
      </w:pPr>
      <w:r>
        <w:t>Les données financières structurées officielles ne sont pas disponibles dans la base de données, mais les rapports narratifs fournissent des informations cruciales. Pour l'exercice 2023 (rapport daté du 31/12/2024), UNLC a réalisé un chiffre d'affaires de 24,336 milliards FCFA, stable par rapport à 2022, avec un bénéfice net de 640 millions FCFA, en nette amélioration par rapport à la perte de 6,9 milliards FCFA en 2022. La marge nette s'établit à 2,63%, très inférieure à la moyenne sectorielle de 5-10%. Les capitaux propres restent négatifs à -10,658 milliards FCFA, et les dettes financières s'élèvent à 4,379 milliards FCFA. Pour l'exercice 2022 (rapport du 31/12/2023), le CA était de 24,336 milliards FCFA avec une perte nette de 6,383 milliards FCFA (marge nette de -26,2%). En 2021, le bénéfice net était de 6,091 milliards FCFA (marge nette de 25%), mais ce résultat incluait des produits exceptionnels liés à la cession de l'activité Thé. L'évolution sur trois ans montre une amélioration progressive depuis la crise de 2022, mais la structure financière reste fragile. La recommandation fondamentale est de CONSERVER avec vigilance, en surveillant la capacité de la société à reconstituer ses capitaux propres et à améliorer durablement sa rentabilité opérationnelle.</w:t>
      </w:r>
    </w:p>
    <w:p>
      <w:pPr>
        <w:spacing w:after="120" w:line="276" w:lineRule="auto" w:before="240"/>
      </w:pPr>
      <w:r>
        <w:rPr>
          <w:b/>
          <w:color w:val="003366"/>
          <w:sz w:val="24"/>
        </w:rPr>
        <w:t>**PARTIE 4 : CONCLUSION D'INVESTISSEMENT**</w:t>
      </w:r>
    </w:p>
    <w:p>
      <w:pPr>
        <w:spacing w:after="120" w:line="276" w:lineRule="auto"/>
      </w:pPr>
      <w:r>
        <w:t>La valorisation d'UNLC apparaît très élevée au regard de ses bénéfices actuels, avec un PER implicite supérieur à 700x, indiquant une surévaluation manifeste. Le comportement du cours sur 100 jours est préoccupant, avec une baisse de 10,34% et une volatilité annualisée de 65,1% qui reflète un risque élevé. Les signaux techniques sont majoritairement baissiers (MM, MACD), avec seulement le Stochastique suggérant un rebond technique. Les fondamentaux montrent une amélioration en 2023, mais la rentabilité reste très faible (marge nette de 2,63%) et les capitaux propres négatifs constituent un risque structurel majeur. Les prédictions IA pour les 10 prochains jours indiquent une trajectoire haussière progressive (de 54 969 à 56 676 FCFA), contredisant les signaux techniques baissiers. Cette divergence entre les prédictions et les indicateurs techniques suggère une possible stabilisation à court terme. La recommandation finale est **CONSERVER** avec un niveau de confiance **Moyen**, un risque global **Élevé**, et un horizon d'investissement optimal à **moyen terme (3-12 mois)**. Les investisseurs devraient surveiller attentivement les résultats semestriels 2024 pour confirmer la tendance de redressement avant d'envisager un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51.25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12,699 titres</w:t>
            </w:r>
          </w:p>
        </w:tc>
        <w:tc>
          <w:tcPr>
            <w:tcW w:type="dxa" w:w="2268"/>
            <w:shd w:fill="FFF2CC" w:val="clear"/>
          </w:tcPr>
          <w:p>
            <w:r>
              <w:rPr>
                <w:b/>
                <w:color w:val="503200"/>
                <w:sz w:val="16"/>
              </w:rPr>
              <w:t xml:space="preserve">Cours actuel : </w:t>
            </w:r>
            <w:r>
              <w:rPr>
                <w:color w:val="000000"/>
                <w:sz w:val="17"/>
              </w:rPr>
              <w:t>2,470 FCFA</w:t>
            </w:r>
          </w:p>
          <w:p>
            <w:r>
              <w:rPr>
                <w:b/>
                <w:color w:val="503200"/>
                <w:sz w:val="16"/>
              </w:rPr>
              <w:t xml:space="preserve">Var. 100 jours : </w:t>
            </w:r>
            <w:r>
              <w:rPr>
                <w:b/>
                <w:color w:val="007800"/>
                <w:sz w:val="17"/>
              </w:rPr>
              <w:t>+19.61%</w:t>
            </w:r>
          </w:p>
          <w:p>
            <w:r>
              <w:rPr>
                <w:b/>
                <w:color w:val="503200"/>
                <w:sz w:val="16"/>
              </w:rPr>
              <w:t xml:space="preserve">Plus haut 100j : </w:t>
            </w:r>
            <w:r>
              <w:rPr>
                <w:color w:val="000000"/>
                <w:sz w:val="17"/>
              </w:rPr>
              <w:t>2,470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9.92% (Moyenne) — μ=1,874 FCFA, σ=186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β=-0.3006 (Contre-cyclique) — Cov=-0.000009, Var(idx)=0.000031, ρ=-0.053,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12,699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2026-08-21</w:t>
            </w:r>
          </w:p>
        </w:tc>
        <w:tc>
          <w:tcPr>
            <w:tcW w:type="dxa" w:w="1440"/>
            <w:shd w:fill="FFDCE0" w:val="clear"/>
          </w:tcPr>
          <w:p>
            <w:r>
              <w:rPr>
                <w:sz w:val="17"/>
              </w:rPr>
              <w:t>2,189</w:t>
            </w:r>
          </w:p>
        </w:tc>
        <w:tc>
          <w:tcPr>
            <w:tcW w:type="dxa" w:w="1440"/>
            <w:shd w:fill="FFDCE0" w:val="clear"/>
          </w:tcPr>
          <w:p>
            <w:r>
              <w:rPr>
                <w:b/>
                <w:sz w:val="17"/>
              </w:rPr>
              <w:t>2,323</w:t>
            </w:r>
          </w:p>
        </w:tc>
        <w:tc>
          <w:tcPr>
            <w:tcW w:type="dxa" w:w="1440"/>
            <w:shd w:fill="FFDCE0" w:val="clear"/>
          </w:tcPr>
          <w:p>
            <w:r>
              <w:rPr>
                <w:sz w:val="17"/>
              </w:rPr>
              <w:t>2,457</w:t>
            </w:r>
          </w:p>
        </w:tc>
        <w:tc>
          <w:tcPr>
            <w:tcW w:type="dxa" w:w="1440"/>
            <w:shd w:fill="FFDCE0" w:val="clear"/>
          </w:tcPr>
          <w:p>
            <w:r>
              <w:rPr>
                <w:b/>
                <w:color w:val="C00000"/>
                <w:sz w:val="17"/>
              </w:rPr>
              <w:t>-5.9%</w:t>
            </w:r>
          </w:p>
        </w:tc>
      </w:tr>
      <w:tr>
        <w:tc>
          <w:tcPr>
            <w:tcW w:type="dxa" w:w="1440"/>
            <w:shd w:fill="FFDCE0" w:val="clear"/>
          </w:tcPr>
          <w:p>
            <w:r>
              <w:rPr>
                <w:sz w:val="17"/>
              </w:rPr>
              <w:t>J+2  Moyenne</w:t>
            </w:r>
          </w:p>
        </w:tc>
        <w:tc>
          <w:tcPr>
            <w:tcW w:type="dxa" w:w="1440"/>
            <w:shd w:fill="FFDCE0" w:val="clear"/>
          </w:tcPr>
          <w:p>
            <w:r>
              <w:rPr>
                <w:sz w:val="17"/>
              </w:rPr>
              <w:t>2026-08-24</w:t>
            </w:r>
          </w:p>
        </w:tc>
        <w:tc>
          <w:tcPr>
            <w:tcW w:type="dxa" w:w="1440"/>
            <w:shd w:fill="FFDCE0" w:val="clear"/>
          </w:tcPr>
          <w:p>
            <w:r>
              <w:rPr>
                <w:sz w:val="17"/>
              </w:rPr>
              <w:t>2,129</w:t>
            </w:r>
          </w:p>
        </w:tc>
        <w:tc>
          <w:tcPr>
            <w:tcW w:type="dxa" w:w="1440"/>
            <w:shd w:fill="FFDCE0" w:val="clear"/>
          </w:tcPr>
          <w:p>
            <w:r>
              <w:rPr>
                <w:b/>
                <w:sz w:val="17"/>
              </w:rPr>
              <w:t>2,318</w:t>
            </w:r>
          </w:p>
        </w:tc>
        <w:tc>
          <w:tcPr>
            <w:tcW w:type="dxa" w:w="1440"/>
            <w:shd w:fill="FFDCE0" w:val="clear"/>
          </w:tcPr>
          <w:p>
            <w:r>
              <w:rPr>
                <w:sz w:val="17"/>
              </w:rPr>
              <w:t>2,507</w:t>
            </w:r>
          </w:p>
        </w:tc>
        <w:tc>
          <w:tcPr>
            <w:tcW w:type="dxa" w:w="1440"/>
            <w:shd w:fill="FFDCE0" w:val="clear"/>
          </w:tcPr>
          <w:p>
            <w:r>
              <w:rPr>
                <w:b/>
                <w:color w:val="C00000"/>
                <w:sz w:val="17"/>
              </w:rPr>
              <w:t>-6.2%</w:t>
            </w:r>
          </w:p>
        </w:tc>
      </w:tr>
      <w:tr>
        <w:tc>
          <w:tcPr>
            <w:tcW w:type="dxa" w:w="1440"/>
            <w:shd w:fill="FFDCE0" w:val="clear"/>
          </w:tcPr>
          <w:p>
            <w:r>
              <w:rPr>
                <w:sz w:val="17"/>
              </w:rPr>
              <w:t>J+3  Moyenne</w:t>
            </w:r>
          </w:p>
        </w:tc>
        <w:tc>
          <w:tcPr>
            <w:tcW w:type="dxa" w:w="1440"/>
            <w:shd w:fill="FFDCE0" w:val="clear"/>
          </w:tcPr>
          <w:p>
            <w:r>
              <w:rPr>
                <w:sz w:val="17"/>
              </w:rPr>
              <w:t>2026-08-25</w:t>
            </w:r>
          </w:p>
        </w:tc>
        <w:tc>
          <w:tcPr>
            <w:tcW w:type="dxa" w:w="1440"/>
            <w:shd w:fill="FFDCE0" w:val="clear"/>
          </w:tcPr>
          <w:p>
            <w:r>
              <w:rPr>
                <w:sz w:val="17"/>
              </w:rPr>
              <w:t>2,070</w:t>
            </w:r>
          </w:p>
        </w:tc>
        <w:tc>
          <w:tcPr>
            <w:tcW w:type="dxa" w:w="1440"/>
            <w:shd w:fill="FFDCE0" w:val="clear"/>
          </w:tcPr>
          <w:p>
            <w:r>
              <w:rPr>
                <w:b/>
                <w:sz w:val="17"/>
              </w:rPr>
              <w:t>2,300</w:t>
            </w:r>
          </w:p>
        </w:tc>
        <w:tc>
          <w:tcPr>
            <w:tcW w:type="dxa" w:w="1440"/>
            <w:shd w:fill="FFDCE0" w:val="clear"/>
          </w:tcPr>
          <w:p>
            <w:r>
              <w:rPr>
                <w:sz w:val="17"/>
              </w:rPr>
              <w:t>2,529</w:t>
            </w:r>
          </w:p>
        </w:tc>
        <w:tc>
          <w:tcPr>
            <w:tcW w:type="dxa" w:w="1440"/>
            <w:shd w:fill="FFDCE0" w:val="clear"/>
          </w:tcPr>
          <w:p>
            <w:r>
              <w:rPr>
                <w:b/>
                <w:color w:val="C00000"/>
                <w:sz w:val="17"/>
              </w:rPr>
              <w:t>-6.9%</w:t>
            </w:r>
          </w:p>
        </w:tc>
      </w:tr>
      <w:tr>
        <w:tc>
          <w:tcPr>
            <w:tcW w:type="dxa" w:w="1440"/>
            <w:shd w:fill="FFDCE0" w:val="clear"/>
          </w:tcPr>
          <w:p>
            <w:r>
              <w:rPr>
                <w:sz w:val="17"/>
              </w:rPr>
              <w:t>J+4  ⭐</w:t>
            </w:r>
          </w:p>
        </w:tc>
        <w:tc>
          <w:tcPr>
            <w:tcW w:type="dxa" w:w="1440"/>
            <w:shd w:fill="FFDCE0" w:val="clear"/>
          </w:tcPr>
          <w:p>
            <w:r>
              <w:rPr>
                <w:sz w:val="17"/>
              </w:rPr>
              <w:t>2026-08-27</w:t>
            </w:r>
          </w:p>
        </w:tc>
        <w:tc>
          <w:tcPr>
            <w:tcW w:type="dxa" w:w="1440"/>
            <w:shd w:fill="FFDCE0" w:val="clear"/>
          </w:tcPr>
          <w:p>
            <w:r>
              <w:rPr>
                <w:sz w:val="17"/>
              </w:rPr>
              <w:t>2,020</w:t>
            </w:r>
          </w:p>
        </w:tc>
        <w:tc>
          <w:tcPr>
            <w:tcW w:type="dxa" w:w="1440"/>
            <w:shd w:fill="FFDCE0" w:val="clear"/>
          </w:tcPr>
          <w:p>
            <w:r>
              <w:rPr>
                <w:b/>
                <w:sz w:val="17"/>
              </w:rPr>
              <w:t>2,283</w:t>
            </w:r>
          </w:p>
        </w:tc>
        <w:tc>
          <w:tcPr>
            <w:tcW w:type="dxa" w:w="1440"/>
            <w:shd w:fill="FFDCE0" w:val="clear"/>
          </w:tcPr>
          <w:p>
            <w:r>
              <w:rPr>
                <w:sz w:val="17"/>
              </w:rPr>
              <w:t>2,546</w:t>
            </w:r>
          </w:p>
        </w:tc>
        <w:tc>
          <w:tcPr>
            <w:tcW w:type="dxa" w:w="1440"/>
            <w:shd w:fill="FFDCE0" w:val="clear"/>
          </w:tcPr>
          <w:p>
            <w:r>
              <w:rPr>
                <w:b/>
                <w:color w:val="C00000"/>
                <w:sz w:val="17"/>
              </w:rPr>
              <w:t>-7.6%</w:t>
            </w:r>
          </w:p>
        </w:tc>
      </w:tr>
      <w:tr>
        <w:tc>
          <w:tcPr>
            <w:tcW w:type="dxa" w:w="1440"/>
            <w:shd w:fill="FFDCE0" w:val="clear"/>
          </w:tcPr>
          <w:p>
            <w:r>
              <w:rPr>
                <w:sz w:val="17"/>
              </w:rPr>
              <w:t>J+5  ⭐</w:t>
            </w:r>
          </w:p>
        </w:tc>
        <w:tc>
          <w:tcPr>
            <w:tcW w:type="dxa" w:w="1440"/>
            <w:shd w:fill="FFDCE0" w:val="clear"/>
          </w:tcPr>
          <w:p>
            <w:r>
              <w:rPr>
                <w:sz w:val="17"/>
              </w:rPr>
              <w:t>2026-08-28</w:t>
            </w:r>
          </w:p>
        </w:tc>
        <w:tc>
          <w:tcPr>
            <w:tcW w:type="dxa" w:w="1440"/>
            <w:shd w:fill="FFDCE0" w:val="clear"/>
          </w:tcPr>
          <w:p>
            <w:r>
              <w:rPr>
                <w:sz w:val="17"/>
              </w:rPr>
              <w:t>1,976</w:t>
            </w:r>
          </w:p>
        </w:tc>
        <w:tc>
          <w:tcPr>
            <w:tcW w:type="dxa" w:w="1440"/>
            <w:shd w:fill="FFDCE0" w:val="clear"/>
          </w:tcPr>
          <w:p>
            <w:r>
              <w:rPr>
                <w:b/>
                <w:sz w:val="17"/>
              </w:rPr>
              <w:t>2,268</w:t>
            </w:r>
          </w:p>
        </w:tc>
        <w:tc>
          <w:tcPr>
            <w:tcW w:type="dxa" w:w="1440"/>
            <w:shd w:fill="FFDCE0" w:val="clear"/>
          </w:tcPr>
          <w:p>
            <w:r>
              <w:rPr>
                <w:sz w:val="17"/>
              </w:rPr>
              <w:t>2,561</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2026-08-31</w:t>
            </w:r>
          </w:p>
        </w:tc>
        <w:tc>
          <w:tcPr>
            <w:tcW w:type="dxa" w:w="1440"/>
            <w:shd w:fill="FFDCE0" w:val="clear"/>
          </w:tcPr>
          <w:p>
            <w:r>
              <w:rPr>
                <w:sz w:val="17"/>
              </w:rPr>
              <w:t>1,936</w:t>
            </w:r>
          </w:p>
        </w:tc>
        <w:tc>
          <w:tcPr>
            <w:tcW w:type="dxa" w:w="1440"/>
            <w:shd w:fill="FFDCE0" w:val="clear"/>
          </w:tcPr>
          <w:p>
            <w:r>
              <w:rPr>
                <w:b/>
                <w:sz w:val="17"/>
              </w:rPr>
              <w:t>2,255</w:t>
            </w:r>
          </w:p>
        </w:tc>
        <w:tc>
          <w:tcPr>
            <w:tcW w:type="dxa" w:w="1440"/>
            <w:shd w:fill="FFDCE0" w:val="clear"/>
          </w:tcPr>
          <w:p>
            <w:r>
              <w:rPr>
                <w:sz w:val="17"/>
              </w:rPr>
              <w:t>2,574</w:t>
            </w:r>
          </w:p>
        </w:tc>
        <w:tc>
          <w:tcPr>
            <w:tcW w:type="dxa" w:w="1440"/>
            <w:shd w:fill="FFDCE0" w:val="clear"/>
          </w:tcPr>
          <w:p>
            <w:r>
              <w:rPr>
                <w:b/>
                <w:color w:val="C00000"/>
                <w:sz w:val="17"/>
              </w:rPr>
              <w:t>-8.7%</w:t>
            </w:r>
          </w:p>
        </w:tc>
      </w:tr>
      <w:tr>
        <w:tc>
          <w:tcPr>
            <w:tcW w:type="dxa" w:w="1440"/>
            <w:shd w:fill="FFDCE0" w:val="clear"/>
          </w:tcPr>
          <w:p>
            <w:r>
              <w:rPr>
                <w:sz w:val="17"/>
              </w:rPr>
              <w:t>J+7  ⭐</w:t>
            </w:r>
          </w:p>
        </w:tc>
        <w:tc>
          <w:tcPr>
            <w:tcW w:type="dxa" w:w="1440"/>
            <w:shd w:fill="FFDCE0" w:val="clear"/>
          </w:tcPr>
          <w:p>
            <w:r>
              <w:rPr>
                <w:sz w:val="17"/>
              </w:rPr>
              <w:t>2026-09-01</w:t>
            </w:r>
          </w:p>
        </w:tc>
        <w:tc>
          <w:tcPr>
            <w:tcW w:type="dxa" w:w="1440"/>
            <w:shd w:fill="FFDCE0" w:val="clear"/>
          </w:tcPr>
          <w:p>
            <w:r>
              <w:rPr>
                <w:sz w:val="17"/>
              </w:rPr>
              <w:t>1,900</w:t>
            </w:r>
          </w:p>
        </w:tc>
        <w:tc>
          <w:tcPr>
            <w:tcW w:type="dxa" w:w="1440"/>
            <w:shd w:fill="FFDCE0" w:val="clear"/>
          </w:tcPr>
          <w:p>
            <w:r>
              <w:rPr>
                <w:b/>
                <w:sz w:val="17"/>
              </w:rPr>
              <w:t>2,242</w:t>
            </w:r>
          </w:p>
        </w:tc>
        <w:tc>
          <w:tcPr>
            <w:tcW w:type="dxa" w:w="1440"/>
            <w:shd w:fill="FFDCE0" w:val="clear"/>
          </w:tcPr>
          <w:p>
            <w:r>
              <w:rPr>
                <w:sz w:val="17"/>
              </w:rPr>
              <w:t>2,584</w:t>
            </w:r>
          </w:p>
        </w:tc>
        <w:tc>
          <w:tcPr>
            <w:tcW w:type="dxa" w:w="1440"/>
            <w:shd w:fill="FFDCE0" w:val="clear"/>
          </w:tcPr>
          <w:p>
            <w:r>
              <w:rPr>
                <w:b/>
                <w:color w:val="C00000"/>
                <w:sz w:val="17"/>
              </w:rPr>
              <w:t>-9.2%</w:t>
            </w:r>
          </w:p>
        </w:tc>
      </w:tr>
      <w:tr>
        <w:tc>
          <w:tcPr>
            <w:tcW w:type="dxa" w:w="1440"/>
            <w:shd w:fill="FFDCE0" w:val="clear"/>
          </w:tcPr>
          <w:p>
            <w:r>
              <w:rPr>
                <w:sz w:val="17"/>
              </w:rPr>
              <w:t>J+8  ⭐</w:t>
            </w:r>
          </w:p>
        </w:tc>
        <w:tc>
          <w:tcPr>
            <w:tcW w:type="dxa" w:w="1440"/>
            <w:shd w:fill="FFDCE0" w:val="clear"/>
          </w:tcPr>
          <w:p>
            <w:r>
              <w:rPr>
                <w:sz w:val="17"/>
              </w:rPr>
              <w:t>2026-09-02</w:t>
            </w:r>
          </w:p>
        </w:tc>
        <w:tc>
          <w:tcPr>
            <w:tcW w:type="dxa" w:w="1440"/>
            <w:shd w:fill="FFDCE0" w:val="clear"/>
          </w:tcPr>
          <w:p>
            <w:r>
              <w:rPr>
                <w:sz w:val="17"/>
              </w:rPr>
              <w:t>1,865</w:t>
            </w:r>
          </w:p>
        </w:tc>
        <w:tc>
          <w:tcPr>
            <w:tcW w:type="dxa" w:w="1440"/>
            <w:shd w:fill="FFDCE0" w:val="clear"/>
          </w:tcPr>
          <w:p>
            <w:r>
              <w:rPr>
                <w:b/>
                <w:sz w:val="17"/>
              </w:rPr>
              <w:t>2,229</w:t>
            </w:r>
          </w:p>
        </w:tc>
        <w:tc>
          <w:tcPr>
            <w:tcW w:type="dxa" w:w="1440"/>
            <w:shd w:fill="FFDCE0" w:val="clear"/>
          </w:tcPr>
          <w:p>
            <w:r>
              <w:rPr>
                <w:sz w:val="17"/>
              </w:rPr>
              <w:t>2,593</w:t>
            </w:r>
          </w:p>
        </w:tc>
        <w:tc>
          <w:tcPr>
            <w:tcW w:type="dxa" w:w="1440"/>
            <w:shd w:fill="FFDCE0" w:val="clear"/>
          </w:tcPr>
          <w:p>
            <w:r>
              <w:rPr>
                <w:b/>
                <w:color w:val="C00000"/>
                <w:sz w:val="17"/>
              </w:rPr>
              <w:t>-9.8%</w:t>
            </w:r>
          </w:p>
        </w:tc>
      </w:tr>
      <w:tr>
        <w:tc>
          <w:tcPr>
            <w:tcW w:type="dxa" w:w="1440"/>
            <w:shd w:fill="FFDCE0" w:val="clear"/>
          </w:tcPr>
          <w:p>
            <w:r>
              <w:rPr>
                <w:sz w:val="17"/>
              </w:rPr>
              <w:t>J+9  ⭐</w:t>
            </w:r>
          </w:p>
        </w:tc>
        <w:tc>
          <w:tcPr>
            <w:tcW w:type="dxa" w:w="1440"/>
            <w:shd w:fill="FFDCE0" w:val="clear"/>
          </w:tcPr>
          <w:p>
            <w:r>
              <w:rPr>
                <w:sz w:val="17"/>
              </w:rPr>
              <w:t>2026-09-03</w:t>
            </w:r>
          </w:p>
        </w:tc>
        <w:tc>
          <w:tcPr>
            <w:tcW w:type="dxa" w:w="1440"/>
            <w:shd w:fill="FFDCE0" w:val="clear"/>
          </w:tcPr>
          <w:p>
            <w:r>
              <w:rPr>
                <w:sz w:val="17"/>
              </w:rPr>
              <w:t>1,833</w:t>
            </w:r>
          </w:p>
        </w:tc>
        <w:tc>
          <w:tcPr>
            <w:tcW w:type="dxa" w:w="1440"/>
            <w:shd w:fill="FFDCE0" w:val="clear"/>
          </w:tcPr>
          <w:p>
            <w:r>
              <w:rPr>
                <w:b/>
                <w:sz w:val="17"/>
              </w:rPr>
              <w:t>2,216</w:t>
            </w:r>
          </w:p>
        </w:tc>
        <w:tc>
          <w:tcPr>
            <w:tcW w:type="dxa" w:w="1440"/>
            <w:shd w:fill="FFDCE0" w:val="clear"/>
          </w:tcPr>
          <w:p>
            <w:r>
              <w:rPr>
                <w:sz w:val="17"/>
              </w:rPr>
              <w:t>2,600</w:t>
            </w:r>
          </w:p>
        </w:tc>
        <w:tc>
          <w:tcPr>
            <w:tcW w:type="dxa" w:w="1440"/>
            <w:shd w:fill="FFDCE0" w:val="clear"/>
          </w:tcPr>
          <w:p>
            <w:r>
              <w:rPr>
                <w:b/>
                <w:color w:val="C00000"/>
                <w:sz w:val="17"/>
              </w:rPr>
              <w:t>-10.3%</w:t>
            </w:r>
          </w:p>
        </w:tc>
      </w:tr>
      <w:tr>
        <w:tc>
          <w:tcPr>
            <w:tcW w:type="dxa" w:w="1440"/>
            <w:shd w:fill="FFDCE0" w:val="clear"/>
          </w:tcPr>
          <w:p>
            <w:r>
              <w:rPr>
                <w:sz w:val="17"/>
              </w:rPr>
              <w:t>J+10  ⭐</w:t>
            </w:r>
          </w:p>
        </w:tc>
        <w:tc>
          <w:tcPr>
            <w:tcW w:type="dxa" w:w="1440"/>
            <w:shd w:fill="FFDCE0" w:val="clear"/>
          </w:tcPr>
          <w:p>
            <w:r>
              <w:rPr>
                <w:sz w:val="17"/>
              </w:rPr>
              <w:t>2026-09-04</w:t>
            </w:r>
          </w:p>
        </w:tc>
        <w:tc>
          <w:tcPr>
            <w:tcW w:type="dxa" w:w="1440"/>
            <w:shd w:fill="FFDCE0" w:val="clear"/>
          </w:tcPr>
          <w:p>
            <w:r>
              <w:rPr>
                <w:sz w:val="17"/>
              </w:rPr>
              <w:t>1,802</w:t>
            </w:r>
          </w:p>
        </w:tc>
        <w:tc>
          <w:tcPr>
            <w:tcW w:type="dxa" w:w="1440"/>
            <w:shd w:fill="FFDCE0" w:val="clear"/>
          </w:tcPr>
          <w:p>
            <w:r>
              <w:rPr>
                <w:b/>
                <w:sz w:val="17"/>
              </w:rPr>
              <w:t>2,204</w:t>
            </w:r>
          </w:p>
        </w:tc>
        <w:tc>
          <w:tcPr>
            <w:tcW w:type="dxa" w:w="1440"/>
            <w:shd w:fill="FFDCE0" w:val="clear"/>
          </w:tcPr>
          <w:p>
            <w:r>
              <w:rPr>
                <w:sz w:val="17"/>
              </w:rPr>
              <w:t>2,606</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pPr>
      <w:r>
        <w:t>**Date : 20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d'UNIWAX s'établit à 51,25 milliards FCFA, un niveau significatif sur la BRVM qui positionne le titre comme une valeur moyenne dans le compartiment industriel. Le BPA ressort à -105 FCFA, reflétant la perte nette enregistrée sur l'exercice 2024, ce qui rend le PER non significatif (-23,4x). En revanche, le P/B de 3,29x indique que le marché valorise l'actif net de la société avec une prime substantielle, suggérant que les investisseurs anticipent une amélioration future de la rentabilité. Cette prime de valorisation est cohérente avec le scénario de redressement en cours, mais elle implique un risque si la reprise opérationnelle devait échouer. En l'absence de données sur l'EBITDA, le ratio EV/EBITDA ne peut être calculé, mais la capitalisation actuelle semble intégrer des perspectives de croissance que l'entreprise doit encore concrétiser.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UNXC affiche une progression spectaculaire de +19,61%, avec une dernière séance en hausse de +1,86% à 2 470 FCFA. Le cours a évolué dans une fourchette très large, allant d'un plus bas de 1 250 FCFA à un plus haut de 2 470 FCFA, soit un doublement de valeur sur la période. La moyenne du cours (1 874 FCFA) est inférieure à la médiane (1 900 FCFA), indiquant une distribution légèrement asymétrique avec une concentration des valeurs vers le haut de la fourchette. L'écart-type de 187 FCFA (CV=10%) révèle une dispersion modérée, mais le kurtosis de 3,4 signale un risque de mouvements extrêmes, tandis que le skewness négatif (-0,75) suggère que les fortes hausses sont plus fréquentes que les baisses. La volatilité annualisée de 51,6% classe le titre comme très volatil, un niveau élevé qui reflète l'incertitude entourant le redressement de la société.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(2 470 FCFA) se situe nettement au-dessus de la MM20 (1 994,75 FCFA) et de la MM50 (1 853 FCFA), confirmant une tendance haussière solide. L'écart positif entre les deux moyennes indique une dynamique positive soutenue, justifiant la décision d'achat.</w:t>
      </w:r>
    </w:p>
    <w:p>
      <w:pPr>
        <w:spacing w:after="120" w:line="276" w:lineRule="auto"/>
      </w:pPr>
      <w:r>
        <w:t>**Bandes de Bollinger** : Le prix évolue au-dessus de la borne supérieure (2 356,91 FCFA), signalant une condition de surachat extrême. Cette sortie de bande suggère une volatilité accrue et un possible retour vers la moyenne, justifiant la décision de vente à court terme.</w:t>
      </w:r>
    </w:p>
    <w:p>
      <w:pPr>
        <w:spacing w:after="120" w:line="276" w:lineRule="auto"/>
      </w:pPr>
      <w:r>
        <w:t>**MACD** : La valeur du MACD (136,85) est nettement supérieure à sa ligne de signal (81,83), confirmant un momentum haussier puissant. La divergence positive indique que la tendance haussière reste intacte, justifiant la décision d'achat.</w:t>
      </w:r>
    </w:p>
    <w:p>
      <w:pPr>
        <w:spacing w:after="120" w:line="276" w:lineRule="auto"/>
      </w:pPr>
      <w:r>
        <w:t>**RSI** : À 88,0, le RSI est en zone de surachat extrême (au-delà de 70), signalant une possible correction technique. Cette valeur élevée reflète la forte pression acheteuse mais suggère également un essoufflement potentiel, justifiant la décision de vente.</w:t>
      </w:r>
    </w:p>
    <w:p>
      <w:pPr>
        <w:spacing w:after="120" w:line="276" w:lineRule="auto"/>
      </w:pPr>
      <w:r>
        <w:t>**Stochastique** : Le %K et le %D sont tous deux à 100,0, indiquant une condition de surachat extrême. Cette configuration signale que le titre est survendu à la hausse, avec un risque élevé de retournement, justifiant la décision de vente.</w:t>
      </w:r>
    </w:p>
    <w:p>
      <w:pPr>
        <w:spacing w:after="120" w:line="276" w:lineRule="auto"/>
      </w:pPr>
      <w:r>
        <w:t>**Conclusion technique** : Les indicateurs de tendance (MM, MACD) confirment une dynamique haussière solide, mais les oscillateurs (RSI, Stochastique, Bollinger) signalent tous une condition de surachat extrême. Cette divergence suggère qu'une correction technique est probable à court terme, même si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2024, les états financiers d'UNIWAX font état d'un chiffre d'affaires de 27,33 milliards FCFA, en hausse de 15,4% par rapport à 2023, mais d'une perte nette de -2,19 milliards FCFA, contre un bénéfice de 4,19 milliards en 2023 selon les rapports disponibles. Le ROE est négatif à -14,04% et le ROA à -6,39%, traduisant une rentabilité déficitaire des fonds propres et des actifs. La marge opérationnelle est également négative à -7,81%, avec un coefficient d'exploitation de 106,99% indiquant que les charges dépassent les produits. Le BFR s'établit à 2,15 milliards FCFA, avec un délai clients de 51 jours et un délai fournisseurs de 268 jours, ce qui est favorable pour la trésorerie. Les rapports trimestriels 2025 montrent une amélioration significative : le CA du S1 2025 atteint 15,71 milliards FCFA (+12,5%), avec un résultat net exceptionnel de 8,22 milliards grâce à la cession-bail du terrain. Cependant, le résultat des activités ordinaires reste déficitaire à -330 millions. Le rapport S1 2026 confirme le redressement avec un résultat d'exploitation positif de 771 millions FCFA et un résultat net de 771 millions, marquant une rupture avec les pertes antérieures. Sur la base de ces données, on estime que l'exercice 2026 devrait confirmer cette tendance, avec une rentabilité opérationnelle durablement positive.</w:t>
      </w:r>
    </w:p>
    <w:p>
      <w:pPr>
        <w:spacing w:after="120" w:line="276" w:lineRule="auto"/>
      </w:pPr>
      <w:r>
        <w:t>---</w:t>
      </w:r>
    </w:p>
    <w:p>
      <w:pPr>
        <w:spacing w:after="120" w:line="276" w:lineRule="auto"/>
      </w:pPr>
      <w:r>
        <w:t>### PARTIE 4 : CONCLUSION D'INVESTISSEMENT</w:t>
      </w:r>
    </w:p>
    <w:p>
      <w:pPr>
        <w:spacing w:after="120" w:line="276" w:lineRule="auto"/>
      </w:pPr>
      <w:r>
        <w:t>La valorisation actuelle d'UNIWAX (P/B de 3,29x) intègre une prime de redressement qui se justifie par l'amélioration opérationnelle constatée au S1 2026, mais le PER négatif souligne la fragilité des bénéfices. Le comportement du cours (+19,61% sur 100 jours) reflète l'optimisme des investisseurs, mais la volatilité élevée (51,6%) et les statistiques de distribution (kurtosis élevé, skewness négatif) signalent un risque de mouvements brusques. Les signaux techniques sont mitigés : la tendance reste haussière (MM, MACD) mais les oscillateurs indiquent un surachat extrême (RSI à 88, Stochastique à 100), suggérant une correction probable. Les fondamentaux montrent un redressement réel avec un EBE positif et un résultat d'exploitation positif au S1 2026, mais la dépendance aux cessions d'actifs et les pertes cumulées (-5,54 milliards) restent des points de vigilance. Les prédictions IA (2 323 à 2 268 FCFA sur 10 jours) confirment un repli technique attendu. En synthèse, la convergence entre l'amélioration fondamentale et la tendance haussière justifie une recommandation **CONSERVER**, avec un niveau de confiance **Moyen** et un risque global **Élevé**. L'horizon d'investissement optimal serait le **moyen terme (3-12 mois)**, en attendant la confirmation d'une rentabilité opérationnelle durable sur l'ensemble de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