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15/09/2026 à 09:32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(+105.0%)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8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555.90 points </w:t>
      </w:r>
      <w:r>
        <w:rPr>
          <w:color w:val="008000"/>
        </w:rPr>
        <w:t>(+0.08%)</w:t>
      </w:r>
      <w:r>
        <w:t xml:space="preserve"> sur la séance. </w:t>
      </w:r>
      <w:r>
        <w:t>La capitalisation globale du marché atteint 21 436,336 milliards FCFA.</w:t>
      </w:r>
    </w:p>
    <w:p/>
    <w:p>
      <w:pPr>
        <w:pStyle w:val="Heading3"/>
      </w:pPr>
      <w:r>
        <w:t>📊 Évolution de l'indice BRVM Composite (100 derniers jours)</w:t>
      </w:r>
    </w:p>
    <w:p>
      <w:r>
        <w:rPr>
          <w:b/>
        </w:rPr>
        <w:t xml:space="preserve">BRVM Composite — </w:t>
      </w:r>
      <w:r>
        <w:t xml:space="preserve">Sur les 100 derniers jours de cotation (2026-04-20 au 2026-09-14), l'indice BRVM Composite a évolué de </w:t>
      </w:r>
      <w:r>
        <w:rPr>
          <w:b/>
          <w:color w:val="008000"/>
        </w:rPr>
        <w:t>+39.03%</w:t>
      </w:r>
      <w:r>
        <w:t>, passant de 399.84 pts à 555.90 pts. Le plus haut atteint est 555.90 pts et le plus bas 399.84 pts. Sur l'ensemble de la période, la moyenne de l'indice s'établit à 463.32 pts, la médiane à 459.95 pts et le mode à 399.84 pts</w:t>
      </w:r>
      <w:r>
        <w:t xml:space="preserve"> (asymétrie positive — plus de jours sous la moyenne). </w:t>
      </w:r>
      <w:r>
        <w:t xml:space="preserve">L'écart-type de 46.24 pts (CV=10.0%) traduit une modérée dispersion des cotations. Le kurtosis de -0.86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+39.05%</w:t>
      </w:r>
      <w:r>
        <w:t xml:space="preserve"> sur la période, passant de 15 416,127 Mds FCFA à 21 436,336 Mds FCFA. Le pic de capitalisation observé est de 21 436,336 Mds FCFA et le plancher de 15 416,127 Mds FCFA. La moyenne de la capitalisation sur la période s'établit à 17 857,003 Mds FCFA, la médiane à 17 719,006 Mds FCFA et le mode à 15 416,127 Mds FCFA</w:t>
      </w:r>
      <w:r>
        <w:t xml:space="preserve"> (asymétrie positive). </w:t>
      </w:r>
      <w:r>
        <w:t>L'écart-type de 1 784,447 Mds FCFA (CV=10.0%) reflète une modérée variabilité de la valorisation du marché. Le kurtosis de -0.85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NSBC - NSBC - NSIA BANQUE COTE D'IVOIRE</w:t>
      </w:r>
      <w:r>
        <w:t xml:space="preserve"> | Prix: 24200 FCFA | </w:t>
      </w:r>
      <w:r>
        <w:rPr>
          <w:b/>
          <w:color w:val="008000"/>
        </w:rPr>
        <w:t>ACHAT FORT</w:t>
      </w:r>
      <w:r>
        <w:t xml:space="preserve"> | Confiance: Élevée | Risque: Moyen</w:t>
      </w:r>
    </w:p>
    <w:p>
      <w:pPr>
        <w:pStyle w:val="ListNumber"/>
      </w:pPr>
      <w:r>
        <w:rPr>
          <w:b/>
        </w:rPr>
        <w:t>ABJC - ABJC - SERVAIR ABIDJAN CI</w:t>
      </w:r>
      <w:r>
        <w:t xml:space="preserve"> | Prix: 4060 FCFA | </w:t>
      </w:r>
      <w:r>
        <w:rPr>
          <w:b/>
          <w:color w:val="008000"/>
        </w:rPr>
        <w:t>ACHAT</w:t>
      </w:r>
      <w:r>
        <w:t xml:space="preserve"> | Confiance: Moyen | Risque: Moyen</w:t>
      </w:r>
    </w:p>
    <w:p>
      <w:pPr>
        <w:pStyle w:val="ListNumber"/>
      </w:pPr>
      <w:r>
        <w:rPr>
          <w:b/>
        </w:rPr>
        <w:t>BICB - BIIC BN - Banque internationale pour le commerce du benin</w:t>
      </w:r>
      <w:r>
        <w:t xml:space="preserve"> | Prix: 10500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33015 FCFA | </w:t>
      </w:r>
      <w:r>
        <w:rPr>
          <w:b/>
          <w:color w:val="008000"/>
        </w:rPr>
        <w:t>ACHAT</w:t>
      </w:r>
      <w:r>
        <w:t xml:space="preserve"> | Confiance: Élevée | Risque: Moyen</w:t>
      </w:r>
    </w:p>
    <w:p>
      <w:pPr>
        <w:pStyle w:val="ListNumber"/>
      </w:pPr>
      <w:r>
        <w:rPr>
          <w:b/>
        </w:rPr>
        <w:t>BNBC - BNBC - BERNABE CI</w:t>
      </w:r>
      <w:r>
        <w:t xml:space="preserve"> | Prix: 2295 FCFA | </w:t>
      </w:r>
      <w:r>
        <w:rPr>
          <w:b/>
          <w:color w:val="008000"/>
        </w:rPr>
        <w:t>ACHAT</w:t>
      </w:r>
      <w:r>
        <w:t xml:space="preserve"> | Confiance: Moyen | Risque: Moyen</w:t>
      </w:r>
    </w:p>
    <w:p>
      <w:pPr>
        <w:pStyle w:val="ListNumber"/>
      </w:pPr>
      <w:r>
        <w:rPr>
          <w:b/>
        </w:rPr>
        <w:t>BOAB - BANK OF AFRICA BENIN</w:t>
      </w:r>
      <w:r>
        <w:t xml:space="preserve"> | Prix: 10200 FCFA | </w:t>
      </w:r>
      <w:r>
        <w:rPr>
          <w:b/>
          <w:color w:val="008000"/>
        </w:rPr>
        <w:t>ACHAT</w:t>
      </w:r>
      <w:r>
        <w:t xml:space="preserve"> | Confiance: Moyen | Risque: Moyen</w:t>
      </w:r>
    </w:p>
    <w:p>
      <w:pPr>
        <w:pStyle w:val="ListNumber"/>
      </w:pPr>
      <w:r>
        <w:rPr>
          <w:b/>
        </w:rPr>
        <w:t>BOABF - BANK OF AFRICA BURKINA FASO</w:t>
      </w:r>
      <w:r>
        <w:t xml:space="preserve"> | Prix: 8700 FCFA | </w:t>
      </w:r>
      <w:r>
        <w:rPr>
          <w:b/>
          <w:color w:val="008000"/>
        </w:rPr>
        <w:t>ACHAT</w:t>
      </w:r>
      <w:r>
        <w:t xml:space="preserve"> | Confiance: Moyen | Risque: Moyen</w:t>
      </w:r>
    </w:p>
    <w:p>
      <w:pPr>
        <w:pStyle w:val="ListNumber"/>
      </w:pPr>
      <w:r>
        <w:rPr>
          <w:b/>
        </w:rPr>
        <w:t>BOAC - BANK OF AFRICA COTE D'IVOIRE</w:t>
      </w:r>
      <w:r>
        <w:t xml:space="preserve"> | Prix: 12400 FCFA | </w:t>
      </w:r>
      <w:r>
        <w:rPr>
          <w:b/>
          <w:color w:val="008000"/>
        </w:rPr>
        <w:t>ACHAT</w:t>
      </w:r>
      <w:r>
        <w:t xml:space="preserve"> | Confiance: Élevée | Risque: Moyen</w:t>
      </w:r>
    </w:p>
    <w:p>
      <w:pPr>
        <w:pStyle w:val="ListNumber"/>
      </w:pPr>
      <w:r>
        <w:rPr>
          <w:b/>
        </w:rPr>
        <w:t>BOAM - BANK OF AFRICA MALI</w:t>
      </w:r>
      <w:r>
        <w:t xml:space="preserve"> | Prix: 7095 FCFA | </w:t>
      </w:r>
      <w:r>
        <w:rPr>
          <w:b/>
          <w:color w:val="008000"/>
        </w:rPr>
        <w:t>ACHAT</w:t>
      </w:r>
      <w:r>
        <w:t xml:space="preserve"> | Confiance: Élevée | Risque: Faible</w:t>
      </w:r>
    </w:p>
    <w:p>
      <w:pPr>
        <w:pStyle w:val="ListNumber"/>
      </w:pPr>
      <w:r>
        <w:rPr>
          <w:b/>
        </w:rPr>
        <w:t>BOAN - BANK OF AFRICA NIGER</w:t>
      </w:r>
      <w:r>
        <w:t xml:space="preserve"> | Prix: 5575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105.02%</w:t>
      </w:r>
      <w:r>
        <w:t xml:space="preserve">  |  </w:t>
      </w:r>
      <w:r>
        <w:rPr>
          <w:b/>
        </w:rPr>
        <w:t xml:space="preserve">vs BRVM Composite: </w:t>
      </w:r>
      <w:r>
        <w:rPr>
          <w:b/>
          <w:color w:val="008000"/>
        </w:rPr>
        <w:t>+65.99%  🟢 Surperformance</w:t>
      </w:r>
      <w:r>
        <w:br/>
      </w:r>
      <w:r>
        <w:rPr>
          <w:b/>
        </w:rPr>
        <w:t xml:space="preserve">Sentiment général: </w:t>
      </w:r>
      <w:r>
        <w:t xml:space="preserve">ACHAT  |  </w:t>
      </w:r>
      <w:r>
        <w:rPr>
          <w:b/>
        </w:rPr>
        <w:t xml:space="preserve">Risque moyen: </w:t>
      </w:r>
      <w:r>
        <w:t xml:space="preserve">Moyen  |  </w:t>
      </w:r>
      <w:r>
        <w:rPr>
          <w:b/>
        </w:rPr>
        <w:t xml:space="preserve">Prix moyen: </w:t>
      </w:r>
      <w:r>
        <w:t>10012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49.48%</w:t>
      </w:r>
      <w:r>
        <w:t xml:space="preserve">  |  </w:t>
      </w:r>
      <w:r>
        <w:rPr>
          <w:b/>
        </w:rPr>
        <w:t xml:space="preserve">vs BRVM Composite: </w:t>
      </w:r>
      <w:r>
        <w:rPr>
          <w:b/>
          <w:color w:val="008000"/>
        </w:rPr>
        <w:t>+10.45%  🟢 Surperformance</w:t>
      </w:r>
      <w:r>
        <w:br/>
      </w:r>
      <w:r>
        <w:rPr>
          <w:b/>
        </w:rPr>
        <w:t xml:space="preserve">Sentiment général: </w:t>
      </w:r>
      <w:r>
        <w:t xml:space="preserve">ACHAT  |  </w:t>
      </w:r>
      <w:r>
        <w:rPr>
          <w:b/>
        </w:rPr>
        <w:t xml:space="preserve">Risque moyen: </w:t>
      </w:r>
      <w:r>
        <w:t xml:space="preserve">Moyen  |  </w:t>
      </w:r>
      <w:r>
        <w:rPr>
          <w:b/>
        </w:rPr>
        <w:t xml:space="preserve">Prix moyen: </w:t>
      </w:r>
      <w:r>
        <w:t>14241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36.08%</w:t>
      </w:r>
      <w:r>
        <w:t xml:space="preserve">  |  </w:t>
      </w:r>
      <w:r>
        <w:rPr>
          <w:b/>
        </w:rPr>
        <w:t xml:space="preserve">vs BRVM Composite: </w:t>
      </w:r>
      <w:r>
        <w:rPr>
          <w:b/>
          <w:color w:val="C00000"/>
        </w:rPr>
        <w:t>-2.95%  🔴 Sous-performance</w:t>
      </w:r>
      <w:r>
        <w:br/>
      </w:r>
      <w:r>
        <w:rPr>
          <w:b/>
        </w:rPr>
        <w:t xml:space="preserve">Sentiment général: </w:t>
      </w:r>
      <w:r>
        <w:t xml:space="preserve">ACHAT  |  </w:t>
      </w:r>
      <w:r>
        <w:rPr>
          <w:b/>
        </w:rPr>
        <w:t xml:space="preserve">Risque moyen: </w:t>
      </w:r>
      <w:r>
        <w:t xml:space="preserve">Moyen  |  </w:t>
      </w:r>
      <w:r>
        <w:rPr>
          <w:b/>
        </w:rPr>
        <w:t xml:space="preserve">Prix moyen: </w:t>
      </w:r>
      <w:r>
        <w:t>7071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31.56%</w:t>
      </w:r>
      <w:r>
        <w:t xml:space="preserve">  |  </w:t>
      </w:r>
      <w:r>
        <w:rPr>
          <w:b/>
        </w:rPr>
        <w:t xml:space="preserve">vs BRVM Composite: </w:t>
      </w:r>
      <w:r>
        <w:rPr>
          <w:b/>
          <w:color w:val="C00000"/>
        </w:rPr>
        <w:t>-7.47%  🔴 Sous-performance</w:t>
      </w:r>
      <w:r>
        <w:br/>
      </w:r>
      <w:r>
        <w:rPr>
          <w:b/>
        </w:rPr>
        <w:t xml:space="preserve">Sentiment général: </w:t>
      </w:r>
      <w:r>
        <w:t xml:space="preserve">ACHAT  |  </w:t>
      </w:r>
      <w:r>
        <w:rPr>
          <w:b/>
        </w:rPr>
        <w:t xml:space="preserve">Risque moyen: </w:t>
      </w:r>
      <w:r>
        <w:t xml:space="preserve">Moyen  |  </w:t>
      </w:r>
      <w:r>
        <w:rPr>
          <w:b/>
        </w:rPr>
        <w:t xml:space="preserve">Prix moyen: </w:t>
      </w:r>
      <w:r>
        <w:t>21537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29.45%</w:t>
      </w:r>
      <w:r>
        <w:t xml:space="preserve">  |  </w:t>
      </w:r>
      <w:r>
        <w:rPr>
          <w:b/>
        </w:rPr>
        <w:t xml:space="preserve">vs BRVM Composite: </w:t>
      </w:r>
      <w:r>
        <w:rPr>
          <w:b/>
          <w:color w:val="C00000"/>
        </w:rPr>
        <w:t>-9.58%  🔴 Sous-performance</w:t>
      </w:r>
      <w:r>
        <w:br/>
      </w:r>
      <w:r>
        <w:rPr>
          <w:b/>
        </w:rPr>
        <w:t xml:space="preserve">Sentiment général: </w:t>
      </w:r>
      <w:r>
        <w:t xml:space="preserve">ACHAT  |  </w:t>
      </w:r>
      <w:r>
        <w:rPr>
          <w:b/>
        </w:rPr>
        <w:t xml:space="preserve">Risque moyen: </w:t>
      </w:r>
      <w:r>
        <w:t xml:space="preserve">Moyen  |  </w:t>
      </w:r>
      <w:r>
        <w:rPr>
          <w:b/>
        </w:rPr>
        <w:t xml:space="preserve">Prix moyen: </w:t>
      </w:r>
      <w:r>
        <w:t>3090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23.09%</w:t>
      </w:r>
      <w:r>
        <w:t xml:space="preserve">  |  </w:t>
      </w:r>
      <w:r>
        <w:rPr>
          <w:b/>
        </w:rPr>
        <w:t xml:space="preserve">vs BRVM Composite: </w:t>
      </w:r>
      <w:r>
        <w:rPr>
          <w:b/>
          <w:color w:val="C00000"/>
        </w:rPr>
        <w:t>-15.94%  🔴 Sous-performance</w:t>
      </w:r>
      <w:r>
        <w:br/>
      </w:r>
      <w:r>
        <w:rPr>
          <w:b/>
        </w:rPr>
        <w:t xml:space="preserve">Sentiment général: </w:t>
      </w:r>
      <w:r>
        <w:t xml:space="preserve">ACHAT  |  </w:t>
      </w:r>
      <w:r>
        <w:rPr>
          <w:b/>
        </w:rPr>
        <w:t xml:space="preserve">Risque moyen: </w:t>
      </w:r>
      <w:r>
        <w:t xml:space="preserve">Moyen  |  </w:t>
      </w:r>
      <w:r>
        <w:rPr>
          <w:b/>
        </w:rPr>
        <w:t xml:space="preserve">Prix moyen: </w:t>
      </w:r>
      <w:r>
        <w:t>18597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4.37%</w:t>
      </w:r>
      <w:r>
        <w:t xml:space="preserve">  |  </w:t>
      </w:r>
      <w:r>
        <w:rPr>
          <w:b/>
        </w:rPr>
        <w:t xml:space="preserve">vs BRVM Composite: </w:t>
      </w:r>
      <w:r>
        <w:rPr>
          <w:b/>
          <w:color w:val="C00000"/>
        </w:rPr>
        <w:t>-34.66%  🔴 Sous-performance</w:t>
      </w:r>
      <w:r>
        <w:br/>
      </w:r>
      <w:r>
        <w:rPr>
          <w:b/>
        </w:rPr>
        <w:t xml:space="preserve">Sentiment général: </w:t>
      </w:r>
      <w:r>
        <w:t xml:space="preserve">ACHAT  |  </w:t>
      </w:r>
      <w:r>
        <w:rPr>
          <w:b/>
        </w:rPr>
        <w:t xml:space="preserve">Risque moyen: </w:t>
      </w:r>
      <w:r>
        <w:t xml:space="preserve">Faible  |  </w:t>
      </w:r>
      <w:r>
        <w:rPr>
          <w:b/>
        </w:rPr>
        <w:t xml:space="preserve">Prix moyen: </w:t>
      </w:r>
      <w:r>
        <w:t>2507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BOAC, BOAM, CABC, ETIT, NSBC, ORAC, SAFC, SDCC, SDSC, SGBC, SIBC, SIVC, SNTS, SPHC, STAC,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BNBC, BOAB, BOABF, BOAN, BOAS, CBIBF, CFAC, CIEC, ECOC, FTSC, NEIC, NTLC, ONTBF, ORGT, PALC, SEMC, SMBC,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LNBB, PRSC, SCRC, SHEC, SICC, SLBC, STBC, TTLS</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1264607</w:t>
            </w:r>
          </w:p>
        </w:tc>
        <w:tc>
          <w:tcPr>
            <w:tcW w:type="dxa" w:w="1728"/>
          </w:tcPr>
          <w:p>
            <w:r>
              <w:t>85417310 FCFA</w:t>
            </w:r>
          </w:p>
        </w:tc>
        <w:tc>
          <w:tcPr>
            <w:tcW w:type="dxa" w:w="1728"/>
          </w:tcPr>
          <w:p>
            <w:r>
              <w:t>162.96%</w:t>
            </w:r>
          </w:p>
        </w:tc>
        <w:tc>
          <w:tcPr>
            <w:tcW w:type="dxa" w:w="1728"/>
          </w:tcPr>
          <w:p>
            <w:r>
              <w:t>ACHAT</w:t>
            </w:r>
          </w:p>
        </w:tc>
      </w:tr>
      <w:tr>
        <w:tc>
          <w:tcPr>
            <w:tcW w:type="dxa" w:w="1728"/>
          </w:tcPr>
          <w:p>
            <w:r>
              <w:t>BICB (BIIC BN - Banque internationale pour le commerce du benin)</w:t>
            </w:r>
          </w:p>
        </w:tc>
        <w:tc>
          <w:tcPr>
            <w:tcW w:type="dxa" w:w="1728"/>
          </w:tcPr>
          <w:p>
            <w:r>
              <w:t>19691</w:t>
            </w:r>
          </w:p>
        </w:tc>
        <w:tc>
          <w:tcPr>
            <w:tcW w:type="dxa" w:w="1728"/>
          </w:tcPr>
          <w:p>
            <w:r>
              <w:t>174332589 FCFA</w:t>
            </w:r>
          </w:p>
        </w:tc>
        <w:tc>
          <w:tcPr>
            <w:tcW w:type="dxa" w:w="1728"/>
          </w:tcPr>
          <w:p>
            <w:r>
              <w:t>105.48%</w:t>
            </w:r>
          </w:p>
        </w:tc>
        <w:tc>
          <w:tcPr>
            <w:tcW w:type="dxa" w:w="1728"/>
          </w:tcPr>
          <w:p>
            <w:r>
              <w:t>ACHAT</w:t>
            </w:r>
          </w:p>
        </w:tc>
      </w:tr>
      <w:tr>
        <w:tc>
          <w:tcPr>
            <w:tcW w:type="dxa" w:w="1728"/>
          </w:tcPr>
          <w:p>
            <w:r>
              <w:t>SDSC (SDSC - AFRICA GLOBAL LOGISTICS CI)</w:t>
            </w:r>
          </w:p>
        </w:tc>
        <w:tc>
          <w:tcPr>
            <w:tcW w:type="dxa" w:w="1728"/>
          </w:tcPr>
          <w:p>
            <w:r>
              <w:t>18533</w:t>
            </w:r>
          </w:p>
        </w:tc>
        <w:tc>
          <w:tcPr>
            <w:tcW w:type="dxa" w:w="1728"/>
          </w:tcPr>
          <w:p>
            <w:r>
              <w:t>52249029 FCFA</w:t>
            </w:r>
          </w:p>
        </w:tc>
        <w:tc>
          <w:tcPr>
            <w:tcW w:type="dxa" w:w="1728"/>
          </w:tcPr>
          <w:p>
            <w:r>
              <w:t>74.08%</w:t>
            </w:r>
          </w:p>
        </w:tc>
        <w:tc>
          <w:tcPr>
            <w:tcW w:type="dxa" w:w="1728"/>
          </w:tcPr>
          <w:p>
            <w:r>
              <w:t>ACHAT</w:t>
            </w:r>
          </w:p>
        </w:tc>
      </w:tr>
      <w:tr>
        <w:tc>
          <w:tcPr>
            <w:tcW w:type="dxa" w:w="1728"/>
          </w:tcPr>
          <w:p>
            <w:r>
              <w:t>SIBC (SIBC - SOCIETE IVOIRIENNE DE BANQUE)</w:t>
            </w:r>
          </w:p>
        </w:tc>
        <w:tc>
          <w:tcPr>
            <w:tcW w:type="dxa" w:w="1728"/>
          </w:tcPr>
          <w:p>
            <w:r>
              <w:t>15538</w:t>
            </w:r>
          </w:p>
        </w:tc>
        <w:tc>
          <w:tcPr>
            <w:tcW w:type="dxa" w:w="1728"/>
          </w:tcPr>
          <w:p>
            <w:r>
              <w:t>141987005 FCFA</w:t>
            </w:r>
          </w:p>
        </w:tc>
        <w:tc>
          <w:tcPr>
            <w:tcW w:type="dxa" w:w="1728"/>
          </w:tcPr>
          <w:p>
            <w:r>
              <w:t>32.57%</w:t>
            </w:r>
          </w:p>
        </w:tc>
        <w:tc>
          <w:tcPr>
            <w:tcW w:type="dxa" w:w="1728"/>
          </w:tcPr>
          <w:p>
            <w:r>
              <w:t>ACHAT</w:t>
            </w:r>
          </w:p>
        </w:tc>
      </w:tr>
      <w:tr>
        <w:tc>
          <w:tcPr>
            <w:tcW w:type="dxa" w:w="1728"/>
          </w:tcPr>
          <w:p>
            <w:r>
              <w:t>BOAS (BANK OF AFRICA SENEGAL)</w:t>
            </w:r>
          </w:p>
        </w:tc>
        <w:tc>
          <w:tcPr>
            <w:tcW w:type="dxa" w:w="1728"/>
          </w:tcPr>
          <w:p>
            <w:r>
              <w:t>14786</w:t>
            </w:r>
          </w:p>
        </w:tc>
        <w:tc>
          <w:tcPr>
            <w:tcW w:type="dxa" w:w="1728"/>
          </w:tcPr>
          <w:p>
            <w:r>
              <w:t>119851660 FCFA</w:t>
            </w:r>
          </w:p>
        </w:tc>
        <w:tc>
          <w:tcPr>
            <w:tcW w:type="dxa" w:w="1728"/>
          </w:tcPr>
          <w:p>
            <w:r>
              <w:t>23.70%</w:t>
            </w:r>
          </w:p>
        </w:tc>
        <w:tc>
          <w:tcPr>
            <w:tcW w:type="dxa" w:w="1728"/>
          </w:tcPr>
          <w:p>
            <w:r>
              <w:t>ACHAT</w:t>
            </w:r>
          </w:p>
        </w:tc>
      </w:tr>
      <w:tr>
        <w:tc>
          <w:tcPr>
            <w:tcW w:type="dxa" w:w="1728"/>
          </w:tcPr>
          <w:p>
            <w:r>
              <w:t>UNXC (UNXC - UNIWAX COTE D'IVOIRE)</w:t>
            </w:r>
          </w:p>
        </w:tc>
        <w:tc>
          <w:tcPr>
            <w:tcW w:type="dxa" w:w="1728"/>
          </w:tcPr>
          <w:p>
            <w:r>
              <w:t>14621</w:t>
            </w:r>
          </w:p>
        </w:tc>
        <w:tc>
          <w:tcPr>
            <w:tcW w:type="dxa" w:w="1728"/>
          </w:tcPr>
          <w:p>
            <w:r>
              <w:t>34904373 FCFA</w:t>
            </w:r>
          </w:p>
        </w:tc>
        <w:tc>
          <w:tcPr>
            <w:tcW w:type="dxa" w:w="1728"/>
          </w:tcPr>
          <w:p>
            <w:r>
              <w:t>28.00%</w:t>
            </w:r>
          </w:p>
        </w:tc>
        <w:tc>
          <w:tcPr>
            <w:tcW w:type="dxa" w:w="1728"/>
          </w:tcPr>
          <w:p>
            <w:r>
              <w:t>ACHAT</w:t>
            </w:r>
          </w:p>
        </w:tc>
      </w:tr>
      <w:tr>
        <w:tc>
          <w:tcPr>
            <w:tcW w:type="dxa" w:w="1728"/>
          </w:tcPr>
          <w:p>
            <w:r>
              <w:t>SNTS (SNTS - SONATEL SN)</w:t>
            </w:r>
          </w:p>
        </w:tc>
        <w:tc>
          <w:tcPr>
            <w:tcW w:type="dxa" w:w="1728"/>
          </w:tcPr>
          <w:p>
            <w:r>
              <w:t>12228</w:t>
            </w:r>
          </w:p>
        </w:tc>
        <w:tc>
          <w:tcPr>
            <w:tcW w:type="dxa" w:w="1728"/>
          </w:tcPr>
          <w:p>
            <w:r>
              <w:t>447715670 FCFA</w:t>
            </w:r>
          </w:p>
        </w:tc>
        <w:tc>
          <w:tcPr>
            <w:tcW w:type="dxa" w:w="1728"/>
          </w:tcPr>
          <w:p>
            <w:r>
              <w:t>38.17%</w:t>
            </w:r>
          </w:p>
        </w:tc>
        <w:tc>
          <w:tcPr>
            <w:tcW w:type="dxa" w:w="1728"/>
          </w:tcPr>
          <w:p>
            <w:r>
              <w:t>ACHAT</w:t>
            </w:r>
          </w:p>
        </w:tc>
      </w:tr>
      <w:tr>
        <w:tc>
          <w:tcPr>
            <w:tcW w:type="dxa" w:w="1728"/>
          </w:tcPr>
          <w:p>
            <w:r>
              <w:t>BOAC (BANK OF AFRICA COTE D'IVOIRE)</w:t>
            </w:r>
          </w:p>
        </w:tc>
        <w:tc>
          <w:tcPr>
            <w:tcW w:type="dxa" w:w="1728"/>
          </w:tcPr>
          <w:p>
            <w:r>
              <w:t>11572</w:t>
            </w:r>
          </w:p>
        </w:tc>
        <w:tc>
          <w:tcPr>
            <w:tcW w:type="dxa" w:w="1728"/>
          </w:tcPr>
          <w:p>
            <w:r>
              <w:t>146798077 FCFA</w:t>
            </w:r>
          </w:p>
        </w:tc>
        <w:tc>
          <w:tcPr>
            <w:tcW w:type="dxa" w:w="1728"/>
          </w:tcPr>
          <w:p>
            <w:r>
              <w:t>42.61%</w:t>
            </w:r>
          </w:p>
        </w:tc>
        <w:tc>
          <w:tcPr>
            <w:tcW w:type="dxa" w:w="1728"/>
          </w:tcPr>
          <w:p>
            <w:r>
              <w:t>ACHAT</w:t>
            </w:r>
          </w:p>
        </w:tc>
      </w:tr>
      <w:tr>
        <w:tc>
          <w:tcPr>
            <w:tcW w:type="dxa" w:w="1728"/>
          </w:tcPr>
          <w:p>
            <w:r>
              <w:t>SPHC (SPHC - Société Africaine de Plantation d'Hévéas de Côte d'Ivoire)</w:t>
            </w:r>
          </w:p>
        </w:tc>
        <w:tc>
          <w:tcPr>
            <w:tcW w:type="dxa" w:w="1728"/>
          </w:tcPr>
          <w:p>
            <w:r>
              <w:t>10996</w:t>
            </w:r>
          </w:p>
        </w:tc>
        <w:tc>
          <w:tcPr>
            <w:tcW w:type="dxa" w:w="1728"/>
          </w:tcPr>
          <w:p>
            <w:r>
              <w:t>97019356 FCFA</w:t>
            </w:r>
          </w:p>
        </w:tc>
        <w:tc>
          <w:tcPr>
            <w:tcW w:type="dxa" w:w="1728"/>
          </w:tcPr>
          <w:p>
            <w:r>
              <w:t>9.53%</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ORAC (ORAC - ORANGE COTE D'IVOIRE)</w:t>
            </w:r>
          </w:p>
        </w:tc>
        <w:tc>
          <w:tcPr>
            <w:tcW w:type="dxa" w:w="1728"/>
          </w:tcPr>
          <w:p>
            <w:r>
              <w:t>4162</w:t>
            </w:r>
          </w:p>
        </w:tc>
        <w:tc>
          <w:tcPr>
            <w:tcW w:type="dxa" w:w="1728"/>
          </w:tcPr>
          <w:p>
            <w:r>
              <w:t>87598062 FCFA</w:t>
            </w:r>
          </w:p>
        </w:tc>
        <w:tc>
          <w:tcPr>
            <w:tcW w:type="dxa" w:w="1728"/>
          </w:tcPr>
          <w:p>
            <w:r>
              <w:t>51.01%</w:t>
            </w:r>
          </w:p>
        </w:tc>
        <w:tc>
          <w:tcPr>
            <w:tcW w:type="dxa" w:w="1728"/>
          </w:tcPr>
          <w:p>
            <w:r>
              <w:t>ACHAT</w:t>
            </w:r>
          </w:p>
        </w:tc>
      </w:tr>
      <w:tr>
        <w:tc>
          <w:tcPr>
            <w:tcW w:type="dxa" w:w="1728"/>
          </w:tcPr>
          <w:p>
            <w:r>
              <w:t>ECOC (ECOC - ECOBANK COTE D'IVOIRE)</w:t>
            </w:r>
          </w:p>
        </w:tc>
        <w:tc>
          <w:tcPr>
            <w:tcW w:type="dxa" w:w="1728"/>
          </w:tcPr>
          <w:p>
            <w:r>
              <w:t>4161</w:t>
            </w:r>
          </w:p>
        </w:tc>
        <w:tc>
          <w:tcPr>
            <w:tcW w:type="dxa" w:w="1728"/>
          </w:tcPr>
          <w:p>
            <w:r>
              <w:t>69364015 FCFA</w:t>
            </w:r>
          </w:p>
        </w:tc>
        <w:tc>
          <w:tcPr>
            <w:tcW w:type="dxa" w:w="1728"/>
          </w:tcPr>
          <w:p>
            <w:r>
              <w:t>8.16%</w:t>
            </w:r>
          </w:p>
        </w:tc>
        <w:tc>
          <w:tcPr>
            <w:tcW w:type="dxa" w:w="1728"/>
          </w:tcPr>
          <w:p>
            <w:r>
              <w:t>ACHAT</w:t>
            </w:r>
          </w:p>
        </w:tc>
      </w:tr>
      <w:tr>
        <w:tc>
          <w:tcPr>
            <w:tcW w:type="dxa" w:w="1728"/>
          </w:tcPr>
          <w:p>
            <w:r>
              <w:t>NSBC (NSBC - NSIA BANQUE COTE D'IVOIRE)</w:t>
            </w:r>
          </w:p>
        </w:tc>
        <w:tc>
          <w:tcPr>
            <w:tcW w:type="dxa" w:w="1728"/>
          </w:tcPr>
          <w:p>
            <w:r>
              <w:t>4120</w:t>
            </w:r>
          </w:p>
        </w:tc>
        <w:tc>
          <w:tcPr>
            <w:tcW w:type="dxa" w:w="1728"/>
          </w:tcPr>
          <w:p>
            <w:r>
              <w:t>95821338 FCFA</w:t>
            </w:r>
          </w:p>
        </w:tc>
        <w:tc>
          <w:tcPr>
            <w:tcW w:type="dxa" w:w="1728"/>
          </w:tcPr>
          <w:p>
            <w:r>
              <w:t>71.63%</w:t>
            </w:r>
          </w:p>
        </w:tc>
        <w:tc>
          <w:tcPr>
            <w:tcW w:type="dxa" w:w="1728"/>
          </w:tcPr>
          <w:p>
            <w:r>
              <w:t>ACHAT FORT</w:t>
            </w:r>
          </w:p>
        </w:tc>
      </w:tr>
      <w:tr>
        <w:tc>
          <w:tcPr>
            <w:tcW w:type="dxa" w:w="1728"/>
          </w:tcPr>
          <w:p>
            <w:r>
              <w:t>CFAC (CFAC - CFAO MOTORS CI)</w:t>
            </w:r>
          </w:p>
        </w:tc>
        <w:tc>
          <w:tcPr>
            <w:tcW w:type="dxa" w:w="1728"/>
          </w:tcPr>
          <w:p>
            <w:r>
              <w:t>3708</w:t>
            </w:r>
          </w:p>
        </w:tc>
        <w:tc>
          <w:tcPr>
            <w:tcW w:type="dxa" w:w="1728"/>
          </w:tcPr>
          <w:p>
            <w:r>
              <w:t>6335232 FCFA</w:t>
            </w:r>
          </w:p>
        </w:tc>
        <w:tc>
          <w:tcPr>
            <w:tcW w:type="dxa" w:w="1728"/>
          </w:tcPr>
          <w:p>
            <w:r>
              <w:t>11.29%</w:t>
            </w:r>
          </w:p>
        </w:tc>
        <w:tc>
          <w:tcPr>
            <w:tcW w:type="dxa" w:w="1728"/>
          </w:tcPr>
          <w:p>
            <w:r>
              <w:t>ACHAT</w:t>
            </w:r>
          </w:p>
        </w:tc>
      </w:tr>
      <w:tr>
        <w:tc>
          <w:tcPr>
            <w:tcW w:type="dxa" w:w="1728"/>
          </w:tcPr>
          <w:p>
            <w:r>
              <w:t>STBC (STBC - SITAB COTE D'IVOIRE)</w:t>
            </w:r>
          </w:p>
        </w:tc>
        <w:tc>
          <w:tcPr>
            <w:tcW w:type="dxa" w:w="1728"/>
          </w:tcPr>
          <w:p>
            <w:r>
              <w:t>3555</w:t>
            </w:r>
          </w:p>
        </w:tc>
        <w:tc>
          <w:tcPr>
            <w:tcW w:type="dxa" w:w="1728"/>
          </w:tcPr>
          <w:p>
            <w:r>
              <w:t>78890577 FCFA</w:t>
            </w:r>
          </w:p>
        </w:tc>
        <w:tc>
          <w:tcPr>
            <w:tcW w:type="dxa" w:w="1728"/>
          </w:tcPr>
          <w:p>
            <w:r>
              <w:t>4.78%</w:t>
            </w:r>
          </w:p>
        </w:tc>
        <w:tc>
          <w:tcPr>
            <w:tcW w:type="dxa" w:w="1728"/>
          </w:tcPr>
          <w:p>
            <w:r>
              <w:t>ACHAT</w:t>
            </w:r>
          </w:p>
        </w:tc>
      </w:tr>
      <w:tr>
        <w:tc>
          <w:tcPr>
            <w:tcW w:type="dxa" w:w="1728"/>
          </w:tcPr>
          <w:p>
            <w:r>
              <w:t>FTSC (FTSC - FILTISAC COTE D'IVOIRE)</w:t>
            </w:r>
          </w:p>
        </w:tc>
        <w:tc>
          <w:tcPr>
            <w:tcW w:type="dxa" w:w="1728"/>
          </w:tcPr>
          <w:p>
            <w:r>
              <w:t>3258</w:t>
            </w:r>
          </w:p>
        </w:tc>
        <w:tc>
          <w:tcPr>
            <w:tcW w:type="dxa" w:w="1728"/>
          </w:tcPr>
          <w:p>
            <w:r>
              <w:t>6948476 FCFA</w:t>
            </w:r>
          </w:p>
        </w:tc>
        <w:tc>
          <w:tcPr>
            <w:tcW w:type="dxa" w:w="1728"/>
          </w:tcPr>
          <w:p>
            <w:r>
              <w:t>-3.42%</w:t>
            </w:r>
          </w:p>
        </w:tc>
        <w:tc>
          <w:tcPr>
            <w:tcW w:type="dxa" w:w="1728"/>
          </w:tcPr>
          <w:p>
            <w:r>
              <w:t>ACHAT</w:t>
            </w:r>
          </w:p>
        </w:tc>
      </w:tr>
      <w:tr>
        <w:tc>
          <w:tcPr>
            <w:tcW w:type="dxa" w:w="1728"/>
          </w:tcPr>
          <w:p>
            <w:r>
              <w:t>PALC (PALC - PALM COTE D'IVOIRE)</w:t>
            </w:r>
          </w:p>
        </w:tc>
        <w:tc>
          <w:tcPr>
            <w:tcW w:type="dxa" w:w="1728"/>
          </w:tcPr>
          <w:p>
            <w:r>
              <w:t>3173</w:t>
            </w:r>
          </w:p>
        </w:tc>
        <w:tc>
          <w:tcPr>
            <w:tcW w:type="dxa" w:w="1728"/>
          </w:tcPr>
          <w:p>
            <w:r>
              <w:t>28409359 FCFA</w:t>
            </w:r>
          </w:p>
        </w:tc>
        <w:tc>
          <w:tcPr>
            <w:tcW w:type="dxa" w:w="1728"/>
          </w:tcPr>
          <w:p>
            <w:r>
              <w:t>6.70%</w:t>
            </w:r>
          </w:p>
        </w:tc>
        <w:tc>
          <w:tcPr>
            <w:tcW w:type="dxa" w:w="1728"/>
          </w:tcPr>
          <w:p>
            <w:r>
              <w:t>ACHAT</w:t>
            </w:r>
          </w:p>
        </w:tc>
      </w:tr>
      <w:tr>
        <w:tc>
          <w:tcPr>
            <w:tcW w:type="dxa" w:w="1728"/>
          </w:tcPr>
          <w:p>
            <w:r>
              <w:t>NEIC (NEIC - NEI-CEDA CI)</w:t>
            </w:r>
          </w:p>
        </w:tc>
        <w:tc>
          <w:tcPr>
            <w:tcW w:type="dxa" w:w="1728"/>
          </w:tcPr>
          <w:p>
            <w:r>
              <w:t>2568</w:t>
            </w:r>
          </w:p>
        </w:tc>
        <w:tc>
          <w:tcPr>
            <w:tcW w:type="dxa" w:w="1728"/>
          </w:tcPr>
          <w:p>
            <w:r>
              <w:t>7140826 FCFA</w:t>
            </w:r>
          </w:p>
        </w:tc>
        <w:tc>
          <w:tcPr>
            <w:tcW w:type="dxa" w:w="1728"/>
          </w:tcPr>
          <w:p>
            <w:r>
              <w:t>106.16%</w:t>
            </w:r>
          </w:p>
        </w:tc>
        <w:tc>
          <w:tcPr>
            <w:tcW w:type="dxa" w:w="1728"/>
          </w:tcPr>
          <w:p>
            <w:r>
              <w:t>ACHAT</w:t>
            </w:r>
          </w:p>
        </w:tc>
      </w:tr>
      <w:tr>
        <w:tc>
          <w:tcPr>
            <w:tcW w:type="dxa" w:w="1728"/>
          </w:tcPr>
          <w:p>
            <w:r>
              <w:t>TTLS (TTLS - TOTAL ENERGIES MARKETING SENEGAL)</w:t>
            </w:r>
          </w:p>
        </w:tc>
        <w:tc>
          <w:tcPr>
            <w:tcW w:type="dxa" w:w="1728"/>
          </w:tcPr>
          <w:p>
            <w:r>
              <w:t>2487</w:t>
            </w:r>
          </w:p>
        </w:tc>
        <w:tc>
          <w:tcPr>
            <w:tcW w:type="dxa" w:w="1728"/>
          </w:tcPr>
          <w:p>
            <w:r>
              <w:t>9477669 FCFA</w:t>
            </w:r>
          </w:p>
        </w:tc>
        <w:tc>
          <w:tcPr>
            <w:tcW w:type="dxa" w:w="1728"/>
          </w:tcPr>
          <w:p>
            <w:r>
              <w:t>23.08%</w:t>
            </w:r>
          </w:p>
        </w:tc>
        <w:tc>
          <w:tcPr>
            <w:tcW w:type="dxa" w:w="1728"/>
          </w:tcPr>
          <w:p>
            <w:r>
              <w:t>ACHAT</w:t>
            </w:r>
          </w:p>
        </w:tc>
      </w:tr>
      <w:tr>
        <w:tc>
          <w:tcPr>
            <w:tcW w:type="dxa" w:w="1728"/>
          </w:tcPr>
          <w:p>
            <w:r>
              <w:t>SDCC (SDCC - Société de Distribution d'Eau de Côte d'Ivoire)</w:t>
            </w:r>
          </w:p>
        </w:tc>
        <w:tc>
          <w:tcPr>
            <w:tcW w:type="dxa" w:w="1728"/>
          </w:tcPr>
          <w:p>
            <w:r>
              <w:t>2364</w:t>
            </w:r>
          </w:p>
        </w:tc>
        <w:tc>
          <w:tcPr>
            <w:tcW w:type="dxa" w:w="1728"/>
          </w:tcPr>
          <w:p>
            <w:r>
              <w:t>30743640 FCFA</w:t>
            </w:r>
          </w:p>
        </w:tc>
        <w:tc>
          <w:tcPr>
            <w:tcW w:type="dxa" w:w="1728"/>
          </w:tcPr>
          <w:p>
            <w:r>
              <w:t>81.18%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2. TTLS - TTLS - TOTAL ENERGIES MARKETING SENEGAL</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3.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5.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SHEC - SHEC - VIVO ENERGY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pPr>
        <w:pStyle w:val="Heading3"/>
      </w:pPr>
      <w:r>
        <w:t>10. CABC - CABC - SICABLE COTE D'IVOIRE</w:t>
      </w:r>
    </w:p>
    <w:p>
      <w:r>
        <w:rPr>
          <w:b/>
        </w:rPr>
        <w:t xml:space="preserve">Score de divergence: </w:t>
      </w:r>
      <w:r>
        <w:t>2/8</w:t>
        <w:br/>
      </w:r>
      <w:r>
        <w:rPr>
          <w:b/>
        </w:rPr>
        <w:t xml:space="preserve">Description: </w:t>
      </w:r>
      <w:r>
        <w:t>Signaux d'achat: MACD, RSI, Stochastique | Signaux de vente: MM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**BCE** : hausse des taux directeurs (14/09/2026) pour lutter contre l'inflation ; Lagarde insiste sur la stabilité des prix.</w:t>
      </w:r>
    </w:p>
    <w:p>
      <w:pPr>
        <w:pStyle w:val="ListBullet"/>
        <w:spacing w:before="20" w:after="20"/>
        <w:ind w:left="360"/>
      </w:pPr>
      <w:r>
        <w:rPr>
          <w:sz w:val="18"/>
        </w:rPr>
        <w:t>**Matières premières** : évolution estivale sans tendance claire identifiée (Les Echos, 09/09).</w:t>
      </w:r>
    </w:p>
    <w:p>
      <w:pPr>
        <w:pStyle w:val="ListBullet"/>
        <w:spacing w:before="20" w:after="20"/>
        <w:ind w:left="360"/>
      </w:pPr>
      <w:r>
        <w:rPr>
          <w:sz w:val="18"/>
        </w:rPr>
        <w:t>**Zone euro** : resserrement monétaire susceptible de peser sur la demande mondiale et les exportations africaines.</w:t>
      </w:r>
    </w:p>
    <w:p>
      <w:pPr>
        <w:pStyle w:val="Heading3"/>
      </w:pPr>
      <w:r>
        <w:rPr>
          <w:color w:val="500050"/>
        </w:rPr>
        <w:t>⚡ Impact estimé sur la BRVM</w:t>
      </w:r>
    </w:p>
    <w:p>
      <w:pPr>
        <w:spacing w:before="20" w:after="40"/>
        <w:ind w:left="280"/>
      </w:pPr>
      <w:r>
        <w:rPr>
          <w:i/>
          <w:sz w:val="18"/>
        </w:rPr>
        <w:t>Le resserrement BCE renchérit le coût du financement externe pour les émetteurs UEMOA (eurobonds, lignes bancaires). Secteurs exposés : **SERVICES FINANCIERS** (BOAC, SGBC, BICB, ETIT) via refinancement, et **INDUSTRIELS** (CABC, SIVC, SDSC) via importations de biens d'équipement.</w:t>
      </w:r>
    </w:p>
    <w:p>
      <w:pPr>
        <w:pStyle w:val="Heading2"/>
      </w:pPr>
      <w:r>
        <w:rPr>
          <w:color w:val="006E32"/>
        </w:rPr>
        <w:t>🌍 Plan Africain</w:t>
      </w:r>
    </w:p>
    <w:p>
      <w:pPr>
        <w:pStyle w:val="ListBullet"/>
        <w:spacing w:before="20" w:after="20"/>
        <w:ind w:left="360"/>
      </w:pPr>
      <w:r>
        <w:rPr>
          <w:sz w:val="18"/>
        </w:rPr>
        <w:t>**Sénégal/FMI** : accord sur un programme d'aide d'environ 1,9 Md€ (02/09) — soutien budgétaire majeur.</w:t>
      </w:r>
    </w:p>
    <w:p>
      <w:pPr>
        <w:pStyle w:val="ListBullet"/>
        <w:spacing w:before="20" w:after="20"/>
        <w:ind w:left="360"/>
      </w:pPr>
      <w:r>
        <w:rPr>
          <w:sz w:val="18"/>
        </w:rPr>
        <w:t>**Afrique du Sud** : Goldman Sachs anticipe un retour en "Investment grade" dès 2028 (02/09).</w:t>
      </w:r>
    </w:p>
    <w:p>
      <w:pPr>
        <w:pStyle w:val="ListBullet"/>
        <w:spacing w:before="20" w:after="20"/>
        <w:ind w:left="360"/>
      </w:pPr>
      <w:r>
        <w:rPr>
          <w:color w:val="C00000"/>
          <w:sz w:val="18"/>
        </w:rPr>
        <w:t>**Dynamique régionale** : amélioration progressive de la perception risque souverain africain.</w:t>
      </w:r>
    </w:p>
    <w:p>
      <w:pPr>
        <w:pStyle w:val="Heading3"/>
      </w:pPr>
      <w:r>
        <w:rPr>
          <w:color w:val="500050"/>
        </w:rPr>
        <w:t>⚡ Impact estimé sur la BRVM</w:t>
      </w:r>
    </w:p>
    <w:p>
      <w:pPr>
        <w:spacing w:before="20" w:after="40"/>
        <w:ind w:left="280"/>
      </w:pPr>
      <w:r>
        <w:rPr>
          <w:i/>
          <w:sz w:val="18"/>
        </w:rPr>
        <w:t>Signal positif pour les **SERVICES FINANCIERS** régionaux (BOAC, SGBC, NSBC) présents au Sénégal, avec un risque souverain perçu en baisse. Cela pourrait soutenir les valorisations bancaires cotées.</w:t>
      </w:r>
    </w:p>
    <w:p>
      <w:pPr>
        <w:pStyle w:val="Heading2"/>
      </w:pPr>
      <w:r>
        <w:rPr>
          <w:color w:val="145A28"/>
        </w:rPr>
        <w:t>🌍 Plan Afrique de l'Ouest</w:t>
      </w:r>
    </w:p>
    <w:p>
      <w:pPr>
        <w:pStyle w:val="ListBullet"/>
        <w:spacing w:before="20" w:after="20"/>
        <w:ind w:left="360"/>
      </w:pPr>
      <w:r>
        <w:rPr>
          <w:sz w:val="18"/>
        </w:rPr>
        <w:t>**Agroécologie** : promotion d'une agriculture durable en Afrique de l'Ouest (13/09).</w:t>
      </w:r>
    </w:p>
    <w:p>
      <w:pPr>
        <w:pStyle w:val="ListBullet"/>
        <w:spacing w:before="20" w:after="20"/>
        <w:ind w:left="360"/>
      </w:pPr>
      <w:r>
        <w:rPr>
          <w:sz w:val="18"/>
        </w:rPr>
        <w:t>**Entreprises algériennes** : dynamisme affiché (11/09) — hors zone CEDEAO mais signal d'intégration régionale.</w:t>
      </w:r>
    </w:p>
    <w:p>
      <w:pPr>
        <w:pStyle w:val="ListBullet"/>
        <w:spacing w:before="20" w:after="20"/>
        <w:ind w:left="360"/>
      </w:pPr>
      <w:r>
        <w:rPr>
          <w:sz w:val="18"/>
        </w:rPr>
        <w:t>**OOAS** : nouvelle gouvernance santé régionale (11/09).</w:t>
      </w:r>
    </w:p>
    <w:p>
      <w:pPr>
        <w:pStyle w:val="Heading3"/>
      </w:pPr>
      <w:r>
        <w:rPr>
          <w:color w:val="500050"/>
        </w:rPr>
        <w:t>⚡ Impact estimé sur la BRVM</w:t>
      </w:r>
    </w:p>
    <w:p>
      <w:pPr>
        <w:spacing w:before="20" w:after="40"/>
        <w:ind w:left="280"/>
      </w:pPr>
      <w:r>
        <w:rPr>
          <w:i/>
          <w:sz w:val="18"/>
        </w:rPr>
        <w:t>L'accent agroécologique bénéficie indirectement aux **INDUSTRIELS** agro-transformateurs (SIVC, SDSC) et à la **CONSOMMATION DE BASE**. Impact limité à court terme.</w:t>
      </w:r>
    </w:p>
    <w:p>
      <w:pPr>
        <w:pStyle w:val="Heading2"/>
      </w:pPr>
      <w:r>
        <w:rPr>
          <w:color w:val="8C4600"/>
        </w:rPr>
        <w:t>🏦 Plan UEMOA / Zone Franc</w:t>
      </w:r>
    </w:p>
    <w:p>
      <w:pPr>
        <w:pStyle w:val="ListBullet"/>
        <w:spacing w:before="20" w:after="20"/>
        <w:ind w:left="360"/>
      </w:pPr>
      <w:r>
        <w:rPr>
          <w:sz w:val="18"/>
        </w:rPr>
        <w:t>**BCEAO** : maintien du taux directeur à 3 % (09/09) — politique accommodante confirmée.</w:t>
      </w:r>
    </w:p>
    <w:p>
      <w:pPr>
        <w:pStyle w:val="ListBullet"/>
        <w:spacing w:before="20" w:after="20"/>
        <w:ind w:left="360"/>
      </w:pPr>
      <w:r>
        <w:rPr>
          <w:sz w:val="18"/>
        </w:rPr>
        <w:t>**Sénégal** : débat sur la dette vs. gouvernance des élites (SenePlus, 14/09) — sentiment négatif.</w:t>
      </w:r>
    </w:p>
    <w:p>
      <w:pPr>
        <w:pStyle w:val="ListBullet"/>
        <w:spacing w:before="20" w:after="20"/>
        <w:ind w:left="360"/>
      </w:pPr>
      <w:r>
        <w:rPr>
          <w:sz w:val="18"/>
        </w:rPr>
        <w:t>**Stabilité monétaire FCFA** : ancrage euro maintenu, inflation sous contrôle.</w:t>
      </w:r>
    </w:p>
    <w:p>
      <w:pPr>
        <w:pStyle w:val="Heading3"/>
      </w:pPr>
      <w:r>
        <w:rPr>
          <w:color w:val="500050"/>
        </w:rPr>
        <w:t>⚡ Impact estimé sur la BRVM</w:t>
      </w:r>
    </w:p>
    <w:p>
      <w:pPr>
        <w:spacing w:before="20" w:after="40"/>
        <w:ind w:left="280"/>
      </w:pPr>
      <w:r>
        <w:rPr>
          <w:i/>
          <w:sz w:val="18"/>
        </w:rPr>
        <w:t>Maintien du taux BCEAO à 3 % = liquidité bancaire abondante, favorable aux **SERVICES FINANCIERS** (BOAC, SGBC, BICB, SIBC, BOAM, NSBC, ETIT) et au crédit à la consommation (**CONSOMMATION DISCRETIONNAIRE** — ABJC). Le débat sénégalais sur la dette introduit un risque de sentiment sur les émetteurs sénégalais (**SONATEL/ONTBF**, **SGBS/SGBC**).</w:t>
      </w:r>
    </w:p>
    <w:p>
      <w:pPr>
        <w:pStyle w:val="Heading2"/>
      </w:pPr>
      <w:r>
        <w:rPr>
          <w:color w:val="003366"/>
        </w:rPr>
        <w:t>📈 Plan BRVM</w:t>
      </w:r>
    </w:p>
    <w:p>
      <w:pPr>
        <w:pStyle w:val="ListBullet"/>
        <w:spacing w:before="20" w:after="20"/>
        <w:ind w:left="360"/>
      </w:pPr>
      <w:r>
        <w:rPr>
          <w:sz w:val="18"/>
        </w:rPr>
        <w:t>**Résultats ivoiriens encourageants** (La Tribune, 09/06) — dynamique bénéficiaire positive.</w:t>
      </w:r>
    </w:p>
    <w:p>
      <w:pPr>
        <w:pStyle w:val="ListBullet"/>
        <w:spacing w:before="20" w:after="20"/>
        <w:ind w:left="360"/>
      </w:pPr>
      <w:r>
        <w:rPr>
          <w:sz w:val="18"/>
        </w:rPr>
        <w:t>Indice BRVM Composite : 555,9 points.</w:t>
      </w:r>
    </w:p>
    <w:p>
      <w:pPr>
        <w:pStyle w:val="ListBullet"/>
        <w:spacing w:before="20" w:after="20"/>
        <w:ind w:left="360"/>
      </w:pPr>
      <w:r>
        <w:rPr>
          <w:sz w:val="18"/>
        </w:rPr>
        <w:t>Pas d'IPO signalée sur la période.</w:t>
      </w:r>
    </w:p>
    <w:p>
      <w:pPr>
        <w:pStyle w:val="Heading3"/>
      </w:pPr>
      <w:r>
        <w:rPr>
          <w:color w:val="500050"/>
        </w:rPr>
        <w:t>⚡ Impact estimé sur la BRVM</w:t>
      </w:r>
    </w:p>
    <w:p>
      <w:pPr>
        <w:spacing w:before="20" w:after="40"/>
        <w:ind w:left="280"/>
      </w:pPr>
      <w:r>
        <w:rPr>
          <w:i/>
          <w:sz w:val="18"/>
        </w:rPr>
        <w:t>Recommandations : **ACHAT** sur SGBC, BICB, BOAC (taux BCEAO bas + résultats solides) ; **CONSERVER** SIVC, SDSC (visibilité industrielle) ; **SURVEILLER** ONTBF (risque pays Sénégal) ; **PRUDENCE** sur ETIT (exposition multi-pays).</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décision politique monétaire à tonalité restrictive (14/09).</w:t>
      </w:r>
    </w:p>
    <w:p>
      <w:pPr>
        <w:pStyle w:val="ListBullet"/>
        <w:spacing w:before="20" w:after="20"/>
        <w:ind w:left="360"/>
      </w:pPr>
      <w:r>
        <w:rPr>
          <w:sz w:val="18"/>
        </w:rPr>
        <w:t>**Hommage Sénégal** : reconnaissance officielle de Wade et Diouf (14/09) — stabilité institutionnelle.</w:t>
      </w:r>
    </w:p>
    <w:p>
      <w:pPr>
        <w:pStyle w:val="Heading3"/>
      </w:pPr>
      <w:r>
        <w:rPr>
          <w:color w:val="500050"/>
        </w:rPr>
        <w:t>⚡ Impact estimé sur la BRVM</w:t>
      </w:r>
    </w:p>
    <w:p>
      <w:pPr>
        <w:spacing w:before="20" w:after="40"/>
        <w:ind w:left="280"/>
      </w:pPr>
      <w:r>
        <w:rPr>
          <w:i/>
          <w:sz w:val="18"/>
        </w:rPr>
        <w:t>Environnement global incertain mais sans choc majeur. Les investisseurs BRVM restent attentifs au différentiel de taux BCE/BCEAO, qui soutient le FCFA.</w:t>
      </w:r>
    </w:p>
    <w:p>
      <w:pPr>
        <w:pStyle w:val="Heading2"/>
      </w:pPr>
      <w:r>
        <w:rPr>
          <w:color w:val="006E32"/>
        </w:rPr>
        <w:t>🌍 Plan Africain</w:t>
      </w:r>
    </w:p>
    <w:p>
      <w:pPr>
        <w:pStyle w:val="ListBullet"/>
        <w:spacing w:before="20" w:after="20"/>
        <w:ind w:left="360"/>
      </w:pPr>
      <w:r>
        <w:rPr>
          <w:color w:val="C00000"/>
          <w:sz w:val="18"/>
        </w:rPr>
        <w:t>**Mali** : condamnation d'un journaliste (14/09) — pression sur les libertés, signal de fragilité institutionnelle.</w:t>
      </w:r>
    </w:p>
    <w:p>
      <w:pPr>
        <w:pStyle w:val="ListBullet"/>
        <w:spacing w:before="20" w:after="20"/>
        <w:ind w:left="360"/>
      </w:pPr>
      <w:r>
        <w:rPr>
          <w:sz w:val="18"/>
        </w:rPr>
        <w:t>**Kamissa Camara** (15/09) : analyse des coups d'État au Sahel — instabilité persistante.</w:t>
      </w:r>
    </w:p>
    <w:p>
      <w:pPr>
        <w:pStyle w:val="Heading3"/>
      </w:pPr>
      <w:r>
        <w:rPr>
          <w:color w:val="500050"/>
        </w:rPr>
        <w:t>⚡ Impact estimé sur la BRVM</w:t>
      </w:r>
    </w:p>
    <w:p>
      <w:pPr>
        <w:spacing w:before="20" w:after="40"/>
        <w:ind w:left="280"/>
      </w:pPr>
      <w:r>
        <w:rPr>
          <w:i/>
          <w:sz w:val="18"/>
        </w:rPr>
        <w:t>Risque de contagion régionale limité mais réel sur les sociétés exposées au Sahel (banques via filiales). Flux de capitaux vers la BRVM plutôt préservés grâce à la stabilité ivoirienne.</w:t>
      </w:r>
    </w:p>
    <w:p>
      <w:pPr>
        <w:pStyle w:val="Heading2"/>
      </w:pPr>
      <w:r>
        <w:rPr>
          <w:color w:val="145A28"/>
        </w:rPr>
        <w:t>🌍 Plan Afrique de l'Ouest</w:t>
      </w:r>
    </w:p>
    <w:p>
      <w:pPr>
        <w:pStyle w:val="ListBullet"/>
        <w:spacing w:before="20" w:after="20"/>
        <w:ind w:left="360"/>
      </w:pPr>
      <w:r>
        <w:rPr>
          <w:sz w:val="18"/>
        </w:rPr>
        <w:t>**AES vs CEDEAO** : tensions persistantes (implicite via coups d'État au Mali).</w:t>
      </w:r>
    </w:p>
    <w:p>
      <w:pPr>
        <w:pStyle w:val="ListBullet"/>
        <w:spacing w:before="20" w:after="20"/>
        <w:ind w:left="360"/>
      </w:pPr>
      <w:r>
        <w:rPr>
          <w:color w:val="C00000"/>
          <w:sz w:val="18"/>
        </w:rPr>
        <w:t>**Sénégal** : débat politique sur les élites (14/09) — pression sur la gouvernance.</w:t>
      </w:r>
    </w:p>
    <w:p>
      <w:pPr>
        <w:pStyle w:val="Heading3"/>
      </w:pPr>
      <w:r>
        <w:rPr>
          <w:color w:val="500050"/>
        </w:rPr>
        <w:t>⚡ Impact estimé sur la BRVM</w:t>
      </w:r>
    </w:p>
    <w:p>
      <w:pPr>
        <w:spacing w:before="20" w:after="40"/>
        <w:ind w:left="280"/>
      </w:pPr>
      <w:r>
        <w:rPr>
          <w:i/>
          <w:sz w:val="18"/>
        </w:rPr>
        <w:t>Risque spécifique pour les sociétés opérant au Mali/Burkina (**ETIT**, **BOAB** si applicable, **ONTBF** via Sonatel). Prime de risque régionale à surveiller.</w:t>
      </w:r>
    </w:p>
    <w:p>
      <w:pPr>
        <w:pStyle w:val="Heading2"/>
      </w:pPr>
      <w:r>
        <w:rPr>
          <w:color w:val="8C4600"/>
        </w:rPr>
        <w:t>🏦 Plan UEMOA / Zone Franc</w:t>
      </w:r>
    </w:p>
    <w:p>
      <w:pPr>
        <w:pStyle w:val="ListBullet"/>
        <w:spacing w:before="20" w:after="20"/>
        <w:ind w:left="360"/>
      </w:pPr>
      <w:r>
        <w:rPr>
          <w:sz w:val="18"/>
        </w:rPr>
        <w:t>**Sénégal** : questionnement sur la dette et la gouvernance (SenePlus, 14/09).</w:t>
      </w:r>
    </w:p>
    <w:p>
      <w:pPr>
        <w:pStyle w:val="ListBullet"/>
        <w:spacing w:before="20" w:after="20"/>
        <w:ind w:left="360"/>
      </w:pPr>
      <w:r>
        <w:rPr>
          <w:sz w:val="18"/>
        </w:rPr>
        <w:t>**Hommage national** : stabilité symbolique (14/09).</w:t>
      </w:r>
    </w:p>
    <w:p>
      <w:pPr>
        <w:pStyle w:val="Heading3"/>
      </w:pPr>
      <w:r>
        <w:rPr>
          <w:color w:val="500050"/>
        </w:rPr>
        <w:t>⚡ Impact estimé sur la BRVM</w:t>
      </w:r>
    </w:p>
    <w:p>
      <w:pPr>
        <w:spacing w:before="20" w:after="40"/>
        <w:ind w:left="280"/>
      </w:pPr>
      <w:r>
        <w:rPr>
          <w:i/>
          <w:sz w:val="18"/>
        </w:rPr>
        <w:t>Risque réglementaire et politique modéré. Les réformes UEMOA non mentionnées — pas d'impact direct identifié.</w:t>
      </w:r>
    </w:p>
    <w:p>
      <w:pPr>
        <w:pStyle w:val="Heading2"/>
      </w:pPr>
      <w:r>
        <w:rPr>
          <w:color w:val="003366"/>
        </w:rPr>
        <w:t>📈 Plan BRVM</w:t>
      </w:r>
    </w:p>
    <w:p>
      <w:pPr>
        <w:pStyle w:val="ListBullet"/>
        <w:spacing w:before="20" w:after="20"/>
        <w:ind w:left="360"/>
      </w:pPr>
      <w:r>
        <w:rPr>
          <w:sz w:val="18"/>
        </w:rPr>
        <w:t>Pas d'actualité réglementaire CREPMF signalée.</w:t>
      </w:r>
    </w:p>
    <w:p>
      <w:pPr>
        <w:pStyle w:val="ListBullet"/>
        <w:spacing w:before="20" w:after="20"/>
        <w:ind w:left="360"/>
      </w:pPr>
      <w:r>
        <w:rPr>
          <w:sz w:val="18"/>
        </w:rPr>
        <w:t>Pas de nouvelle cotation annoncée.</w:t>
      </w:r>
    </w:p>
    <w:p>
      <w:pPr>
        <w:pStyle w:val="Heading3"/>
      </w:pPr>
      <w:r>
        <w:rPr>
          <w:color w:val="500050"/>
        </w:rPr>
        <w:t>⚡ Impact estimé sur la BRVM</w:t>
      </w:r>
    </w:p>
    <w:p>
      <w:pPr>
        <w:spacing w:before="20" w:after="40"/>
        <w:ind w:left="280"/>
      </w:pPr>
      <w:r>
        <w:rPr>
          <w:i/>
          <w:sz w:val="18"/>
        </w:rPr>
        <w:t>Données insuffisantes pour évaluer un changement réglementaire. Marché en régime normal.</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**BCE** : hausse des taux (14/09) — impact sur les taux longs européens.</w:t>
      </w:r>
    </w:p>
    <w:p>
      <w:pPr>
        <w:pStyle w:val="ListBullet"/>
        <w:spacing w:before="20" w:after="20"/>
        <w:ind w:left="360"/>
      </w:pPr>
      <w:r>
        <w:rPr>
          <w:sz w:val="18"/>
        </w:rPr>
        <w:t>**BCEAO** : statu quo à 3 % (09/09) — divergence monétaire avec la BCE.</w:t>
      </w:r>
    </w:p>
    <w:p>
      <w:pPr>
        <w:pStyle w:val="ListBullet"/>
        <w:spacing w:before="20" w:after="20"/>
        <w:ind w:left="360"/>
      </w:pPr>
      <w:r>
        <w:rPr>
          <w:sz w:val="18"/>
        </w:rPr>
        <w:t>**Matières premières** : évolution estivale sans direction claire (09/09).</w:t>
      </w:r>
    </w:p>
    <w:p>
      <w:pPr>
        <w:pStyle w:val="Heading3"/>
      </w:pPr>
      <w:r>
        <w:rPr>
          <w:color w:val="500050"/>
        </w:rPr>
        <w:t>⚡ Impact estimé sur la BRVM</w:t>
      </w:r>
    </w:p>
    <w:p>
      <w:pPr>
        <w:spacing w:before="20" w:after="40"/>
        <w:ind w:left="280"/>
      </w:pPr>
      <w:r>
        <w:rPr>
          <w:i/>
          <w:sz w:val="18"/>
        </w:rPr>
        <w:t>Divergence BCE/BCEAO = soutien au FCFA mais renchérissement du coût de la dette externe. Les investisseurs internationaux pourraient privilégier les titres UEMOA (rendement réel attractif) — favorable aux **SERVICES FINANCIERS** et **SERVICES PUBLICS** (SDCC).</w:t>
      </w:r>
    </w:p>
    <w:p>
      <w:pPr>
        <w:pStyle w:val="Heading2"/>
      </w:pPr>
      <w:r>
        <w:rPr>
          <w:color w:val="006E32"/>
        </w:rPr>
        <w:t>🌍 Plan Africain</w:t>
      </w:r>
    </w:p>
    <w:p>
      <w:pPr>
        <w:pStyle w:val="ListBullet"/>
        <w:spacing w:before="20" w:after="20"/>
        <w:ind w:left="360"/>
      </w:pPr>
      <w:r>
        <w:rPr>
          <w:sz w:val="18"/>
        </w:rPr>
        <w:t>**Afrique du Sud** : perspective Investment grade 2028 (Goldman Sachs, 02/09).</w:t>
      </w:r>
    </w:p>
    <w:p>
      <w:pPr>
        <w:pStyle w:val="ListBullet"/>
        <w:spacing w:before="20" w:after="20"/>
        <w:ind w:left="360"/>
      </w:pPr>
      <w:r>
        <w:rPr>
          <w:sz w:val="18"/>
        </w:rPr>
        <w:t>**Sénégal** : programme FMI 1,9 Md€ (02/09) — amélioration profil crédit.</w:t>
      </w:r>
    </w:p>
    <w:p>
      <w:pPr>
        <w:pStyle w:val="Heading3"/>
      </w:pPr>
      <w:r>
        <w:rPr>
          <w:color w:val="500050"/>
        </w:rPr>
        <w:t>⚡ Impact estimé sur la BRVM</w:t>
      </w:r>
    </w:p>
    <w:p>
      <w:pPr>
        <w:spacing w:before="20" w:after="40"/>
        <w:ind w:left="280"/>
      </w:pPr>
      <w:r>
        <w:rPr>
          <w:i/>
          <w:sz w:val="18"/>
        </w:rPr>
        <w:t>Concurrence accrue des marchés sud-africain et sénégalais pour les capitaux. La BRVM doit capitaliser sur ses rendements (dividendes élevés) pour retenir les flux régionaux.</w:t>
      </w:r>
    </w:p>
    <w:p>
      <w:pPr>
        <w:pStyle w:val="Heading2"/>
      </w:pPr>
      <w:r>
        <w:rPr>
          <w:color w:val="145A28"/>
        </w:rPr>
        <w:t>🌍 Plan Afrique de l'Ouest</w:t>
      </w:r>
    </w:p>
    <w:p>
      <w:pPr>
        <w:pStyle w:val="ListBullet"/>
        <w:spacing w:before="20" w:after="20"/>
        <w:ind w:left="360"/>
      </w:pPr>
      <w:r>
        <w:rPr>
          <w:sz w:val="18"/>
        </w:rPr>
        <w:t>Pas d'actualité boursière sous-régionale concurrente signalée.</w:t>
      </w:r>
    </w:p>
    <w:p>
      <w:pPr>
        <w:pStyle w:val="ListBullet"/>
        <w:spacing w:before="20" w:after="20"/>
        <w:ind w:left="360"/>
      </w:pPr>
      <w:r>
        <w:rPr>
          <w:sz w:val="18"/>
        </w:rPr>
        <w:t>Dynamique entreprises algériennes (11/09) — hors zone.</w:t>
      </w:r>
    </w:p>
    <w:p>
      <w:pPr>
        <w:pStyle w:val="Heading3"/>
      </w:pPr>
      <w:r>
        <w:rPr>
          <w:color w:val="500050"/>
        </w:rPr>
        <w:t>⚡ Impact estimé sur la BRVM</w:t>
      </w:r>
    </w:p>
    <w:p>
      <w:pPr>
        <w:spacing w:before="20" w:after="40"/>
        <w:ind w:left="280"/>
      </w:pPr>
      <w:r>
        <w:rPr>
          <w:i/>
          <w:sz w:val="18"/>
        </w:rPr>
        <w:t>Données insuffisantes. Positionnement BRVM comme place dominante UEMOA préservé.</w:t>
      </w:r>
    </w:p>
    <w:p>
      <w:pPr>
        <w:pStyle w:val="Heading2"/>
      </w:pPr>
      <w:r>
        <w:rPr>
          <w:color w:val="8C4600"/>
        </w:rPr>
        <w:t>🏦 Plan UEMOA / Zone Franc</w:t>
      </w:r>
    </w:p>
    <w:p>
      <w:pPr>
        <w:pStyle w:val="ListBullet"/>
        <w:spacing w:before="20" w:after="20"/>
        <w:ind w:left="360"/>
      </w:pPr>
      <w:r>
        <w:rPr>
          <w:sz w:val="18"/>
        </w:rPr>
        <w:t>**BCEAO** : taux directeur maintenu à 3 % (09/09) — liquidité abondante.</w:t>
      </w:r>
    </w:p>
    <w:p>
      <w:pPr>
        <w:pStyle w:val="ListBullet"/>
        <w:spacing w:before="20" w:after="20"/>
        <w:ind w:left="360"/>
      </w:pPr>
      <w:r>
        <w:rPr>
          <w:sz w:val="18"/>
        </w:rPr>
        <w:t>**Titres publics** : pas de données spécifiques sur les émissions.</w:t>
      </w:r>
    </w:p>
    <w:p>
      <w:pPr>
        <w:pStyle w:val="Heading3"/>
      </w:pPr>
      <w:r>
        <w:rPr>
          <w:color w:val="500050"/>
        </w:rPr>
        <w:t>⚡ Impact estimé sur la BRVM</w:t>
      </w:r>
    </w:p>
    <w:p>
      <w:pPr>
        <w:spacing w:before="20" w:after="40"/>
        <w:ind w:left="280"/>
      </w:pPr>
      <w:r>
        <w:rPr>
          <w:i/>
          <w:sz w:val="18"/>
        </w:rPr>
        <w:t>Arbitrage titres publics vs. actions : avec un taux BCEAO à 3 %, les rendements obligataires UEMOA restent modérés, ce qui **favorise les actions BRVM** à dividend yield élevé (SGBC, BICB, BOAC, ONTBF).</w:t>
      </w:r>
    </w:p>
    <w:p>
      <w:pPr>
        <w:pStyle w:val="Heading2"/>
      </w:pPr>
      <w:r>
        <w:rPr>
          <w:color w:val="003366"/>
        </w:rPr>
        <w:t>📈 Plan BRVM</w:t>
      </w:r>
    </w:p>
    <w:p>
      <w:pPr>
        <w:pStyle w:val="ListBullet"/>
        <w:spacing w:before="20" w:after="20"/>
        <w:ind w:left="360"/>
      </w:pPr>
      <w:r>
        <w:rPr>
          <w:sz w:val="18"/>
        </w:rPr>
        <w:t>**Résultats ivoiriens encourageants** (09/06).</w:t>
      </w:r>
    </w:p>
    <w:p>
      <w:pPr>
        <w:pStyle w:val="ListBullet"/>
        <w:spacing w:before="20" w:after="20"/>
        <w:ind w:left="360"/>
      </w:pPr>
      <w:r>
        <w:rPr>
          <w:sz w:val="18"/>
        </w:rPr>
        <w:t>Indice Composite : 555,9 points.</w:t>
      </w:r>
    </w:p>
    <w:p>
      <w:pPr>
        <w:pStyle w:val="ListBullet"/>
        <w:spacing w:before="20" w:after="20"/>
        <w:ind w:left="360"/>
      </w:pPr>
      <w:r>
        <w:rPr>
          <w:sz w:val="18"/>
        </w:rPr>
        <w:t>Pas de top/flop ni volumes communiqués.</w:t>
      </w:r>
    </w:p>
    <w:p>
      <w:pPr>
        <w:pStyle w:val="Heading3"/>
      </w:pPr>
      <w:r>
        <w:rPr>
          <w:color w:val="500050"/>
        </w:rPr>
        <w:t>⚡ Impact estimé sur la BRVM</w:t>
      </w:r>
    </w:p>
    <w:p>
      <w:pPr>
        <w:pStyle w:val="ListBullet"/>
        <w:spacing w:before="20" w:after="20"/>
        <w:ind w:left="560"/>
      </w:pPr>
      <w:r>
        <w:rPr>
          <w:color w:val="500050"/>
          <w:sz w:val="18"/>
        </w:rPr>
        <w:t>**ACHAT** : SGBC, BICB, BOAC (rendement + taux bas).</w:t>
      </w:r>
    </w:p>
    <w:p>
      <w:pPr>
        <w:pStyle w:val="ListBullet"/>
        <w:spacing w:before="20" w:after="20"/>
        <w:ind w:left="560"/>
      </w:pPr>
      <w:r>
        <w:rPr>
          <w:color w:val="500050"/>
          <w:sz w:val="18"/>
        </w:rPr>
        <w:t>**CONSERVER** : SIVC, SDSC, CABC (industriels résilients).</w:t>
      </w:r>
    </w:p>
    <w:p>
      <w:pPr>
        <w:pStyle w:val="ListBullet"/>
        <w:spacing w:before="20" w:after="20"/>
        <w:ind w:left="560"/>
      </w:pPr>
      <w:r>
        <w:rPr>
          <w:color w:val="C00000"/>
          <w:sz w:val="18"/>
        </w:rPr>
        <w:t>**PRUDENCE** : ONTBF (risque Sénégal), ETIT (exposition Sahel).</w:t>
      </w:r>
    </w:p>
    <w:p>
      <w:pPr>
        <w:pStyle w:val="ListBullet"/>
        <w:spacing w:before="20" w:after="20"/>
        <w:ind w:left="560"/>
      </w:pPr>
      <w:r>
        <w:rPr>
          <w:color w:val="500050"/>
          <w:sz w:val="18"/>
        </w:rPr>
        <w:t>**SURVEILLER** : ABJC (consommation discrétionnaire sensible au pouvoir d'achat).</w:t>
      </w:r>
    </w:p>
    <w:p>
      <w:pPr>
        <w:pStyle w:val="Heading1"/>
      </w:pPr>
      <w:r>
        <w:rPr>
          <w:color w:val="003366"/>
        </w:rPr>
        <w:t>🎯 SYNTHÈSE &amp; RECOMMANDATION FINALE</w:t>
      </w:r>
    </w:p>
    <w:p>
      <w:pPr>
        <w:spacing w:before="120"/>
      </w:pPr>
      <w:r>
        <w:rPr>
          <w:b/>
          <w:color w:val="008000"/>
          <w:sz w:val="22"/>
        </w:rPr>
        <w:t>**Niveau d'alerte global : VERT**</w:t>
      </w:r>
    </w:p>
    <w:p>
      <w:pPr>
        <w:spacing w:before="20" w:after="40"/>
        <w:ind w:left="0"/>
      </w:pPr>
      <w:r>
        <w:rPr>
          <w:sz w:val="18"/>
        </w:rPr>
        <w:t>L'environnement macro UEMOA reste favorable (taux BCEAO à 3 %, liquidité abondante, résultats ivoiriens positifs), malgré un resserrement BCE et des tensions politiques sahéliennes. La BRVM à 555,9 points offre des opportunités sur les **SERVICES FINANCIERS** (SGBC, BICB, BOAC) et les **INDUSTRIELS** (SIVC, SDSC). Recommandation : **renforcer les bancaires à haut dividende**, **surveiller ONTBF** (risque Sénégal) et **rester sélectif sur ETIT** (exposition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 xml:space="preserve">Monnaie unique : la CEDEAO maintient le cap sur le lancement de l’ECO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DOSSIER–CEDEAO REPORT - Centre international Julius Maada Bio, une inf</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Et si le vrai problème du Sénégal n'était pas la dette, mais ses élite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 xml:space="preserve">Mali : Le journaliste Abdrahamane Keïta condamné à deux ans de prison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VIDÉO. Sénégal: Edouard Mendy prend sa retraite internationale - tv5mo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La BCEAO maintient son principal taux directeur à 3 % - APAnews - Agen</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VIDÉO. Sénégal: Edouard Mendy prend sa retraite internationale - tv5mo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VIDÉO. Sénégal: Edouard Mendy prend sa retraite internationale - tv5mo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VIDÉO. Sénégal: Edouard Mendy prend sa retraite internationale - tv5mo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Et si le vrai problème du Sénégal n'était pas la dette, mais ses élite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 xml:space="preserve">Mali : Le journaliste Abdrahamane Keïta condamné à deux ans de prison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VIDÉO. Sénégal: Edouard Mendy prend sa retraite internationale - tv5mo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BCEAO maintient son principal taux directeur à 3 % - APAnews - Agen</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2026-09-14</w:t>
            </w:r>
          </w:p>
        </w:tc>
        <w:tc>
          <w:tcPr>
            <w:tcW w:type="dxa" w:w="1728"/>
          </w:tcPr>
          <w:p>
            <w:r>
              <w:rPr>
                <w:sz w:val="14"/>
              </w:rPr>
              <w:t>Emprunts patriotiques: les Diaspora bonds font leur entrée à la cote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2026-09-15</w:t>
            </w:r>
          </w:p>
        </w:tc>
        <w:tc>
          <w:tcPr>
            <w:tcW w:type="dxa" w:w="1728"/>
          </w:tcPr>
          <w:p>
            <w:r>
              <w:rPr>
                <w:sz w:val="14"/>
              </w:rPr>
              <w:t>Mali : Kamissa Camara, du cœur du pouvoir à l’analyse des coups d’État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La BCEAO maintient son principal taux directeur à 3 % - APAnews - Agen</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2026-09-14</w:t>
            </w:r>
          </w:p>
        </w:tc>
        <w:tc>
          <w:tcPr>
            <w:tcW w:type="dxa" w:w="1728"/>
          </w:tcPr>
          <w:p>
            <w:r>
              <w:rPr>
                <w:sz w:val="14"/>
              </w:rPr>
              <w:t>Emprunts patriotiques: les Diaspora bonds font leur entrée à la cote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BCEAO maintient son principal taux directeur à 3 % - APAnews - Agen</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2026-09-14</w:t>
            </w:r>
          </w:p>
        </w:tc>
        <w:tc>
          <w:tcPr>
            <w:tcW w:type="dxa" w:w="1728"/>
          </w:tcPr>
          <w:p>
            <w:r>
              <w:rPr>
                <w:sz w:val="14"/>
              </w:rPr>
              <w:t>Emprunts patriotiques: les Diaspora bonds font leur entrée à la cote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Et si le vrai problème du Sénégal n'était pas la dette, mais ses élite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 xml:space="preserve">Mali : Le journaliste Abdrahamane Keïta condamné à deux ans de prison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 xml:space="preserve">«Assurer la stabilité des prix» : Christine Lagarde explique pourquoi </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BCEAO maintient son principal taux directeur à 3 % - APAnews - Agen</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2026-09-14</w:t>
            </w:r>
          </w:p>
        </w:tc>
        <w:tc>
          <w:tcPr>
            <w:tcW w:type="dxa" w:w="1728"/>
          </w:tcPr>
          <w:p>
            <w:r>
              <w:rPr>
                <w:sz w:val="14"/>
              </w:rPr>
              <w:t>Emprunts patriotiques: les Diaspora bonds font leur entrée à la cote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[15/09/2026] ⚪  </w:t>
      </w:r>
      <w:r>
        <w:rPr>
          <w:b/>
          <w:color w:val="505050"/>
          <w:sz w:val="18"/>
        </w:rPr>
        <w:t>Mali : Kamissa Camara, du cœur du pouvoir à l’analyse des coups d’État - Jeune Afrique</w:t>
      </w:r>
      <w:r>
        <w:rPr>
          <w:color w:val="787878"/>
          <w:sz w:val="15"/>
        </w:rPr>
        <w:t xml:space="preserve">  [politique]</w:t>
      </w:r>
      <w:r>
        <w:rPr>
          <w:color w:val="B47800"/>
          <w:sz w:val="16"/>
        </w:rPr>
        <w:t xml:space="preserve">  ★ 50/10</w:t>
      </w:r>
    </w:p>
    <w:p>
      <w:pPr>
        <w:spacing w:before="0" w:after="20"/>
        <w:ind w:left="600"/>
      </w:pPr>
      <w:r>
        <w:rPr>
          <w:color w:val="323232"/>
          <w:sz w:val="17"/>
        </w:rPr>
        <w:t>Kamissa Camara, ancienne ministre malienne des Affaires étrangères et de la Défense, revient sur son parcours au cœur du pouvoir et analyse les coups d'État successifs au Mali. Elle partage son expérience et ses réflexions sur les dynamiques politiques et sécuritaires qui ont conduit aux renversements de régimes. Son témoignage met en lumière les f</w:t>
      </w:r>
    </w:p>
    <w:p>
      <w:pPr>
        <w:spacing w:before="0" w:after="40"/>
        <w:ind w:left="600"/>
      </w:pPr>
      <w:r>
        <w:rPr>
          <w:color w:val="00643C"/>
          <w:sz w:val="16"/>
        </w:rPr>
        <w:t>Points clés : Kamissa Camara a occupé des postes clés au sein du gouvernement malien  •  Elle analyse les coups d'État qui ont secoué le Mali  •  Son témoignage éclaire les fragilités politiques et sécuritaires au Sahel</w:t>
      </w:r>
    </w:p>
    <w:p>
      <w:pPr>
        <w:spacing w:before="0" w:after="60"/>
        <w:ind w:left="600"/>
      </w:pPr>
      <w:r>
        <w:rPr>
          <w:color w:val="0064B4"/>
          <w:sz w:val="15"/>
        </w:rPr>
        <w:t>Source : https://news.google.com/rss/articles/CBMitAFBVV95cUxNQlZVZURyVlNQZE9pc3lGaGYzeTg</w:t>
      </w:r>
    </w:p>
    <w:p>
      <w:pPr>
        <w:spacing w:before="40" w:after="40"/>
        <w:ind w:left="360"/>
      </w:pPr>
      <w:r>
        <w:rPr>
          <w:color w:val="646464"/>
          <w:sz w:val="17"/>
        </w:rPr>
        <w:t xml:space="preserve">[14/09/2026] 🟢  </w:t>
      </w:r>
      <w:r>
        <w:rPr>
          <w:b/>
          <w:color w:val="008000"/>
          <w:sz w:val="18"/>
        </w:rPr>
        <w:t>Pr Abdoulaye Wade, Abdou Diouf: L'Etat du Sénégal se souvient de l'âge honorable de ses ex-dirigeants - Afriquinfos</w:t>
      </w:r>
      <w:r>
        <w:rPr>
          <w:color w:val="787878"/>
          <w:sz w:val="15"/>
        </w:rPr>
        <w:t xml:space="preserve">  [politique]</w:t>
      </w:r>
      <w:r>
        <w:rPr>
          <w:color w:val="B47800"/>
          <w:sz w:val="16"/>
        </w:rPr>
        <w:t xml:space="preserve">  ★ 50/10</w:t>
      </w:r>
    </w:p>
    <w:p>
      <w:pPr>
        <w:spacing w:before="0" w:after="20"/>
        <w:ind w:left="600"/>
      </w:pPr>
      <w:r>
        <w:rPr>
          <w:color w:val="323232"/>
          <w:sz w:val="17"/>
        </w:rPr>
        <w:t>L'État du Sénégal a rendu hommage à ses anciens dirigeants, le Professeur Abdoulaye Wade et Abdou Diouf, en reconnaissant leur âge honorable. Cette initiative symbolique vise à saluer le parcours et le rôle historique de ces deux figures politiques. L'événement, rapporté par Afriquinfos, s'inscrit dans une démarche de mémoire et de respect institut</w:t>
      </w:r>
    </w:p>
    <w:p>
      <w:pPr>
        <w:spacing w:before="0" w:after="40"/>
        <w:ind w:left="600"/>
      </w:pPr>
      <w:r>
        <w:rPr>
          <w:color w:val="00643C"/>
          <w:sz w:val="16"/>
        </w:rPr>
        <w:t>Points clés : Hommage de l'État sénégalais à Abdoulaye Wade et Abdou Diouf  •  Reconnaissance de leur âge honorable et de leur parcours politique  •  Événement à caractère symbolique et mémoriel  •  Aucune annonce économique ou financière associée</w:t>
      </w:r>
    </w:p>
    <w:p>
      <w:pPr>
        <w:spacing w:before="0" w:after="60"/>
        <w:ind w:left="600"/>
      </w:pPr>
      <w:r>
        <w:rPr>
          <w:color w:val="0064B4"/>
          <w:sz w:val="15"/>
        </w:rPr>
        <w:t>Source : https://news.google.com/rss/articles/CBMivwFBVV95cUxPcV92c3NYbFRQT1dWQi1GUXY3Y1c</w:t>
      </w:r>
    </w:p>
    <w:p>
      <w:pPr>
        <w:spacing w:before="40" w:after="40"/>
        <w:ind w:left="360"/>
      </w:pPr>
      <w:r>
        <w:rPr>
          <w:color w:val="646464"/>
          <w:sz w:val="17"/>
        </w:rPr>
        <w:t xml:space="preserve">[14/09/2026] 🔴  </w:t>
      </w:r>
      <w:r>
        <w:rPr>
          <w:b/>
          <w:color w:val="C00000"/>
          <w:sz w:val="18"/>
        </w:rPr>
        <w:t>Mali : Le journaliste Abdrahamane Keïta condamné à deux ans de prison ferme pour des «propos sur Kidal - koaci.com</w:t>
      </w:r>
      <w:r>
        <w:rPr>
          <w:color w:val="787878"/>
          <w:sz w:val="15"/>
        </w:rPr>
        <w:t xml:space="preserve">  [politique]</w:t>
      </w:r>
      <w:r>
        <w:rPr>
          <w:color w:val="B47800"/>
          <w:sz w:val="16"/>
        </w:rPr>
        <w:t xml:space="preserve">  ★ 50/10</w:t>
      </w:r>
    </w:p>
    <w:p>
      <w:pPr>
        <w:spacing w:before="0" w:after="20"/>
        <w:ind w:left="600"/>
      </w:pPr>
      <w:r>
        <w:rPr>
          <w:color w:val="323232"/>
          <w:sz w:val="17"/>
        </w:rPr>
        <w:t>Le journaliste malien Abdrahamane Keïta a été condamné à deux ans de prison ferme pour des propos tenus sur la ville de Kidal. Cette condamnation soulève des préoccupations concernant la liberté de la presse au Mali. Elle intervient dans un contexte de tensions persistantes dans le nord du pays.</w:t>
      </w:r>
    </w:p>
    <w:p>
      <w:pPr>
        <w:spacing w:before="0" w:after="40"/>
        <w:ind w:left="600"/>
      </w:pPr>
      <w:r>
        <w:rPr>
          <w:color w:val="00643C"/>
          <w:sz w:val="16"/>
        </w:rPr>
        <w:t>Points clés : Condamnation à deux ans de prison ferme pour le journaliste Abdrahamane Keïta  •  Les propos portaient sur Kidal, une région sensible du nord du Mali  •  Atteinte potentielle à la liberté d'expression et de la presse</w:t>
      </w:r>
    </w:p>
    <w:p>
      <w:pPr>
        <w:spacing w:before="0" w:after="60"/>
        <w:ind w:left="600"/>
      </w:pPr>
      <w:r>
        <w:rPr>
          <w:color w:val="0064B4"/>
          <w:sz w:val="15"/>
        </w:rPr>
        <w:t>Source : https://news.google.com/rss/articles/CBMi-wFBVV95cUxNRXJlSW1fc3FjQ1ZjVWptOUpiWmx</w:t>
      </w:r>
    </w:p>
    <w:p>
      <w:pPr>
        <w:spacing w:before="40" w:after="40"/>
        <w:ind w:left="360"/>
      </w:pPr>
      <w:r>
        <w:rPr>
          <w:color w:val="646464"/>
          <w:sz w:val="17"/>
        </w:rPr>
        <w:t xml:space="preserve">[14/09/2026] 🔴  </w:t>
      </w:r>
      <w:r>
        <w:rPr>
          <w:b/>
          <w:color w:val="C00000"/>
          <w:sz w:val="18"/>
        </w:rPr>
        <w:t>Et si le vrai problème du Sénégal n'était pas la dette, mais ses élites ? - SenePlus</w:t>
      </w:r>
      <w:r>
        <w:rPr>
          <w:color w:val="787878"/>
          <w:sz w:val="15"/>
        </w:rPr>
        <w:t xml:space="preserve">  [politique]</w:t>
      </w:r>
      <w:r>
        <w:rPr>
          <w:color w:val="B47800"/>
          <w:sz w:val="16"/>
        </w:rPr>
        <w:t xml:space="preserve">  ★ 50/10</w:t>
      </w:r>
    </w:p>
    <w:p>
      <w:pPr>
        <w:spacing w:before="0" w:after="20"/>
        <w:ind w:left="600"/>
      </w:pPr>
      <w:r>
        <w:rPr>
          <w:color w:val="323232"/>
          <w:sz w:val="17"/>
        </w:rPr>
        <w:t>L'article de SenePlus remet en question le discours dominant sur la dette du Sénégal en suggérant que le véritable frein au développement réside dans le comportement et les choix des élites nationales. Il soutient que la mauvaise gouvernance, la corruption et l'absence de vision stratégique pèsent davantage que l'endettement lui-même. Cette analyse</w:t>
      </w:r>
    </w:p>
    <w:p>
      <w:pPr>
        <w:spacing w:before="0" w:after="40"/>
        <w:ind w:left="600"/>
      </w:pPr>
      <w:r>
        <w:rPr>
          <w:color w:val="00643C"/>
          <w:sz w:val="16"/>
        </w:rPr>
        <w:t>Points clés : La dette n'est pas la cause première des difficultés économiques du Sénégal  •  Les élites sont pointées comme responsables des blocages structurels  •  Nécessité d'une gouvernance plus vertueuse et redevable</w:t>
      </w:r>
    </w:p>
    <w:p>
      <w:pPr>
        <w:spacing w:before="0" w:after="60"/>
        <w:ind w:left="600"/>
      </w:pPr>
      <w:r>
        <w:rPr>
          <w:color w:val="0064B4"/>
          <w:sz w:val="15"/>
        </w:rPr>
        <w:t>Source : https://news.google.com/rss/articles/CBMipAFBVV95cUxQZWstWW9lNUxxNGs1eHdlTGhfeXF</w:t>
      </w:r>
    </w:p>
    <w:p>
      <w:pPr>
        <w:spacing w:before="40" w:after="40"/>
        <w:ind w:left="360"/>
      </w:pPr>
      <w:r>
        <w:rPr>
          <w:color w:val="646464"/>
          <w:sz w:val="17"/>
        </w:rPr>
        <w:t xml:space="preserve">[14/09/2026] 🔴  </w:t>
      </w:r>
      <w:r>
        <w:rPr>
          <w:b/>
          <w:color w:val="C00000"/>
          <w:sz w:val="18"/>
        </w:rPr>
        <w:t>Sénégal : Une DPG sous le signe de l’austérité et des ruptures - Bamada.net</w:t>
      </w:r>
      <w:r>
        <w:rPr>
          <w:color w:val="787878"/>
          <w:sz w:val="15"/>
        </w:rPr>
        <w:t xml:space="preserve">  [politique]</w:t>
      </w:r>
      <w:r>
        <w:rPr>
          <w:color w:val="B47800"/>
          <w:sz w:val="16"/>
        </w:rPr>
        <w:t xml:space="preserve">  ★ 50/10</w:t>
      </w:r>
    </w:p>
    <w:p>
      <w:pPr>
        <w:spacing w:before="0" w:after="20"/>
        <w:ind w:left="600"/>
      </w:pPr>
      <w:r>
        <w:rPr>
          <w:color w:val="323232"/>
          <w:sz w:val="17"/>
        </w:rPr>
        <w:t>Le Sénégal a présenté une Déclaration de Politique Générale (DPG) marquée par l'austérité budgétaire et des ruptures dans la gestion des finances publiques. Cette orientation vise à réduire les dépenses et à assainir les comptes publics, dans un contexte de tensions budgétaires. Les mesures annoncées pourraient affecter les secteurs dépendant des c</w:t>
      </w:r>
    </w:p>
    <w:p>
      <w:pPr>
        <w:spacing w:before="0" w:after="40"/>
        <w:ind w:left="600"/>
      </w:pPr>
      <w:r>
        <w:rPr>
          <w:color w:val="00643C"/>
          <w:sz w:val="16"/>
        </w:rPr>
        <w:t>Points clés : Annonce d'une politique d'austérité budgétaire  •  Ruptures dans la gestion des finances publiques  •  Réduction des dépenses publiques et des subventions  •  Objectif d'assainissement des comptes publics</w:t>
      </w:r>
    </w:p>
    <w:p>
      <w:pPr>
        <w:spacing w:before="0" w:after="60"/>
        <w:ind w:left="600"/>
      </w:pPr>
      <w:r>
        <w:rPr>
          <w:color w:val="0064B4"/>
          <w:sz w:val="15"/>
        </w:rPr>
        <w:t>Source : https://news.google.com/rss/articles/CBMihAFBVV95cUxQeFMzaFFfMXRpazNxNTJLblRxT2h</w:t>
      </w:r>
    </w:p>
    <w:p>
      <w:pPr>
        <w:spacing w:before="120" w:after="40"/>
      </w:pPr>
      <w:r>
        <w:rPr>
          <w:b/>
          <w:color w:val="00467F"/>
          <w:sz w:val="20"/>
        </w:rPr>
        <w:t>🔑 politique_monetaire  (4 alerte(s))</w:t>
      </w:r>
    </w:p>
    <w:p>
      <w:pPr>
        <w:spacing w:before="40" w:after="40"/>
        <w:ind w:left="360"/>
      </w:pPr>
      <w:r>
        <w:rPr>
          <w:color w:val="646464"/>
          <w:sz w:val="17"/>
        </w:rPr>
        <w:t xml:space="preserve">[14/09/2026] ⚪  </w:t>
      </w:r>
      <w:r>
        <w:rPr>
          <w:b/>
          <w:color w:val="505050"/>
          <w:sz w:val="18"/>
        </w:rPr>
        <w:t>La BCE relève ses taux directeurs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annoncé une hausse de ses taux directeurs, une décision de politique monétaire visant à lutter contre l'inflation dans la zone euro. Cette mesure entraîne un durcissement des conditions de financement pour les entreprises et les ménages européens. Elle pourrait également influencer les flux de capitaux vers les</w:t>
      </w:r>
    </w:p>
    <w:p>
      <w:pPr>
        <w:spacing w:before="0" w:after="40"/>
        <w:ind w:left="600"/>
      </w:pPr>
      <w:r>
        <w:rPr>
          <w:color w:val="00643C"/>
          <w:sz w:val="16"/>
        </w:rPr>
        <w:t>Points clés : La BCE relève ses taux directeurs.  •  Objectif : maîtriser l'inflation dans la zone euro.  •  Impact potentiel sur les marchés financiers mondiaux et les économies émergentes.</w:t>
      </w:r>
    </w:p>
    <w:p>
      <w:pPr>
        <w:spacing w:before="0" w:after="60"/>
        <w:ind w:left="600"/>
      </w:pPr>
      <w:r>
        <w:rPr>
          <w:color w:val="0064B4"/>
          <w:sz w:val="15"/>
        </w:rPr>
        <w:t>Source : https://news.google.com/rss/articles/CBMitgFBVV95cUxQZy1QY0FPeDZXWnlfNzN3VnVZcUx</w:t>
      </w:r>
    </w:p>
    <w:p>
      <w:pPr>
        <w:spacing w:before="40" w:after="40"/>
        <w:ind w:left="360"/>
      </w:pPr>
      <w:r>
        <w:rPr>
          <w:color w:val="646464"/>
          <w:sz w:val="17"/>
        </w:rPr>
        <w:t xml:space="preserve">[14/09/2026] ⚪  </w:t>
      </w:r>
      <w:r>
        <w:rPr>
          <w:b/>
          <w:color w:val="505050"/>
          <w:sz w:val="18"/>
        </w:rPr>
        <w:t>«Assurer la stabilité des prix» : Christine Lagarde explique pourquoi la BCE veut relever les taux directeurs - capital.</w:t>
      </w:r>
      <w:r>
        <w:rPr>
          <w:color w:val="787878"/>
          <w:sz w:val="15"/>
        </w:rPr>
        <w:t xml:space="preserve">  [politique_monetaire]</w:t>
      </w:r>
      <w:r>
        <w:rPr>
          <w:color w:val="B47800"/>
          <w:sz w:val="16"/>
        </w:rPr>
        <w:t xml:space="preserve">  ★ 50/10</w:t>
      </w:r>
    </w:p>
    <w:p>
      <w:pPr>
        <w:spacing w:before="0" w:after="20"/>
        <w:ind w:left="600"/>
      </w:pPr>
      <w:r>
        <w:rPr>
          <w:color w:val="323232"/>
          <w:sz w:val="17"/>
        </w:rPr>
        <w:t>Christine Lagarde, présidente de la BCE, a expliqué que la Banque centrale européenne souhaite relever ses taux directeurs afin d'assurer la stabilité des prix face à l'inflation persistante. Cette décision vise à ramener l'inflation vers l'objectif de 2 % à moyen terme. Elle souligne que la hausse des taux est nécessaire pour éviter une spirale in</w:t>
      </w:r>
    </w:p>
    <w:p>
      <w:pPr>
        <w:spacing w:before="0" w:after="40"/>
        <w:ind w:left="600"/>
      </w:pPr>
      <w:r>
        <w:rPr>
          <w:color w:val="00643C"/>
          <w:sz w:val="16"/>
        </w:rPr>
        <w:t>Points clés : La BCE veut relever ses taux directeurs pour lutter contre l'inflation  •  Objectif : assurer la stabilité des prix et ramener l'inflation à 2 %  •  Christine Lagarde justifie cette politique monétaire restrictive</w:t>
      </w:r>
    </w:p>
    <w:p>
      <w:pPr>
        <w:spacing w:before="0" w:after="60"/>
        <w:ind w:left="600"/>
      </w:pPr>
      <w:r>
        <w:rPr>
          <w:color w:val="0064B4"/>
          <w:sz w:val="15"/>
        </w:rPr>
        <w:t>Source : https://news.google.com/rss/articles/CBMi6wFBVV95cUxPcFlJVlRFWHJWOGdFUzJwLXFJazB</w:t>
      </w:r>
    </w:p>
    <w:p>
      <w:pPr>
        <w:spacing w:before="40" w:after="40"/>
        <w:ind w:left="360"/>
      </w:pPr>
      <w:r>
        <w:rPr>
          <w:color w:val="646464"/>
          <w:sz w:val="17"/>
        </w:rPr>
        <w:t xml:space="preserve">[14/09/2026] 🔴  </w:t>
      </w:r>
      <w:r>
        <w:rPr>
          <w:b/>
          <w:color w:val="C00000"/>
          <w:sz w:val="18"/>
        </w:rPr>
        <w:t>POINT HEBDO-Face à l'inflation, l'heure de la fermeté pour les banques centrales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banques centrales mondiales adoptent une posture de fermeté face à la persistance de l'inflation, en maintenant des taux d'intérêt élevés ou en les augmentant. Cette orientation monétaire restrictive vise à ramener l'inflation vers les objectifs, quitte à ralentir la croissance économique. Les marchés financiers anticipent des conditions de fin</w:t>
      </w:r>
    </w:p>
    <w:p>
      <w:pPr>
        <w:spacing w:before="0" w:after="40"/>
        <w:ind w:left="600"/>
      </w:pPr>
      <w:r>
        <w:rPr>
          <w:color w:val="00643C"/>
          <w:sz w:val="16"/>
        </w:rPr>
        <w:t>Points clés : Les banques centrales maintiennent une politique monétaire restrictive pour lutter contre l'inflation.  •  Les taux d'intérêt restent élevés, ce qui renchérit le coût du crédit.  •  Les marchés s'attendent à un ralentissement économique potentiel.</w:t>
      </w:r>
    </w:p>
    <w:p>
      <w:pPr>
        <w:spacing w:before="0" w:after="60"/>
        <w:ind w:left="600"/>
      </w:pPr>
      <w:r>
        <w:rPr>
          <w:color w:val="0064B4"/>
          <w:sz w:val="15"/>
        </w:rPr>
        <w:t>Source : https://news.google.com/rss/articles/CBMihgJBVV95cUxQU09Md25IcWJCMUxmY1RyZDdJNkN</w:t>
      </w:r>
    </w:p>
    <w:p>
      <w:pPr>
        <w:spacing w:before="40" w:after="40"/>
        <w:ind w:left="360"/>
      </w:pPr>
      <w:r>
        <w:rPr>
          <w:color w:val="646464"/>
          <w:sz w:val="17"/>
        </w:rPr>
        <w:t xml:space="preserve">[12/09/2026] ⚪  </w:t>
      </w:r>
      <w:r>
        <w:rPr>
          <w:b/>
          <w:color w:val="505050"/>
          <w:sz w:val="18"/>
        </w:rPr>
        <w:t>Afrique : la BCEAO maintient son taux directeur à 3% - Africa24 TV</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des États de l'Afrique de l'Ouest (BCEAO) a décidé de maintenir son taux directeur à 3%. Cette décision intervient dans un contexte de suivi de l'inflation et de la croissance économique dans la zone UEMOA. Le statu quo monétaire vise à soutenir l'activité économique tout en maîtrisant les pressions inflationnistes. Cette stabili</w:t>
      </w:r>
    </w:p>
    <w:p>
      <w:pPr>
        <w:spacing w:before="0" w:after="40"/>
        <w:ind w:left="600"/>
      </w:pPr>
      <w:r>
        <w:rPr>
          <w:color w:val="00643C"/>
          <w:sz w:val="16"/>
        </w:rPr>
        <w:t>Points clés : Maintien du taux directeur de la BCEAO à 3%  •  Décision applicable à l'ensemble de la zone UEMOA  •  Objectif de soutien à la croissance et de maîtrise de l'inflation</w:t>
      </w:r>
    </w:p>
    <w:p>
      <w:pPr>
        <w:spacing w:before="0" w:after="60"/>
        <w:ind w:left="600"/>
      </w:pPr>
      <w:r>
        <w:rPr>
          <w:color w:val="0064B4"/>
          <w:sz w:val="15"/>
        </w:rPr>
        <w:t>Source : https://news.google.com/rss/articles/CBMigAFBVV95cUxOdVZ1M1FBVU9YeHNQblprb0pYUlF</w:t>
      </w:r>
    </w:p>
    <w:p>
      <w:pPr>
        <w:spacing w:before="120" w:after="40"/>
      </w:pPr>
      <w:r>
        <w:rPr>
          <w:b/>
          <w:color w:val="00467F"/>
          <w:sz w:val="20"/>
        </w:rPr>
        <w:t>🔑 matieres_premieres  (2 alerte(s))</w:t>
      </w:r>
    </w:p>
    <w:p>
      <w:pPr>
        <w:spacing w:before="40" w:after="40"/>
        <w:ind w:left="360"/>
      </w:pPr>
      <w:r>
        <w:rPr>
          <w:color w:val="646464"/>
          <w:sz w:val="17"/>
        </w:rPr>
        <w:t xml:space="preserve">[14/09/2026] 🟢  </w:t>
      </w:r>
      <w:r>
        <w:rPr>
          <w:b/>
          <w:color w:val="008000"/>
          <w:sz w:val="18"/>
        </w:rPr>
        <w:t>Marché des matières premières : l'indice MXV progresse pour la 6e semaine consécutive.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progressé pour la sixième semaine consécutive. Cette hausse reflète une dynamique haussière sur les marchés mondiaux des matières premières. Les investisseurs surveillent l'évolution des prix, notamment dans un contexte de demande soutenue et de tensions géopolitiques. Cette tendance pourrai</w:t>
      </w:r>
    </w:p>
    <w:p>
      <w:pPr>
        <w:spacing w:before="0" w:after="40"/>
        <w:ind w:left="600"/>
      </w:pPr>
      <w:r>
        <w:rPr>
          <w:color w:val="00643C"/>
          <w:sz w:val="16"/>
        </w:rPr>
        <w:t>Points clés : L'indice MXV enregistre une sixième semaine consécutive de hausse.  •  La progression des matières premières est portée par une demande mondiale soutenue.  •  Les marchés restent attentifs aux risques géopolitiques et aux politiques monétaires.</w:t>
      </w:r>
    </w:p>
    <w:p>
      <w:pPr>
        <w:spacing w:before="0" w:after="60"/>
        <w:ind w:left="600"/>
      </w:pPr>
      <w:r>
        <w:rPr>
          <w:color w:val="0064B4"/>
          <w:sz w:val="15"/>
        </w:rPr>
        <w:t>Source : https://news.google.com/rss/articles/CBMiiAFBVV95cUxPaTlRc05TMV9JYi0yQ3VmLVdVUWR</w:t>
      </w:r>
    </w:p>
    <w:p>
      <w:pPr>
        <w:spacing w:before="40" w:after="40"/>
        <w:ind w:left="360"/>
      </w:pPr>
      <w:r>
        <w:rPr>
          <w:color w:val="646464"/>
          <w:sz w:val="17"/>
        </w:rPr>
        <w:t xml:space="preserve">[14/09/2026] 🟢  </w:t>
      </w:r>
      <w:r>
        <w:rPr>
          <w:b/>
          <w:color w:val="008000"/>
          <w:sz w:val="18"/>
        </w:rPr>
        <w:t>Une forte pression à l'achat est apparue sur le marché de l'énergie la semaine dernière. - vietnam.vn</w:t>
      </w:r>
      <w:r>
        <w:rPr>
          <w:color w:val="787878"/>
          <w:sz w:val="15"/>
        </w:rPr>
        <w:t xml:space="preserve">  [matieres_premieres]</w:t>
      </w:r>
      <w:r>
        <w:rPr>
          <w:color w:val="B47800"/>
          <w:sz w:val="16"/>
        </w:rPr>
        <w:t xml:space="preserve">  ★ 50/10</w:t>
      </w:r>
    </w:p>
    <w:p>
      <w:pPr>
        <w:spacing w:before="0" w:after="40"/>
        <w:ind w:left="600"/>
      </w:pPr>
      <w:r>
        <w:rPr>
          <w:color w:val="00643C"/>
          <w:sz w:val="16"/>
        </w:rPr>
        <w:t>Points clés : Forte pression à l'achat sur le marché de l'énergie la semaine dernière  •  Source : vietnam.vn, portée internationale  •  Signal haussier sur les matières premières énergétiques</w:t>
      </w:r>
    </w:p>
    <w:p>
      <w:pPr>
        <w:spacing w:before="0" w:after="60"/>
        <w:ind w:left="600"/>
      </w:pPr>
      <w:r>
        <w:rPr>
          <w:color w:val="0064B4"/>
          <w:sz w:val="15"/>
        </w:rPr>
        <w:t>Source : https://news.google.com/rss/articles/CBMif0FVX3lxTE9fd1gwRGNPUTJzRlVZckZnMWlGYi0</w:t>
      </w:r>
    </w:p>
    <w:p>
      <w:pPr>
        <w:spacing w:before="120" w:after="40"/>
      </w:pPr>
      <w:r>
        <w:rPr>
          <w:b/>
          <w:color w:val="00467F"/>
          <w:sz w:val="20"/>
        </w:rPr>
        <w:t>🔑 marche_financier  (2 alerte(s))</w:t>
      </w:r>
    </w:p>
    <w:p>
      <w:pPr>
        <w:spacing w:before="40" w:after="40"/>
        <w:ind w:left="360"/>
      </w:pPr>
      <w:r>
        <w:rPr>
          <w:color w:val="646464"/>
          <w:sz w:val="17"/>
        </w:rPr>
        <w:t xml:space="preserve">[14/09/2026] 🟢  </w:t>
      </w:r>
      <w:r>
        <w:rPr>
          <w:b/>
          <w:color w:val="008000"/>
          <w:sz w:val="18"/>
        </w:rPr>
        <w:t>Emprunts patriotiques: les Diaspora bonds font leur entrée à la cote de la BRVM - L'economiste du faso</w:t>
      </w:r>
      <w:r>
        <w:rPr>
          <w:color w:val="787878"/>
          <w:sz w:val="15"/>
        </w:rPr>
        <w:t xml:space="preserve">  [marche_financier]</w:t>
      </w:r>
      <w:r>
        <w:rPr>
          <w:color w:val="B47800"/>
          <w:sz w:val="16"/>
        </w:rPr>
        <w:t xml:space="preserve">  ★ 50/10</w:t>
      </w:r>
    </w:p>
    <w:p>
      <w:pPr>
        <w:spacing w:before="0" w:after="20"/>
        <w:ind w:left="600"/>
      </w:pPr>
      <w:r>
        <w:rPr>
          <w:color w:val="323232"/>
          <w:sz w:val="17"/>
        </w:rPr>
        <w:t>La BRVM accueille désormais les Diaspora bonds, des emprunts patriotiques destinés à mobiliser l'épargne des populations de la diaspora au profit du financement des économies de l'UEMOA. Cette innovation élargit la base d'investisseurs et diversifie les sources de financement des États et entreprises de la zone. Elle marque une étape importante dan</w:t>
      </w:r>
    </w:p>
    <w:p>
      <w:pPr>
        <w:spacing w:before="0" w:after="40"/>
        <w:ind w:left="600"/>
      </w:pPr>
      <w:r>
        <w:rPr>
          <w:color w:val="00643C"/>
          <w:sz w:val="16"/>
        </w:rPr>
        <w:t>Points clés : Arrivée des Diaspora bonds (emprunts patriotiques) à la cote de la BRVM  •  Objectif : mobiliser l'épargne de la diaspora pour financer les économies de l'UEMOA  •  Élargissement de la base d'investisseurs et diversification des sources de financement  •  Renforcement de l'intégration financière régionale</w:t>
      </w:r>
    </w:p>
    <w:p>
      <w:pPr>
        <w:spacing w:before="0" w:after="60"/>
        <w:ind w:left="600"/>
      </w:pPr>
      <w:r>
        <w:rPr>
          <w:color w:val="0064B4"/>
          <w:sz w:val="15"/>
        </w:rPr>
        <w:t>Source : https://news.google.com/rss/articles/CBMivAFBVV95cUxQM3pjYnZTcl85c3lDeEJjM3JHMHR</w:t>
      </w:r>
    </w:p>
    <w:p>
      <w:pPr>
        <w:spacing w:before="40" w:after="40"/>
        <w:ind w:left="360"/>
      </w:pPr>
      <w:r>
        <w:rPr>
          <w:color w:val="646464"/>
          <w:sz w:val="17"/>
        </w:rPr>
        <w:t xml:space="preserve">[14/09/2026] 🟢  </w:t>
      </w:r>
      <w:r>
        <w:rPr>
          <w:b/>
          <w:color w:val="008000"/>
          <w:sz w:val="18"/>
        </w:rPr>
        <w:t>BRVM : la BIIC dépasse 1 milliard $ de capitalisation, son action a presque doublé depuis l’IPO - agenceecofin.com</w:t>
      </w:r>
      <w:r>
        <w:rPr>
          <w:color w:val="787878"/>
          <w:sz w:val="15"/>
        </w:rPr>
        <w:t xml:space="preserve">  [marche_financier]</w:t>
      </w:r>
      <w:r>
        <w:rPr>
          <w:color w:val="B47800"/>
          <w:sz w:val="16"/>
        </w:rPr>
        <w:t xml:space="preserve">  ★ 50/10</w:t>
      </w:r>
    </w:p>
    <w:p>
      <w:pPr>
        <w:spacing w:before="0" w:after="20"/>
        <w:ind w:left="600"/>
      </w:pPr>
      <w:r>
        <w:rPr>
          <w:color w:val="323232"/>
          <w:sz w:val="17"/>
        </w:rPr>
        <w:t>La BIIC (Banque d'Investissement et de Commerce International) franchit le cap du milliard de dollars de capitalisation boursière à la BRVM. Depuis son introduction en bourse (IPO), le cours de son action a presque doublé, témoignant d'un fort engouement des investisseurs. Cette performance illustre la dynamique positive du marché financier régiona</w:t>
      </w:r>
    </w:p>
    <w:p>
      <w:pPr>
        <w:spacing w:before="0" w:after="40"/>
        <w:ind w:left="600"/>
      </w:pPr>
      <w:r>
        <w:rPr>
          <w:color w:val="00643C"/>
          <w:sz w:val="16"/>
        </w:rPr>
        <w:t>Points clés : La BIIC dépasse 1 milliard USD de capitalisation à la BRVM  •  L'action a presque doublé depuis son introduction en bourse  •  Performance remarquable dans le secteur bancaire de l'UEMOA</w:t>
      </w:r>
    </w:p>
    <w:p>
      <w:pPr>
        <w:spacing w:before="0" w:after="60"/>
        <w:ind w:left="600"/>
      </w:pPr>
      <w:r>
        <w:rPr>
          <w:color w:val="0064B4"/>
          <w:sz w:val="15"/>
        </w:rPr>
        <w:t>Source : https://news.google.com/rss/articles/CBMi5AFBVV95cUxOTVA1b0xRamw5dkdaT3lkM2RDSnd</w:t>
      </w:r>
    </w:p>
    <w:p>
      <w:pPr>
        <w:spacing w:before="120" w:after="40"/>
      </w:pPr>
      <w:r>
        <w:rPr>
          <w:b/>
          <w:color w:val="00467F"/>
          <w:sz w:val="20"/>
        </w:rPr>
        <w:t>🔑 économique  (4 alerte(s))</w:t>
      </w:r>
    </w:p>
    <w:p>
      <w:pPr>
        <w:spacing w:before="40" w:after="40"/>
        <w:ind w:left="360"/>
      </w:pPr>
      <w:r>
        <w:rPr>
          <w:color w:val="646464"/>
          <w:sz w:val="17"/>
        </w:rPr>
        <w:t xml:space="preserve">[13/09/2026] ⚪  </w:t>
      </w:r>
      <w:r>
        <w:rPr>
          <w:b/>
          <w:color w:val="505050"/>
          <w:sz w:val="18"/>
        </w:rPr>
        <w:t>Pour promouvoir l’agroécologie en Afrique de l’Ouest - mafrique</w:t>
      </w:r>
      <w:r>
        <w:rPr>
          <w:color w:val="787878"/>
          <w:sz w:val="15"/>
        </w:rPr>
        <w:t xml:space="preserve">  [économique]</w:t>
      </w:r>
      <w:r>
        <w:rPr>
          <w:color w:val="B47800"/>
          <w:sz w:val="16"/>
        </w:rPr>
        <w:t xml:space="preserve">  ★ 50/10</w:t>
      </w:r>
    </w:p>
    <w:p>
      <w:pPr>
        <w:spacing w:before="0" w:after="20"/>
        <w:ind w:left="600"/>
      </w:pPr>
      <w:r>
        <w:rPr>
          <w:color w:val="323232"/>
          <w:sz w:val="17"/>
        </w:rPr>
        <w:t>L'article évoque la promotion de l'agroécologie en Afrique de l'Ouest, une approche agricole durable qui vise à concilier production alimentaire et préservation des écosystèmes. Cette initiative s'inscrit dans un contexte de transition agricole régionale, portée par des organisations de développement et des politiques publiques. Elle pourrait favor</w:t>
      </w:r>
    </w:p>
    <w:p>
      <w:pPr>
        <w:spacing w:before="0" w:after="40"/>
        <w:ind w:left="600"/>
      </w:pPr>
      <w:r>
        <w:rPr>
          <w:color w:val="00643C"/>
          <w:sz w:val="16"/>
        </w:rPr>
        <w:t>Points clés : Promotion de l'agroécologie en Afrique de l'Ouest  •  Approche durable pour l'agriculture régionale  •  Manque de détails sur les acteurs et les financements</w:t>
      </w:r>
    </w:p>
    <w:p>
      <w:pPr>
        <w:spacing w:before="0" w:after="60"/>
        <w:ind w:left="600"/>
      </w:pPr>
      <w:r>
        <w:rPr>
          <w:color w:val="0064B4"/>
          <w:sz w:val="15"/>
        </w:rPr>
        <w:t>Source : https://news.google.com/rss/articles/CBMiigFBVV95cUxNSVhxUXdqR2NFVEgwSFZYM1RtU1I</w:t>
      </w:r>
    </w:p>
    <w:p>
      <w:pPr>
        <w:spacing w:before="40" w:after="40"/>
        <w:ind w:left="360"/>
      </w:pPr>
      <w:r>
        <w:rPr>
          <w:color w:val="646464"/>
          <w:sz w:val="17"/>
        </w:rPr>
        <w:t xml:space="preserve">[11/09/2026] ⚪  </w:t>
      </w:r>
      <w:r>
        <w:rPr>
          <w:b/>
          <w:color w:val="505050"/>
          <w:sz w:val="18"/>
        </w:rPr>
        <w:t>Les entreprises algériennes en force - L'Expression</w:t>
      </w:r>
      <w:r>
        <w:rPr>
          <w:color w:val="787878"/>
          <w:sz w:val="15"/>
        </w:rPr>
        <w:t xml:space="preserve">  [économique]</w:t>
      </w:r>
      <w:r>
        <w:rPr>
          <w:color w:val="B47800"/>
          <w:sz w:val="16"/>
        </w:rPr>
        <w:t xml:space="preserve">  ★ 50/10</w:t>
      </w:r>
    </w:p>
    <w:p>
      <w:pPr>
        <w:spacing w:before="0" w:after="20"/>
        <w:ind w:left="600"/>
      </w:pPr>
      <w:r>
        <w:rPr>
          <w:color w:val="323232"/>
          <w:sz w:val="17"/>
        </w:rPr>
        <w:t>L'article intitulé « Les entreprises algériennes en force » publié par L'Expression met en avant la dynamique des entreprises algériennes. Cependant, le contenu fourni est extrêmement limité et ne détaille ni les secteurs concernés, ni les chiffres, ni les marchés visés. Il est donc difficile d'évaluer précisément la portée de cette information pou</w:t>
      </w:r>
    </w:p>
    <w:p>
      <w:pPr>
        <w:spacing w:before="0" w:after="40"/>
        <w:ind w:left="600"/>
      </w:pPr>
      <w:r>
        <w:rPr>
          <w:color w:val="00643C"/>
          <w:sz w:val="16"/>
        </w:rPr>
        <w:t>Points clés : Titre évoquant une montée en puissance des entreprises algériennes  •  Contenu quasi inexistant, sans données chiffrées ni secteurs précis  •  Aucune mention de la BRVM ou des marchés financiers ouest-africains</w:t>
      </w:r>
    </w:p>
    <w:p>
      <w:pPr>
        <w:spacing w:before="0" w:after="60"/>
        <w:ind w:left="600"/>
      </w:pPr>
      <w:r>
        <w:rPr>
          <w:color w:val="0064B4"/>
          <w:sz w:val="15"/>
        </w:rPr>
        <w:t>Source : https://news.google.com/rss/articles/CBMiiwFBVV95cUxQQm5ScklzZzloX1ZzZUdYOUhWeGF</w:t>
      </w:r>
    </w:p>
    <w:p>
      <w:pPr>
        <w:spacing w:before="40" w:after="40"/>
        <w:ind w:left="360"/>
      </w:pPr>
      <w:r>
        <w:rPr>
          <w:color w:val="646464"/>
          <w:sz w:val="17"/>
        </w:rPr>
        <w:t xml:space="preserve">[11/09/2026] 🟢  </w:t>
      </w:r>
      <w:r>
        <w:rPr>
          <w:b/>
          <w:color w:val="008000"/>
          <w:sz w:val="18"/>
        </w:rPr>
        <w:t>COUNTRY REPORT – CEDEAO REPORT : Croissance du PIB de 6,1% réalisée en 2025 - Africa24 TV</w:t>
      </w:r>
      <w:r>
        <w:rPr>
          <w:color w:val="787878"/>
          <w:sz w:val="15"/>
        </w:rPr>
        <w:t xml:space="preserve">  [économique]</w:t>
      </w:r>
      <w:r>
        <w:rPr>
          <w:color w:val="B47800"/>
          <w:sz w:val="16"/>
        </w:rPr>
        <w:t xml:space="preserve">  ★ 50/10</w:t>
      </w:r>
    </w:p>
    <w:p>
      <w:pPr>
        <w:spacing w:before="0" w:after="20"/>
        <w:ind w:left="600"/>
      </w:pPr>
      <w:r>
        <w:rPr>
          <w:color w:val="323232"/>
          <w:sz w:val="17"/>
        </w:rPr>
        <w:t>Selon le rapport de la CEDEAO relayé par Africa24 TV, la croissance du PIB de la zone a atteint 6,1% en 2025. Cette performance témoigne d'une dynamique économique soutenue dans l'espace communautaire. Elle pourrait favoriser l'amélioration des perspectives pour les entreprises cotées à la BRVM.</w:t>
      </w:r>
    </w:p>
    <w:p>
      <w:pPr>
        <w:spacing w:before="0" w:after="40"/>
        <w:ind w:left="600"/>
      </w:pPr>
      <w:r>
        <w:rPr>
          <w:color w:val="00643C"/>
          <w:sz w:val="16"/>
        </w:rPr>
        <w:t>Points clés : Croissance du PIB de la CEDEAO de 6,1% en 2025  •  Performance économique régionale soutenue  •  Impact potentiellement favorable sur les marchés financiers de la zone</w:t>
      </w:r>
    </w:p>
    <w:p>
      <w:pPr>
        <w:spacing w:before="0" w:after="60"/>
        <w:ind w:left="600"/>
      </w:pPr>
      <w:r>
        <w:rPr>
          <w:color w:val="0064B4"/>
          <w:sz w:val="15"/>
        </w:rPr>
        <w:t>Source : https://news.google.com/rss/articles/CBMimAFBVV95cUxOVXJWdXNCamlXbWJjb192dG5tZER</w:t>
      </w:r>
    </w:p>
    <w:p>
      <w:pPr>
        <w:spacing w:before="40" w:after="40"/>
        <w:ind w:left="360"/>
      </w:pPr>
      <w:r>
        <w:rPr>
          <w:color w:val="646464"/>
          <w:sz w:val="17"/>
        </w:rPr>
        <w:t xml:space="preserve">[11/09/2026] ⚪  </w:t>
      </w:r>
      <w:r>
        <w:rPr>
          <w:b/>
          <w:color w:val="505050"/>
          <w:sz w:val="18"/>
        </w:rPr>
        <w:t>OOAS : Le Prof. Vincent Palokinam Pitché prend les rênes de l’institution régionale - FratMat</w:t>
      </w:r>
      <w:r>
        <w:rPr>
          <w:color w:val="787878"/>
          <w:sz w:val="15"/>
        </w:rPr>
        <w:t xml:space="preserve">  [économique]</w:t>
      </w:r>
      <w:r>
        <w:rPr>
          <w:color w:val="B47800"/>
          <w:sz w:val="16"/>
        </w:rPr>
        <w:t xml:space="preserve">  ★ 50/10</w:t>
      </w:r>
    </w:p>
    <w:p>
      <w:pPr>
        <w:spacing w:before="0" w:after="20"/>
        <w:ind w:left="600"/>
      </w:pPr>
      <w:r>
        <w:rPr>
          <w:color w:val="323232"/>
          <w:sz w:val="17"/>
        </w:rPr>
        <w:t>Le Professeur Vincent Palokinam Pitché a été nommé à la tête de l'Organisation Ouest-Africaine de la Santé (OOAS), une institution régionale spécialisée de la CEDEAO. Cette nomination intervient dans un contexte de défis sanitaires persistants en Afrique de l'Ouest. L'OOAS joue un rôle clé dans la coordination des politiques de santé publique et la</w:t>
      </w:r>
    </w:p>
    <w:p>
      <w:pPr>
        <w:spacing w:before="0" w:after="40"/>
        <w:ind w:left="600"/>
      </w:pPr>
      <w:r>
        <w:rPr>
          <w:color w:val="00643C"/>
          <w:sz w:val="16"/>
        </w:rPr>
        <w:t>Points clés : Nomination du Prof. Vincent Palokinam Pitché à la direction de l'OOAS  •  L'OOAS est l'institution sanitaire spécialisée de la CEDEAO  •  Enjeux de coordination régionale en matière de santé publique</w:t>
      </w:r>
    </w:p>
    <w:p>
      <w:pPr>
        <w:spacing w:before="0" w:after="60"/>
        <w:ind w:left="600"/>
      </w:pPr>
      <w:r>
        <w:rPr>
          <w:color w:val="0064B4"/>
          <w:sz w:val="15"/>
        </w:rPr>
        <w:t>Source : https://news.google.com/rss/articles/CBMiyAFBVV95cUxPS2lxelo4bXBjWWpEY3c0Y29CbU5</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2,265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10,500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3,090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7,095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24,200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10</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13,045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71</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2,740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8,100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2,555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33,905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5,200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17,100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3,280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33,015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2,120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4,000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1,725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5,575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6,980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2,845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1,520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54,000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4,375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8,495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2,265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7,095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13,045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8,100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8,350</w:t>
            </w:r>
          </w:p>
        </w:tc>
        <w:tc>
          <w:tcPr>
            <w:tcW w:type="dxa" w:w="1728"/>
            <w:shd w:fill="DEEAF1" w:val="clear"/>
          </w:tcPr>
          <w:p>
            <w:r>
              <w:rPr>
                <w:sz w:val="17"/>
              </w:rPr>
              <w:t>70/100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3,490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2,265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3,090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7,095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3,490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2,265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3,090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7,095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SHEC — SHEC - VIVO ENERGY COTE D'IVOIRE</w:t>
      </w:r>
    </w:p>
    <w:p>
      <w:pPr>
        <w:pStyle w:val="ListBullet"/>
        <w:spacing w:before="20"/>
        <w:ind w:left="400"/>
      </w:pPr>
      <w:r>
        <w:rPr>
          <w:sz w:val="18"/>
        </w:rPr>
        <w:t>🔴 RSI surachat (79.5 &gt; 70) — risque de correction</w:t>
      </w:r>
    </w:p>
    <w:p>
      <w:pPr>
        <w:pStyle w:val="ListBullet"/>
        <w:spacing w:before="20"/>
        <w:ind w:left="400"/>
      </w:pPr>
      <w:r>
        <w:rPr>
          <w:sz w:val="18"/>
        </w:rPr>
        <w:t>⚠️ Cours à 0.0% du plus haut 100j (2,740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(81.1 &gt; 70) — risque de correction</w:t>
      </w:r>
    </w:p>
    <w:p>
      <w:pPr>
        <w:pStyle w:val="ListBullet"/>
        <w:spacing w:before="20"/>
        <w:ind w:left="400"/>
      </w:pPr>
      <w:r>
        <w:rPr>
          <w:sz w:val="18"/>
        </w:rPr>
        <w:t>⚠️ Cours à 0.9% du plus haut 100j (4,095 FCFA)</w:t>
      </w:r>
    </w:p>
    <w:p>
      <w:pPr>
        <w:spacing w:before="120"/>
      </w:pPr>
      <w:r>
        <w:rPr>
          <w:b/>
          <w:color w:val="0050A0"/>
          <w:sz w:val="20"/>
        </w:rPr>
        <w:t>BICB — BIIC BN - Banque internationale pour le commerce du benin</w:t>
      </w:r>
    </w:p>
    <w:p>
      <w:pPr>
        <w:pStyle w:val="ListBullet"/>
        <w:spacing w:before="20"/>
        <w:ind w:left="400"/>
      </w:pPr>
      <w:r>
        <w:rPr>
          <w:sz w:val="18"/>
        </w:rPr>
        <w:t>🔴 RSI surachat (79.6 &gt; 70) — risque de correction</w:t>
      </w:r>
    </w:p>
    <w:p>
      <w:pPr>
        <w:pStyle w:val="ListBullet"/>
        <w:spacing w:before="20"/>
        <w:ind w:left="400"/>
      </w:pPr>
      <w:r>
        <w:rPr>
          <w:sz w:val="18"/>
        </w:rPr>
        <w:t>⚠️ Cours à 2.7% du plus haut 100j (10,790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(77.1 &gt; 70) — risque de correction</w:t>
      </w:r>
    </w:p>
    <w:p>
      <w:pPr>
        <w:pStyle w:val="ListBullet"/>
        <w:spacing w:before="20"/>
        <w:ind w:left="400"/>
      </w:pPr>
      <w:r>
        <w:rPr>
          <w:sz w:val="18"/>
        </w:rPr>
        <w:t>⚠️ Cours à 2.9% du plus haut 100j (34,000 FCFA)</w:t>
      </w:r>
    </w:p>
    <w:p>
      <w:pPr>
        <w:spacing w:before="120"/>
      </w:pPr>
      <w:r>
        <w:rPr>
          <w:b/>
          <w:color w:val="0050A0"/>
          <w:sz w:val="20"/>
        </w:rPr>
        <w:t>CBIBF — CBIBF - CORIS BANK INTERNATIONAL BURKINA FASO</w:t>
      </w:r>
    </w:p>
    <w:p>
      <w:pPr>
        <w:pStyle w:val="ListBullet"/>
        <w:spacing w:before="20"/>
        <w:ind w:left="400"/>
      </w:pPr>
      <w:r>
        <w:rPr>
          <w:sz w:val="18"/>
        </w:rPr>
        <w:t>🔴 RSI surachat (87.2 &gt; 70) — risque de correction</w:t>
      </w:r>
    </w:p>
    <w:p>
      <w:pPr>
        <w:pStyle w:val="ListBullet"/>
        <w:spacing w:before="20"/>
        <w:ind w:left="400"/>
      </w:pPr>
      <w:r>
        <w:rPr>
          <w:sz w:val="18"/>
        </w:rPr>
        <w:t>⚠️ Cours à 1.2% du plus haut 100j (34,300 FCFA)</w:t>
      </w:r>
    </w:p>
    <w:p>
      <w:pPr>
        <w:spacing w:before="120"/>
      </w:pPr>
      <w:r>
        <w:rPr>
          <w:b/>
          <w:color w:val="0050A0"/>
          <w:sz w:val="20"/>
        </w:rPr>
        <w:t>LNBB — LNBB - LOTERIE NATIONALE DU BENIN</w:t>
      </w:r>
    </w:p>
    <w:p>
      <w:pPr>
        <w:pStyle w:val="ListBullet"/>
        <w:spacing w:before="20"/>
        <w:ind w:left="400"/>
      </w:pPr>
      <w:r>
        <w:rPr>
          <w:sz w:val="18"/>
        </w:rPr>
        <w:t>⚠️ Cours à 2.7% du plus bas 100j (3,825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(80.5 &gt; 70) — risque de correction</w:t>
      </w:r>
    </w:p>
    <w:p>
      <w:pPr>
        <w:pStyle w:val="ListBullet"/>
        <w:spacing w:before="20"/>
        <w:ind w:left="400"/>
      </w:pPr>
      <w:r>
        <w:rPr>
          <w:sz w:val="18"/>
        </w:rPr>
        <w:t>⚠️ Cours à 1.1% du plus haut 100j (18,500 FCFA)</w:t>
      </w:r>
    </w:p>
    <w:p>
      <w:pPr>
        <w:spacing w:before="120"/>
      </w:pPr>
      <w:r>
        <w:rPr>
          <w:b/>
          <w:color w:val="0050A0"/>
          <w:sz w:val="20"/>
        </w:rPr>
        <w:t>BOAB — BANK OF AFRICA BENIN</w:t>
      </w:r>
    </w:p>
    <w:p>
      <w:pPr>
        <w:pStyle w:val="ListBullet"/>
        <w:spacing w:before="20"/>
        <w:ind w:left="400"/>
      </w:pPr>
      <w:r>
        <w:rPr>
          <w:sz w:val="18"/>
        </w:rPr>
        <w:t>⚠️ Cours à 1.4% du plus haut 100j (10,350 FCFA)</w:t>
      </w:r>
    </w:p>
    <w:p>
      <w:pPr>
        <w:spacing w:before="120"/>
      </w:pPr>
      <w:r>
        <w:rPr>
          <w:b/>
          <w:color w:val="0050A0"/>
          <w:sz w:val="20"/>
        </w:rPr>
        <w:t>BOAC — BANK OF AFRICA COTE D'IVOIRE</w:t>
      </w:r>
    </w:p>
    <w:p>
      <w:pPr>
        <w:pStyle w:val="ListBullet"/>
        <w:spacing w:before="20"/>
        <w:ind w:left="400"/>
      </w:pPr>
      <w:r>
        <w:rPr>
          <w:sz w:val="18"/>
        </w:rPr>
        <w:t>🟢 RSI survente (20.9 &lt; 30) — opportunité potentielle</w:t>
      </w:r>
    </w:p>
    <w:p>
      <w:pPr>
        <w:spacing w:before="120"/>
      </w:pPr>
      <w:r>
        <w:rPr>
          <w:b/>
          <w:color w:val="0050A0"/>
          <w:sz w:val="20"/>
        </w:rPr>
        <w:t>BOAM — BANK OF AFRICA MALI</w:t>
      </w:r>
    </w:p>
    <w:p>
      <w:pPr>
        <w:pStyle w:val="ListBullet"/>
        <w:spacing w:before="20"/>
        <w:ind w:left="400"/>
      </w:pPr>
      <w:r>
        <w:rPr>
          <w:sz w:val="18"/>
        </w:rPr>
        <w:t>⚠️ Cours à 1.4% du plus haut 100j (7,195 FCFA)</w:t>
      </w:r>
    </w:p>
    <w:p>
      <w:pPr>
        <w:spacing w:before="120"/>
      </w:pPr>
      <w:r>
        <w:rPr>
          <w:b/>
          <w:color w:val="0050A0"/>
          <w:sz w:val="20"/>
        </w:rPr>
        <w:t>BOAN — BANK OF AFRICA NIGER</w:t>
      </w:r>
    </w:p>
    <w:p>
      <w:pPr>
        <w:pStyle w:val="ListBullet"/>
        <w:spacing w:before="20"/>
        <w:ind w:left="400"/>
      </w:pPr>
      <w:r>
        <w:rPr>
          <w:sz w:val="18"/>
        </w:rPr>
        <w:t>⚠️ Cours à 1.2% du plus haut 100j (5,645 FCFA)</w:t>
      </w:r>
    </w:p>
    <w:p>
      <w:pPr>
        <w:spacing w:before="120"/>
      </w:pPr>
      <w:r>
        <w:rPr>
          <w:b/>
          <w:color w:val="0050A0"/>
          <w:sz w:val="20"/>
        </w:rPr>
        <w:t>BOAS — BANK OF AFRICA SENEGAL</w:t>
      </w:r>
    </w:p>
    <w:p>
      <w:pPr>
        <w:pStyle w:val="ListBullet"/>
        <w:spacing w:before="20"/>
        <w:ind w:left="400"/>
      </w:pPr>
      <w:r>
        <w:rPr>
          <w:sz w:val="18"/>
        </w:rPr>
        <w:t>⚠️ Cours à 1.8% du plus haut 100j (8,500 FCFA)</w:t>
      </w:r>
    </w:p>
    <w:p>
      <w:pPr>
        <w:spacing w:before="120"/>
      </w:pPr>
      <w:r>
        <w:rPr>
          <w:b/>
          <w:color w:val="0050A0"/>
          <w:sz w:val="20"/>
        </w:rPr>
        <w:t>CABC — CABC - SICABLE COTE D'IVOIRE</w:t>
      </w:r>
    </w:p>
    <w:p>
      <w:pPr>
        <w:pStyle w:val="ListBullet"/>
        <w:spacing w:before="20"/>
        <w:ind w:left="400"/>
      </w:pPr>
      <w:r>
        <w:rPr>
          <w:sz w:val="18"/>
        </w:rPr>
        <w:t>🟢 RSI survente (26.8 &lt; 30) — opportunité potentielle</w:t>
      </w:r>
    </w:p>
    <w:p>
      <w:pPr>
        <w:spacing w:before="120"/>
      </w:pPr>
      <w:r>
        <w:rPr>
          <w:b/>
          <w:color w:val="0050A0"/>
          <w:sz w:val="20"/>
        </w:rPr>
        <w:t>NSBC — NSBC - NSIA BANQUE COTE D'IVOIRE</w:t>
      </w:r>
    </w:p>
    <w:p>
      <w:pPr>
        <w:pStyle w:val="ListBullet"/>
        <w:spacing w:before="20"/>
        <w:ind w:left="400"/>
      </w:pPr>
      <w:r>
        <w:rPr>
          <w:sz w:val="18"/>
        </w:rPr>
        <w:t>⚠️ Cours à 2.8% du plus haut 100j (24,885 FCFA)</w:t>
      </w:r>
    </w:p>
    <w:p>
      <w:pPr>
        <w:spacing w:before="120"/>
      </w:pPr>
      <w:r>
        <w:rPr>
          <w:b/>
          <w:color w:val="0050A0"/>
          <w:sz w:val="20"/>
        </w:rPr>
        <w:t>ORAC — ORAC - ORANGE COTE D'IVOIRE</w:t>
      </w:r>
    </w:p>
    <w:p>
      <w:pPr>
        <w:pStyle w:val="ListBullet"/>
        <w:spacing w:before="20"/>
        <w:ind w:left="400"/>
      </w:pPr>
      <w:r>
        <w:rPr>
          <w:sz w:val="18"/>
        </w:rPr>
        <w:t>⚠️ Cours à 0.0% du plus haut 100j (22,500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0.1% du plus haut 100j (39,275 FCFA)</w:t>
      </w:r>
    </w:p>
    <w:p>
      <w:pPr>
        <w:spacing w:before="120"/>
      </w:pPr>
      <w:r>
        <w:rPr>
          <w:b/>
          <w:color w:val="0050A0"/>
          <w:sz w:val="20"/>
        </w:rPr>
        <w:t>STAC — STAC - SETAO COTE D'IVOIRE</w:t>
      </w:r>
    </w:p>
    <w:p>
      <w:pPr>
        <w:pStyle w:val="ListBullet"/>
        <w:spacing w:before="20"/>
        <w:ind w:left="400"/>
      </w:pPr>
      <w:r>
        <w:rPr>
          <w:sz w:val="18"/>
        </w:rPr>
        <w:t>⚠️ Cours à 2.2% du plus bas 100j (2,500 FCFA)</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21.3/100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CBIBF (30.1/100 — Moyen) : </w:t>
      </w:r>
      <w:r>
        <w:rPr>
          <w:sz w:val="17"/>
        </w:rPr>
        <w:t>Volatilité=Élevée | Bêta=Neutre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-3.69%  |  Médiane : -2.96%</w:t>
            </w:r>
          </w:p>
        </w:tc>
      </w:tr>
      <w:tr>
        <w:tc>
          <w:tcPr>
            <w:tcW w:type="dxa" w:w="2835"/>
            <w:shd w:fill="DEEAF1" w:val="clear"/>
          </w:tcPr>
          <w:p>
            <w:r>
              <w:rPr>
                <w:b/>
                <w:sz w:val="18"/>
              </w:rPr>
              <w:t>Répartition</w:t>
            </w:r>
          </w:p>
        </w:tc>
        <w:tc>
          <w:tcPr>
            <w:tcW w:type="dxa" w:w="7370"/>
          </w:tcPr>
          <w:p>
            <w:r>
              <w:rPr>
                <w:b/>
                <w:sz w:val="18"/>
              </w:rPr>
              <w:t>📈 7 sociétés en hausse (&gt;+1%)   📉 34 en baisse (&lt;-1%)   ➡️ 6 neutres</w:t>
            </w:r>
          </w:p>
        </w:tc>
      </w:tr>
      <w:tr>
        <w:tc>
          <w:tcPr>
            <w:tcW w:type="dxa" w:w="2835"/>
            <w:shd w:fill="DEEAF1" w:val="clear"/>
          </w:tcPr>
          <w:p>
            <w:r>
              <w:rPr>
                <w:b/>
                <w:sz w:val="18"/>
              </w:rPr>
              <w:t>Confiance globale</w:t>
            </w:r>
          </w:p>
        </w:tc>
        <w:tc>
          <w:tcPr>
            <w:tcW w:type="dxa" w:w="7370"/>
          </w:tcPr>
          <w:p>
            <w:r>
              <w:rPr>
                <w:b/>
                <w:sz w:val="18"/>
              </w:rPr>
              <w:t>Élevée : 0 sociétés (0%)   Moyenne : 16   Faible : 31 (66%)   → Confiance dominante : Faible</w:t>
            </w:r>
          </w:p>
        </w:tc>
      </w:tr>
    </w:tbl>
    <w:p/>
    <w:p>
      <w:r>
        <w:rPr>
          <w:i/>
          <w:color w:val="282828"/>
          <w:sz w:val="18"/>
        </w:rPr>
        <w:t>📝 Analyse : Les modèles anticipent une correction généralisée. 34 sociétés sur 47 sont orientées à la baisse avec une variation moyenne de -3.69%.</w:t>
      </w:r>
    </w:p>
    <w:p>
      <w:r>
        <w:rPr>
          <w:i/>
          <w:color w:val="282828"/>
          <w:sz w:val="18"/>
        </w:rPr>
        <w:t>🎯 Fiabilité : ⚠️ La confiance est globalement FAIBLE (66%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21,900 FCFA</w:t>
            </w:r>
          </w:p>
        </w:tc>
        <w:tc>
          <w:tcPr>
            <w:tcW w:type="dxa" w:w="1417"/>
            <w:shd w:fill="FFFFFF" w:val="clear"/>
          </w:tcPr>
          <w:p>
            <w:r>
              <w:rPr>
                <w:sz w:val="16"/>
              </w:rPr>
              <w:t>24,199 FCFA</w:t>
            </w:r>
          </w:p>
        </w:tc>
        <w:tc>
          <w:tcPr>
            <w:tcW w:type="dxa" w:w="1134"/>
            <w:shd w:fill="C6EFCE" w:val="clear"/>
          </w:tcPr>
          <w:p>
            <w:r>
              <w:rPr>
                <w:b/>
                <w:color w:val="007800"/>
                <w:sz w:val="16"/>
              </w:rPr>
              <w:t>+10.50%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41,418 FCFA</w:t>
            </w:r>
          </w:p>
        </w:tc>
        <w:tc>
          <w:tcPr>
            <w:tcW w:type="dxa" w:w="1134"/>
            <w:shd w:fill="C6EFCE" w:val="clear"/>
          </w:tcPr>
          <w:p>
            <w:r>
              <w:rPr>
                <w:b/>
                <w:color w:val="007800"/>
                <w:sz w:val="16"/>
              </w:rPr>
              <w:t>+8.99%</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13,045 FCFA</w:t>
            </w:r>
          </w:p>
        </w:tc>
        <w:tc>
          <w:tcPr>
            <w:tcW w:type="dxa" w:w="1417"/>
            <w:shd w:fill="FFFFFF" w:val="clear"/>
          </w:tcPr>
          <w:p>
            <w:r>
              <w:rPr>
                <w:sz w:val="16"/>
              </w:rPr>
              <w:t>13,928 FCFA</w:t>
            </w:r>
          </w:p>
        </w:tc>
        <w:tc>
          <w:tcPr>
            <w:tcW w:type="dxa" w:w="1134"/>
            <w:shd w:fill="C6EFCE" w:val="clear"/>
          </w:tcPr>
          <w:p>
            <w:r>
              <w:rPr>
                <w:b/>
                <w:color w:val="007800"/>
                <w:sz w:val="16"/>
              </w:rPr>
              <w:t>+6.77%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4,178 FCFA</w:t>
            </w:r>
          </w:p>
        </w:tc>
        <w:tc>
          <w:tcPr>
            <w:tcW w:type="dxa" w:w="1134"/>
            <w:shd w:fill="C6EFCE" w:val="clear"/>
          </w:tcPr>
          <w:p>
            <w:r>
              <w:rPr>
                <w:b/>
                <w:color w:val="007800"/>
                <w:sz w:val="16"/>
              </w:rPr>
              <w:t>+6.31%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3,280 FCFA</w:t>
            </w:r>
          </w:p>
        </w:tc>
        <w:tc>
          <w:tcPr>
            <w:tcW w:type="dxa" w:w="1417"/>
            <w:shd w:fill="FFFFFF" w:val="clear"/>
          </w:tcPr>
          <w:p>
            <w:r>
              <w:rPr>
                <w:sz w:val="16"/>
              </w:rPr>
              <w:t>3,446 FCFA</w:t>
            </w:r>
          </w:p>
        </w:tc>
        <w:tc>
          <w:tcPr>
            <w:tcW w:type="dxa" w:w="1134"/>
            <w:shd w:fill="C6EFCE" w:val="clear"/>
          </w:tcPr>
          <w:p>
            <w:r>
              <w:rPr>
                <w:b/>
                <w:color w:val="007800"/>
                <w:sz w:val="16"/>
              </w:rPr>
              <w:t>+5.06%</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(+10.5%) — potentiel de revalorisation notable. Trajectoire : 📈 Hausse continue. Cours actuel : 21,900 FCFA → prédit J+10 : 24,199 FCFA. ⚠️ Confiance limitée — volatilité élevée ou données insuffisantes. Résultat indicatif uniquement.</w:t>
      </w:r>
    </w:p>
    <w:p>
      <w:pPr>
        <w:pStyle w:val="ListBullet"/>
      </w:pPr>
      <w:r>
        <w:rPr>
          <w:b/>
          <w:color w:val="006400"/>
          <w:sz w:val="18"/>
        </w:rPr>
        <w:t xml:space="preserve">#2 SLBC </w:t>
      </w:r>
      <w:r>
        <w:rPr>
          <w:sz w:val="17"/>
        </w:rPr>
        <w:t>(SLBC - SOLIBRA COTE D'IVOIRE) — hausse modérée (+9.0%) — signal raisonnable et crédible. Trajectoire : 📈 Hausse continue. Cours actuel : 38,000 FCFA → prédit J+10 : 41,418 FCFA. Confiance partielle — les premiers jours sont fiables, les jours lointains moins précis.</w:t>
      </w:r>
    </w:p>
    <w:p>
      <w:pPr>
        <w:pStyle w:val="ListBullet"/>
      </w:pPr>
      <w:r>
        <w:rPr>
          <w:b/>
          <w:color w:val="006400"/>
          <w:sz w:val="18"/>
        </w:rPr>
        <w:t xml:space="preserve">#3 SDCC </w:t>
      </w:r>
      <w:r>
        <w:rPr>
          <w:sz w:val="17"/>
        </w:rPr>
        <w:t>(SDCC - Société de Distribution d'Eau de ) — hausse modérée (+6.8%) — signal raisonnable et crédible. Trajectoire : 📈 Hausse continue. Cours actuel : 13,045 FCFA → prédit J+10 : 13,928 FCFA. ⚠️ Confiance limitée — volatilité élevée ou données insuffisantes. Résultat indicatif uniquement.</w:t>
      </w:r>
    </w:p>
    <w:p>
      <w:pPr>
        <w:pStyle w:val="ListBullet"/>
      </w:pPr>
      <w:r>
        <w:rPr>
          <w:b/>
          <w:color w:val="006400"/>
          <w:sz w:val="18"/>
        </w:rPr>
        <w:t xml:space="preserve">#4 LNBB </w:t>
      </w:r>
      <w:r>
        <w:rPr>
          <w:sz w:val="17"/>
        </w:rPr>
        <w:t>(LNBB - LOTERIE NATIONALE DU BENIN) — hausse modérée (+6.3%) — signal raisonnable et crédible. Trajectoire : 📈 Hausse continue. Cours actuel : 3,930 FCFA → prédit J+10 : 4,178 FCFA. ⚠️ Confiance limitée — volatilité élevée ou données insuffisantes. Résultat indicatif uniquement.</w:t>
      </w:r>
    </w:p>
    <w:p>
      <w:pPr>
        <w:pStyle w:val="ListBullet"/>
      </w:pPr>
      <w:r>
        <w:rPr>
          <w:b/>
          <w:color w:val="006400"/>
          <w:sz w:val="18"/>
        </w:rPr>
        <w:t xml:space="preserve">#5 SCRC </w:t>
      </w:r>
      <w:r>
        <w:rPr>
          <w:sz w:val="17"/>
        </w:rPr>
        <w:t>(SCRC - SUCRIVOIRE) — hausse modérée (+5.1%) — signal raisonnable et crédible. Trajectoire : 📈 Hausse continue. Cours actuel : 3,280 FCFA → prédit J+10 : 3,446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2,740 FCFA</w:t>
            </w:r>
          </w:p>
        </w:tc>
        <w:tc>
          <w:tcPr>
            <w:tcW w:type="dxa" w:w="1417"/>
            <w:shd w:fill="FFFFFF" w:val="clear"/>
          </w:tcPr>
          <w:p>
            <w:r>
              <w:rPr>
                <w:sz w:val="16"/>
              </w:rPr>
              <w:t>2,255 FCFA</w:t>
            </w:r>
          </w:p>
        </w:tc>
        <w:tc>
          <w:tcPr>
            <w:tcW w:type="dxa" w:w="1134"/>
            <w:shd w:fill="FFC7CE" w:val="clear"/>
          </w:tcPr>
          <w:p>
            <w:r>
              <w:rPr>
                <w:b/>
                <w:color w:val="B40000"/>
                <w:sz w:val="16"/>
              </w:rPr>
              <w:t>-17.70%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33,905 FCFA</w:t>
            </w:r>
          </w:p>
        </w:tc>
        <w:tc>
          <w:tcPr>
            <w:tcW w:type="dxa" w:w="1417"/>
            <w:shd w:fill="FFFFFF" w:val="clear"/>
          </w:tcPr>
          <w:p>
            <w:r>
              <w:rPr>
                <w:sz w:val="16"/>
              </w:rPr>
              <w:t>28,519 FCFA</w:t>
            </w:r>
          </w:p>
        </w:tc>
        <w:tc>
          <w:tcPr>
            <w:tcW w:type="dxa" w:w="1134"/>
            <w:shd w:fill="FFC7CE" w:val="clear"/>
          </w:tcPr>
          <w:p>
            <w:r>
              <w:rPr>
                <w:b/>
                <w:color w:val="B40000"/>
                <w:sz w:val="16"/>
              </w:rPr>
              <w:t>-15.89%</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6,980 FCFA</w:t>
            </w:r>
          </w:p>
        </w:tc>
        <w:tc>
          <w:tcPr>
            <w:tcW w:type="dxa" w:w="1417"/>
            <w:shd w:fill="FFFFFF" w:val="clear"/>
          </w:tcPr>
          <w:p>
            <w:r>
              <w:rPr>
                <w:sz w:val="16"/>
              </w:rPr>
              <w:t>5,983 FCFA</w:t>
            </w:r>
          </w:p>
        </w:tc>
        <w:tc>
          <w:tcPr>
            <w:tcW w:type="dxa" w:w="1134"/>
            <w:shd w:fill="FFC7CE" w:val="clear"/>
          </w:tcPr>
          <w:p>
            <w:r>
              <w:rPr>
                <w:b/>
                <w:color w:val="B40000"/>
                <w:sz w:val="16"/>
              </w:rPr>
              <w:t>-14.29%</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8,495 FCFA</w:t>
            </w:r>
          </w:p>
        </w:tc>
        <w:tc>
          <w:tcPr>
            <w:tcW w:type="dxa" w:w="1417"/>
            <w:shd w:fill="FFFFFF" w:val="clear"/>
          </w:tcPr>
          <w:p>
            <w:r>
              <w:rPr>
                <w:sz w:val="16"/>
              </w:rPr>
              <w:t>7,318 FCFA</w:t>
            </w:r>
          </w:p>
        </w:tc>
        <w:tc>
          <w:tcPr>
            <w:tcW w:type="dxa" w:w="1134"/>
            <w:shd w:fill="FFC7CE" w:val="clear"/>
          </w:tcPr>
          <w:p>
            <w:r>
              <w:rPr>
                <w:b/>
                <w:color w:val="B40000"/>
                <w:sz w:val="16"/>
              </w:rPr>
              <w:t>-13.85%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2,845 FCFA</w:t>
            </w:r>
          </w:p>
        </w:tc>
        <w:tc>
          <w:tcPr>
            <w:tcW w:type="dxa" w:w="1417"/>
            <w:shd w:fill="FFFFFF" w:val="clear"/>
          </w:tcPr>
          <w:p>
            <w:r>
              <w:rPr>
                <w:sz w:val="16"/>
              </w:rPr>
              <w:t>2,482 FCFA</w:t>
            </w:r>
          </w:p>
        </w:tc>
        <w:tc>
          <w:tcPr>
            <w:tcW w:type="dxa" w:w="1134"/>
            <w:shd w:fill="FFC7CE" w:val="clear"/>
          </w:tcPr>
          <w:p>
            <w:r>
              <w:rPr>
                <w:b/>
                <w:color w:val="B40000"/>
                <w:sz w:val="16"/>
              </w:rPr>
              <w:t>-12.77%</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(-17.7%) — signal de dégradation significative. Trajectoire : 📉 Baisse continue. Cours actuel : 2,740 FCFA → prédit J+10 : 2,255 FCFA. ⚠️ Confiance limitée — volatilité élevée. Ne pas agir sur ce seul signal.</w:t>
      </w:r>
    </w:p>
    <w:p>
      <w:pPr>
        <w:pStyle w:val="ListBullet"/>
      </w:pPr>
      <w:r>
        <w:rPr>
          <w:b/>
          <w:color w:val="B40000"/>
          <w:sz w:val="18"/>
        </w:rPr>
        <w:t xml:space="preserve">#2 CBIBF </w:t>
      </w:r>
      <w:r>
        <w:rPr>
          <w:sz w:val="17"/>
        </w:rPr>
        <w:t>(CBIBF - CORIS BANK INTERNATIONAL BURKINA) — correction importante (-15.9%) — signal de dégradation significative. Trajectoire : 📉 Baisse continue. Cours actuel : 33,905 FCFA → prédit J+10 : 28,519 FCFA. Confiance partielle — surveiller l'évolution réelle des premiers jours.</w:t>
      </w:r>
    </w:p>
    <w:p>
      <w:pPr>
        <w:pStyle w:val="ListBullet"/>
      </w:pPr>
      <w:r>
        <w:rPr>
          <w:b/>
          <w:color w:val="B40000"/>
          <w:sz w:val="18"/>
        </w:rPr>
        <w:t xml:space="preserve">#3 CIEC </w:t>
      </w:r>
      <w:r>
        <w:rPr>
          <w:sz w:val="17"/>
        </w:rPr>
        <w:t>(CIEC - Compagnie Ivoirienne d'Electricit) — baisse modérée (-14.3%) — repli technique attendu. Trajectoire : 📉 Baisse continue. Cours actuel : 6,980 FCFA → prédit J+10 : 5,983 FCFA. ⚠️ Confiance limitée — volatilité élevée. Ne pas agir sur ce seul signal.</w:t>
      </w:r>
    </w:p>
    <w:p>
      <w:pPr>
        <w:pStyle w:val="ListBullet"/>
      </w:pPr>
      <w:r>
        <w:rPr>
          <w:b/>
          <w:color w:val="B40000"/>
          <w:sz w:val="18"/>
        </w:rPr>
        <w:t xml:space="preserve">#4 SICC </w:t>
      </w:r>
      <w:r>
        <w:rPr>
          <w:sz w:val="17"/>
        </w:rPr>
        <w:t>(SICC - SICOR COTE D'IVOIRE) — baisse modérée (-13.9%) — repli technique attendu. Trajectoire : 📉 Baisse continue. Cours actuel : 8,495 FCFA → prédit J+10 : 7,318 FCFA. ⚠️ Confiance limitée — volatilité élevée. Ne pas agir sur ce seul signal.</w:t>
      </w:r>
    </w:p>
    <w:p>
      <w:pPr>
        <w:pStyle w:val="ListBullet"/>
      </w:pPr>
      <w:r>
        <w:rPr>
          <w:b/>
          <w:color w:val="B40000"/>
          <w:sz w:val="18"/>
        </w:rPr>
        <w:t xml:space="preserve">#5 NEIC </w:t>
      </w:r>
      <w:r>
        <w:rPr>
          <w:sz w:val="17"/>
        </w:rPr>
        <w:t>(NEIC - NEI-CEDA CI) — baisse modérée (-12.8%) — repli technique attendu. Trajectoire : 📉 Baisse continue. Cours actuel : 2,845 FCFA → prédit J+10 : 2,482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21,900</w:t>
            </w:r>
          </w:p>
        </w:tc>
        <w:tc>
          <w:tcPr>
            <w:tcW w:type="dxa" w:w="1417"/>
            <w:shd w:fill="FFFFFF" w:val="clear"/>
          </w:tcPr>
          <w:p>
            <w:r>
              <w:rPr>
                <w:sz w:val="16"/>
              </w:rPr>
              <w:t>24,199</w:t>
            </w:r>
          </w:p>
        </w:tc>
        <w:tc>
          <w:tcPr>
            <w:tcW w:type="dxa" w:w="1134"/>
            <w:shd w:fill="C6EFCE" w:val="clear"/>
          </w:tcPr>
          <w:p>
            <w:r>
              <w:rPr>
                <w:b/>
                <w:color w:val="007800"/>
                <w:sz w:val="16"/>
              </w:rPr>
              <w:t>+10.50%</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41,418</w:t>
            </w:r>
          </w:p>
        </w:tc>
        <w:tc>
          <w:tcPr>
            <w:tcW w:type="dxa" w:w="1134"/>
            <w:shd w:fill="C6EFCE" w:val="clear"/>
          </w:tcPr>
          <w:p>
            <w:r>
              <w:rPr>
                <w:b/>
                <w:color w:val="007800"/>
                <w:sz w:val="16"/>
              </w:rPr>
              <w:t>+8.99%</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13,045</w:t>
            </w:r>
          </w:p>
        </w:tc>
        <w:tc>
          <w:tcPr>
            <w:tcW w:type="dxa" w:w="1417"/>
            <w:shd w:fill="FFFFFF" w:val="clear"/>
          </w:tcPr>
          <w:p>
            <w:r>
              <w:rPr>
                <w:sz w:val="16"/>
              </w:rPr>
              <w:t>13,928</w:t>
            </w:r>
          </w:p>
        </w:tc>
        <w:tc>
          <w:tcPr>
            <w:tcW w:type="dxa" w:w="1134"/>
            <w:shd w:fill="C6EFCE" w:val="clear"/>
          </w:tcPr>
          <w:p>
            <w:r>
              <w:rPr>
                <w:b/>
                <w:color w:val="007800"/>
                <w:sz w:val="16"/>
              </w:rPr>
              <w:t>+6.77%</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3,930</w:t>
            </w:r>
          </w:p>
        </w:tc>
        <w:tc>
          <w:tcPr>
            <w:tcW w:type="dxa" w:w="1417"/>
            <w:shd w:fill="FFFFFF" w:val="clear"/>
          </w:tcPr>
          <w:p>
            <w:r>
              <w:rPr>
                <w:sz w:val="16"/>
              </w:rPr>
              <w:t>4,178</w:t>
            </w:r>
          </w:p>
        </w:tc>
        <w:tc>
          <w:tcPr>
            <w:tcW w:type="dxa" w:w="1134"/>
            <w:shd w:fill="C6EFCE" w:val="clear"/>
          </w:tcPr>
          <w:p>
            <w:r>
              <w:rPr>
                <w:b/>
                <w:color w:val="007800"/>
                <w:sz w:val="16"/>
              </w:rPr>
              <w:t>+6.31%</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3,280</w:t>
            </w:r>
          </w:p>
        </w:tc>
        <w:tc>
          <w:tcPr>
            <w:tcW w:type="dxa" w:w="1417"/>
            <w:shd w:fill="FFFFFF" w:val="clear"/>
          </w:tcPr>
          <w:p>
            <w:r>
              <w:rPr>
                <w:sz w:val="16"/>
              </w:rPr>
              <w:t>3,446</w:t>
            </w:r>
          </w:p>
        </w:tc>
        <w:tc>
          <w:tcPr>
            <w:tcW w:type="dxa" w:w="1134"/>
            <w:shd w:fill="C6EFCE" w:val="clear"/>
          </w:tcPr>
          <w:p>
            <w:r>
              <w:rPr>
                <w:b/>
                <w:color w:val="007800"/>
                <w:sz w:val="16"/>
              </w:rPr>
              <w:t>+5.06%</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7,095</w:t>
            </w:r>
          </w:p>
        </w:tc>
        <w:tc>
          <w:tcPr>
            <w:tcW w:type="dxa" w:w="1417"/>
            <w:shd w:fill="FFFFFF" w:val="clear"/>
          </w:tcPr>
          <w:p>
            <w:r>
              <w:rPr>
                <w:sz w:val="16"/>
              </w:rPr>
              <w:t>7,241</w:t>
            </w:r>
          </w:p>
        </w:tc>
        <w:tc>
          <w:tcPr>
            <w:tcW w:type="dxa" w:w="1134"/>
            <w:shd w:fill="C6EFCE" w:val="clear"/>
          </w:tcPr>
          <w:p>
            <w:r>
              <w:rPr>
                <w:b/>
                <w:color w:val="007800"/>
                <w:sz w:val="16"/>
              </w:rPr>
              <w:t>+2.06%</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17,100</w:t>
            </w:r>
          </w:p>
        </w:tc>
        <w:tc>
          <w:tcPr>
            <w:tcW w:type="dxa" w:w="1417"/>
            <w:shd w:fill="FFFFFF" w:val="clear"/>
          </w:tcPr>
          <w:p>
            <w:r>
              <w:rPr>
                <w:sz w:val="16"/>
              </w:rPr>
              <w:t>17,401</w:t>
            </w:r>
          </w:p>
        </w:tc>
        <w:tc>
          <w:tcPr>
            <w:tcW w:type="dxa" w:w="1134"/>
            <w:shd w:fill="C6EFCE" w:val="clear"/>
          </w:tcPr>
          <w:p>
            <w:r>
              <w:rPr>
                <w:b/>
                <w:color w:val="007800"/>
                <w:sz w:val="16"/>
              </w:rPr>
              <w:t>+1.76%</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1,725</w:t>
            </w:r>
          </w:p>
        </w:tc>
        <w:tc>
          <w:tcPr>
            <w:tcW w:type="dxa" w:w="1417"/>
            <w:shd w:fill="FFFFFF" w:val="clear"/>
          </w:tcPr>
          <w:p>
            <w:r>
              <w:rPr>
                <w:sz w:val="16"/>
              </w:rPr>
              <w:t>1,742</w:t>
            </w:r>
          </w:p>
        </w:tc>
        <w:tc>
          <w:tcPr>
            <w:tcW w:type="dxa" w:w="1134"/>
            <w:shd w:fill="FFEB9C" w:val="clear"/>
          </w:tcPr>
          <w:p>
            <w:r>
              <w:rPr>
                <w:b/>
                <w:color w:val="646400"/>
                <w:sz w:val="16"/>
              </w:rPr>
              <w:t>+0.97%</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3,250</w:t>
            </w:r>
          </w:p>
        </w:tc>
        <w:tc>
          <w:tcPr>
            <w:tcW w:type="dxa" w:w="1417"/>
            <w:shd w:fill="FFFFFF" w:val="clear"/>
          </w:tcPr>
          <w:p>
            <w:r>
              <w:rPr>
                <w:sz w:val="16"/>
              </w:rPr>
              <w:t>3,281</w:t>
            </w:r>
          </w:p>
        </w:tc>
        <w:tc>
          <w:tcPr>
            <w:tcW w:type="dxa" w:w="1134"/>
            <w:shd w:fill="FFEB9C" w:val="clear"/>
          </w:tcPr>
          <w:p>
            <w:r>
              <w:rPr>
                <w:b/>
                <w:color w:val="646400"/>
                <w:sz w:val="16"/>
              </w:rPr>
              <w:t>+0.95%</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24,200</w:t>
            </w:r>
          </w:p>
        </w:tc>
        <w:tc>
          <w:tcPr>
            <w:tcW w:type="dxa" w:w="1417"/>
            <w:shd w:fill="FFFFFF" w:val="clear"/>
          </w:tcPr>
          <w:p>
            <w:r>
              <w:rPr>
                <w:sz w:val="16"/>
              </w:rPr>
              <w:t>24,141</w:t>
            </w:r>
          </w:p>
        </w:tc>
        <w:tc>
          <w:tcPr>
            <w:tcW w:type="dxa" w:w="1134"/>
            <w:shd w:fill="FFEB9C" w:val="clear"/>
          </w:tcPr>
          <w:p>
            <w:r>
              <w:rPr>
                <w:b/>
                <w:color w:val="646400"/>
                <w:sz w:val="16"/>
              </w:rPr>
              <w:t>-0.24%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16,828</w:t>
            </w:r>
          </w:p>
        </w:tc>
        <w:tc>
          <w:tcPr>
            <w:tcW w:type="dxa" w:w="1134"/>
            <w:shd w:fill="FFEB9C" w:val="clear"/>
          </w:tcPr>
          <w:p>
            <w:r>
              <w:rPr>
                <w:b/>
                <w:color w:val="646400"/>
                <w:sz w:val="16"/>
              </w:rPr>
              <w:t>-0.42%</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3,090</w:t>
            </w:r>
          </w:p>
        </w:tc>
        <w:tc>
          <w:tcPr>
            <w:tcW w:type="dxa" w:w="1417"/>
            <w:shd w:fill="FFFFFF" w:val="clear"/>
          </w:tcPr>
          <w:p>
            <w:r>
              <w:rPr>
                <w:sz w:val="16"/>
              </w:rPr>
              <w:t>3,063</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8,700</w:t>
            </w:r>
          </w:p>
        </w:tc>
        <w:tc>
          <w:tcPr>
            <w:tcW w:type="dxa" w:w="1417"/>
            <w:shd w:fill="FFFFFF" w:val="clear"/>
          </w:tcPr>
          <w:p>
            <w:r>
              <w:rPr>
                <w:sz w:val="16"/>
              </w:rPr>
              <w:t>8,621</w:t>
            </w:r>
          </w:p>
        </w:tc>
        <w:tc>
          <w:tcPr>
            <w:tcW w:type="dxa" w:w="1134"/>
            <w:shd w:fill="FFEB9C" w:val="clear"/>
          </w:tcPr>
          <w:p>
            <w:r>
              <w:rPr>
                <w:b/>
                <w:color w:val="646400"/>
                <w:sz w:val="16"/>
              </w:rPr>
              <w:t>-0.90%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53,434</w:t>
            </w:r>
          </w:p>
        </w:tc>
        <w:tc>
          <w:tcPr>
            <w:tcW w:type="dxa" w:w="1134"/>
            <w:shd w:fill="FFC7CE" w:val="clear"/>
          </w:tcPr>
          <w:p>
            <w:r>
              <w:rPr>
                <w:b/>
                <w:color w:val="B40000"/>
                <w:sz w:val="16"/>
              </w:rPr>
              <w:t>-1.05%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5,575</w:t>
            </w:r>
          </w:p>
        </w:tc>
        <w:tc>
          <w:tcPr>
            <w:tcW w:type="dxa" w:w="1417"/>
            <w:shd w:fill="FFFFFF" w:val="clear"/>
          </w:tcPr>
          <w:p>
            <w:r>
              <w:rPr>
                <w:sz w:val="16"/>
              </w:rPr>
              <w:t>5,503</w:t>
            </w:r>
          </w:p>
        </w:tc>
        <w:tc>
          <w:tcPr>
            <w:tcW w:type="dxa" w:w="1134"/>
            <w:shd w:fill="FFC7CE" w:val="clear"/>
          </w:tcPr>
          <w:p>
            <w:r>
              <w:rPr>
                <w:b/>
                <w:color w:val="B40000"/>
                <w:sz w:val="16"/>
              </w:rPr>
              <w:t>-1.30%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22,500</w:t>
            </w:r>
          </w:p>
        </w:tc>
        <w:tc>
          <w:tcPr>
            <w:tcW w:type="dxa" w:w="1417"/>
            <w:shd w:fill="FFFFFF" w:val="clear"/>
          </w:tcPr>
          <w:p>
            <w:r>
              <w:rPr>
                <w:sz w:val="16"/>
              </w:rPr>
              <w:t>22,161</w:t>
            </w:r>
          </w:p>
        </w:tc>
        <w:tc>
          <w:tcPr>
            <w:tcW w:type="dxa" w:w="1134"/>
            <w:shd w:fill="FFC7CE" w:val="clear"/>
          </w:tcPr>
          <w:p>
            <w:r>
              <w:rPr>
                <w:b/>
                <w:color w:val="B40000"/>
                <w:sz w:val="16"/>
              </w:rPr>
              <w:t>-1.50%</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7,961</w:t>
            </w:r>
          </w:p>
        </w:tc>
        <w:tc>
          <w:tcPr>
            <w:tcW w:type="dxa" w:w="1134"/>
            <w:shd w:fill="FFC7CE" w:val="clear"/>
          </w:tcPr>
          <w:p>
            <w:r>
              <w:rPr>
                <w:b/>
                <w:color w:val="B40000"/>
                <w:sz w:val="16"/>
              </w:rPr>
              <w:t>-1.72%</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39,240</w:t>
            </w:r>
          </w:p>
        </w:tc>
        <w:tc>
          <w:tcPr>
            <w:tcW w:type="dxa" w:w="1417"/>
            <w:shd w:fill="FFFFFF" w:val="clear"/>
          </w:tcPr>
          <w:p>
            <w:r>
              <w:rPr>
                <w:sz w:val="16"/>
              </w:rPr>
              <w:t>38,502</w:t>
            </w:r>
          </w:p>
        </w:tc>
        <w:tc>
          <w:tcPr>
            <w:tcW w:type="dxa" w:w="1134"/>
            <w:shd w:fill="FFC7CE" w:val="clear"/>
          </w:tcPr>
          <w:p>
            <w:r>
              <w:rPr>
                <w:b/>
                <w:color w:val="B40000"/>
                <w:sz w:val="16"/>
              </w:rPr>
              <w:t>-1.88%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18,300</w:t>
            </w:r>
          </w:p>
        </w:tc>
        <w:tc>
          <w:tcPr>
            <w:tcW w:type="dxa" w:w="1417"/>
            <w:shd w:fill="FFFFFF" w:val="clear"/>
          </w:tcPr>
          <w:p>
            <w:r>
              <w:rPr>
                <w:sz w:val="16"/>
              </w:rPr>
              <w:t>17,935</w:t>
            </w:r>
          </w:p>
        </w:tc>
        <w:tc>
          <w:tcPr>
            <w:tcW w:type="dxa" w:w="1134"/>
            <w:shd w:fill="FFC7CE" w:val="clear"/>
          </w:tcPr>
          <w:p>
            <w:r>
              <w:rPr>
                <w:b/>
                <w:color w:val="B40000"/>
                <w:sz w:val="16"/>
              </w:rPr>
              <w:t>-1.99%</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8,100</w:t>
            </w:r>
          </w:p>
        </w:tc>
        <w:tc>
          <w:tcPr>
            <w:tcW w:type="dxa" w:w="1417"/>
            <w:shd w:fill="FFFFFF" w:val="clear"/>
          </w:tcPr>
          <w:p>
            <w:r>
              <w:rPr>
                <w:sz w:val="16"/>
              </w:rPr>
              <w:t>7,936</w:t>
            </w:r>
          </w:p>
        </w:tc>
        <w:tc>
          <w:tcPr>
            <w:tcW w:type="dxa" w:w="1134"/>
            <w:shd w:fill="FFC7CE" w:val="clear"/>
          </w:tcPr>
          <w:p>
            <w:r>
              <w:rPr>
                <w:b/>
                <w:color w:val="B40000"/>
                <w:sz w:val="16"/>
              </w:rPr>
              <w:t>-2.03%</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2,805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5,200</w:t>
            </w:r>
          </w:p>
        </w:tc>
        <w:tc>
          <w:tcPr>
            <w:tcW w:type="dxa" w:w="1417"/>
            <w:shd w:fill="FFFFFF" w:val="clear"/>
          </w:tcPr>
          <w:p>
            <w:r>
              <w:rPr>
                <w:sz w:val="16"/>
              </w:rPr>
              <w:t>5,080</w:t>
            </w:r>
          </w:p>
        </w:tc>
        <w:tc>
          <w:tcPr>
            <w:tcW w:type="dxa" w:w="1134"/>
            <w:shd w:fill="FFC7CE" w:val="clear"/>
          </w:tcPr>
          <w:p>
            <w:r>
              <w:rPr>
                <w:b/>
                <w:color w:val="B40000"/>
                <w:sz w:val="16"/>
              </w:rPr>
              <w:t>-2.30%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4,375</w:t>
            </w:r>
          </w:p>
        </w:tc>
        <w:tc>
          <w:tcPr>
            <w:tcW w:type="dxa" w:w="1417"/>
            <w:shd w:fill="FFFFFF" w:val="clear"/>
          </w:tcPr>
          <w:p>
            <w:r>
              <w:rPr>
                <w:sz w:val="16"/>
              </w:rPr>
              <w:t>4,252</w:t>
            </w:r>
          </w:p>
        </w:tc>
        <w:tc>
          <w:tcPr>
            <w:tcW w:type="dxa" w:w="1134"/>
            <w:shd w:fill="FFC7CE" w:val="clear"/>
          </w:tcPr>
          <w:p>
            <w:r>
              <w:rPr>
                <w:b/>
                <w:color w:val="B40000"/>
                <w:sz w:val="16"/>
              </w:rPr>
              <w:t>-2.81%</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4,000</w:t>
            </w:r>
          </w:p>
        </w:tc>
        <w:tc>
          <w:tcPr>
            <w:tcW w:type="dxa" w:w="1417"/>
            <w:shd w:fill="FFFFFF" w:val="clear"/>
          </w:tcPr>
          <w:p>
            <w:r>
              <w:rPr>
                <w:sz w:val="16"/>
              </w:rPr>
              <w:t>3,882</w:t>
            </w:r>
          </w:p>
        </w:tc>
        <w:tc>
          <w:tcPr>
            <w:tcW w:type="dxa" w:w="1134"/>
            <w:shd w:fill="FFC7CE" w:val="clear"/>
          </w:tcPr>
          <w:p>
            <w:r>
              <w:rPr>
                <w:b/>
                <w:color w:val="B40000"/>
                <w:sz w:val="16"/>
              </w:rPr>
              <w:t>-2.96%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8,600</w:t>
            </w:r>
          </w:p>
        </w:tc>
        <w:tc>
          <w:tcPr>
            <w:tcW w:type="dxa" w:w="1417"/>
            <w:shd w:fill="FFFFFF" w:val="clear"/>
          </w:tcPr>
          <w:p>
            <w:r>
              <w:rPr>
                <w:sz w:val="16"/>
              </w:rPr>
              <w:t>8,324</w:t>
            </w:r>
          </w:p>
        </w:tc>
        <w:tc>
          <w:tcPr>
            <w:tcW w:type="dxa" w:w="1134"/>
            <w:shd w:fill="FFC7CE" w:val="clear"/>
          </w:tcPr>
          <w:p>
            <w:r>
              <w:rPr>
                <w:b/>
                <w:color w:val="B40000"/>
                <w:sz w:val="16"/>
              </w:rPr>
              <w:t>-3.21%</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33,015</w:t>
            </w:r>
          </w:p>
        </w:tc>
        <w:tc>
          <w:tcPr>
            <w:tcW w:type="dxa" w:w="1417"/>
            <w:shd w:fill="FFFFFF" w:val="clear"/>
          </w:tcPr>
          <w:p>
            <w:r>
              <w:rPr>
                <w:sz w:val="16"/>
              </w:rPr>
              <w:t>31,815</w:t>
            </w:r>
          </w:p>
        </w:tc>
        <w:tc>
          <w:tcPr>
            <w:tcW w:type="dxa" w:w="1134"/>
            <w:shd w:fill="FFC7CE" w:val="clear"/>
          </w:tcPr>
          <w:p>
            <w:r>
              <w:rPr>
                <w:b/>
                <w:color w:val="B40000"/>
                <w:sz w:val="16"/>
              </w:rPr>
              <w:t>-3.64%</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1,520</w:t>
            </w:r>
          </w:p>
        </w:tc>
        <w:tc>
          <w:tcPr>
            <w:tcW w:type="dxa" w:w="1417"/>
            <w:shd w:fill="FFFFFF" w:val="clear"/>
          </w:tcPr>
          <w:p>
            <w:r>
              <w:rPr>
                <w:sz w:val="16"/>
              </w:rPr>
              <w:t>1,457</w:t>
            </w:r>
          </w:p>
        </w:tc>
        <w:tc>
          <w:tcPr>
            <w:tcW w:type="dxa" w:w="1134"/>
            <w:shd w:fill="FFC7CE" w:val="clear"/>
          </w:tcPr>
          <w:p>
            <w:r>
              <w:rPr>
                <w:b/>
                <w:color w:val="B40000"/>
                <w:sz w:val="16"/>
              </w:rPr>
              <w:t>-4.13%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37,324</w:t>
            </w:r>
          </w:p>
        </w:tc>
        <w:tc>
          <w:tcPr>
            <w:tcW w:type="dxa" w:w="1134"/>
            <w:shd w:fill="FFC7CE" w:val="clear"/>
          </w:tcPr>
          <w:p>
            <w:r>
              <w:rPr>
                <w:b/>
                <w:color w:val="B40000"/>
                <w:sz w:val="16"/>
              </w:rPr>
              <w:t>-4.30%</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2,265</w:t>
            </w:r>
          </w:p>
        </w:tc>
        <w:tc>
          <w:tcPr>
            <w:tcW w:type="dxa" w:w="1417"/>
            <w:shd w:fill="FFFFFF" w:val="clear"/>
          </w:tcPr>
          <w:p>
            <w:r>
              <w:rPr>
                <w:sz w:val="16"/>
              </w:rPr>
              <w:t>2,163</w:t>
            </w:r>
          </w:p>
        </w:tc>
        <w:tc>
          <w:tcPr>
            <w:tcW w:type="dxa" w:w="1134"/>
            <w:shd w:fill="FFC7CE" w:val="clear"/>
          </w:tcPr>
          <w:p>
            <w:r>
              <w:rPr>
                <w:b/>
                <w:color w:val="B40000"/>
                <w:sz w:val="16"/>
              </w:rPr>
              <w:t>-4.51%</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2,290</w:t>
            </w:r>
          </w:p>
        </w:tc>
        <w:tc>
          <w:tcPr>
            <w:tcW w:type="dxa" w:w="1134"/>
            <w:shd w:fill="FFC7CE" w:val="clear"/>
          </w:tcPr>
          <w:p>
            <w:r>
              <w:rPr>
                <w:b/>
                <w:color w:val="B40000"/>
                <w:sz w:val="16"/>
              </w:rPr>
              <w:t>-4.59%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68</w:t>
            </w:r>
          </w:p>
        </w:tc>
        <w:tc>
          <w:tcPr>
            <w:tcW w:type="dxa" w:w="1134"/>
            <w:shd w:fill="FFC7CE" w:val="clear"/>
          </w:tcPr>
          <w:p>
            <w:r>
              <w:rPr>
                <w:b/>
                <w:color w:val="B40000"/>
                <w:sz w:val="16"/>
              </w:rPr>
              <w:t>-4.90%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10,200</w:t>
            </w:r>
          </w:p>
        </w:tc>
        <w:tc>
          <w:tcPr>
            <w:tcW w:type="dxa" w:w="1417"/>
            <w:shd w:fill="FFFFFF" w:val="clear"/>
          </w:tcPr>
          <w:p>
            <w:r>
              <w:rPr>
                <w:sz w:val="16"/>
              </w:rPr>
              <w:t>9,695</w:t>
            </w:r>
          </w:p>
        </w:tc>
        <w:tc>
          <w:tcPr>
            <w:tcW w:type="dxa" w:w="1134"/>
            <w:shd w:fill="FFC7CE" w:val="clear"/>
          </w:tcPr>
          <w:p>
            <w:r>
              <w:rPr>
                <w:b/>
                <w:color w:val="B40000"/>
                <w:sz w:val="16"/>
              </w:rPr>
              <w:t>-4.95%</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8,350</w:t>
            </w:r>
          </w:p>
        </w:tc>
        <w:tc>
          <w:tcPr>
            <w:tcW w:type="dxa" w:w="1417"/>
            <w:shd w:fill="FFFFFF" w:val="clear"/>
          </w:tcPr>
          <w:p>
            <w:r>
              <w:rPr>
                <w:sz w:val="16"/>
              </w:rPr>
              <w:t>7,936</w:t>
            </w:r>
          </w:p>
        </w:tc>
        <w:tc>
          <w:tcPr>
            <w:tcW w:type="dxa" w:w="1134"/>
            <w:shd w:fill="FFC7CE" w:val="clear"/>
          </w:tcPr>
          <w:p>
            <w:r>
              <w:rPr>
                <w:b/>
                <w:color w:val="B40000"/>
                <w:sz w:val="16"/>
              </w:rPr>
              <w:t>-4.96%</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3,490</w:t>
            </w:r>
          </w:p>
        </w:tc>
        <w:tc>
          <w:tcPr>
            <w:tcW w:type="dxa" w:w="1417"/>
            <w:shd w:fill="FFFFFF" w:val="clear"/>
          </w:tcPr>
          <w:p>
            <w:r>
              <w:rPr>
                <w:sz w:val="16"/>
              </w:rPr>
              <w:t>3,282</w:t>
            </w:r>
          </w:p>
        </w:tc>
        <w:tc>
          <w:tcPr>
            <w:tcW w:type="dxa" w:w="1134"/>
            <w:shd w:fill="FFC7CE" w:val="clear"/>
          </w:tcPr>
          <w:p>
            <w:r>
              <w:rPr>
                <w:b/>
                <w:color w:val="B40000"/>
                <w:sz w:val="16"/>
              </w:rPr>
              <w:t>-5.95%</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2,120</w:t>
            </w:r>
          </w:p>
        </w:tc>
        <w:tc>
          <w:tcPr>
            <w:tcW w:type="dxa" w:w="1417"/>
            <w:shd w:fill="FFFFFF" w:val="clear"/>
          </w:tcPr>
          <w:p>
            <w:r>
              <w:rPr>
                <w:sz w:val="16"/>
              </w:rPr>
              <w:t>1,964</w:t>
            </w:r>
          </w:p>
        </w:tc>
        <w:tc>
          <w:tcPr>
            <w:tcW w:type="dxa" w:w="1134"/>
            <w:shd w:fill="FFC7CE" w:val="clear"/>
          </w:tcPr>
          <w:p>
            <w:r>
              <w:rPr>
                <w:b/>
                <w:color w:val="B40000"/>
                <w:sz w:val="16"/>
              </w:rPr>
              <w:t>-7.38%</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8,606</w:t>
            </w:r>
          </w:p>
        </w:tc>
        <w:tc>
          <w:tcPr>
            <w:tcW w:type="dxa" w:w="1134"/>
            <w:shd w:fill="FFC7CE" w:val="clear"/>
          </w:tcPr>
          <w:p>
            <w:r>
              <w:rPr>
                <w:b/>
                <w:color w:val="B40000"/>
                <w:sz w:val="16"/>
              </w:rPr>
              <w:t>-7.46%</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11,465</w:t>
            </w:r>
          </w:p>
        </w:tc>
        <w:tc>
          <w:tcPr>
            <w:tcW w:type="dxa" w:w="1134"/>
            <w:shd w:fill="FFC7CE" w:val="clear"/>
          </w:tcPr>
          <w:p>
            <w:r>
              <w:rPr>
                <w:b/>
                <w:color w:val="B40000"/>
                <w:sz w:val="16"/>
              </w:rPr>
              <w:t>-7.54%</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3,245</w:t>
            </w:r>
          </w:p>
        </w:tc>
        <w:tc>
          <w:tcPr>
            <w:tcW w:type="dxa" w:w="1417"/>
            <w:shd w:fill="FFFFFF" w:val="clear"/>
          </w:tcPr>
          <w:p>
            <w:r>
              <w:rPr>
                <w:sz w:val="16"/>
              </w:rPr>
              <w:t>2,960</w:t>
            </w:r>
          </w:p>
        </w:tc>
        <w:tc>
          <w:tcPr>
            <w:tcW w:type="dxa" w:w="1134"/>
            <w:shd w:fill="FFC7CE" w:val="clear"/>
          </w:tcPr>
          <w:p>
            <w:r>
              <w:rPr>
                <w:b/>
                <w:color w:val="B40000"/>
                <w:sz w:val="16"/>
              </w:rPr>
              <w:t>-8.79%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2,555</w:t>
            </w:r>
          </w:p>
        </w:tc>
        <w:tc>
          <w:tcPr>
            <w:tcW w:type="dxa" w:w="1417"/>
            <w:shd w:fill="FFFFFF" w:val="clear"/>
          </w:tcPr>
          <w:p>
            <w:r>
              <w:rPr>
                <w:sz w:val="16"/>
              </w:rPr>
              <w:t>2,325</w:t>
            </w:r>
          </w:p>
        </w:tc>
        <w:tc>
          <w:tcPr>
            <w:tcW w:type="dxa" w:w="1134"/>
            <w:shd w:fill="FFC7CE" w:val="clear"/>
          </w:tcPr>
          <w:p>
            <w:r>
              <w:rPr>
                <w:b/>
                <w:color w:val="B40000"/>
                <w:sz w:val="16"/>
              </w:rPr>
              <w:t>-8.99%</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2,295</w:t>
            </w:r>
          </w:p>
        </w:tc>
        <w:tc>
          <w:tcPr>
            <w:tcW w:type="dxa" w:w="1417"/>
            <w:shd w:fill="FFFFFF" w:val="clear"/>
          </w:tcPr>
          <w:p>
            <w:r>
              <w:rPr>
                <w:sz w:val="16"/>
              </w:rPr>
              <w:t>2,064</w:t>
            </w:r>
          </w:p>
        </w:tc>
        <w:tc>
          <w:tcPr>
            <w:tcW w:type="dxa" w:w="1134"/>
            <w:shd w:fill="FFC7CE" w:val="clear"/>
          </w:tcPr>
          <w:p>
            <w:r>
              <w:rPr>
                <w:b/>
                <w:color w:val="B40000"/>
                <w:sz w:val="16"/>
              </w:rPr>
              <w:t>-10.07%</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10,500</w:t>
            </w:r>
          </w:p>
        </w:tc>
        <w:tc>
          <w:tcPr>
            <w:tcW w:type="dxa" w:w="1417"/>
            <w:shd w:fill="FFFFFF" w:val="clear"/>
          </w:tcPr>
          <w:p>
            <w:r>
              <w:rPr>
                <w:sz w:val="16"/>
              </w:rPr>
              <w:t>9,356</w:t>
            </w:r>
          </w:p>
        </w:tc>
        <w:tc>
          <w:tcPr>
            <w:tcW w:type="dxa" w:w="1134"/>
            <w:shd w:fill="FFC7CE" w:val="clear"/>
          </w:tcPr>
          <w:p>
            <w:r>
              <w:rPr>
                <w:b/>
                <w:color w:val="B40000"/>
                <w:sz w:val="16"/>
              </w:rPr>
              <w:t>-10.90%</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4,060</w:t>
            </w:r>
          </w:p>
        </w:tc>
        <w:tc>
          <w:tcPr>
            <w:tcW w:type="dxa" w:w="1417"/>
            <w:shd w:fill="FFFFFF" w:val="clear"/>
          </w:tcPr>
          <w:p>
            <w:r>
              <w:rPr>
                <w:sz w:val="16"/>
              </w:rPr>
              <w:t>3,588</w:t>
            </w:r>
          </w:p>
        </w:tc>
        <w:tc>
          <w:tcPr>
            <w:tcW w:type="dxa" w:w="1134"/>
            <w:shd w:fill="FFC7CE" w:val="clear"/>
          </w:tcPr>
          <w:p>
            <w:r>
              <w:rPr>
                <w:b/>
                <w:color w:val="B40000"/>
                <w:sz w:val="16"/>
              </w:rPr>
              <w:t>-11.62%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2,845</w:t>
            </w:r>
          </w:p>
        </w:tc>
        <w:tc>
          <w:tcPr>
            <w:tcW w:type="dxa" w:w="1417"/>
            <w:shd w:fill="FFFFFF" w:val="clear"/>
          </w:tcPr>
          <w:p>
            <w:r>
              <w:rPr>
                <w:sz w:val="16"/>
              </w:rPr>
              <w:t>2,482</w:t>
            </w:r>
          </w:p>
        </w:tc>
        <w:tc>
          <w:tcPr>
            <w:tcW w:type="dxa" w:w="1134"/>
            <w:shd w:fill="FFC7CE" w:val="clear"/>
          </w:tcPr>
          <w:p>
            <w:r>
              <w:rPr>
                <w:b/>
                <w:color w:val="B40000"/>
                <w:sz w:val="16"/>
              </w:rPr>
              <w:t>-12.77%</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8,495</w:t>
            </w:r>
          </w:p>
        </w:tc>
        <w:tc>
          <w:tcPr>
            <w:tcW w:type="dxa" w:w="1417"/>
            <w:shd w:fill="FFFFFF" w:val="clear"/>
          </w:tcPr>
          <w:p>
            <w:r>
              <w:rPr>
                <w:sz w:val="16"/>
              </w:rPr>
              <w:t>7,318</w:t>
            </w:r>
          </w:p>
        </w:tc>
        <w:tc>
          <w:tcPr>
            <w:tcW w:type="dxa" w:w="1134"/>
            <w:shd w:fill="FFC7CE" w:val="clear"/>
          </w:tcPr>
          <w:p>
            <w:r>
              <w:rPr>
                <w:b/>
                <w:color w:val="B40000"/>
                <w:sz w:val="16"/>
              </w:rPr>
              <w:t>-13.85%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6,980</w:t>
            </w:r>
          </w:p>
        </w:tc>
        <w:tc>
          <w:tcPr>
            <w:tcW w:type="dxa" w:w="1417"/>
            <w:shd w:fill="FFFFFF" w:val="clear"/>
          </w:tcPr>
          <w:p>
            <w:r>
              <w:rPr>
                <w:sz w:val="16"/>
              </w:rPr>
              <w:t>5,983</w:t>
            </w:r>
          </w:p>
        </w:tc>
        <w:tc>
          <w:tcPr>
            <w:tcW w:type="dxa" w:w="1134"/>
            <w:shd w:fill="FFC7CE" w:val="clear"/>
          </w:tcPr>
          <w:p>
            <w:r>
              <w:rPr>
                <w:b/>
                <w:color w:val="B40000"/>
                <w:sz w:val="16"/>
              </w:rPr>
              <w:t>-14.29%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33,905</w:t>
            </w:r>
          </w:p>
        </w:tc>
        <w:tc>
          <w:tcPr>
            <w:tcW w:type="dxa" w:w="1417"/>
            <w:shd w:fill="FFFFFF" w:val="clear"/>
          </w:tcPr>
          <w:p>
            <w:r>
              <w:rPr>
                <w:sz w:val="16"/>
              </w:rPr>
              <w:t>28,519</w:t>
            </w:r>
          </w:p>
        </w:tc>
        <w:tc>
          <w:tcPr>
            <w:tcW w:type="dxa" w:w="1134"/>
            <w:shd w:fill="FFC7CE" w:val="clear"/>
          </w:tcPr>
          <w:p>
            <w:r>
              <w:rPr>
                <w:b/>
                <w:color w:val="B40000"/>
                <w:sz w:val="16"/>
              </w:rPr>
              <w:t>-15.89%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2,740</w:t>
            </w:r>
          </w:p>
        </w:tc>
        <w:tc>
          <w:tcPr>
            <w:tcW w:type="dxa" w:w="1417"/>
            <w:shd w:fill="FFFFFF" w:val="clear"/>
          </w:tcPr>
          <w:p>
            <w:r>
              <w:rPr>
                <w:sz w:val="16"/>
              </w:rPr>
              <w:t>2,255</w:t>
            </w:r>
          </w:p>
        </w:tc>
        <w:tc>
          <w:tcPr>
            <w:tcW w:type="dxa" w:w="1134"/>
            <w:shd w:fill="FFC7CE" w:val="clear"/>
          </w:tcPr>
          <w:p>
            <w:r>
              <w:rPr>
                <w:b/>
                <w:color w:val="B40000"/>
                <w:sz w:val="16"/>
              </w:rPr>
              <w:t>-17.70%</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3,550 titres</w:t>
            </w:r>
          </w:p>
        </w:tc>
        <w:tc>
          <w:tcPr>
            <w:tcW w:type="dxa" w:w="2268"/>
            <w:shd w:fill="FFF2CC" w:val="clear"/>
          </w:tcPr>
          <w:p>
            <w:r>
              <w:rPr>
                <w:b/>
                <w:color w:val="503200"/>
                <w:sz w:val="16"/>
              </w:rPr>
              <w:t xml:space="preserve">Cours actuel : </w:t>
            </w:r>
            <w:r>
              <w:rPr>
                <w:color w:val="000000"/>
                <w:sz w:val="17"/>
              </w:rPr>
              <w:t>4,060 FCFA</w:t>
            </w:r>
          </w:p>
          <w:p>
            <w:r>
              <w:rPr>
                <w:b/>
                <w:color w:val="503200"/>
                <w:sz w:val="16"/>
              </w:rPr>
              <w:t xml:space="preserve">Var. 100 jours : </w:t>
            </w:r>
            <w:r>
              <w:rPr>
                <w:b/>
                <w:color w:val="007800"/>
                <w:sz w:val="17"/>
              </w:rPr>
              <w:t>+22.47%</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9.88% (Moyenne) — μ=3,263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β=0.3976 (Défensif) — Cov=0.000014, Var(idx)=0.000034, ρ=0.076,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3,812</w:t>
            </w:r>
          </w:p>
        </w:tc>
        <w:tc>
          <w:tcPr>
            <w:tcW w:type="dxa" w:w="1440"/>
            <w:shd w:fill="FAFAFA" w:val="clear"/>
          </w:tcPr>
          <w:p>
            <w:r>
              <w:rPr>
                <w:b/>
                <w:sz w:val="17"/>
              </w:rPr>
              <w:t>3,988</w:t>
            </w:r>
          </w:p>
        </w:tc>
        <w:tc>
          <w:tcPr>
            <w:tcW w:type="dxa" w:w="1440"/>
            <w:shd w:fill="FAFAFA" w:val="clear"/>
          </w:tcPr>
          <w:p>
            <w:r>
              <w:rPr>
                <w:sz w:val="17"/>
              </w:rPr>
              <w:t>4,165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3,678</w:t>
            </w:r>
          </w:p>
        </w:tc>
        <w:tc>
          <w:tcPr>
            <w:tcW w:type="dxa" w:w="1440"/>
            <w:shd w:fill="FFDCE0" w:val="clear"/>
          </w:tcPr>
          <w:p>
            <w:r>
              <w:rPr>
                <w:b/>
                <w:sz w:val="17"/>
              </w:rPr>
              <w:t>3,923</w:t>
            </w:r>
          </w:p>
        </w:tc>
        <w:tc>
          <w:tcPr>
            <w:tcW w:type="dxa" w:w="1440"/>
            <w:shd w:fill="FFDCE0" w:val="clear"/>
          </w:tcPr>
          <w:p>
            <w:r>
              <w:rPr>
                <w:sz w:val="17"/>
              </w:rPr>
              <w:t>4,168</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3,567</w:t>
            </w:r>
          </w:p>
        </w:tc>
        <w:tc>
          <w:tcPr>
            <w:tcW w:type="dxa" w:w="1440"/>
            <w:shd w:fill="FFDCE0" w:val="clear"/>
          </w:tcPr>
          <w:p>
            <w:r>
              <w:rPr>
                <w:b/>
                <w:sz w:val="17"/>
              </w:rPr>
              <w:t>3,862</w:t>
            </w:r>
          </w:p>
        </w:tc>
        <w:tc>
          <w:tcPr>
            <w:tcW w:type="dxa" w:w="1440"/>
            <w:shd w:fill="FFDCE0" w:val="clear"/>
          </w:tcPr>
          <w:p>
            <w:r>
              <w:rPr>
                <w:sz w:val="17"/>
              </w:rPr>
              <w:t>4,157</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3,475</w:t>
            </w:r>
          </w:p>
        </w:tc>
        <w:tc>
          <w:tcPr>
            <w:tcW w:type="dxa" w:w="1440"/>
            <w:shd w:fill="FFDCE0" w:val="clear"/>
          </w:tcPr>
          <w:p>
            <w:r>
              <w:rPr>
                <w:b/>
                <w:sz w:val="17"/>
              </w:rPr>
              <w:t>3,811</w:t>
            </w:r>
          </w:p>
        </w:tc>
        <w:tc>
          <w:tcPr>
            <w:tcW w:type="dxa" w:w="1440"/>
            <w:shd w:fill="FFDCE0" w:val="clear"/>
          </w:tcPr>
          <w:p>
            <w:r>
              <w:rPr>
                <w:sz w:val="17"/>
              </w:rPr>
              <w:t>4,148</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3,395</w:t>
            </w:r>
          </w:p>
        </w:tc>
        <w:tc>
          <w:tcPr>
            <w:tcW w:type="dxa" w:w="1440"/>
            <w:shd w:fill="FFDCE0" w:val="clear"/>
          </w:tcPr>
          <w:p>
            <w:r>
              <w:rPr>
                <w:b/>
                <w:sz w:val="17"/>
              </w:rPr>
              <w:t>3,767</w:t>
            </w:r>
          </w:p>
        </w:tc>
        <w:tc>
          <w:tcPr>
            <w:tcW w:type="dxa" w:w="1440"/>
            <w:shd w:fill="FFDCE0" w:val="clear"/>
          </w:tcPr>
          <w:p>
            <w:r>
              <w:rPr>
                <w:sz w:val="17"/>
              </w:rPr>
              <w:t>4,139</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3,323</w:t>
            </w:r>
          </w:p>
        </w:tc>
        <w:tc>
          <w:tcPr>
            <w:tcW w:type="dxa" w:w="1440"/>
            <w:shd w:fill="FFDCE0" w:val="clear"/>
          </w:tcPr>
          <w:p>
            <w:r>
              <w:rPr>
                <w:b/>
                <w:sz w:val="17"/>
              </w:rPr>
              <w:t>3,726</w:t>
            </w:r>
          </w:p>
        </w:tc>
        <w:tc>
          <w:tcPr>
            <w:tcW w:type="dxa" w:w="1440"/>
            <w:shd w:fill="FFDCE0" w:val="clear"/>
          </w:tcPr>
          <w:p>
            <w:r>
              <w:rPr>
                <w:sz w:val="17"/>
              </w:rPr>
              <w:t>4,129</w:t>
            </w:r>
          </w:p>
        </w:tc>
        <w:tc>
          <w:tcPr>
            <w:tcW w:type="dxa" w:w="1440"/>
            <w:shd w:fill="FFDCE0" w:val="clear"/>
          </w:tcPr>
          <w:p>
            <w:r>
              <w:rPr>
                <w:b/>
                <w:color w:val="C00000"/>
                <w:sz w:val="17"/>
              </w:rPr>
              <w:t>-8.2%</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3,257</w:t>
            </w:r>
          </w:p>
        </w:tc>
        <w:tc>
          <w:tcPr>
            <w:tcW w:type="dxa" w:w="1440"/>
            <w:shd w:fill="FFDCE0" w:val="clear"/>
          </w:tcPr>
          <w:p>
            <w:r>
              <w:rPr>
                <w:b/>
                <w:sz w:val="17"/>
              </w:rPr>
              <w:t>3,688</w:t>
            </w:r>
          </w:p>
        </w:tc>
        <w:tc>
          <w:tcPr>
            <w:tcW w:type="dxa" w:w="1440"/>
            <w:shd w:fill="FFDCE0" w:val="clear"/>
          </w:tcPr>
          <w:p>
            <w:r>
              <w:rPr>
                <w:sz w:val="17"/>
              </w:rPr>
              <w:t>4,119</w:t>
            </w:r>
          </w:p>
        </w:tc>
        <w:tc>
          <w:tcPr>
            <w:tcW w:type="dxa" w:w="1440"/>
            <w:shd w:fill="FFDCE0" w:val="clear"/>
          </w:tcPr>
          <w:p>
            <w:r>
              <w:rPr>
                <w:b/>
                <w:color w:val="C00000"/>
                <w:sz w:val="17"/>
              </w:rPr>
              <w:t>-9.2%</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3,197</w:t>
            </w:r>
          </w:p>
        </w:tc>
        <w:tc>
          <w:tcPr>
            <w:tcW w:type="dxa" w:w="1440"/>
            <w:shd w:fill="FFDCE0" w:val="clear"/>
          </w:tcPr>
          <w:p>
            <w:r>
              <w:rPr>
                <w:b/>
                <w:sz w:val="17"/>
              </w:rPr>
              <w:t>3,653</w:t>
            </w:r>
          </w:p>
        </w:tc>
        <w:tc>
          <w:tcPr>
            <w:tcW w:type="dxa" w:w="1440"/>
            <w:shd w:fill="FFDCE0" w:val="clear"/>
          </w:tcPr>
          <w:p>
            <w:r>
              <w:rPr>
                <w:sz w:val="17"/>
              </w:rPr>
              <w:t>4,109</w:t>
            </w:r>
          </w:p>
        </w:tc>
        <w:tc>
          <w:tcPr>
            <w:tcW w:type="dxa" w:w="1440"/>
            <w:shd w:fill="FFDCE0" w:val="clear"/>
          </w:tcPr>
          <w:p>
            <w:r>
              <w:rPr>
                <w:b/>
                <w:color w:val="C00000"/>
                <w:sz w:val="17"/>
              </w:rPr>
              <w:t>-10.0%</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3,140</w:t>
            </w:r>
          </w:p>
        </w:tc>
        <w:tc>
          <w:tcPr>
            <w:tcW w:type="dxa" w:w="1440"/>
            <w:shd w:fill="FFDCE0" w:val="clear"/>
          </w:tcPr>
          <w:p>
            <w:r>
              <w:rPr>
                <w:b/>
                <w:sz w:val="17"/>
              </w:rPr>
              <w:t>3,620</w:t>
            </w:r>
          </w:p>
        </w:tc>
        <w:tc>
          <w:tcPr>
            <w:tcW w:type="dxa" w:w="1440"/>
            <w:shd w:fill="FFDCE0" w:val="clear"/>
          </w:tcPr>
          <w:p>
            <w:r>
              <w:rPr>
                <w:sz w:val="17"/>
              </w:rPr>
              <w:t>4,099</w:t>
            </w:r>
          </w:p>
        </w:tc>
        <w:tc>
          <w:tcPr>
            <w:tcW w:type="dxa" w:w="1440"/>
            <w:shd w:fill="FFDCE0" w:val="clear"/>
          </w:tcPr>
          <w:p>
            <w:r>
              <w:rPr>
                <w:b/>
                <w:color w:val="C00000"/>
                <w:sz w:val="17"/>
              </w:rPr>
              <w:t>-10.8%</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3,087</w:t>
            </w:r>
          </w:p>
        </w:tc>
        <w:tc>
          <w:tcPr>
            <w:tcW w:type="dxa" w:w="1440"/>
            <w:shd w:fill="FFDCE0" w:val="clear"/>
          </w:tcPr>
          <w:p>
            <w:r>
              <w:rPr>
                <w:b/>
                <w:sz w:val="17"/>
              </w:rPr>
              <w:t>3,588</w:t>
            </w:r>
          </w:p>
        </w:tc>
        <w:tc>
          <w:tcPr>
            <w:tcW w:type="dxa" w:w="1440"/>
            <w:shd w:fill="FFDCE0" w:val="clear"/>
          </w:tcPr>
          <w:p>
            <w:r>
              <w:rPr>
                <w:sz w:val="17"/>
              </w:rPr>
              <w:t>4,089</w:t>
            </w:r>
          </w:p>
        </w:tc>
        <w:tc>
          <w:tcPr>
            <w:tcW w:type="dxa" w:w="1440"/>
            <w:shd w:fill="FFDCE0" w:val="clear"/>
          </w:tcPr>
          <w:p>
            <w:r>
              <w:rPr>
                <w:b/>
                <w:color w:val="C00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44,30 Mds FCFA, Servair Abidjan figure parmi les valeurs moyennes de la cote BRVM, loin des mastodontes bancaires et télécoms mais avec une liquidité correcte (volume moyen de 3 550 titres/jour). Le BPA de 124 FCFA/action signifie que chaque titre génère environ 124 FCFA de bénéfice net, ce qui, rapporté au cours actuel de 4 060 FCFA, aboutit à un PER de 32,8x — soit près de trois fois la moyenne du marché BRVM (8-12x), signalant une valorisation très exigeante qui intègre déjà une forte anticipation de croissance. Le P/B de 8,59x confirme cette prime : le marché valorise l'action à plus de huit fois sa valeur comptable, un niveau rarement justifié que par des perspectives de rentabilité exceptionnelles. Enfin, l'EV/EBITDA de 17,0x traduit une valorisation tendue de la capacité opérationnelle, suggérant que le titre est davantage porté par la dynamique de cours que par ses fondamentaux intrinsèques.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progression spectaculaire de +22,47%, portant le cours à 4 060 FCFA, malgré un léger repli de -0,85% lors de la dernière séance. Le range de trading est particulièrement large, avec un plus bas à 2 800 FCFA et un plus haut à 4 095 FCFA, soit une amplitude de près de 46% qui témoigne d'une tendance nettement haussière portée par un intérêt acheteur soutenu. Les statistiques descriptives révèlent une moyenne de 3 263 FCFA supérieure à la médiane de 3 182 FCFA, écart qui, combiné à un skewness positif de 0,918, indique une asymétrie à droite : le cours a passé plus de journées sous sa moyenne, mais les poussées haussières ont été suffisamment fortes pour tirer la moyenne vers le haut. L'écart-type de 324 FCFA (CV de 9,9%) traduit une dispersion modérée autour de la moyenne, tandis que le kurtosis de 0,083 (mésokurtique) suggère une distribution proche de la normale, sans risque excessif de pics extrêmes. La volatilité annualisée de 48,9% classe toutefois le titre dans la catégorie des valeurs très volatiles (&gt;30%), ce qui implique un risque de marché élevé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(3 743 FCFA) et la MM50 (3 345,8 FCFA) sont toutes deux nettement inférieures au cours actuel (4 060 FCFA), et la MM20 surplombe la MM50, configurant un croisement haussier classique. Cette configuration en « golden cross » confirme la dynamique positive et justifie la décision d'achat.</w:t>
      </w:r>
    </w:p>
    <w:p>
      <w:pPr>
        <w:spacing w:after="120" w:line="276" w:lineRule="auto"/>
      </w:pPr>
      <w:r>
        <w:t>**Bandes de Bollinger** : Le cours (4 060 FCFA) évolue dans la partie haute du canal, entre la borne inférieure (3 216,5 FCFA) et la borne supérieure (4 269,5 FCFA), sans la franchir. Cette position, proche du plafond sans excès, traduit une volatilité contenue et une décision neutre : le titre n'est ni en surchauffe extrême, ni en zone d'achat évidente.</w:t>
      </w:r>
    </w:p>
    <w:p>
      <w:pPr>
        <w:spacing w:after="120" w:line="276" w:lineRule="auto"/>
      </w:pPr>
      <w:r>
        <w:t>**MACD** : Le MACD (220,747) est supérieur à son signal (202,212), avec un histogramme positif qui confirme un momentum haussier en cours. La décision d'achat est cohérente avec cette divergence positive, bien que l'écart reste modéré, suggérant une dynamique qui pourrait s'essouffler.</w:t>
      </w:r>
    </w:p>
    <w:p>
      <w:pPr>
        <w:spacing w:after="120" w:line="276" w:lineRule="auto"/>
      </w:pPr>
      <w:r>
        <w:t>**RSI** : À 81,081, le RSI se situe largement au-dessus du seuil de surachat (70), signalant que le titre a été acheté de manière excessive à court terme. La décision de vente est justifiée par ce risque de correction imminente, d'autant que le RSI n'a pas encore montré de divergence baissière.</w:t>
      </w:r>
    </w:p>
    <w:p>
      <w:pPr>
        <w:spacing w:after="120" w:line="276" w:lineRule="auto"/>
      </w:pPr>
      <w:r>
        <w:t>**Stochastique** : Le %K (92,135) et le %D (97,378) évoluent tous deux en zone de surachat extrême, avec un %D supérieur au %K qui pourrait annoncer un croisement baissier imminent. La décision de vente est confirmée par cette configuration typique de fin de mouvement haussier.</w:t>
      </w:r>
    </w:p>
    <w:p>
      <w:pPr>
        <w:spacing w:after="120" w:line="276" w:lineRule="auto"/>
      </w:pPr>
      <w:r>
        <w:t>**Conclusion technique** : Les indicateurs de tendance (MM, MACD) restent haussiers et confirment la dynamique de fond, mais les oscillateurs (RSI, Stochastique) sont en zone de surachat extrême et signalent un risque de correction à court terme. La divergence entre ces deux familles d'indicateurs plaide pour une prudence immédiate, avec une probabilité élevée de consolidation avant toute nouvelle progression.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réalisé un chiffre d'affaires de 13,298 Mds FCFA, en croissance de 6,67% sur un an, avec un résultat net de 1,351 Mds FCFA (marge nette de 10,16%) et un BPA de 124 FCFA. La rentabilité des fonds propres (ROE) atteint 26,18%, un niveau excellent (&gt;15%), et le ROA de 14,64% confirme l'efficacité de l'utilisation des actifs. La structure financière est très saine : autonomie financière de 55,92%, endettement financier quasi nul (dépendance de 1,28%), liquidité générale de 218,37% et trésorerie nette de 4,035 Mds FCFA. Sur le plan opérationnel, le BFR est négatif (257,45 M FCFA), ce qui est favorable, mais le délai clients de 70,10 jours constitue un point de vigilance pour la trésorerie, tandis que le délai fournisseurs de 92,11 jours offre un bon levier de financement. Les rapports trimestriels confirment une dégradation récente : le T1 2026 (rapport du 30/04/2026) affiche une croissance du CA limitée à +1,9% (3,237 Mds FCFA) mais une chute du résultat net de -35,6% (222,6 M FCFA) et du résultat ordinaire de -27,4%, sous l'effet d'ajustements de redevances aéroportuaires et de tensions géopolitiques. Le T3 2025 (rapport du 30/09/2025) montrait déjà un ralentissement avec un CA trimestriel de 10,218 Mds FCFA (+10,3%) et un résultat net de 1,325 Mds FCFA (+17,1%), mais le T1 2025 (rapport du 31/03/2025) avait enregistré une baisse de -6,8% du résultat net à 346 M FCFA, perturbé par un litige avec la BCEAO et des charges exceptionnelles. L'exercice 2024 (états financiers certifiés du 31/12/2024) affichait un CA de 12,467 Mds FCFA (+10,8%) et un résultat net de 1,515 Mds FCFA (+11,6%), avec une marge nette de 12,1%. On estime, sur la base du T1 2026, que l'exercice 2026 devrait enregistrer une croissance modérée du CA (autour de +2-3%) mais une pression persistante sur les marges, avec un résultat net potentiellement en retrait de 15-20% par rapport à 2025. La solidité bilancielle (capitaux propres de 5,159 Mds FCFA, trésorerie de 4,035 Mds FCFA) demeure un atout majeur, mais la dégradation de la rentabilité opérationnelle et les risques réglementaires (litige BCEAO, redevances)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apparaît nettement surévaluée : avec un PER de 32,8x (contre 8-12x pour le marché), un P/B de 8,59x et un EV/EBITDA de 17,0x, le titre intègre des anticipations de croissance que les derniers résultats trimestriels ne confirment pas. Le comportement du cours sur 100 jours est haussier (+22,47%) mais la volatilité annualisée de 48,9% et le skewness positif de 0,918 indiquent un risque de correction, d'autant que le RSI (81,08) et le stochastique (92,14/97,38) sont en zone de surachat extrême. Les signaux techniques sont divergents : les moyennes mobiles et le MACD restent haussiers, mais les oscillateurs appellent à la vente, créant une configuration typique de fin de mouvement. Les fondamentaux, bien que solides (ROE de 26,18%, trésorerie de 4,035 Mds FCFA, endettement quasi nul), se dégradent : le T1 2026 montre une chute de -35,6% du résultat net et une pression persistante sur les marges, ce qui remet en cause la capacité de la société à maintenir ses niveaux de rentabilité. Les prédictions IA (J+1 à J+10) anticipent une baisse continue de 3 988 FCFA à 3 767 FCFA, confirmant la thèse d'une correction imminente. Sur la base de cette synthèse, la recommandation est **VENTE** (ou allègement de position) à court terme, avec un niveau de confiance **Moyen** et un risque global **Élevé**. L'horizon optimal est **court terme (&lt;3 mois)** pour profiter de la correction attendue, mais une réévaluation à la baisse pourrait offrir un point d'entrée plus attractif pour un investissement **moyen terme (3-12 mois)** si la société parvient à stabiliser ses marges et à résoudre ses litiges réglementaires.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12,762 titres</w:t>
            </w:r>
          </w:p>
        </w:tc>
        <w:tc>
          <w:tcPr>
            <w:tcW w:type="dxa" w:w="2268"/>
            <w:shd w:fill="FFF2CC" w:val="clear"/>
          </w:tcPr>
          <w:p>
            <w:r>
              <w:rPr>
                <w:b/>
                <w:color w:val="503200"/>
                <w:sz w:val="16"/>
              </w:rPr>
              <w:t xml:space="preserve">Cours actuel : </w:t>
            </w:r>
            <w:r>
              <w:rPr>
                <w:color w:val="000000"/>
                <w:sz w:val="17"/>
              </w:rPr>
              <w:t>10,500 FCFA</w:t>
            </w:r>
          </w:p>
          <w:p>
            <w:r>
              <w:rPr>
                <w:b/>
                <w:color w:val="503200"/>
                <w:sz w:val="16"/>
              </w:rPr>
              <w:t xml:space="preserve">Var. 100 jours : </w:t>
            </w:r>
            <w:r>
              <w:rPr>
                <w:b/>
                <w:color w:val="007800"/>
                <w:sz w:val="17"/>
              </w:rPr>
              <w:t>+105.48%</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24.04% (Élevée) — μ=6,719 FCFA, σ=1,615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β=0.5282 (Défensif) — Cov=0.000018, Var(idx)=0.000034,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2026-09-15</w:t>
            </w:r>
          </w:p>
        </w:tc>
        <w:tc>
          <w:tcPr>
            <w:tcW w:type="dxa" w:w="1440"/>
            <w:shd w:fill="FFDCE0" w:val="clear"/>
          </w:tcPr>
          <w:p>
            <w:r>
              <w:rPr>
                <w:sz w:val="17"/>
              </w:rPr>
              <w:t>9,361</w:t>
            </w:r>
          </w:p>
        </w:tc>
        <w:tc>
          <w:tcPr>
            <w:tcW w:type="dxa" w:w="1440"/>
            <w:shd w:fill="FFDCE0" w:val="clear"/>
          </w:tcPr>
          <w:p>
            <w:r>
              <w:rPr>
                <w:b/>
                <w:sz w:val="17"/>
              </w:rPr>
              <w:t>9,745</w:t>
            </w:r>
          </w:p>
        </w:tc>
        <w:tc>
          <w:tcPr>
            <w:tcW w:type="dxa" w:w="1440"/>
            <w:shd w:fill="FFDCE0" w:val="clear"/>
          </w:tcPr>
          <w:p>
            <w:r>
              <w:rPr>
                <w:sz w:val="17"/>
              </w:rPr>
              <w:t>10,129</w:t>
            </w:r>
          </w:p>
        </w:tc>
        <w:tc>
          <w:tcPr>
            <w:tcW w:type="dxa" w:w="1440"/>
            <w:shd w:fill="FFDCE0" w:val="clear"/>
          </w:tcPr>
          <w:p>
            <w:r>
              <w:rPr>
                <w:b/>
                <w:color w:val="C00000"/>
                <w:sz w:val="17"/>
              </w:rPr>
              <w:t>-7.2%</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9,154</w:t>
            </w:r>
          </w:p>
        </w:tc>
        <w:tc>
          <w:tcPr>
            <w:tcW w:type="dxa" w:w="1440"/>
            <w:shd w:fill="FFDCE0" w:val="clear"/>
          </w:tcPr>
          <w:p>
            <w:r>
              <w:rPr>
                <w:b/>
                <w:sz w:val="17"/>
              </w:rPr>
              <w:t>9,694</w:t>
            </w:r>
          </w:p>
        </w:tc>
        <w:tc>
          <w:tcPr>
            <w:tcW w:type="dxa" w:w="1440"/>
            <w:shd w:fill="FFDCE0" w:val="clear"/>
          </w:tcPr>
          <w:p>
            <w:r>
              <w:rPr>
                <w:sz w:val="17"/>
              </w:rPr>
              <w:t>10,235</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8,973</w:t>
            </w:r>
          </w:p>
        </w:tc>
        <w:tc>
          <w:tcPr>
            <w:tcW w:type="dxa" w:w="1440"/>
            <w:shd w:fill="FFDCE0" w:val="clear"/>
          </w:tcPr>
          <w:p>
            <w:r>
              <w:rPr>
                <w:b/>
                <w:sz w:val="17"/>
              </w:rPr>
              <w:t>9,631</w:t>
            </w:r>
          </w:p>
        </w:tc>
        <w:tc>
          <w:tcPr>
            <w:tcW w:type="dxa" w:w="1440"/>
            <w:shd w:fill="FFDCE0" w:val="clear"/>
          </w:tcPr>
          <w:p>
            <w:r>
              <w:rPr>
                <w:sz w:val="17"/>
              </w:rPr>
              <w:t>10,288</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8,817</w:t>
            </w:r>
          </w:p>
        </w:tc>
        <w:tc>
          <w:tcPr>
            <w:tcW w:type="dxa" w:w="1440"/>
            <w:shd w:fill="FFDCE0" w:val="clear"/>
          </w:tcPr>
          <w:p>
            <w:r>
              <w:rPr>
                <w:b/>
                <w:sz w:val="17"/>
              </w:rPr>
              <w:t>9,571</w:t>
            </w:r>
          </w:p>
        </w:tc>
        <w:tc>
          <w:tcPr>
            <w:tcW w:type="dxa" w:w="1440"/>
            <w:shd w:fill="FFDCE0" w:val="clear"/>
          </w:tcPr>
          <w:p>
            <w:r>
              <w:rPr>
                <w:sz w:val="17"/>
              </w:rPr>
              <w:t>10,326</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8,680</w:t>
            </w:r>
          </w:p>
        </w:tc>
        <w:tc>
          <w:tcPr>
            <w:tcW w:type="dxa" w:w="1440"/>
            <w:shd w:fill="FFDCE0" w:val="clear"/>
          </w:tcPr>
          <w:p>
            <w:r>
              <w:rPr>
                <w:b/>
                <w:sz w:val="17"/>
              </w:rPr>
              <w:t>9,519</w:t>
            </w:r>
          </w:p>
        </w:tc>
        <w:tc>
          <w:tcPr>
            <w:tcW w:type="dxa" w:w="1440"/>
            <w:shd w:fill="FFDCE0" w:val="clear"/>
          </w:tcPr>
          <w:p>
            <w:r>
              <w:rPr>
                <w:sz w:val="17"/>
              </w:rPr>
              <w:t>10,358</w:t>
            </w:r>
          </w:p>
        </w:tc>
        <w:tc>
          <w:tcPr>
            <w:tcW w:type="dxa" w:w="1440"/>
            <w:shd w:fill="FFDCE0" w:val="clear"/>
          </w:tcPr>
          <w:p>
            <w:r>
              <w:rPr>
                <w:b/>
                <w:color w:val="C00000"/>
                <w:sz w:val="17"/>
              </w:rPr>
              <w:t>-9.3%</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8,560</w:t>
            </w:r>
          </w:p>
        </w:tc>
        <w:tc>
          <w:tcPr>
            <w:tcW w:type="dxa" w:w="1440"/>
            <w:shd w:fill="FFDCE0" w:val="clear"/>
          </w:tcPr>
          <w:p>
            <w:r>
              <w:rPr>
                <w:b/>
                <w:sz w:val="17"/>
              </w:rPr>
              <w:t>9,475</w:t>
            </w:r>
          </w:p>
        </w:tc>
        <w:tc>
          <w:tcPr>
            <w:tcW w:type="dxa" w:w="1440"/>
            <w:shd w:fill="FFDCE0" w:val="clear"/>
          </w:tcPr>
          <w:p>
            <w:r>
              <w:rPr>
                <w:sz w:val="17"/>
              </w:rPr>
              <w:t>10,390</w:t>
            </w:r>
          </w:p>
        </w:tc>
        <w:tc>
          <w:tcPr>
            <w:tcW w:type="dxa" w:w="1440"/>
            <w:shd w:fill="FFDCE0" w:val="clear"/>
          </w:tcPr>
          <w:p>
            <w:r>
              <w:rPr>
                <w:b/>
                <w:color w:val="C00000"/>
                <w:sz w:val="17"/>
              </w:rPr>
              <w:t>-9.8%</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8,453</w:t>
            </w:r>
          </w:p>
        </w:tc>
        <w:tc>
          <w:tcPr>
            <w:tcW w:type="dxa" w:w="1440"/>
            <w:shd w:fill="FFDCE0" w:val="clear"/>
          </w:tcPr>
          <w:p>
            <w:r>
              <w:rPr>
                <w:b/>
                <w:sz w:val="17"/>
              </w:rPr>
              <w:t>9,437</w:t>
            </w:r>
          </w:p>
        </w:tc>
        <w:tc>
          <w:tcPr>
            <w:tcW w:type="dxa" w:w="1440"/>
            <w:shd w:fill="FFDCE0" w:val="clear"/>
          </w:tcPr>
          <w:p>
            <w:r>
              <w:rPr>
                <w:sz w:val="17"/>
              </w:rPr>
              <w:t>10,421</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8,357</w:t>
            </w:r>
          </w:p>
        </w:tc>
        <w:tc>
          <w:tcPr>
            <w:tcW w:type="dxa" w:w="1440"/>
            <w:shd w:fill="FFDCE0" w:val="clear"/>
          </w:tcPr>
          <w:p>
            <w:r>
              <w:rPr>
                <w:b/>
                <w:sz w:val="17"/>
              </w:rPr>
              <w:t>9,405</w:t>
            </w:r>
          </w:p>
        </w:tc>
        <w:tc>
          <w:tcPr>
            <w:tcW w:type="dxa" w:w="1440"/>
            <w:shd w:fill="FFDCE0" w:val="clear"/>
          </w:tcPr>
          <w:p>
            <w:r>
              <w:rPr>
                <w:sz w:val="17"/>
              </w:rPr>
              <w:t>10,454</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8,269</w:t>
            </w:r>
          </w:p>
        </w:tc>
        <w:tc>
          <w:tcPr>
            <w:tcW w:type="dxa" w:w="1440"/>
            <w:shd w:fill="FFDCE0" w:val="clear"/>
          </w:tcPr>
          <w:p>
            <w:r>
              <w:rPr>
                <w:b/>
                <w:sz w:val="17"/>
              </w:rPr>
              <w:t>9,378</w:t>
            </w:r>
          </w:p>
        </w:tc>
        <w:tc>
          <w:tcPr>
            <w:tcW w:type="dxa" w:w="1440"/>
            <w:shd w:fill="FFDCE0" w:val="clear"/>
          </w:tcPr>
          <w:p>
            <w:r>
              <w:rPr>
                <w:sz w:val="17"/>
              </w:rPr>
              <w:t>10,487</w:t>
            </w:r>
          </w:p>
        </w:tc>
        <w:tc>
          <w:tcPr>
            <w:tcW w:type="dxa" w:w="1440"/>
            <w:shd w:fill="FFDCE0" w:val="clear"/>
          </w:tcPr>
          <w:p>
            <w:r>
              <w:rPr>
                <w:b/>
                <w:color w:val="C00000"/>
                <w:sz w:val="17"/>
              </w:rPr>
              <w:t>-10.7%</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8,189</w:t>
            </w:r>
          </w:p>
        </w:tc>
        <w:tc>
          <w:tcPr>
            <w:tcW w:type="dxa" w:w="1440"/>
            <w:shd w:fill="FFDCE0" w:val="clear"/>
          </w:tcPr>
          <w:p>
            <w:r>
              <w:rPr>
                <w:b/>
                <w:sz w:val="17"/>
              </w:rPr>
              <w:t>9,356</w:t>
            </w:r>
          </w:p>
        </w:tc>
        <w:tc>
          <w:tcPr>
            <w:tcW w:type="dxa" w:w="1440"/>
            <w:shd w:fill="FFDCE0" w:val="clear"/>
          </w:tcPr>
          <w:p>
            <w:r>
              <w:rPr>
                <w:sz w:val="17"/>
              </w:rPr>
              <w:t>10,522</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606,48 milliards FCFA, BICB s'impose comme l'une des capitalisations les plus significatives de la cote BRVM, ce qui témoigne de son statut de banque systémique au Bénin et de la confiance des investisseurs régionaux. Le BPA s'établit à 627 FCFA par action, ce qui signifie que chaque titre détenu génère près de 627 FCFA de bénéfice net, un niveau de rentabilité par action particulièrement élevé pour le marché ouest-africain. Le PER de 16,7x indique que les investisseurs paient environ 16,7 fois les bénéfices annuels, ce qui est supérieur à la moyenne BRVM (généralement comprise entre 8x et 12x), suggérant une valorisation tendue mais justifiée par la qualité de la croissance. Le P/B de 4,49x révèle que le marché valorise la banque à plus de quatre fois sa valeur comptable, une prime substantielle qui reflète la forte rentabilité des fonds propres (ROE de 26,8%) mais qui expose le titre à un risque de correction en cas de déception. Enfin, l'EV/EBITDA de 27,1x, très supérieur au seuil de 15x habituellement considéré comme exigeant, confirme que le marché intègre déjà une croissance future importante, laissant peu de marge d'erreur pour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+105,48%, passant d'un plus bas de 5 100 FCFA à un plus haut de 10 790 FCFA, pour un cours actuel de 10 500 FCFA (variation J-1 de +0,48%). Cette performance exceptionnelle traduit un rally haussier majeur, porté par la publication de résultats annuels 2025 solides et par l'anticipation d'une bonne dynamique en 2026. La moyenne du cours sur la période s'établit à 6 719 FCFA, nettement supérieure à la médiane de 6 115 FCFA, ce qui indique une distribution asymétrique avec une concentration des cours bas en début de période et une accélération récente des prix. L'écart-type de 1 624 FCFA (CV de 24,2%) traduit une dispersion modérée à élevée du cours, cohérente avec un mouvement haussier soutenu mais non erratique. Le kurtosis de -0,230 (mésokurtique) suggère une distribution proche de la normale, sans pics extrêmes fréquents, tandis que le skewness de +0,937 (asymétrie positive) indique que davantage de journées se sont situées sous la moyenne, ce qui est typique d'un rally où les hausses sont concentrées sur quelques séances fortes. La volatilité annualisée de 34,5% positionne le titre dans la catégorie des valeurs à volatilité élevée (&gt;30%), ce qui implique un risque de correction significatif et justifie une gestion prudente des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(9 333 FCFA) et la MM50 (8 009 FCFA) sont toutes deux nettement inférieures au cours actuel (10 500 FCFA), confirmant une tendance haussière robuste et durable. L'écart entre le cours et la MM20 (+12,5%) et entre la MM20 et la MM50 (+16,5%) traduit un momentum acheteur puissant, bien que le cours commence à s'éloigner significativement de ses moyennes, ce qui pourrait annoncer une phase de consolidation. La décision technique est donc logiquement à l'**Achat**, mais avec une vigilance sur un éventuel retour à la MM20.</w:t>
      </w:r>
    </w:p>
    <w:p>
      <w:pPr>
        <w:spacing w:after="120" w:line="276" w:lineRule="auto"/>
      </w:pPr>
      <w:r>
        <w:t>**Bandes de Bollinger** : Le cours actuel (10 500 FCFA) se situe à l'intérieur des bandes, entre la borne inférieure (7 446,80 FCFA) et la borne supérieure (11 219,20 FCFA), mais nettement plus proche de la borne haute. Cette position indique que le titre évolue dans une zone de prix élevée sans être en situation de surachat extrême, la décision étant **Neutre** car le cours n'a pas encore franchi la borne supérieure, ce qui laisse une marge de progression mais aussi un risque de rejet.</w:t>
      </w:r>
    </w:p>
    <w:p>
      <w:pPr>
        <w:spacing w:after="120" w:line="276" w:lineRule="auto"/>
      </w:pPr>
      <w:r>
        <w:t>**MACD** : La valeur du MACD (749,24) est supérieure à son signal (695,17), avec un histogramme positif, ce qui confirme un momentum haussier en cours. La divergence positive entre les deux lignes indique que la dynamique acheteuse reste intacte, bien que l'écart relativement faible suggère un essoufflement possible. La décision est donc à l'**Achat**, mais avec une confirmation à surveiller.</w:t>
      </w:r>
    </w:p>
    <w:p>
      <w:pPr>
        <w:spacing w:after="120" w:line="276" w:lineRule="auto"/>
      </w:pPr>
      <w:r>
        <w:t>**RSI** : À 79,62, le RSI se situe largement au-dessus du seuil de surachat (70), signalant que le titre est techniquement surévalué à court terme et qu'une correction ou une consolidation est probable. La décision est donc à la **Vente** à court terme, ce qui contraste avec la tendance de fond haussière et invite à la prudence pour les nouveaux entrants.</w:t>
      </w:r>
    </w:p>
    <w:p>
      <w:pPr>
        <w:spacing w:after="120" w:line="276" w:lineRule="auto"/>
      </w:pPr>
      <w:r>
        <w:t>**Stochastique** : Le %K (87,34) et le %D (83,25) sont tous deux en zone de surachat (&gt;80), avec un %K légèrement supérieur au %D, ce qui indique que la pression acheteuse reste présente mais que le croisement baissier pourrait se produire prochainement. La décision est à la **Vente**, confirmant le signal du RSI et suggérant une prise de bénéfices à court terme.</w:t>
      </w:r>
    </w:p>
    <w:p>
      <w:pPr>
        <w:spacing w:after="120" w:line="276" w:lineRule="auto"/>
      </w:pPr>
      <w:r>
        <w:t>**Conclusion technique** : Les indicateurs de tendance (MM, MACD) restent haussiers et confirment la solidité du mouvement de fond, mais les oscillateurs (RSI, Stochastique) sont en zone de surachat et signalent un risque de correction à court terme. Cette divergence entre tendance et momentum suggère une phase de consolidation imminente, avec un support potentiel autour de la MM20 (9 333 FCFA) et une résistance à 11 219 FCFA (borne supérieure de Bollinger). La prudence est de mise pour les achats à court terme, tandis que les investisseurs de moyen terme peuvent conserver leur position.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BICB a réalisé un Produit Net Bancaire (PNB) de 52,805 milliards FCFA, en croissance de 16,49% par rapport à 2024, porté par une expansion rapide des crédits (+37,3%) et des dépôts (+29,4%). Le résultat net s'établit à 36,237 milliards FCFA, en hausse de 24,7%, avec un ROE exceptionnel de 26,82% (bien supérieur au seuil de 15% considéré comme excellent) et un ROA de 1,96%. Le coefficient d'exploitation de 31,12% est remarquablement bas (seuil de 60% pour une banque efficace), témoignant d'une maîtrise des charges et d'une forte productivité. Le coût du risque, à 9,61% des charges financières, reste modéré mais en hausse, reflétant une politique de provisionnement prudente. La structure financière affiche une autonomie financière de 7,33% (faible, mais typique des banques) et un ratio crédits/dépôts de 97,5%, signalant une transformation tendue et un risque de liquidité à surveiller. Les capitaux propres de 135,118 milliards FCFA et le ratio de solvabilité de 19,64% (bien au-dessus du minimum réglementaire de 11,5%) confirment la solidité du bilan.</w:t>
      </w:r>
    </w:p>
    <w:p>
      <w:pPr>
        <w:spacing w:after="120" w:line="276" w:lineRule="auto"/>
      </w:pPr>
      <w:r>
        <w:t>**Estimations basées sur les rapports trimestriels** : Le rapport du T1 2026 (publié en 2026) indique un PNB de 14,6 milliards FCFA (+35%) et un résultat net de 8,0 milliards FCFA (+48%), marquant une accélération par rapport à 2025. Le rapport du T3 2025 (30 septembre 2025) faisait état d'un PNB de 35,945 milliards FCFA (+26%) et d'un résultat net de 13,128 milliards FCFA (-9%), pénalisé par un coût du risque en forte hausse (provisions multipliées par 5 au S1 2025). Le rapport du S1 2025 (30 juin 2025) confirmait cette tendance avec un PNB de 25,738 milliards FCFA (+28,1%) et un résultat net de 7,903 milliards FCFA (-26,7%). On estime donc que l'exercice 2026 devrait bénéficier d'un effet de base favorable et d'une normalisation du coût du risque, avec un résultat net potentiellement supérieur à 40 milliards FCFA si la dynamique du T1 se poursuit. Le rapport des commissaires aux comptes (exercice 2025, publié le 12 juin 2026) a émis une opinion sans réserve, tout en soulignant des points de vigilance sur le risque de crédit (encours de prêts de 1 461 milliards FCFA) et les systèmes d'information.</w:t>
      </w:r>
    </w:p>
    <w:p>
      <w:pPr>
        <w:spacing w:after="120" w:line="276" w:lineRule="auto"/>
      </w:pPr>
      <w:r>
        <w:t>**Recommandation fondamentale** : BICB présente des fondamentaux solides (ROE élevé, coefficient d'exploitation faible, solvabilité robuste) et une dynamique commerciale exceptionnelle, mais la qualité de la croissance est le principal point de vigilance, avec un coût du risque en hausse et un ratio crédits/dépôts tendu. La recommandation fondamentale est **CONSERVER** pour les investisseurs déjà en portefeuille, avec un potentiel d'achat si la normalisation du coût du risque se confirme en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avec un PER de 16,7x (supérieur à la moyenne BRVM), un P/B de 4,49x et un EV/EBITDA de 27,1x, ce qui intègre déjà une forte croissance et laisse peu de marge d'erreur. Le comportement du cours (Partie 1) est exceptionnellement haussier (+105,48% sur 100 jours) mais accompagné d'une volatilité élevée (34,5%) et d'une asymétrie positive (skewness de +0,937), ce qui suggère que le rally pourrait s'essouffler à court terme. Les signaux techniques (Partie 2) sont divergents : les indicateurs de tendance (MM, MACD) restent haussiers, mais les oscillateurs (RSI à 79,6, Stochastique à 87,3) sont en zone de surachat et signalent une correction imminente. Les fondamentaux (Partie 3) sont solides (ROE de 26,8%, PNB en croissance de 16,5% en 2025, résultat net de 36,2 milliards FCFA) et les rapports trimestriels (T1 2026 : PNB +35%, RN +48%) confirment une accélération en 2026, mais le coût du risque et la tension sur la liquidité restent des risques à surveiller. Les prédictions IA (J+1 à J+10) anticipent une baisse progressive du cours de 9 745 FCFA à 9 519 FCFA, ce qui contredit la tendance haussière récente et confirme le risque de correction à court terme.</w:t>
      </w:r>
    </w:p>
    <w:p>
      <w:pPr>
        <w:spacing w:after="120" w:line="276" w:lineRule="auto"/>
      </w:pPr>
      <w:r>
        <w:t>**Recommandation finale** : **CONSERVER** (avec un biais baissier à court terme). La convergence entre la valorisation tendue, les signaux techniques de surachat et les prédictions IA baissières suggère une phase de consolidation imminente, tandis que les fondamentaux solides et les perspectives 2026 favorables justifient de ne pas vendre. Le niveau de confiance est **Moyen** (les indicateurs sont divergents) et le niveau de risque global est **Élevé** (volatilité de 34,5%, valorisation exigeante, coût du risque en hausse). L'horizon d'investissement optimal est le **moyen terme (3-12 mois)**, en attendant une normalisation du coût du risque et une confirmation de la croissance bénéficiaire en 2026. Les investisseurs à court terme devraient prendre des bénéfices, tandis que les investisseurs long terme peuvent conserver leur position en surveillant les prochains rapports trimestriels.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550.25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658 titres</w:t>
            </w:r>
          </w:p>
        </w:tc>
        <w:tc>
          <w:tcPr>
            <w:tcW w:type="dxa" w:w="2268"/>
            <w:shd w:fill="FFF2CC" w:val="clear"/>
          </w:tcPr>
          <w:p>
            <w:r>
              <w:rPr>
                <w:b/>
                <w:color w:val="503200"/>
                <w:sz w:val="16"/>
              </w:rPr>
              <w:t xml:space="preserve">Cours actuel : </w:t>
            </w:r>
            <w:r>
              <w:rPr>
                <w:color w:val="000000"/>
                <w:sz w:val="17"/>
              </w:rPr>
              <w:t>33,015 FCFA</w:t>
            </w:r>
          </w:p>
          <w:p>
            <w:r>
              <w:rPr>
                <w:b/>
                <w:color w:val="503200"/>
                <w:sz w:val="16"/>
              </w:rPr>
              <w:t xml:space="preserve">Var. 100 jours : </w:t>
            </w:r>
            <w:r>
              <w:rPr>
                <w:b/>
                <w:color w:val="007800"/>
                <w:sz w:val="17"/>
              </w:rPr>
              <w:t>+32.06%</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μ=28,310 FCFA, σ=2,114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β=0.5878 (Défensif) — Cov=0.000020, Var(idx)=0.000034, ρ=0.198,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31,682</w:t>
            </w:r>
          </w:p>
        </w:tc>
        <w:tc>
          <w:tcPr>
            <w:tcW w:type="dxa" w:w="1440"/>
            <w:shd w:fill="FAFAFA" w:val="clear"/>
          </w:tcPr>
          <w:p>
            <w:r>
              <w:rPr>
                <w:b/>
                <w:sz w:val="17"/>
              </w:rPr>
              <w:t>32,686</w:t>
            </w:r>
          </w:p>
        </w:tc>
        <w:tc>
          <w:tcPr>
            <w:tcW w:type="dxa" w:w="1440"/>
            <w:shd w:fill="FAFAFA" w:val="clear"/>
          </w:tcPr>
          <w:p>
            <w:r>
              <w:rPr>
                <w:sz w:val="17"/>
              </w:rPr>
              <w:t>33,691</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31,178</w:t>
            </w:r>
          </w:p>
        </w:tc>
        <w:tc>
          <w:tcPr>
            <w:tcW w:type="dxa" w:w="1440"/>
            <w:shd w:fill="FAFAFA" w:val="clear"/>
          </w:tcPr>
          <w:p>
            <w:r>
              <w:rPr>
                <w:b/>
                <w:sz w:val="17"/>
              </w:rPr>
              <w:t>32,594</w:t>
            </w:r>
          </w:p>
        </w:tc>
        <w:tc>
          <w:tcPr>
            <w:tcW w:type="dxa" w:w="1440"/>
            <w:shd w:fill="FAFAFA" w:val="clear"/>
          </w:tcPr>
          <w:p>
            <w:r>
              <w:rPr>
                <w:sz w:val="17"/>
              </w:rPr>
              <w:t>34,010</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30,750</w:t>
            </w:r>
          </w:p>
        </w:tc>
        <w:tc>
          <w:tcPr>
            <w:tcW w:type="dxa" w:w="1440"/>
            <w:shd w:fill="FAFAFA" w:val="clear"/>
          </w:tcPr>
          <w:p>
            <w:r>
              <w:rPr>
                <w:b/>
                <w:sz w:val="17"/>
              </w:rPr>
              <w:t>32,478</w:t>
            </w:r>
          </w:p>
        </w:tc>
        <w:tc>
          <w:tcPr>
            <w:tcW w:type="dxa" w:w="1440"/>
            <w:shd w:fill="FAFAFA" w:val="clear"/>
          </w:tcPr>
          <w:p>
            <w:r>
              <w:rPr>
                <w:sz w:val="17"/>
              </w:rPr>
              <w:t>34,206</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30,379</w:t>
            </w:r>
          </w:p>
        </w:tc>
        <w:tc>
          <w:tcPr>
            <w:tcW w:type="dxa" w:w="1440"/>
            <w:shd w:fill="FAFAFA" w:val="clear"/>
          </w:tcPr>
          <w:p>
            <w:r>
              <w:rPr>
                <w:b/>
                <w:sz w:val="17"/>
              </w:rPr>
              <w:t>32,368</w:t>
            </w:r>
          </w:p>
        </w:tc>
        <w:tc>
          <w:tcPr>
            <w:tcW w:type="dxa" w:w="1440"/>
            <w:shd w:fill="FAFAFA" w:val="clear"/>
          </w:tcPr>
          <w:p>
            <w:r>
              <w:rPr>
                <w:sz w:val="17"/>
              </w:rPr>
              <w:t>34,357</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30,050</w:t>
            </w:r>
          </w:p>
        </w:tc>
        <w:tc>
          <w:tcPr>
            <w:tcW w:type="dxa" w:w="1440"/>
            <w:shd w:fill="FFDCE0" w:val="clear"/>
          </w:tcPr>
          <w:p>
            <w:r>
              <w:rPr>
                <w:b/>
                <w:sz w:val="17"/>
              </w:rPr>
              <w:t>32,266</w:t>
            </w:r>
          </w:p>
        </w:tc>
        <w:tc>
          <w:tcPr>
            <w:tcW w:type="dxa" w:w="1440"/>
            <w:shd w:fill="FFDCE0" w:val="clear"/>
          </w:tcPr>
          <w:p>
            <w:r>
              <w:rPr>
                <w:sz w:val="17"/>
              </w:rPr>
              <w:t>34,483</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29,749</w:t>
            </w:r>
          </w:p>
        </w:tc>
        <w:tc>
          <w:tcPr>
            <w:tcW w:type="dxa" w:w="1440"/>
            <w:shd w:fill="FFDCE0" w:val="clear"/>
          </w:tcPr>
          <w:p>
            <w:r>
              <w:rPr>
                <w:b/>
                <w:sz w:val="17"/>
              </w:rPr>
              <w:t>32,170</w:t>
            </w:r>
          </w:p>
        </w:tc>
        <w:tc>
          <w:tcPr>
            <w:tcW w:type="dxa" w:w="1440"/>
            <w:shd w:fill="FFDCE0" w:val="clear"/>
          </w:tcPr>
          <w:p>
            <w:r>
              <w:rPr>
                <w:sz w:val="17"/>
              </w:rPr>
              <w:t>34,591</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29,470</w:t>
            </w:r>
          </w:p>
        </w:tc>
        <w:tc>
          <w:tcPr>
            <w:tcW w:type="dxa" w:w="1440"/>
            <w:shd w:fill="FFDCE0" w:val="clear"/>
          </w:tcPr>
          <w:p>
            <w:r>
              <w:rPr>
                <w:b/>
                <w:sz w:val="17"/>
              </w:rPr>
              <w:t>32,077</w:t>
            </w:r>
          </w:p>
        </w:tc>
        <w:tc>
          <w:tcPr>
            <w:tcW w:type="dxa" w:w="1440"/>
            <w:shd w:fill="FFDCE0" w:val="clear"/>
          </w:tcPr>
          <w:p>
            <w:r>
              <w:rPr>
                <w:sz w:val="17"/>
              </w:rPr>
              <w:t>34,684</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29,207</w:t>
            </w:r>
          </w:p>
        </w:tc>
        <w:tc>
          <w:tcPr>
            <w:tcW w:type="dxa" w:w="1440"/>
            <w:shd w:fill="FFDCE0" w:val="clear"/>
          </w:tcPr>
          <w:p>
            <w:r>
              <w:rPr>
                <w:b/>
                <w:sz w:val="17"/>
              </w:rPr>
              <w:t>31,987</w:t>
            </w:r>
          </w:p>
        </w:tc>
        <w:tc>
          <w:tcPr>
            <w:tcW w:type="dxa" w:w="1440"/>
            <w:shd w:fill="FFDCE0" w:val="clear"/>
          </w:tcPr>
          <w:p>
            <w:r>
              <w:rPr>
                <w:sz w:val="17"/>
              </w:rPr>
              <w:t>34,766</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28,959</w:t>
            </w:r>
          </w:p>
        </w:tc>
        <w:tc>
          <w:tcPr>
            <w:tcW w:type="dxa" w:w="1440"/>
            <w:shd w:fill="FFDCE0" w:val="clear"/>
          </w:tcPr>
          <w:p>
            <w:r>
              <w:rPr>
                <w:b/>
                <w:sz w:val="17"/>
              </w:rPr>
              <w:t>31,899</w:t>
            </w:r>
          </w:p>
        </w:tc>
        <w:tc>
          <w:tcPr>
            <w:tcW w:type="dxa" w:w="1440"/>
            <w:shd w:fill="FFDCE0" w:val="clear"/>
          </w:tcPr>
          <w:p>
            <w:r>
              <w:rPr>
                <w:sz w:val="17"/>
              </w:rPr>
              <w:t>34,839</w:t>
            </w:r>
          </w:p>
        </w:tc>
        <w:tc>
          <w:tcPr>
            <w:tcW w:type="dxa" w:w="1440"/>
            <w:shd w:fill="FFDCE0" w:val="clear"/>
          </w:tcPr>
          <w:p>
            <w:r>
              <w:rPr>
                <w:b/>
                <w:color w:val="C00000"/>
                <w:sz w:val="17"/>
              </w:rPr>
              <w:t>-3.4%</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28,724</w:t>
            </w:r>
          </w:p>
        </w:tc>
        <w:tc>
          <w:tcPr>
            <w:tcW w:type="dxa" w:w="1440"/>
            <w:shd w:fill="FFDCE0" w:val="clear"/>
          </w:tcPr>
          <w:p>
            <w:r>
              <w:rPr>
                <w:b/>
                <w:sz w:val="17"/>
              </w:rPr>
              <w:t>31,815</w:t>
            </w:r>
          </w:p>
        </w:tc>
        <w:tc>
          <w:tcPr>
            <w:tcW w:type="dxa" w:w="1440"/>
            <w:shd w:fill="FFDCE0" w:val="clear"/>
          </w:tcPr>
          <w:p>
            <w:r>
              <w:rPr>
                <w:sz w:val="17"/>
              </w:rPr>
              <w:t>34,906</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550,25 milliards FCFA, BICC s'impose comme l'une des valeurs bancaires les plus capitalisées de la BRVM, ce qui témoigne de son statut de poids lourd du compartiment bancaire régional. Le BPA de 2 191 FCFA/action signifie que chaque titre génère près de 2 200 FCFA de bénéfice net, un niveau de rentabilité par action particulièrement élevé. Le PER de 15,1x se situe au-dessus de la moyenne du marché BRVM (généralement 8-12x), indiquant que les investisseurs acceptent de payer une prime pour cette valeur de qualité, mais cette prime reste modérée au regard de la croissance des bénéfices. Le P/B de 4,56x traduit une valorisation nettement supérieure à la valeur comptable, ce qui est cohérent avec un ROE exceptionnel de 30,29% qui justifie amplement cette prime par la capacité de la banque à générer des profits bien au-delà de ses fonds propres. L'EV/EBITDA de 11,0x, dans la fourchette 10-15x, confirme une valorisation exigeante mais soutenue par la solidité opérationnelle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remarquable de +32,06%, avec une dernière séance quasi stable à +0,02%, portant le cours actuel à 33 015 FCFA pour une capitalisation de 550,25 milliards FCFA. Le range de trading s'établit entre un plus bas de 23 705 FCFA et un plus haut de 34 000 FCFA, soit une amplitude de plus de 43%, reflétant une tendance nettement haussière portée par des fondamentaux solides. La moyenne de 28 310 FCFA est légèrement inférieure à la médiane de 28 500 FCFA, suggérant une distribution très légèrement asymétrique à gauche, tandis que le mode à 29 000 FCFA indique un niveau de consolidation fréquent. L'écart-type de 2 125 FCFA avec un coefficient de variation de 7,5% traduit une dispersion modérée du cours autour de sa moyenne, ce qui est rassurant pour un titre ayant connu une telle appréciation. Le kurtosis de 1,010 (leptokurtique) signale des queues épaisses et donc un risque de pics de volatilité, tandis que le skewness de 0,265 indique une distribution globalement symétrique avec une légère inclinaison positive. La volatilité annualisée de 27,7% positionne le titre dans la catégorie modérée (15-30%), ce qui reste acceptable pour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à 30 926,25 FCFA et la MM50 à 29 512,70 FCFA se situent toutes deux sous le cours actuel de 33 015 FCFA, confirmant une configuration haussière avec le prix au-dessus des deux moyennes. L'écart positif entre la MM20 et la MM50 (golden cross) valide la dynamique ascendante, justifiant la décision d'**Achat**.</w:t>
      </w:r>
    </w:p>
    <w:p>
      <w:pPr>
        <w:spacing w:after="120" w:line="276" w:lineRule="auto"/>
      </w:pPr>
      <w:r>
        <w:t>**Bandes de Bollinger** : Le cours à 33 015 FCFA évolue dans la partie haute de la bande, entre la borne inférieure à 26 907,93 FCFA et la borne supérieure à 34 944,57 FCFA, sans toutefois toucher cette dernière. Cette position proche de la borne haute sans franchissement indique une pression acheteuse soutenue mais sans excès, justifiant la décision **Neutre** qui appelle à la prudence sur les niveaux actuels.</w:t>
      </w:r>
    </w:p>
    <w:p>
      <w:pPr>
        <w:spacing w:after="120" w:line="276" w:lineRule="auto"/>
      </w:pPr>
      <w:r>
        <w:t>**MACD** : Le MACD à 1 192,03 dépasse nettement son signal à 968,78, avec un histogramme positif de 223,24 points, confirmant un momentum haussier robuste. Cette divergence positive entre la ligne MACD et sa ligne de signal valide la décision d'**Achat** et suggère la poursuite de la tendance.</w:t>
      </w:r>
    </w:p>
    <w:p>
      <w:pPr>
        <w:spacing w:after="120" w:line="276" w:lineRule="auto"/>
      </w:pPr>
      <w:r>
        <w:t>**RSI** : À 77,07, le RSI se situe en zone de surachat (&gt;70), signalant que le titre a peut-être trop monté à court terme et qu'une correction ou consolidation est probable. Cette configuration justifie la décision de **Vente** à court terme, bien qu'elle doive être nuancée par la force de la tendance fondamentale.</w:t>
      </w:r>
    </w:p>
    <w:p>
      <w:pPr>
        <w:spacing w:after="120" w:line="276" w:lineRule="auto"/>
      </w:pPr>
      <w:r>
        <w:t>**Stochastique** : Le %K à 79,90 et le %D à 78,55 évoluent en zone haute sans croisement baissier avéré, avec un écart minime de 1,35 point entre les deux lignes. Cette configuration proche du surachat mais sans retournement confirmé justifie la décision **Neutre**, en attente d'un signal plus clair.</w:t>
      </w:r>
    </w:p>
    <w:p>
      <w:pPr>
        <w:spacing w:after="120" w:line="276" w:lineRule="auto"/>
      </w:pPr>
      <w:r>
        <w:t>**Conclusion technique** : Les indicateurs présentent une divergence classique entre signaux de tendance (MM et MACD en Achat) et signaux de momentum (RSI en Vente, Stochastique Neutre). Le titre évolue en tendance haussière confirmée mais approche des zones de surachat qui pourraient déclencher une consolidation technique. La prudence est de mise à court terme, mais la structure technique globale reste constructive tant que le cours se maintient au-dessus de la MM20 (30 926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BICICI affiche un Produit Net Bancaire (équivalent du chiffre d'affaires pour une banque) de 79,563 milliards FCFA, en croissance de 16,90% par rapport à 2024, confirmant une dynamique commerciale soutenue. Le résultat net s'établit à 36,520 milliards FCFA, générant un ROE exceptionnel de 30,29% (largement supérieur au seuil de 15% considéré comme excellent) et un ROA de 3,24%. Le coefficient d'exploitation de 50,83% place la banque en dessous du seuil de 60% synonyme d'efficacité, et même sous les 50% qui caractérisent les établissements excellents. Le coût du risque, à -12,15% des charges financières, reste contenu, témoignant d'un portefeuille de crédits de qualité. La structure bilancielle affiche 952,872 milliards FCFA de dépôts clientèle pour 524,439 milliards FCFA de créances clientèle, soit un ratio de transformation de 55%, indiquant une surliquidité notable (les dépôts dépassent largement les crédits). L'autonomie financière de 10,71% peut sembler faible, mais elle est structurelle au modèle bancaire où les dépôts constituent la principale ressource ; le ratio d'endettement de 14,05% et la solvabilité générale de 111,99% confirment la solidité du bilan.</w:t>
      </w:r>
    </w:p>
    <w:p>
      <w:pPr>
        <w:spacing w:after="120" w:line="276" w:lineRule="auto"/>
      </w:pPr>
      <w:r>
        <w:t>**Estimations basées sur les rapports trimestriels** : Le rapport du T1 2026 (publié le 31 mars 2026) révèle un PNB de 21,214 milliards FCFA (+17,01% en glissement annuel) et un résultat net de 10,387 milliards FCFA (+29,66%), avec une marge nette en amélioration à 49,0% contre 44,2% un an plus tôt. Le rapport du T3 2025 (30 septembre 2025) confirmait déjà cette tendance avec un PNB cumulé de 58,119 milliards FCFA (+16,4%) et un résultat net de 27,402 milliards FCFA (+50,8%), porté par une marge nette de 47,1%. Sur la base de ces performances trimestrielles, on peut estimer que l'exercice 2026 devrait enregistrer une nouvelle année de croissance à deux chiffres, avec un PNB projeté autour de 90-92 milliards FCFA et un résultat net potentiellement supérieur à 40 milliards FCFA si la dynamique se maintient. Le rapport du S1 2025 (30 juin 2025) soulignait déjà une réduction significative du coût du risque (-72,8%) et une marge nette de 43,8%, confirmant la trajectoire d'excellence opérationnelle. La recommandation fondamentale est donc **ACHAT**, la banque affichant une solidité financière remarquable, une croissance rentable et une gestion prudente des risques, avec pour principal point de vigilance la contraction des encours de crédits (-4,47% au T1 2026) qui pourrait à terme peser sur la marge d'intermédiation si elle se prolonge.</w:t>
      </w:r>
    </w:p>
    <w:p>
      <w:pPr>
        <w:spacing w:after="120" w:line="276" w:lineRule="auto"/>
      </w:pPr>
      <w:r>
        <w:t>---</w:t>
      </w:r>
    </w:p>
    <w:p>
      <w:pPr>
        <w:spacing w:after="120" w:line="276" w:lineRule="auto"/>
      </w:pPr>
      <w:r>
        <w:t>## PARTIE 4 : CONCLUSION D'INVESTISSEMENT</w:t>
      </w:r>
    </w:p>
    <w:p>
      <w:pPr>
        <w:spacing w:after="120" w:line="276" w:lineRule="auto"/>
      </w:pPr>
      <w:r>
        <w:t>La valorisation de BICC (Partie 0) présente un profil de qualité : le PER de 15,1x et le P/B de 4,56x traduisent une prime significative, mais celle-ci est pleinement justifiée par un ROE de 30,29% et une croissance des bénéfices supérieure à 29% au T1 2026. Le comportement du cours (Partie 1) est nettement haussier (+32,06% sur 100 jours) avec une volatilité modérée de 27,7%, bien que le kurtosis leptokurtique (1,010) appelle à la vigilance face aux pics potentiels. Les signaux techniques (Partie 2) sont mitigés : les moyennes mobiles et le MACD confirment la tendance haussière, mais le RSI en surachat (77,07) et le stochastique proche de la zone haute suggèrent une consolidation imminente à court terme. Les fondamentaux (Partie 3) demeurent excellents, avec un PNB 2025 de 79,563 milliards FCFA, un résultat net de 36,520 milliards FCFA et des ratios de rentabilité parmi les meilleurs de la BRVM, tandis que les rapports trimestriels 2025-2026 confirment la poursuite de cette dynamique. Les prédictions IA (J+1 à J+10) anticipent une légère correction de 33 015 FCFA vers 32 266 FCFA (-2,3%), ce qui est cohérent avec le signal de surachat du RSI et pourrait offrir un point d'entrée optimal après consolidation. **Recommandation finale : ACHAT**, avec un niveau de confiance **Élevé** et un risque global **Moyen** (lié à la valorisation exigeante et au risque de correction technique). L'horizon d'investissement optimal est le **moyen terme (3-12 mois)**, le temps que la consolidation technique s'achève et que les fondamentaux continuent de porter le titre vers de nouveaux sommets.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2,882 titres</w:t>
            </w:r>
          </w:p>
        </w:tc>
        <w:tc>
          <w:tcPr>
            <w:tcW w:type="dxa" w:w="2268"/>
            <w:shd w:fill="FFF2CC" w:val="clear"/>
          </w:tcPr>
          <w:p>
            <w:r>
              <w:rPr>
                <w:b/>
                <w:color w:val="503200"/>
                <w:sz w:val="16"/>
              </w:rPr>
              <w:t xml:space="preserve">Cours actuel : </w:t>
            </w:r>
            <w:r>
              <w:rPr>
                <w:color w:val="000000"/>
                <w:sz w:val="17"/>
              </w:rPr>
              <w:t>2,295 FCFA</w:t>
            </w:r>
          </w:p>
          <w:p>
            <w:r>
              <w:rPr>
                <w:b/>
                <w:color w:val="503200"/>
                <w:sz w:val="16"/>
              </w:rPr>
              <w:t xml:space="preserve">Var. 100 jours : </w:t>
            </w:r>
            <w:r>
              <w:rPr>
                <w:b/>
                <w:color w:val="007800"/>
                <w:sz w:val="17"/>
              </w:rPr>
              <w:t>+47.12%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13.25% (Moyenne) — μ=1,846 FCFA, σ=245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β=-0.0337 (Contre-cyclique) — Cov=-0.000001, Var(idx)=0.000034, ρ=-0.006,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2,882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2026-09-15</w:t>
            </w:r>
          </w:p>
        </w:tc>
        <w:tc>
          <w:tcPr>
            <w:tcW w:type="dxa" w:w="1440"/>
            <w:shd w:fill="FFDCE0" w:val="clear"/>
          </w:tcPr>
          <w:p>
            <w:r>
              <w:rPr>
                <w:sz w:val="17"/>
              </w:rPr>
              <w:t>2,112</w:t>
            </w:r>
          </w:p>
        </w:tc>
        <w:tc>
          <w:tcPr>
            <w:tcW w:type="dxa" w:w="1440"/>
            <w:shd w:fill="FFDCE0" w:val="clear"/>
          </w:tcPr>
          <w:p>
            <w:r>
              <w:rPr>
                <w:b/>
                <w:sz w:val="17"/>
              </w:rPr>
              <w:t>2,226</w:t>
            </w:r>
          </w:p>
        </w:tc>
        <w:tc>
          <w:tcPr>
            <w:tcW w:type="dxa" w:w="1440"/>
            <w:shd w:fill="FFDCE0" w:val="clear"/>
          </w:tcPr>
          <w:p>
            <w:r>
              <w:rPr>
                <w:sz w:val="17"/>
              </w:rPr>
              <w:t>2,341</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2,052</w:t>
            </w:r>
          </w:p>
        </w:tc>
        <w:tc>
          <w:tcPr>
            <w:tcW w:type="dxa" w:w="1440"/>
            <w:shd w:fill="FFDCE0" w:val="clear"/>
          </w:tcPr>
          <w:p>
            <w:r>
              <w:rPr>
                <w:b/>
                <w:sz w:val="17"/>
              </w:rPr>
              <w:t>2,213</w:t>
            </w:r>
          </w:p>
        </w:tc>
        <w:tc>
          <w:tcPr>
            <w:tcW w:type="dxa" w:w="1440"/>
            <w:shd w:fill="FFDCE0" w:val="clear"/>
          </w:tcPr>
          <w:p>
            <w:r>
              <w:rPr>
                <w:sz w:val="17"/>
              </w:rPr>
              <w:t>2,374</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1,991</w:t>
            </w:r>
          </w:p>
        </w:tc>
        <w:tc>
          <w:tcPr>
            <w:tcW w:type="dxa" w:w="1440"/>
            <w:shd w:fill="FFDCE0" w:val="clear"/>
          </w:tcPr>
          <w:p>
            <w:r>
              <w:rPr>
                <w:b/>
                <w:sz w:val="17"/>
              </w:rPr>
              <w:t>2,186</w:t>
            </w:r>
          </w:p>
        </w:tc>
        <w:tc>
          <w:tcPr>
            <w:tcW w:type="dxa" w:w="1440"/>
            <w:shd w:fill="FFDCE0" w:val="clear"/>
          </w:tcPr>
          <w:p>
            <w:r>
              <w:rPr>
                <w:sz w:val="17"/>
              </w:rPr>
              <w:t>2,381</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1,939</w:t>
            </w:r>
          </w:p>
        </w:tc>
        <w:tc>
          <w:tcPr>
            <w:tcW w:type="dxa" w:w="1440"/>
            <w:shd w:fill="FFDCE0" w:val="clear"/>
          </w:tcPr>
          <w:p>
            <w:r>
              <w:rPr>
                <w:b/>
                <w:sz w:val="17"/>
              </w:rPr>
              <w:t>2,162</w:t>
            </w:r>
          </w:p>
        </w:tc>
        <w:tc>
          <w:tcPr>
            <w:tcW w:type="dxa" w:w="1440"/>
            <w:shd w:fill="FFDCE0" w:val="clear"/>
          </w:tcPr>
          <w:p>
            <w:r>
              <w:rPr>
                <w:sz w:val="17"/>
              </w:rPr>
              <w:t>2,385</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1,895</w:t>
            </w:r>
          </w:p>
        </w:tc>
        <w:tc>
          <w:tcPr>
            <w:tcW w:type="dxa" w:w="1440"/>
            <w:shd w:fill="FFDCE0" w:val="clear"/>
          </w:tcPr>
          <w:p>
            <w:r>
              <w:rPr>
                <w:b/>
                <w:sz w:val="17"/>
              </w:rPr>
              <w:t>2,142</w:t>
            </w:r>
          </w:p>
        </w:tc>
        <w:tc>
          <w:tcPr>
            <w:tcW w:type="dxa" w:w="1440"/>
            <w:shd w:fill="FFDCE0" w:val="clear"/>
          </w:tcPr>
          <w:p>
            <w:r>
              <w:rPr>
                <w:sz w:val="17"/>
              </w:rPr>
              <w:t>2,389</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1,856</w:t>
            </w:r>
          </w:p>
        </w:tc>
        <w:tc>
          <w:tcPr>
            <w:tcW w:type="dxa" w:w="1440"/>
            <w:shd w:fill="FFDCE0" w:val="clear"/>
          </w:tcPr>
          <w:p>
            <w:r>
              <w:rPr>
                <w:b/>
                <w:sz w:val="17"/>
              </w:rPr>
              <w:t>2,124</w:t>
            </w:r>
          </w:p>
        </w:tc>
        <w:tc>
          <w:tcPr>
            <w:tcW w:type="dxa" w:w="1440"/>
            <w:shd w:fill="FFDCE0" w:val="clear"/>
          </w:tcPr>
          <w:p>
            <w:r>
              <w:rPr>
                <w:sz w:val="17"/>
              </w:rPr>
              <w:t>2,392</w:t>
            </w:r>
          </w:p>
        </w:tc>
        <w:tc>
          <w:tcPr>
            <w:tcW w:type="dxa" w:w="1440"/>
            <w:shd w:fill="FFDCE0" w:val="clear"/>
          </w:tcPr>
          <w:p>
            <w:r>
              <w:rPr>
                <w:b/>
                <w:color w:val="C00000"/>
                <w:sz w:val="17"/>
              </w:rPr>
              <w:t>-7.5%</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1,820</w:t>
            </w:r>
          </w:p>
        </w:tc>
        <w:tc>
          <w:tcPr>
            <w:tcW w:type="dxa" w:w="1440"/>
            <w:shd w:fill="FFDCE0" w:val="clear"/>
          </w:tcPr>
          <w:p>
            <w:r>
              <w:rPr>
                <w:b/>
                <w:sz w:val="17"/>
              </w:rPr>
              <w:t>2,108</w:t>
            </w:r>
          </w:p>
        </w:tc>
        <w:tc>
          <w:tcPr>
            <w:tcW w:type="dxa" w:w="1440"/>
            <w:shd w:fill="FFDCE0" w:val="clear"/>
          </w:tcPr>
          <w:p>
            <w:r>
              <w:rPr>
                <w:sz w:val="17"/>
              </w:rPr>
              <w:t>2,395</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1,787</w:t>
            </w:r>
          </w:p>
        </w:tc>
        <w:tc>
          <w:tcPr>
            <w:tcW w:type="dxa" w:w="1440"/>
            <w:shd w:fill="FFDCE0" w:val="clear"/>
          </w:tcPr>
          <w:p>
            <w:r>
              <w:rPr>
                <w:b/>
                <w:sz w:val="17"/>
              </w:rPr>
              <w:t>2,092</w:t>
            </w:r>
          </w:p>
        </w:tc>
        <w:tc>
          <w:tcPr>
            <w:tcW w:type="dxa" w:w="1440"/>
            <w:shd w:fill="FFDCE0" w:val="clear"/>
          </w:tcPr>
          <w:p>
            <w:r>
              <w:rPr>
                <w:sz w:val="17"/>
              </w:rPr>
              <w:t>2,397</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1,756</w:t>
            </w:r>
          </w:p>
        </w:tc>
        <w:tc>
          <w:tcPr>
            <w:tcW w:type="dxa" w:w="1440"/>
            <w:shd w:fill="FFDCE0" w:val="clear"/>
          </w:tcPr>
          <w:p>
            <w:r>
              <w:rPr>
                <w:b/>
                <w:sz w:val="17"/>
              </w:rPr>
              <w:t>2,078</w:t>
            </w:r>
          </w:p>
        </w:tc>
        <w:tc>
          <w:tcPr>
            <w:tcW w:type="dxa" w:w="1440"/>
            <w:shd w:fill="FFDCE0" w:val="clear"/>
          </w:tcPr>
          <w:p>
            <w:r>
              <w:rPr>
                <w:sz w:val="17"/>
              </w:rPr>
              <w:t>2,399</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1,728</w:t>
            </w:r>
          </w:p>
        </w:tc>
        <w:tc>
          <w:tcPr>
            <w:tcW w:type="dxa" w:w="1440"/>
            <w:shd w:fill="FFDCE0" w:val="clear"/>
          </w:tcPr>
          <w:p>
            <w:r>
              <w:rPr>
                <w:b/>
                <w:sz w:val="17"/>
              </w:rPr>
              <w:t>2,064</w:t>
            </w:r>
          </w:p>
        </w:tc>
        <w:tc>
          <w:tcPr>
            <w:tcW w:type="dxa" w:w="1440"/>
            <w:shd w:fill="FFDCE0" w:val="clear"/>
          </w:tcPr>
          <w:p>
            <w:r>
              <w:rPr>
                <w:sz w:val="17"/>
              </w:rPr>
              <w:t>2,400</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**Marché : BRVM | Secteur : Entreprise (Distribution de matériaux de construction)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15,20 milliards FCFA, un niveau modeste à l'échelle de la BRVM qui la classe parmi les petites capitalisations du marché. Le BPA de 3 FCFA/action traduit une rentabilité par titre quasi-symbolique, ce qui explique mécaniquement un PER de 681,2x — un niveau stratosphérique comparé à la moyenne BRVM (8-12x) qui signale que les investisseurs paient très cher chaque franc de bénéfice, ou anticipent une forte reprise future. À l'inverse, le P/B de 0,86x indique que le marché valorise l'action en-dessous de sa valeur comptable, une anomalie potentiellement attractive pour un investisseur « value ». Enfin, l'EV/EBITDA de 25,2x (&gt;15x) traduit une valorisation exigeante au regard de la capacité opérationnelle réelle, ce qui contraste avec le P/B et suggère que le marché intègre déjà une prime de reprise. La coexistence d'un PER et d'un EV/EBITDA élevés avec un P/B &lt; 1 révèle une distorsion typique des sociétés à rentabilité anémique mais à actifs tangibles importants.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+47,12%, avec une dernière séance particulièrement dynamique (+7,49% en J-1), portant le cours à 2 295 FCFA. Le range de trading est très large, entre un plus bas de 1 300 FCFA et un plus haut de 2 400 FCFA, soit une amplitude de près de 85% qui témoigne d'une forte volatilité directionnelle. La tendance générale est clairement haussière, le cours actuel évoluant dans le haut de ce range. Les statistiques descriptives révèlent une moyenne de 1 846 FCFA légèrement inférieure à la médiane de 1 900 FCFA, avec un mode à 1 990 FCFA : l'écart faible entre moyenne et médiane, combiné à un skewness de -0,235 (distribution symétrique), indique une distribution équilibrée sans biais marqué, bien que le cours actuel (2 295 FCFA) soit nettement au-dessus de ces valeurs centrales. L'écart-type de 246 FCFA (CV = 13,3%) traduit une dispersion modérée autour de la moyenne, tandis que le kurtosis de -0,589 (mésokurtique) suggère une distribution proche de la normale, sans risque majeur de pics extrêmes. Avec une volatilité annualisée de 52,5%, le titre se positionne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(2 141,25 FCFA) et la MM50 (2 006,80 FCFA) se situent toutes deux sous le cours actuel (2 295 FCFA), avec la MM20 au-dessus de la MM50 — configuration haussière classique (golden cross). Le cours évolue nettement au-dessus de ses deux moyennes, confirmant la dynamique positive et justifiant la décision d'**Achat**.</w:t>
      </w:r>
    </w:p>
    <w:p>
      <w:pPr>
        <w:spacing w:after="120" w:line="276" w:lineRule="auto"/>
      </w:pPr>
      <w:r>
        <w:t>**Bandes de Bollinger** : Le cours (2 295 FCFA) se situe dans la partie haute du canal, proche de la borne supérieure (2 401,96 FCFA) et loin de la borne inférieure (1 880,55 FCFA). Cette position indique une pression acheteuse soutenue mais un risque de retour à la moyenne ; la décision est **Neutre** car le titre n'est pas encore en zone de surachat extrême.</w:t>
      </w:r>
    </w:p>
    <w:p>
      <w:pPr>
        <w:spacing w:after="120" w:line="276" w:lineRule="auto"/>
      </w:pPr>
      <w:r>
        <w:t>**MACD** : La valeur du MACD (54,536) est légèrement inférieure à son signal (59,207), générant un croisement baissier (MACD &lt; Signal) qui traduit un essoufflement du momentum haussier. Cette divergence négative, bien que modérée, justifie la décision de **Vente** à court terme.</w:t>
      </w:r>
    </w:p>
    <w:p>
      <w:pPr>
        <w:spacing w:after="120" w:line="276" w:lineRule="auto"/>
      </w:pPr>
      <w:r>
        <w:t>**RSI** : À 64,055, le RSI se situe en zone neutre haute, sans atteindre le seuil de surachat (&gt;70). Le titre conserve un potentiel de progression mais approche de zones où la prudence s'impose ; la décision est **Neutre**.</w:t>
      </w:r>
    </w:p>
    <w:p>
      <w:pPr>
        <w:spacing w:after="120" w:line="276" w:lineRule="auto"/>
      </w:pPr>
      <w:r>
        <w:t>**Stochastique** : Le %K (70,423) est nettement au-dessus du %D (49,49), avec un croisement haussier récent qui suggère une poursuite de la dynamique positive à court terme. Toutefois, le %K proche de 70 indique une zone de surachat naissante, d'où la décision **Neutre**.</w:t>
      </w:r>
    </w:p>
    <w:p>
      <w:pPr>
        <w:spacing w:after="120" w:line="276" w:lineRule="auto"/>
      </w:pPr>
      <w:r>
        <w:t>**Conclusion technique** : Les indicateurs présentent un tableau mitigé. Les moyennes mobiles confirment la tendance haussière de fond, et le stochastique suggère une poursuite du mouvement à très court terme. Cependant, le croisement baissier du MACD et la position élevée du cours dans les bandes de Bollinger signalent un essoufflement imminent. La convergence partielle des signaux (2 haussiers, 3 neutres/baissiers) plaide pour une consolidation avant toute nouvelle progression.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BNBC a réalisé un chiffre d'affaires de 42,454 milliards FCFA, en recul de 6,31% par rapport à 2024 (45,312 milliards FCFA), confirmant une contraction de l'activité commerciale. Le résultat net s'établit à seulement 22,32 millions FCFA, soit une marge nette de 0,053% — une rentabilité quasi-nulle. Le ROE est de 0,126% et le ROA de 0,045%, des niveaux extrêmement faibles qui traduisent une incapacité structurelle à générer de la valeur. La trésorerie nette est fortement négative à -16,689 milliards FCFA, et le BFR s'élève à 29,373 milliards FCFA, financé par un endettement total de 31,371 milliards FCFA (ratio d'endettement de 105,48%). Les délais clients (104,40 jours) et la durée de stockage (339,23 jours) sont élevés, immobilisant massivement du capital et aggravant le risque de trésorerie. Le flux opérationnel est négatif (-786,11 millions FCFA) et le Free Cash Flow de -1,239 milliards FCFA, confirmant une génération de cash insuffisante.</w:t>
      </w:r>
    </w:p>
    <w:p>
      <w:pPr>
        <w:spacing w:after="120" w:line="276" w:lineRule="auto"/>
      </w:pPr>
      <w:r>
        <w:t>**Estimations basées sur les rapports trimestriels** : Le rapport du T1 2026 (publié en 2026) fait état d'un chiffre d'affaires stable à 11,194 milliards FCFA (-0,12% vs T1 2025) et d'un résultat net positif de 65,566 millions FCFA, contre une perte de 16,147 millions au T1 2025 — une amélioration spectaculaire de +506% selon les données communiquées. Toutefois, cette performance est attribuée à l'intégration de la division Équipement (en phase de démarrage) et à la non-reconduction d'affaires exceptionnelles. Le rapport du T3 2025 (daté du 30/09/2025) indiquait un chiffre d'affaires cumulé de 31,83 milliards FCFA (-3%) et une perte nette de -157,03 millions FCFA, avec un objectif d'équilibre en fin d'année jugé « très ambitieux ». Sur la base de ces éléments, on estime que l'exercice 2026 devrait bénéficier d'un effet de base favorable au T1, mais la pérennité de la reprise reste incertaine tant que la division Équipement ne génère pas de revenus significatifs. La structure financière demeure fragile (capitaux propres de 17,77 milliards FCFA, autonomie financière de 36,16%), et l'absence de dividende (0 FCFA en 2025) prive les actionnaires de tout retour sur investissement.</w:t>
      </w:r>
    </w:p>
    <w:p>
      <w:pPr>
        <w:spacing w:after="120" w:line="276" w:lineRule="auto"/>
      </w:pPr>
      <w:r>
        <w:t>**Recommandation fondamentale** : La situation financière de BNBC reste critique malgré une légère amélioration du résultat net en 2025 et un T1 2026 positif. Les risques de liquidité (trésorerie négative), de rentabilité (marge nette &lt;0,1%) et de dépendance aux affaires exceptionnelles sont majeurs. La valorisation boursière (PER 681x) n'est justifiée que par des anticipations de reprise qui demeurent fragiles.</w:t>
      </w:r>
    </w:p>
    <w:p>
      <w:pPr>
        <w:spacing w:after="120" w:line="276" w:lineRule="auto"/>
      </w:pPr>
      <w:r>
        <w:t>---</w:t>
      </w:r>
    </w:p>
    <w:p>
      <w:pPr>
        <w:spacing w:after="120" w:line="276" w:lineRule="auto"/>
      </w:pPr>
      <w:r>
        <w:t>## PARTIE 4 : CONCLUSION D'INVESTISSEMENT</w:t>
      </w:r>
    </w:p>
    <w:p>
      <w:pPr>
        <w:spacing w:after="120" w:line="276" w:lineRule="auto"/>
      </w:pPr>
      <w:r>
        <w:t>La valorisation de BNBC présente un profil contradictoire : un PER de 681,2x et un EV/EBITDA de 25,2x traduisent une surévaluation manifeste au regard des bénéfices actuels, tandis que le P/B de 0,86x suggère une sous-évaluation des actifs. Le comportement du cours sur 100 jours est nettement haussier (+47,12%), avec une volatilité élevée (52,5%) et une distribution symétrique (skewness -0,235, kurtosis -0,589) qui n'écarte pas de brusques corrections. Les signaux techniques sont mitigés : les moyennes mobiles confirment la tendance haussière, mais le MACD baissier et la position élevée dans les bandes de Bollinger annoncent un essoufflement. Les fondamentaux restent préoccupants (marge nette de 0,05%, trésorerie négative de -16,7 milliards FCFA, absence de dividende), bien que le T1 2026 montre un retour à la profitabilité (65,6 millions FCFA) qu'il convient de surveiller. Les prédictions IA anticipent une correction progressive vers 2 142 FCFA d'ici J+10, en cohérence avec le signal baissier du MACD et la position technique tendue. **Recommandation finale : CONSERVER** — la convergence entre une valorisation tendue, des signaux techniques mitigés et des fondamentaux fragiles ne justifie ni un achat agressif ni une vente panique, mais une surveillance active. Le niveau de confiance est **Moyen** et le risque global **Élevé**. L'horizon d'investissement optimal est le **moyen terme (3-12 mois)**, en attendant la confirmation de la reprise opérationnelle et l'amélioration durable de la génération de cash-flows.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5,716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+27.50%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8,000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μ=9,066 FCFA, σ=570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β=-0.1752 (Contre-cyclique) — Cov=-0.000006, Var(idx)=0.000034, ρ=-0.063,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5,716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9,721</w:t>
            </w:r>
          </w:p>
        </w:tc>
        <w:tc>
          <w:tcPr>
            <w:tcW w:type="dxa" w:w="1440"/>
            <w:shd w:fill="FAFAFA" w:val="clear"/>
          </w:tcPr>
          <w:p>
            <w:r>
              <w:rPr>
                <w:b/>
                <w:sz w:val="17"/>
              </w:rPr>
              <w:t>10,069</w:t>
            </w:r>
          </w:p>
        </w:tc>
        <w:tc>
          <w:tcPr>
            <w:tcW w:type="dxa" w:w="1440"/>
            <w:shd w:fill="FAFAFA" w:val="clear"/>
          </w:tcPr>
          <w:p>
            <w:r>
              <w:rPr>
                <w:sz w:val="17"/>
              </w:rPr>
              <w:t>10,417</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9,520</w:t>
            </w:r>
          </w:p>
        </w:tc>
        <w:tc>
          <w:tcPr>
            <w:tcW w:type="dxa" w:w="1440"/>
            <w:shd w:fill="FAFAFA" w:val="clear"/>
          </w:tcPr>
          <w:p>
            <w:r>
              <w:rPr>
                <w:b/>
                <w:sz w:val="17"/>
              </w:rPr>
              <w:t>10,009</w:t>
            </w:r>
          </w:p>
        </w:tc>
        <w:tc>
          <w:tcPr>
            <w:tcW w:type="dxa" w:w="1440"/>
            <w:shd w:fill="FAFAFA" w:val="clear"/>
          </w:tcPr>
          <w:p>
            <w:r>
              <w:rPr>
                <w:sz w:val="17"/>
              </w:rPr>
              <w:t>10,498</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9,355</w:t>
            </w:r>
          </w:p>
        </w:tc>
        <w:tc>
          <w:tcPr>
            <w:tcW w:type="dxa" w:w="1440"/>
            <w:shd w:fill="FFDCE0" w:val="clear"/>
          </w:tcPr>
          <w:p>
            <w:r>
              <w:rPr>
                <w:b/>
                <w:sz w:val="17"/>
              </w:rPr>
              <w:t>9,951</w:t>
            </w:r>
          </w:p>
        </w:tc>
        <w:tc>
          <w:tcPr>
            <w:tcW w:type="dxa" w:w="1440"/>
            <w:shd w:fill="FFDCE0" w:val="clear"/>
          </w:tcPr>
          <w:p>
            <w:r>
              <w:rPr>
                <w:sz w:val="17"/>
              </w:rPr>
              <w:t>10,546</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9,221</w:t>
            </w:r>
          </w:p>
        </w:tc>
        <w:tc>
          <w:tcPr>
            <w:tcW w:type="dxa" w:w="1440"/>
            <w:shd w:fill="FFDCE0" w:val="clear"/>
          </w:tcPr>
          <w:p>
            <w:r>
              <w:rPr>
                <w:b/>
                <w:sz w:val="17"/>
              </w:rPr>
              <w:t>9,905</w:t>
            </w:r>
          </w:p>
        </w:tc>
        <w:tc>
          <w:tcPr>
            <w:tcW w:type="dxa" w:w="1440"/>
            <w:shd w:fill="FFDCE0" w:val="clear"/>
          </w:tcPr>
          <w:p>
            <w:r>
              <w:rPr>
                <w:sz w:val="17"/>
              </w:rPr>
              <w:t>10,590</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9,103</w:t>
            </w:r>
          </w:p>
        </w:tc>
        <w:tc>
          <w:tcPr>
            <w:tcW w:type="dxa" w:w="1440"/>
            <w:shd w:fill="FFDCE0" w:val="clear"/>
          </w:tcPr>
          <w:p>
            <w:r>
              <w:rPr>
                <w:b/>
                <w:sz w:val="17"/>
              </w:rPr>
              <w:t>9,865</w:t>
            </w:r>
          </w:p>
        </w:tc>
        <w:tc>
          <w:tcPr>
            <w:tcW w:type="dxa" w:w="1440"/>
            <w:shd w:fill="FFDCE0" w:val="clear"/>
          </w:tcPr>
          <w:p>
            <w:r>
              <w:rPr>
                <w:sz w:val="17"/>
              </w:rPr>
              <w:t>10,627</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8,996</w:t>
            </w:r>
          </w:p>
        </w:tc>
        <w:tc>
          <w:tcPr>
            <w:tcW w:type="dxa" w:w="1440"/>
            <w:shd w:fill="FFDCE0" w:val="clear"/>
          </w:tcPr>
          <w:p>
            <w:r>
              <w:rPr>
                <w:b/>
                <w:sz w:val="17"/>
              </w:rPr>
              <w:t>9,827</w:t>
            </w:r>
          </w:p>
        </w:tc>
        <w:tc>
          <w:tcPr>
            <w:tcW w:type="dxa" w:w="1440"/>
            <w:shd w:fill="FFDCE0" w:val="clear"/>
          </w:tcPr>
          <w:p>
            <w:r>
              <w:rPr>
                <w:sz w:val="17"/>
              </w:rPr>
              <w:t>10,659</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8,896</w:t>
            </w:r>
          </w:p>
        </w:tc>
        <w:tc>
          <w:tcPr>
            <w:tcW w:type="dxa" w:w="1440"/>
            <w:shd w:fill="FFDCE0" w:val="clear"/>
          </w:tcPr>
          <w:p>
            <w:r>
              <w:rPr>
                <w:b/>
                <w:sz w:val="17"/>
              </w:rPr>
              <w:t>9,792</w:t>
            </w:r>
          </w:p>
        </w:tc>
        <w:tc>
          <w:tcPr>
            <w:tcW w:type="dxa" w:w="1440"/>
            <w:shd w:fill="FFDCE0" w:val="clear"/>
          </w:tcPr>
          <w:p>
            <w:r>
              <w:rPr>
                <w:sz w:val="17"/>
              </w:rPr>
              <w:t>10,687</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8,804</w:t>
            </w:r>
          </w:p>
        </w:tc>
        <w:tc>
          <w:tcPr>
            <w:tcW w:type="dxa" w:w="1440"/>
            <w:shd w:fill="FFDCE0" w:val="clear"/>
          </w:tcPr>
          <w:p>
            <w:r>
              <w:rPr>
                <w:b/>
                <w:sz w:val="17"/>
              </w:rPr>
              <w:t>9,758</w:t>
            </w:r>
          </w:p>
        </w:tc>
        <w:tc>
          <w:tcPr>
            <w:tcW w:type="dxa" w:w="1440"/>
            <w:shd w:fill="FFDCE0" w:val="clear"/>
          </w:tcPr>
          <w:p>
            <w:r>
              <w:rPr>
                <w:sz w:val="17"/>
              </w:rPr>
              <w:t>10,712</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8,718</w:t>
            </w:r>
          </w:p>
        </w:tc>
        <w:tc>
          <w:tcPr>
            <w:tcW w:type="dxa" w:w="1440"/>
            <w:shd w:fill="FFDCE0" w:val="clear"/>
          </w:tcPr>
          <w:p>
            <w:r>
              <w:rPr>
                <w:b/>
                <w:sz w:val="17"/>
              </w:rPr>
              <w:t>9,726</w:t>
            </w:r>
          </w:p>
        </w:tc>
        <w:tc>
          <w:tcPr>
            <w:tcW w:type="dxa" w:w="1440"/>
            <w:shd w:fill="FFDCE0" w:val="clear"/>
          </w:tcPr>
          <w:p>
            <w:r>
              <w:rPr>
                <w:sz w:val="17"/>
              </w:rPr>
              <w:t>10,734</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8,636</w:t>
            </w:r>
          </w:p>
        </w:tc>
        <w:tc>
          <w:tcPr>
            <w:tcW w:type="dxa" w:w="1440"/>
            <w:shd w:fill="FFDCE0" w:val="clear"/>
          </w:tcPr>
          <w:p>
            <w:r>
              <w:rPr>
                <w:b/>
                <w:sz w:val="17"/>
              </w:rPr>
              <w:t>9,695</w:t>
            </w:r>
          </w:p>
        </w:tc>
        <w:tc>
          <w:tcPr>
            <w:tcW w:type="dxa" w:w="1440"/>
            <w:shd w:fill="FFDCE0" w:val="clear"/>
          </w:tcPr>
          <w:p>
            <w:r>
              <w:rPr>
                <w:sz w:val="17"/>
              </w:rPr>
              <w:t>10,755</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413,72 milliards FCFA, BOAB se positionne parmi les valeurs bancaires de premier plan de la cote BRVM, ce qui traduit une forte confiance du marché régional. Le BPA de 496 FCFA/action signifie que chaque titre génère près de 500 FCFA de bénéfice net, un niveau de rentabilité par action solide pour le secteur. Le PER de 20,6x est nettement supérieur à la moyenne BRVM (estimée entre 8x et 12x), signalant que les investisseurs paient une prime significative pour les bénéfices actuels, soit en anticipation d'une croissance future, soit en raison d'une surévaluation relative. Le P/B de 3,52x confirme cette lecture : le marché valorise la banque à plus de trois fois sa valeur comptable, une prime de croissance typique des établissements à forte rentabilité (ROE &gt; 15%). Enfin, l'EV/EBITDA de 20,8x, très exigeant (seuil d'alerte &gt; 15x), indique que la valeur d'entreprise intègre déjà des perspectives opérationnelles très favorables,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 enregistré une progression remarquable de +27,50%, avec une dernière séance en hausse de +0,99%, confirmant un momentum haussier toujours actif. Le cours actuel de 10 200 FCFA évolue dans un range de trading de 2 350 FCFA, entre un plus bas de 8 000 FCFA et un plus haut de 10 350 FCFA — le titre évolue donc actuellement à seulement 1,5% de son sommet, signe d'une forte pression acheteuse. La tendance générale est clairement haussière, soutenue par un volume moyen quotidien de 5 716 titres, garantissant une liquidité correcte pour la taille du titre. Les statistiques descriptives révèlent une moyenne de 9 066 FCFA supérieure à la médiane de 8 885 FCFA, avec un mode à 8 700 FCFA : cet écart confirme une distribution asymétrique positivement (skewness de +0,911), indiquant que le cours a passé plus de journées sous sa moyenne mais avec des poussées haussières marquées. L'écart-type de 573 FCFA (CV de 6,3%) traduit une dispersion modérée autour de la moyenne, tandis que le kurtosis de 0,080 (mésokurtique) suggère une distribution proche de la normale, sans risque excessif de pics extrêmes. La volatilité annualisée de 26,1% classe le titre dans la catégorie modérée (15-30%), offrant un profil risque/rendement équilibré pour un investisseur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(9 989,25 FCFA) et la MM50 (9 237,00 FCFA) se situent toutes deux sous le cours actuel (10 200 FCFA), avec la MM20 au-dessus de la MM50 — configuration haussière classique en « golden cross ». Le cours évoluant au-dessus de ses deux moyennes, la dynamique de fond est positive, ce qui justifie la décision technique d'**Achat**.</w:t>
      </w:r>
    </w:p>
    <w:p>
      <w:pPr>
        <w:spacing w:after="120" w:line="276" w:lineRule="auto"/>
      </w:pPr>
      <w:r>
        <w:t>**Bandes de Bollinger** : Le cours (10 200 FCFA) évolue dans la partie haute du canal, entre la borne inférieure (9 112,60 FCFA) et la borne supérieure (10 865,90 FCFA), sans franchir cette dernière. Cette position proche de la borne haute, sans breakout, traduit une volatilité contenue et une pression acheteuse modérée, justifiant la décision **Neutre** (pas de signal de surachat extrême).</w:t>
      </w:r>
    </w:p>
    <w:p>
      <w:pPr>
        <w:spacing w:after="120" w:line="276" w:lineRule="auto"/>
      </w:pPr>
      <w:r>
        <w:t>**MACD** : La valeur du MACD (303,33) est inférieure à sa ligne de signal (341,96), générant un croisement baissier — bien que les deux restent en territoire positif. Ce différentiel indique un essoufflement du momentum haussier à court terme, ce qui justifie la décision de **Vente** technique sur cet indicateur isolé.</w:t>
      </w:r>
    </w:p>
    <w:p>
      <w:pPr>
        <w:spacing w:after="120" w:line="276" w:lineRule="auto"/>
      </w:pPr>
      <w:r>
        <w:t>**RSI** : À 56,44, le RSI se situe en zone neutre (entre 30 et 70), sans signal de surachat (&gt;70) ni de survente (&lt;30). Cette position médiane indique que le titre dispose encore d'un potentiel de hausse sans être techniquement épuisé, justifiant la décision **Neutre**.</w:t>
      </w:r>
    </w:p>
    <w:p>
      <w:pPr>
        <w:spacing w:after="120" w:line="276" w:lineRule="auto"/>
      </w:pPr>
      <w:r>
        <w:t>**Stochastique** : Le %K (57,14) est supérieur au %D (33,34), signalant un croisement haussier récent — le momentum de court terme se retourne à la hausse. Toutefois, les deux lignes restent en zone médiane, ce qui justifie une décision **Neutre** prudente en attendant confirmation.</w:t>
      </w:r>
    </w:p>
    <w:p>
      <w:pPr>
        <w:spacing w:after="120" w:line="276" w:lineRule="auto"/>
      </w:pPr>
      <w:r>
        <w:t>**Conclusion technique** : Les indicateurs sont majoritairement neutres à haussiers (MM en achat, Stochastique haussier, RSI neutre), mais le MACD baissier introduit une divergence qui appelle à la prudence. La configuration globale reste favorable à une poursuite de la tendance haussière, mais un essoufflement à court terme n'est pas à exclure, ce qui plaide pour une approche d'accumulation progressive plutôt qu'agressive.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 affiche un Produit Net Bancaire (PNB, équivalent du chiffre d'affaires pour une banque) de 51,274 milliards FCFA, en croissance de +10,20% sur un an, porté par des intérêts et produits assimilés de 55,728 milliards FCFA et des commissions de 12,339 milliards FCFA. Le résultat net s'établit à 20,107 milliards FCFA, avec une marge nette exceptionnelle de 39,22% et un ROE de 17,11% (&gt; 15%, seuil d'excellence) et un ROA de 2,08%. Le coefficient d'exploitation de 49,53% (&lt; 50%) confirme une efficacité opérationnelle remarquable, tandis que le coût du risque rapporté aux charges financières (22,50%) reste modéré mais à surveiller. La structure bilancielle montre des dépôts clientèle de 711,642 milliards FCFA contre des créances clientèle de 391,724 milliards FCFA, soit un ratio de transformation (crédits/dépôts) de 55%, typique d'une banque liquide et prudente. L'autonomie financière (12,18%) est faible, mais ce niveau est structurel pour une banque dont le modèle repose sur le levier des dépôts.</w:t>
      </w:r>
    </w:p>
    <w:p>
      <w:pPr>
        <w:spacing w:after="120" w:line="276" w:lineRule="auto"/>
      </w:pPr>
      <w:r>
        <w:t>**Évolution et estimations issues des rapports trimestriels** : Le rapport du T3 2025 (daté du 30/09/2025) indique un PNB trimestriel de 37,065 milliards FCFA (+9% en glissement annuel) et un résultat net de 15,880 milliards FCFA (+13%), avec une amélioration notable des marges malgré une contraction du bilan (crédits -10%, dépôts -5%). Le rapport du T1 2026 (publié en 2026) confirme cette dynamique avec un PNB de 12,329 milliards FCFA (+11%) et un résultat net de 4,502 milliards FCFA (+1%), soutenu par des commissions en hausse de +18,9% et une marge nette bancaire de +8,5%. Sur la base de ces rapports, on estime que l'exercice 2026 devrait maintenir une croissance du PNB autour de 9-11%, avec un résultat net annuel projeté entre 20,5 et 21,5 milliards FCFA, soit un BPA estimé entre 505 et 530 FCFA/action. Le rapport 2024 (états financiers au 31/12/2024) rappelle que le résultat net 2024 s'élevait à 19,647 milliards FCFA (en baisse de 8,7% sur 2023), ce qui souligne le rebond de rentabilité opéré en 2025. La recommandation fondamentale est donc **solide** : la banque combine croissance du PNB, maîtrise des coûts (coefficient &lt; 50%), rentabilité élevée (ROE &gt; 17%) et base de dépôts en progression (+3,5% au T1 2026), malgré un risque de crédit à surveiller et une dépendance à l'environnement économique béninois.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20,6x, P/B 3,52x, EV/EBITDA 20,8x) intègre une prime de croissance significative, ce qui suggère une **surévaluation relative** par rapport aux standards de la BRVM, mais qui se justifie partiellement par la qualité des fondamentaux (ROE &gt; 17%, marge nette &gt; 39%). Le comportement du cours sur 100 jours (+27,50%) est nettement haussier, avec une volatilité modérée (26,1%) et une distribution asymétrique positivement (skewness +0,911) qui indique des poussées haussières plus fréquentes que les corrections — un profil favorable. Les signaux techniques sont mitigés : les moyennes mobiles et le stochastique sont haussiers, le RSI et les bandes de Bollinger sont neutres, mais le MACD est baissier, créant une divergence qui appelle à la prudence à court terme. Les fondamentaux sont solides et en amélioration, avec un PNB 2025 de 51,274 milliards FCFA (+10,2%), un résultat net de 20,107 milliards FCFA et des rapports trimestriels 2025-2026 confirmant la dynamique (T3 2025 : résultat net +13% ; T1 2026 : PNB +11%). Les prédictions IA (J+1 à J+10) anticipent une légère correction vers 9 865 FCFA d'ici le 21/09/2026, ce qui contredit le momentum haussier actuel et suggère une prise de bénéfices à court terme. **Recommandation finale : CONSERVER**. La convergence entre fondamentaux solides et valorisation exigeante, couplée à la divergence technique (MACD baissier vs MM haussières) et aux prédictions baissières à court terme, justifie une position attentiste. Le niveau de confiance est **Moyen** (les fondamentaux soutiennent le titre, mais la valorisation et le MACD incitent à la prudence), et le risque global est **Moyen** (volatilité modérée, mais sensibilité aux risques de crédit et à l'environnement macroéconomique). L'horizon d'investissement optimal est le **moyen terme (3-12 mois)**, en accumulant sur les replis vers 9 800-9 900 FCFA pour profiter de la croissance structurelle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6,825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+54.12%</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18.71% (Élevée) — μ=6,511 FCFA, σ=1,218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β=0.1290 (Défensif) — Cov=0.000004, Var(idx)=0.000034, ρ=0.035,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8,365</w:t>
            </w:r>
          </w:p>
        </w:tc>
        <w:tc>
          <w:tcPr>
            <w:tcW w:type="dxa" w:w="1440"/>
            <w:shd w:fill="FAFAFA" w:val="clear"/>
          </w:tcPr>
          <w:p>
            <w:r>
              <w:rPr>
                <w:b/>
                <w:sz w:val="17"/>
              </w:rPr>
              <w:t>8,694</w:t>
            </w:r>
          </w:p>
        </w:tc>
        <w:tc>
          <w:tcPr>
            <w:tcW w:type="dxa" w:w="1440"/>
            <w:shd w:fill="FAFAFA" w:val="clear"/>
          </w:tcPr>
          <w:p>
            <w:r>
              <w:rPr>
                <w:sz w:val="17"/>
              </w:rPr>
              <w:t>9,023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8,224</w:t>
            </w:r>
          </w:p>
        </w:tc>
        <w:tc>
          <w:tcPr>
            <w:tcW w:type="dxa" w:w="1440"/>
            <w:shd w:fill="FAFAFA" w:val="clear"/>
          </w:tcPr>
          <w:p>
            <w:r>
              <w:rPr>
                <w:b/>
                <w:sz w:val="17"/>
              </w:rPr>
              <w:t>8,689</w:t>
            </w:r>
          </w:p>
        </w:tc>
        <w:tc>
          <w:tcPr>
            <w:tcW w:type="dxa" w:w="1440"/>
            <w:shd w:fill="FAFAFA" w:val="clear"/>
          </w:tcPr>
          <w:p>
            <w:r>
              <w:rPr>
                <w:sz w:val="17"/>
              </w:rPr>
              <w:t>9,154</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8,124</w:t>
            </w:r>
          </w:p>
        </w:tc>
        <w:tc>
          <w:tcPr>
            <w:tcW w:type="dxa" w:w="1440"/>
            <w:shd w:fill="FAFAFA" w:val="clear"/>
          </w:tcPr>
          <w:p>
            <w:r>
              <w:rPr>
                <w:b/>
                <w:sz w:val="17"/>
              </w:rPr>
              <w:t>8,694</w:t>
            </w:r>
          </w:p>
        </w:tc>
        <w:tc>
          <w:tcPr>
            <w:tcW w:type="dxa" w:w="1440"/>
            <w:shd w:fill="FAFAFA" w:val="clear"/>
          </w:tcPr>
          <w:p>
            <w:r>
              <w:rPr>
                <w:sz w:val="17"/>
              </w:rPr>
              <w:t>9,263</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8,033</w:t>
            </w:r>
          </w:p>
        </w:tc>
        <w:tc>
          <w:tcPr>
            <w:tcW w:type="dxa" w:w="1440"/>
            <w:shd w:fill="FAFAFA" w:val="clear"/>
          </w:tcPr>
          <w:p>
            <w:r>
              <w:rPr>
                <w:b/>
                <w:sz w:val="17"/>
              </w:rPr>
              <w:t>8,690</w:t>
            </w:r>
          </w:p>
        </w:tc>
        <w:tc>
          <w:tcPr>
            <w:tcW w:type="dxa" w:w="1440"/>
            <w:shd w:fill="FAFAFA" w:val="clear"/>
          </w:tcPr>
          <w:p>
            <w:r>
              <w:rPr>
                <w:sz w:val="17"/>
              </w:rPr>
              <w:t>9,348</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7,947</w:t>
            </w:r>
          </w:p>
        </w:tc>
        <w:tc>
          <w:tcPr>
            <w:tcW w:type="dxa" w:w="1440"/>
            <w:shd w:fill="FAFAFA" w:val="clear"/>
          </w:tcPr>
          <w:p>
            <w:r>
              <w:rPr>
                <w:b/>
                <w:sz w:val="17"/>
              </w:rPr>
              <w:t>8,681</w:t>
            </w:r>
          </w:p>
        </w:tc>
        <w:tc>
          <w:tcPr>
            <w:tcW w:type="dxa" w:w="1440"/>
            <w:shd w:fill="FAFAFA" w:val="clear"/>
          </w:tcPr>
          <w:p>
            <w:r>
              <w:rPr>
                <w:sz w:val="17"/>
              </w:rPr>
              <w:t>9,416</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7,867</w:t>
            </w:r>
          </w:p>
        </w:tc>
        <w:tc>
          <w:tcPr>
            <w:tcW w:type="dxa" w:w="1440"/>
            <w:shd w:fill="FAFAFA" w:val="clear"/>
          </w:tcPr>
          <w:p>
            <w:r>
              <w:rPr>
                <w:b/>
                <w:sz w:val="17"/>
              </w:rPr>
              <w:t>8,670</w:t>
            </w:r>
          </w:p>
        </w:tc>
        <w:tc>
          <w:tcPr>
            <w:tcW w:type="dxa" w:w="1440"/>
            <w:shd w:fill="FAFAFA" w:val="clear"/>
          </w:tcPr>
          <w:p>
            <w:r>
              <w:rPr>
                <w:sz w:val="17"/>
              </w:rPr>
              <w:t>9,474</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7,791</w:t>
            </w:r>
          </w:p>
        </w:tc>
        <w:tc>
          <w:tcPr>
            <w:tcW w:type="dxa" w:w="1440"/>
            <w:shd w:fill="FAFAFA" w:val="clear"/>
          </w:tcPr>
          <w:p>
            <w:r>
              <w:rPr>
                <w:b/>
                <w:sz w:val="17"/>
              </w:rPr>
              <w:t>8,658</w:t>
            </w:r>
          </w:p>
        </w:tc>
        <w:tc>
          <w:tcPr>
            <w:tcW w:type="dxa" w:w="1440"/>
            <w:shd w:fill="FAFAFA" w:val="clear"/>
          </w:tcPr>
          <w:p>
            <w:r>
              <w:rPr>
                <w:sz w:val="17"/>
              </w:rPr>
              <w:t>9,525</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7,720</w:t>
            </w:r>
          </w:p>
        </w:tc>
        <w:tc>
          <w:tcPr>
            <w:tcW w:type="dxa" w:w="1440"/>
            <w:shd w:fill="FAFAFA" w:val="clear"/>
          </w:tcPr>
          <w:p>
            <w:r>
              <w:rPr>
                <w:b/>
                <w:sz w:val="17"/>
              </w:rPr>
              <w:t>8,646</w:t>
            </w:r>
          </w:p>
        </w:tc>
        <w:tc>
          <w:tcPr>
            <w:tcW w:type="dxa" w:w="1440"/>
            <w:shd w:fill="FAFAFA" w:val="clear"/>
          </w:tcPr>
          <w:p>
            <w:r>
              <w:rPr>
                <w:sz w:val="17"/>
              </w:rPr>
              <w:t>9,571</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7,653</w:t>
            </w:r>
          </w:p>
        </w:tc>
        <w:tc>
          <w:tcPr>
            <w:tcW w:type="dxa" w:w="1440"/>
            <w:shd w:fill="FAFAFA" w:val="clear"/>
          </w:tcPr>
          <w:p>
            <w:r>
              <w:rPr>
                <w:b/>
                <w:sz w:val="17"/>
              </w:rPr>
              <w:t>8,634</w:t>
            </w:r>
          </w:p>
        </w:tc>
        <w:tc>
          <w:tcPr>
            <w:tcW w:type="dxa" w:w="1440"/>
            <w:shd w:fill="FAFAFA" w:val="clear"/>
          </w:tcPr>
          <w:p>
            <w:r>
              <w:rPr>
                <w:sz w:val="17"/>
              </w:rPr>
              <w:t>9,614</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7,590</w:t>
            </w:r>
          </w:p>
        </w:tc>
        <w:tc>
          <w:tcPr>
            <w:tcW w:type="dxa" w:w="1440"/>
            <w:shd w:fill="FAFAFA" w:val="clear"/>
          </w:tcPr>
          <w:p>
            <w:r>
              <w:rPr>
                <w:b/>
                <w:sz w:val="17"/>
              </w:rPr>
              <w:t>8,621</w:t>
            </w:r>
          </w:p>
        </w:tc>
        <w:tc>
          <w:tcPr>
            <w:tcW w:type="dxa" w:w="1440"/>
            <w:shd w:fill="FAFAFA" w:val="clear"/>
          </w:tcPr>
          <w:p>
            <w:r>
              <w:rPr>
                <w:sz w:val="17"/>
              </w:rPr>
              <w:t>9,653</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382,80 milliards FCFA, BOABF s'impose comme l'une des valeurs bancaires les plus capitalisées de la cote BRVM, ce qui traduit la confiance du marché envers cet établissement de premier plan au Burkina Faso. Le BPA de 438 FCFA/action signifie que chaque titre génère près de 438 FCFA de bénéfice net, un niveau de rentabilité par action solide pour le secteur. Le PER de 19,9x se situe nettement au-dessus de la moyenne BRVM (généralement 8-12x), ce qui indique que les investisseurs paient une prime significative pour les bénéfices de BOABF, portée par la qualité perçue de la signature et la liquidité du titre. Le P/B de 3,03x confirme cette prime de croissance : le marché valorise la banque à trois fois sa valeur comptable, un niveau élevé mais justifié par un ROE supérieur à 15%. Enfin, l'EV/EBITDA de 9,1x, dans la fourchette raisonnable de 5-10x, suggère que la valeur d'entreprise reste cohérente avec la capacité opérationnelle, bien que le PER élevé appelle à la vigilance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 enregistré une progression spectaculaire de +54,12%, passant d'un plus bas de 5 235 FCFA à un plus haut de 9 090 FCFA, pour un cours actuel de 8 700 FCFA — soit un recul de -3,23% lors de la dernière séance, signe d'une prise de profit après un rallye exceptionnel. Le range de trading de 3 855 FCFA (écart entre plus haut et plus bas) témoigne d'une tendance nettement haussière, soutenue par un volume moyen quotidien de 6 825 titres, indiquant une liquidité correcte pour la place. Les statistiques descriptives révèlent une moyenne de 6 511 FCFA supérieure à la médiane de 5 942 FCFA, avec un mode à 5 400 FCFA : cet écart confirme une distribution asymétrique où le cours a passé plus de temps dans les niveaux bas avant de s'envoler en fin de période. L'écart-type de 1 224 FCFA (CV = 18,8%) traduit une dispersion modérée du cours, tandis que le kurtosis de -0,554 (mésokurtique) indique une distribution proche de la normale, sans pics extrêmes fréquents — un profil rassurant pour la gestion du risque. Le skewness positif de 0,859 signale une asymétrie à droite : davantage de journées sous la moyenne, mais avec des gains ponctuels importants qui tirent le cours vers le haut. Enfin, la volatilité annualisée de 34,1% classe BOABF dans la catégorie des titres à volatilité élevée (&gt;30%), ce qui implique un risque de fluctuation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(8 489,25 FCFA) et la MM50 (7 503,90 FCFA) se situent toutes deux sous le cours actuel (8 700 FCFA), avec la MM20 au-dessus de la MM50 — configuration haussière classique en « golden cross ». Le cours évoluant au-dessus de ses deux moyennes, la dynamique de fond reste positive et justifie la décision d'**Achat**.</w:t>
      </w:r>
    </w:p>
    <w:p>
      <w:pPr>
        <w:spacing w:after="120" w:line="276" w:lineRule="auto"/>
      </w:pPr>
      <w:r>
        <w:t>**Bandes de Bollinger** : Le cours (8 700 FCFA) se situe à l'intérieur des bandes, entre la borne inférieure (7 125,59 FCFA) et la borne supérieure (9 852,92 FCFA), mais plus proche de la borne haute. Cette position médiane-haute, combinée à un écart-type élevé, traduit une volatilité soutenue sans signal de surachat extrême, d'où la décision **Neutre**.</w:t>
      </w:r>
    </w:p>
    <w:p>
      <w:pPr>
        <w:spacing w:after="120" w:line="276" w:lineRule="auto"/>
      </w:pPr>
      <w:r>
        <w:t>**MACD** : Le MACD (454,55) est légèrement inférieur à son signal (499,41), générant un croisement baissier qui indique un essoufflement du momentum haussier. Cette divergence négative, bien que modérée, justifie la décision de **Vente** à court terme, en cohérence avec le repli de -3,23% de la dernière séance.</w:t>
      </w:r>
    </w:p>
    <w:p>
      <w:pPr>
        <w:spacing w:after="120" w:line="276" w:lineRule="auto"/>
      </w:pPr>
      <w:r>
        <w:t>**RSI** : À 66,59, le RSI se situe dans la zone neutre haute (30-70), sans atteindre le seuil de surachat de 70. Cette configuration indique que le titre conserve un potentiel de hausse résiduel mais approche de niveaux où la prudence s'impose, justifiant la décision **Neutre**.</w:t>
      </w:r>
    </w:p>
    <w:p>
      <w:pPr>
        <w:spacing w:after="120" w:line="276" w:lineRule="auto"/>
      </w:pPr>
      <w:r>
        <w:t>**Stochastique** : Le %K (20,41) est nettement inférieur au %D (68,29), avec un croisement baissier marqué en zone de survente naissante. Cet écart important signale une pression vendeuse récente qui pourrait se poursuivre à très court terme, d'où la décision **Neutre** avec un biais baissier.</w:t>
      </w:r>
    </w:p>
    <w:p>
      <w:pPr>
        <w:spacing w:after="120" w:line="276" w:lineRule="auto"/>
      </w:pPr>
      <w:r>
        <w:t>**Conclusion technique** : Les indicateurs présentent une configuration mitigée. Les moyennes mobiles confirment la tendance haussière de fond (Achat), mais le MACD baissier et le stochastique en divergence signalent un essoufflement à court terme. Le RSI et les Bandes de Bollinger en zone neutre suggèrent une consolidation possible avant une nouvelle impulsion. La convergence des signaux pointe vers une phase de respiration après le rallye de +54%, avec un support technique à surveiller autour de la MM20 (8 489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avec un résultat net de 19 252 millions FCFA en recul de -14,1% sur un an. Cette baisse s'explique principalement par un coût du risque qui a quasiment doublé, passant de -4 303 à -8 355 millions FCFA, reflétant une dégradation temporaire de la qualité du portefeuille de crédits. Les ratios de rentabilité restent néanmoins solides : le ROE s'établit à 15,22% (au-dessus du seuil d'excellence de 15%) et le ROA à 1,68%, tandis que le coefficient d'exploitation de 47,19% confirme l'efficacité opérationnelle de la banque (&lt; 50% = excellente). Le coût du risque rapporté aux charges financières s'élève à 33,92%, un niveau élevé qui traduit un risque de crédit significatif, mais dont la normalisation est déjà visible dans les rapports ultérieurs. Sur la base du rapport du 1er semestre 2026 (daté du 30/06/2026), le PNB recule de -5,2% à 27 539 millions FCFA, mais le résultat net bondit de +31,0% à 10 770 millions FCFA grâce à une amélioration spectaculaire du coût du risque (-65,2% à -2 396 millions). Le rapport du 1er trimestre 2026 (daté du 31/03/2026) confirmait déjà cette tendance avec un résultat net de 4 520 millions FCFA (-12,99%), mais une collecte de dépôts dynamique (+6,3% à 933 233 millions FCFA). On estime donc que l'exercice 2026 devrait afficher une nette amélioration de la rentabilité nette, portée par la normalisation du coût du risque, même si la dynamique commerciale (PNB) reste atone. Le principal risque réside dans la baisse structurelle du PNB et la contraction des crédits clientèle (-19,3% en 2025), qui pourraient limiter la croissance future. La solidité du bilan (total actif de 1 148,68 milliards FCFA, autonomie financière de 11,01%) et la capacité de collecte de dépôts (877,82 milliards FCFA) constituent des atouts majeurs pour la résilience de la banque.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(Partie 0) affiche un PER de 19,9x et un P/B de 3,03x, nettement supérieurs aux moyennes du marché BRVM, ce qui suggère une surévaluation relative du titre malgré un EV/EBITDA raisonnable de 9,1x. Le comportement du cours (Partie 1) révèle une tendance haussière exceptionnelle (+54,12% sur 100 jours) mais une volatilité élevée (34,1%) et un skewness positif (0,859) indiquant que le rallye pourrait être vulnérable à des prises de profit, comme en témoigne le repli de -3,23% de la dernière séance. Les signaux techniques (Partie 2) sont mitigés : les moyennes mobiles confirment la tendance haussière de fond, mais le MACD baissier et le stochastique en divergence signalent un essoufflement à court terme, plaidant pour une consolidation. Les fondamentaux (Partie 3) montrent une banque solide (ROE de 15,22%, coefficient d'exploitation de 47,19%) mais confrontée à un recul du PNB et à un coût du risque élevé en 2025, avec une amélioration attendue en 2026 selon les rapports trimestriels. Les prédictions IA (J+1 à J+10) anticipent une stabilisation autour de 8 680-8 694 FCFA, confirmant l'absence de catalyseur haussier immédiat. Sur la base de cette synthèse, la recommandation est **CONSERVER** : la convergence entre une valorisation tendue, des signaux techniques mitigés et des fondamentaux en amélioration mais fragiles ne justifie ni un achat agressif ni une vente précipitée. Le niveau de confiance est **Moyen**, car les rapports trimestriels récents (S1 2026) montrent une nette amélioration de la rentabilité, mais la faiblesse du PNB reste préoccupante. Le niveau de risque global est **Moyen à Élevé**, en raison de la volatilité du titre et de l'exposition au contexte sécuritaire burkinabè. L'horizon d'investissement optimal est le **moyen terme (3-12 mois)**, le temps que la normalisation du coût du risque se confirme et que la dynamique commerciale se redresse.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11,377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+42.61%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8,495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15.71% (Élevée) — μ=10,159 FCFA, σ=1,596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β=-0.0340 (Contre-cyclique) — Cov=-0.000001, Var(idx)=0.000034, ρ=-0.012,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11,377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11,894</w:t>
            </w:r>
          </w:p>
        </w:tc>
        <w:tc>
          <w:tcPr>
            <w:tcW w:type="dxa" w:w="1440"/>
            <w:shd w:fill="FAFAFA" w:val="clear"/>
          </w:tcPr>
          <w:p>
            <w:r>
              <w:rPr>
                <w:b/>
                <w:sz w:val="17"/>
              </w:rPr>
              <w:t>12,258</w:t>
            </w:r>
          </w:p>
        </w:tc>
        <w:tc>
          <w:tcPr>
            <w:tcW w:type="dxa" w:w="1440"/>
            <w:shd w:fill="FAFAFA" w:val="clear"/>
          </w:tcPr>
          <w:p>
            <w:r>
              <w:rPr>
                <w:sz w:val="17"/>
              </w:rPr>
              <w:t>12,622</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11,646</w:t>
            </w:r>
          </w:p>
        </w:tc>
        <w:tc>
          <w:tcPr>
            <w:tcW w:type="dxa" w:w="1440"/>
            <w:shd w:fill="FAFAFA" w:val="clear"/>
          </w:tcPr>
          <w:p>
            <w:r>
              <w:rPr>
                <w:b/>
                <w:sz w:val="17"/>
              </w:rPr>
              <w:t>12,156</w:t>
            </w:r>
          </w:p>
        </w:tc>
        <w:tc>
          <w:tcPr>
            <w:tcW w:type="dxa" w:w="1440"/>
            <w:shd w:fill="FAFAFA" w:val="clear"/>
          </w:tcPr>
          <w:p>
            <w:r>
              <w:rPr>
                <w:sz w:val="17"/>
              </w:rPr>
              <w:t>12,666</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11,428</w:t>
            </w:r>
          </w:p>
        </w:tc>
        <w:tc>
          <w:tcPr>
            <w:tcW w:type="dxa" w:w="1440"/>
            <w:shd w:fill="FFDCE0" w:val="clear"/>
          </w:tcPr>
          <w:p>
            <w:r>
              <w:rPr>
                <w:b/>
                <w:sz w:val="17"/>
              </w:rPr>
              <w:t>12,047</w:t>
            </w:r>
          </w:p>
        </w:tc>
        <w:tc>
          <w:tcPr>
            <w:tcW w:type="dxa" w:w="1440"/>
            <w:shd w:fill="FFDCE0" w:val="clear"/>
          </w:tcPr>
          <w:p>
            <w:r>
              <w:rPr>
                <w:sz w:val="17"/>
              </w:rPr>
              <w:t>12,666</w:t>
            </w:r>
          </w:p>
        </w:tc>
        <w:tc>
          <w:tcPr>
            <w:tcW w:type="dxa" w:w="1440"/>
            <w:shd w:fill="FFDCE0" w:val="clear"/>
          </w:tcPr>
          <w:p>
            <w:r>
              <w:rPr>
                <w:b/>
                <w:color w:val="C00000"/>
                <w:sz w:val="17"/>
              </w:rPr>
              <w:t>-2.8%</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11,236</w:t>
            </w:r>
          </w:p>
        </w:tc>
        <w:tc>
          <w:tcPr>
            <w:tcW w:type="dxa" w:w="1440"/>
            <w:shd w:fill="FFDCE0" w:val="clear"/>
          </w:tcPr>
          <w:p>
            <w:r>
              <w:rPr>
                <w:b/>
                <w:sz w:val="17"/>
              </w:rPr>
              <w:t>11,944</w:t>
            </w:r>
          </w:p>
        </w:tc>
        <w:tc>
          <w:tcPr>
            <w:tcW w:type="dxa" w:w="1440"/>
            <w:shd w:fill="FFDCE0" w:val="clear"/>
          </w:tcPr>
          <w:p>
            <w:r>
              <w:rPr>
                <w:sz w:val="17"/>
              </w:rPr>
              <w:t>12,653</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11,063</w:t>
            </w:r>
          </w:p>
        </w:tc>
        <w:tc>
          <w:tcPr>
            <w:tcW w:type="dxa" w:w="1440"/>
            <w:shd w:fill="FFDCE0" w:val="clear"/>
          </w:tcPr>
          <w:p>
            <w:r>
              <w:rPr>
                <w:b/>
                <w:sz w:val="17"/>
              </w:rPr>
              <w:t>11,849</w:t>
            </w:r>
          </w:p>
        </w:tc>
        <w:tc>
          <w:tcPr>
            <w:tcW w:type="dxa" w:w="1440"/>
            <w:shd w:fill="FFDCE0" w:val="clear"/>
          </w:tcPr>
          <w:p>
            <w:r>
              <w:rPr>
                <w:sz w:val="17"/>
              </w:rPr>
              <w:t>12,635</w:t>
            </w:r>
          </w:p>
        </w:tc>
        <w:tc>
          <w:tcPr>
            <w:tcW w:type="dxa" w:w="1440"/>
            <w:shd w:fill="FFDCE0" w:val="clear"/>
          </w:tcPr>
          <w:p>
            <w:r>
              <w:rPr>
                <w:b/>
                <w:color w:val="C00000"/>
                <w:sz w:val="17"/>
              </w:rPr>
              <w:t>-4.4%</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10,905</w:t>
            </w:r>
          </w:p>
        </w:tc>
        <w:tc>
          <w:tcPr>
            <w:tcW w:type="dxa" w:w="1440"/>
            <w:shd w:fill="FFDCE0" w:val="clear"/>
          </w:tcPr>
          <w:p>
            <w:r>
              <w:rPr>
                <w:b/>
                <w:sz w:val="17"/>
              </w:rPr>
              <w:t>11,760</w:t>
            </w:r>
          </w:p>
        </w:tc>
        <w:tc>
          <w:tcPr>
            <w:tcW w:type="dxa" w:w="1440"/>
            <w:shd w:fill="FFDCE0" w:val="clear"/>
          </w:tcPr>
          <w:p>
            <w:r>
              <w:rPr>
                <w:sz w:val="17"/>
              </w:rPr>
              <w:t>12,615</w:t>
            </w:r>
          </w:p>
        </w:tc>
        <w:tc>
          <w:tcPr>
            <w:tcW w:type="dxa" w:w="1440"/>
            <w:shd w:fill="FFDCE0" w:val="clear"/>
          </w:tcPr>
          <w:p>
            <w:r>
              <w:rPr>
                <w:b/>
                <w:color w:val="C00000"/>
                <w:sz w:val="17"/>
              </w:rPr>
              <w:t>-5.2%</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10,761</w:t>
            </w:r>
          </w:p>
        </w:tc>
        <w:tc>
          <w:tcPr>
            <w:tcW w:type="dxa" w:w="1440"/>
            <w:shd w:fill="FFDCE0" w:val="clear"/>
          </w:tcPr>
          <w:p>
            <w:r>
              <w:rPr>
                <w:b/>
                <w:sz w:val="17"/>
              </w:rPr>
              <w:t>11,678</w:t>
            </w:r>
          </w:p>
        </w:tc>
        <w:tc>
          <w:tcPr>
            <w:tcW w:type="dxa" w:w="1440"/>
            <w:shd w:fill="FFDCE0" w:val="clear"/>
          </w:tcPr>
          <w:p>
            <w:r>
              <w:rPr>
                <w:sz w:val="17"/>
              </w:rPr>
              <w:t>12,595</w:t>
            </w:r>
          </w:p>
        </w:tc>
        <w:tc>
          <w:tcPr>
            <w:tcW w:type="dxa" w:w="1440"/>
            <w:shd w:fill="FFDCE0" w:val="clear"/>
          </w:tcPr>
          <w:p>
            <w:r>
              <w:rPr>
                <w:b/>
                <w:color w:val="C00000"/>
                <w:sz w:val="17"/>
              </w:rPr>
              <w:t>-5.8%</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10,628</w:t>
            </w:r>
          </w:p>
        </w:tc>
        <w:tc>
          <w:tcPr>
            <w:tcW w:type="dxa" w:w="1440"/>
            <w:shd w:fill="FFDCE0" w:val="clear"/>
          </w:tcPr>
          <w:p>
            <w:r>
              <w:rPr>
                <w:b/>
                <w:sz w:val="17"/>
              </w:rPr>
              <w:t>11,602</w:t>
            </w:r>
          </w:p>
        </w:tc>
        <w:tc>
          <w:tcPr>
            <w:tcW w:type="dxa" w:w="1440"/>
            <w:shd w:fill="FFDCE0" w:val="clear"/>
          </w:tcPr>
          <w:p>
            <w:r>
              <w:rPr>
                <w:sz w:val="17"/>
              </w:rPr>
              <w:t>12,575</w:t>
            </w:r>
          </w:p>
        </w:tc>
        <w:tc>
          <w:tcPr>
            <w:tcW w:type="dxa" w:w="1440"/>
            <w:shd w:fill="FFDCE0" w:val="clear"/>
          </w:tcPr>
          <w:p>
            <w:r>
              <w:rPr>
                <w:b/>
                <w:color w:val="C00000"/>
                <w:sz w:val="17"/>
              </w:rPr>
              <w:t>-6.4%</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10,504</w:t>
            </w:r>
          </w:p>
        </w:tc>
        <w:tc>
          <w:tcPr>
            <w:tcW w:type="dxa" w:w="1440"/>
            <w:shd w:fill="FFDCE0" w:val="clear"/>
          </w:tcPr>
          <w:p>
            <w:r>
              <w:rPr>
                <w:b/>
                <w:sz w:val="17"/>
              </w:rPr>
              <w:t>11,531</w:t>
            </w:r>
          </w:p>
        </w:tc>
        <w:tc>
          <w:tcPr>
            <w:tcW w:type="dxa" w:w="1440"/>
            <w:shd w:fill="FFDCE0" w:val="clear"/>
          </w:tcPr>
          <w:p>
            <w:r>
              <w:rPr>
                <w:sz w:val="17"/>
              </w:rPr>
              <w:t>12,557</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10,389</w:t>
            </w:r>
          </w:p>
        </w:tc>
        <w:tc>
          <w:tcPr>
            <w:tcW w:type="dxa" w:w="1440"/>
            <w:shd w:fill="FFDCE0" w:val="clear"/>
          </w:tcPr>
          <w:p>
            <w:r>
              <w:rPr>
                <w:b/>
                <w:sz w:val="17"/>
              </w:rPr>
              <w:t>11,465</w:t>
            </w:r>
          </w:p>
        </w:tc>
        <w:tc>
          <w:tcPr>
            <w:tcW w:type="dxa" w:w="1440"/>
            <w:shd w:fill="FFDCE0" w:val="clear"/>
          </w:tcPr>
          <w:p>
            <w:r>
              <w:rPr>
                <w:sz w:val="17"/>
              </w:rPr>
              <w:t>12,541</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496,00 Mds FCFA, BOAC s'impose comme l'une des valeurs bancaires de référence de la cote BRVM, portée par un BPA de 888 FCFA/action qui traduit la contribution bénéficiaire directe de chaque titre détenu. Le PER de 14,0x se situe au-dessus de la moyenne du marché BRVM (généralement comprise entre 8 et 12x), signalant que les investisseurs consentent une prime de qualité pour cette valeur, sans pour autant basculer dans une zone de surévaluation manifeste. Le P/B de 3,90x confirme cette lecture : le marché valorise BOAC à près de quatre fois ses fonds propres comptables, ce qui traduit une forte prime de croissance et de rentabilité (ROE de 27,9%), typique des banques les plus performantes du secteur. En revanche, l'EV/EBITDA de 27,3x apparaît très exigeant (&gt;15x), reflétant une valorisation d'entreprise tendue par rapport à la capacité opérationnelle générée — un point de vigilance qui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+42,61%, avec un cours actuel de 12 400 FCFA et une variation J-1 nulle (+0,00%), signe d'une séance de stabilisation après le récent mouvement haussier. Le range de trading est large, entre un plus bas de 8 495 FCFA et un plus haut de 13 450 FCFA, soit une amplitude de près de 58%, ce qui témoigne d'une dynamique nettement haussière sur la période. Les statistiques descriptives révèlent une moyenne (10 159 FCFA) supérieure à la médiane (9 372 FCFA), écart caractéristique d'une distribution asymétrique positivement, confirmée par un skewness de +0,764 indiquant davantage de journées de cotation sous la moyenne — autrement dit, le titre a passé plus de temps à des niveaux inférieurs avant de s'envoler en fin de période. L'écart-type de 1 604 FCFA (CV = 15,8%) traduit une dispersion modérée du cours, tandis que le kurtosis négatif (-1,036, distribution platykurtique) signale une faible concentration des rendements et un risque de pics extrêmes limité. La volatilité annualisée de 25,5% positionne le titre dans la catégorie modérée (15-30%), cohérente avec un profil de valeur bancaire liquide mais non spéculative.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12 717,75 FCFA et la MM50 à 11 413,8 FCFA, toutes deux inférieures au cours actuel de 12 400 FCFA pour la MM20 (léger repli) mais nettement en-dessous pour la MM50. La configuration MM20 &gt; MM50 confirme une tendance haussière de fond, et la décision technique affichée est **Achat**, soutenue par le positionnement du cours au-dessus de la MM50.</w:t>
      </w:r>
    </w:p>
    <w:p>
      <w:pPr>
        <w:spacing w:after="120" w:line="276" w:lineRule="auto"/>
      </w:pPr>
      <w:r>
        <w:t>**Bandes de Bollinger :** La borne supérieure est à 13 480,90 FCFA et la borne inférieure à 11 954,60 FCFA, avec un cours actuel de 12 400 FCFA positionné dans la moitié basse du canal. Cette position médiane, sans contact avec les bornes, justifie la décision **Neutre** : le titre n'est ni en surachat ni en survente, et la volatilité (largeur des bandes) reste contenue.</w:t>
      </w:r>
    </w:p>
    <w:p>
      <w:pPr>
        <w:spacing w:after="120" w:line="276" w:lineRule="auto"/>
      </w:pPr>
      <w:r>
        <w:t>**MACD :** La valeur du MACD (222,642) est inférieure à son signal (351,426), générant une divergence baissière et une décision **Vente**. Ce croisement négatif indique un essoufflement du momentum haussier à court terme, bien que les deux lignes restent en territoire positif, ce qui nuance la portée du signal.</w:t>
      </w:r>
    </w:p>
    <w:p>
      <w:pPr>
        <w:spacing w:after="120" w:line="276" w:lineRule="auto"/>
      </w:pPr>
      <w:r>
        <w:t>**RSI :** À 20,896, le RSI se situe largement sous le seuil de survente (30), déclenchant une décision **Achat**. Cette lecture suggère que le titre a été excessivement vendu récemment et pourrait amorcer un rebond technique, en dépit de la tendance haussière de fond.</w:t>
      </w:r>
    </w:p>
    <w:p>
      <w:pPr>
        <w:spacing w:after="120" w:line="276" w:lineRule="auto"/>
      </w:pPr>
      <w:r>
        <w:t>**Stochastique :** Le %K (18,584) et le %D (16,34) évoluent tous deux en zone de survente (&lt;20), avec un %K légèrement supérieur au %D — configuration propice à un croisement haussier imminent. La décision associée est **Achat**, confirmant le signal du RSI.</w:t>
      </w:r>
    </w:p>
    <w:p>
      <w:pPr>
        <w:spacing w:after="120" w:line="276" w:lineRule="auto"/>
      </w:pPr>
      <w:r>
        <w:t>**Conclusion technique :** Les indicateurs présentent une divergence notable : les moyennes mobiles, le RSI et le stochastique plaident pour un **achat** (survente + tendance haussière de fond), tandis que le MACD et les Bandes de Bollinger incitent à la **neutralité/vente** à court terme. Cette configuration mixte suggère une phase de consolidation ou de correction technique passagère au sein d'une tendance haussière intacte, avec un potentiel de rebond à surveiller autour de 11 950-12 000 FCFA (borne inférieure de Bollinger).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BOAC affiche un Produit Net Bancaire (PNB) de 73 545 Mds FCFA, en légère hausse de +1,1% par rapport à 2024 (72 724 Mds FCFA), et un résultat net de 35 540 Mds FCFA, en progression de +10,9% (vs 32 045 Mds en 2024). La rentabilité des fonds propres (ROE) atteint un niveau exceptionnel de 27,91% (&gt;15% = excellent), tandis que le ROA ressort à 3,22%, confirmant l'efficacité de l'utilisation des actifs. Le coefficient d'exploitation de 36,70% place la banque parmi les établissements les plus efficaces du secteur (&lt;60% = efficace, &lt;50% = excellente). Le coût du risque, mesuré à 6,67% des charges financières, reste modéré mais mérite une surveillance, d'autant que les créances en souffrance ont bondi de +52,1% sur l'année (taux de sinistralité de 8,59%, taux de provisionnement de 65,76%). La structure bilancielle est solide : les dépôts clientèle (850 548 Mds FCFA) couvrent largement les créances nettes (430 433 Mds FCFA), avec un ratio de transformation de 50,6%, et la liquidité générale affiche un niveau très confortable (3 684%). L'autonomie financière (11,54%) reste toutefois faible, typique du modèle bancaire, mais la solvabilité générale (113,05%) demeure satisfaisante.</w:t>
      </w:r>
    </w:p>
    <w:p>
      <w:pPr>
        <w:spacing w:after="120" w:line="276" w:lineRule="auto"/>
      </w:pPr>
      <w:r>
        <w:t>**Estimations basées sur les rapports trimestriels :** Le rapport du **T1 2026 (daté du 31/03/2026)** indique un PNB de 18 960 Mds FCFA (+3,09% sur un an) et un résultat net de 10 801 Mds FCFA (+0,91%), avec un coefficient d'exploitation stable à 35,68%. Point d'alerte : le coût net du risque bondit de +314,75% (-652 vs -157 Mds FCFA), une dégradation marquée sur un trimestre. Sur la base de ce T1 2026, on peut estimer que l'exercice 2026 devrait afficher une croissance modérée du PNB (autour de +3%) et un résultat net en légère progression, sous réserve que la tendance du coût du risque ne s'aggrave pas. Le rapport annuel 2025 (daté du 31/12/2025) confirme la solidité fondamentale avec une recommandation **ACHAT**, tandis que le rapport T3 2025 (30/09/2025) et le T1 2026 plaident pour **CONSERVER** en raison de la dégradation du coût du risque. La politique de dividende est attractive : 684 FCFA/action distribués au titre de 2024 (taux de distribution ~65%), et le BPA 2025 de 889 FCFA laisse entrevoir un dividende potentiel en hausse.</w:t>
      </w:r>
    </w:p>
    <w:p>
      <w:pPr>
        <w:spacing w:after="120" w:line="276" w:lineRule="auto"/>
      </w:pPr>
      <w:r>
        <w:t>**Recommandation fondamentale :** BOAC présente des fondamentaux solides (ROE 27,9%, coefficient d'exploitation 36,7%, croissance du résultat net +10,9% en 2025), mais les signaux récents (T1 2026) invitent à la prudence face à la dégradation du coût du risque et à la hausse des créances en souffrance. La valorisation exigeante (PER 14x, P/B 3,9x) limite le potentiel de revalorisation à court terme, mais la qualité de la rentabilité et la solidité bilancielle justifient une position de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de BOAC (PER 14,0x, P/B 3,90x, EV/EBITDA 27,3x) indique une **surévaluation relative** par rapport à la moyenne du marché BRVM (PER 8-12x), bien que la prime de croissance et de rentabilité (ROE 27,9%) la justifie partiellement. Le comportement du cours sur 100 jours est nettement haussier (+42,61%), avec une volatilité modérée (25,5%) et une distribution asymétrique positivement (skewness +0,764) — favorable mais suggérant une possible consolidation après le rally. Les signaux techniques sont **divergents** : le RSI (20,9) et le stochastique (18,6) en zone de survente plaident pour un rebond, tandis que le MACD (222,6 &lt; signal 351,4) et les Bandes de Bollinger (cours en zone médiane) incitent à la prudence à court terme. Les fondamentaux restent solides (PNB 73 545 Mds FCFA en 2025, résultat net 35 540 Mds FCFA, ROE 27,9%), mais le T1 2026 (daté du 31/03/2026) révèle une dégradation du coût du risque (+314,75%) qui pourrait peser sur les trimestres suivants. Les prédictions IA anticipent une **légère correction baissière** (12 258 FCFA à J+1 → 11 849 FCFA à J+5), en ligne avec le signal MACD et la position médiane du cours dans les Bandes de Bollinger, mais en contradiction avec le RSI et le stochastique en survente. **Recommandation finale : CONSERVER** — la convergence entre valorisation exigeante, signaux techniques mitigés et fondamentaux solides mais sous surveillance (coût du risque) ne justifie ni un achat agressif ni une vente. Le niveau de confiance est **Moyen**, le risque global **Moyen**, et l'horizon d'investissement optimal est le **moyen terme (3-12 mois)**, le temps que la tendance du coût du risque se clarifie et que la correction technique s'achève.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194.76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6,312 titres</w:t>
            </w:r>
          </w:p>
        </w:tc>
        <w:tc>
          <w:tcPr>
            <w:tcW w:type="dxa" w:w="2268"/>
            <w:shd w:fill="FFF2CC" w:val="clear"/>
          </w:tcPr>
          <w:p>
            <w:r>
              <w:rPr>
                <w:b/>
                <w:color w:val="503200"/>
                <w:sz w:val="16"/>
              </w:rPr>
              <w:t xml:space="preserve">Cours actuel : </w:t>
            </w:r>
            <w:r>
              <w:rPr>
                <w:color w:val="000000"/>
                <w:sz w:val="17"/>
              </w:rPr>
              <w:t>7,095 FCFA</w:t>
            </w:r>
          </w:p>
          <w:p>
            <w:r>
              <w:rPr>
                <w:b/>
                <w:color w:val="503200"/>
                <w:sz w:val="16"/>
              </w:rPr>
              <w:t xml:space="preserve">Var. 100 jours : </w:t>
            </w:r>
            <w:r>
              <w:rPr>
                <w:b/>
                <w:color w:val="007800"/>
                <w:sz w:val="17"/>
              </w:rPr>
              <w:t>+50.96%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μ=5,379 FCFA, σ=761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β=0.3833 (Défensif) — Cov=0.000013, Var(idx)=0.000034, ρ=0.104,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6,866</w:t>
            </w:r>
          </w:p>
        </w:tc>
        <w:tc>
          <w:tcPr>
            <w:tcW w:type="dxa" w:w="1440"/>
            <w:shd w:fill="FAFAFA" w:val="clear"/>
          </w:tcPr>
          <w:p>
            <w:r>
              <w:rPr>
                <w:b/>
                <w:sz w:val="17"/>
              </w:rPr>
              <w:t>7,087</w:t>
            </w:r>
          </w:p>
        </w:tc>
        <w:tc>
          <w:tcPr>
            <w:tcW w:type="dxa" w:w="1440"/>
            <w:shd w:fill="FAFAFA" w:val="clear"/>
          </w:tcPr>
          <w:p>
            <w:r>
              <w:rPr>
                <w:sz w:val="17"/>
              </w:rPr>
              <w:t>7,308</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6,793</w:t>
            </w:r>
          </w:p>
        </w:tc>
        <w:tc>
          <w:tcPr>
            <w:tcW w:type="dxa" w:w="1440"/>
            <w:shd w:fill="FAFAFA" w:val="clear"/>
          </w:tcPr>
          <w:p>
            <w:r>
              <w:rPr>
                <w:b/>
                <w:sz w:val="17"/>
              </w:rPr>
              <w:t>7,106</w:t>
            </w:r>
          </w:p>
        </w:tc>
        <w:tc>
          <w:tcPr>
            <w:tcW w:type="dxa" w:w="1440"/>
            <w:shd w:fill="FAFAFA" w:val="clear"/>
          </w:tcPr>
          <w:p>
            <w:r>
              <w:rPr>
                <w:sz w:val="17"/>
              </w:rPr>
              <w:t>7,419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6,746</w:t>
            </w:r>
          </w:p>
        </w:tc>
        <w:tc>
          <w:tcPr>
            <w:tcW w:type="dxa" w:w="1440"/>
            <w:shd w:fill="FAFAFA" w:val="clear"/>
          </w:tcPr>
          <w:p>
            <w:r>
              <w:rPr>
                <w:b/>
                <w:sz w:val="17"/>
              </w:rPr>
              <w:t>7,131</w:t>
            </w:r>
          </w:p>
        </w:tc>
        <w:tc>
          <w:tcPr>
            <w:tcW w:type="dxa" w:w="1440"/>
            <w:shd w:fill="FAFAFA" w:val="clear"/>
          </w:tcPr>
          <w:p>
            <w:r>
              <w:rPr>
                <w:sz w:val="17"/>
              </w:rPr>
              <w:t>7,516</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6,708</w:t>
            </w:r>
          </w:p>
        </w:tc>
        <w:tc>
          <w:tcPr>
            <w:tcW w:type="dxa" w:w="1440"/>
            <w:shd w:fill="FAFAFA" w:val="clear"/>
          </w:tcPr>
          <w:p>
            <w:r>
              <w:rPr>
                <w:b/>
                <w:sz w:val="17"/>
              </w:rPr>
              <w:t>7,153</w:t>
            </w:r>
          </w:p>
        </w:tc>
        <w:tc>
          <w:tcPr>
            <w:tcW w:type="dxa" w:w="1440"/>
            <w:shd w:fill="FAFAFA" w:val="clear"/>
          </w:tcPr>
          <w:p>
            <w:r>
              <w:rPr>
                <w:sz w:val="17"/>
              </w:rPr>
              <w:t>7,599</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6,672</w:t>
            </w:r>
          </w:p>
        </w:tc>
        <w:tc>
          <w:tcPr>
            <w:tcW w:type="dxa" w:w="1440"/>
            <w:shd w:fill="FAFAFA" w:val="clear"/>
          </w:tcPr>
          <w:p>
            <w:r>
              <w:rPr>
                <w:b/>
                <w:sz w:val="17"/>
              </w:rPr>
              <w:t>7,172</w:t>
            </w:r>
          </w:p>
        </w:tc>
        <w:tc>
          <w:tcPr>
            <w:tcW w:type="dxa" w:w="1440"/>
            <w:shd w:fill="FAFAFA" w:val="clear"/>
          </w:tcPr>
          <w:p>
            <w:r>
              <w:rPr>
                <w:sz w:val="17"/>
              </w:rPr>
              <w:t>7,671</w:t>
            </w:r>
          </w:p>
        </w:tc>
        <w:tc>
          <w:tcPr>
            <w:tcW w:type="dxa" w:w="1440"/>
            <w:shd w:fill="FAFAFA" w:val="clear"/>
          </w:tcPr>
          <w:p>
            <w:r>
              <w:rPr>
                <w:b/>
                <w:color w:val="008000"/>
                <w:sz w:val="17"/>
              </w:rPr>
              <w:t>+1.1%</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6,640</w:t>
            </w:r>
          </w:p>
        </w:tc>
        <w:tc>
          <w:tcPr>
            <w:tcW w:type="dxa" w:w="1440"/>
            <w:shd w:fill="FAFAFA" w:val="clear"/>
          </w:tcPr>
          <w:p>
            <w:r>
              <w:rPr>
                <w:b/>
                <w:sz w:val="17"/>
              </w:rPr>
              <w:t>7,188</w:t>
            </w:r>
          </w:p>
        </w:tc>
        <w:tc>
          <w:tcPr>
            <w:tcW w:type="dxa" w:w="1440"/>
            <w:shd w:fill="FAFAFA" w:val="clear"/>
          </w:tcPr>
          <w:p>
            <w:r>
              <w:rPr>
                <w:sz w:val="17"/>
              </w:rPr>
              <w:t>7,737</w:t>
            </w:r>
          </w:p>
        </w:tc>
        <w:tc>
          <w:tcPr>
            <w:tcW w:type="dxa" w:w="1440"/>
            <w:shd w:fill="FAFAFA" w:val="clear"/>
          </w:tcPr>
          <w:p>
            <w:r>
              <w:rPr>
                <w:b/>
                <w:color w:val="008000"/>
                <w:sz w:val="17"/>
              </w:rPr>
              <w:t>+1.3%</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6,610</w:t>
            </w:r>
          </w:p>
        </w:tc>
        <w:tc>
          <w:tcPr>
            <w:tcW w:type="dxa" w:w="1440"/>
            <w:shd w:fill="FAFAFA" w:val="clear"/>
          </w:tcPr>
          <w:p>
            <w:r>
              <w:rPr>
                <w:b/>
                <w:sz w:val="17"/>
              </w:rPr>
              <w:t>7,203</w:t>
            </w:r>
          </w:p>
        </w:tc>
        <w:tc>
          <w:tcPr>
            <w:tcW w:type="dxa" w:w="1440"/>
            <w:shd w:fill="FAFAFA" w:val="clear"/>
          </w:tcPr>
          <w:p>
            <w:r>
              <w:rPr>
                <w:sz w:val="17"/>
              </w:rPr>
              <w:t>7,797</w:t>
            </w:r>
          </w:p>
        </w:tc>
        <w:tc>
          <w:tcPr>
            <w:tcW w:type="dxa" w:w="1440"/>
            <w:shd w:fill="FAFAFA" w:val="clear"/>
          </w:tcPr>
          <w:p>
            <w:r>
              <w:rPr>
                <w:b/>
                <w:color w:val="008000"/>
                <w:sz w:val="17"/>
              </w:rPr>
              <w:t>+1.5%</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6,581</w:t>
            </w:r>
          </w:p>
        </w:tc>
        <w:tc>
          <w:tcPr>
            <w:tcW w:type="dxa" w:w="1440"/>
            <w:shd w:fill="FAFAFA" w:val="clear"/>
          </w:tcPr>
          <w:p>
            <w:r>
              <w:rPr>
                <w:b/>
                <w:sz w:val="17"/>
              </w:rPr>
              <w:t>7,217</w:t>
            </w:r>
          </w:p>
        </w:tc>
        <w:tc>
          <w:tcPr>
            <w:tcW w:type="dxa" w:w="1440"/>
            <w:shd w:fill="FAFAFA" w:val="clear"/>
          </w:tcPr>
          <w:p>
            <w:r>
              <w:rPr>
                <w:sz w:val="17"/>
              </w:rPr>
              <w:t>7,852</w:t>
            </w:r>
          </w:p>
        </w:tc>
        <w:tc>
          <w:tcPr>
            <w:tcW w:type="dxa" w:w="1440"/>
            <w:shd w:fill="FAFAFA" w:val="clear"/>
          </w:tcPr>
          <w:p>
            <w:r>
              <w:rPr>
                <w:b/>
                <w:color w:val="008000"/>
                <w:sz w:val="17"/>
              </w:rPr>
              <w:t>+1.7%</w:t>
            </w:r>
          </w:p>
        </w:tc>
      </w:tr>
      <w:tr>
        <w:tc>
          <w:tcPr>
            <w:tcW w:type="dxa" w:w="1440"/>
            <w:shd w:fill="FAFAFA" w:val="clear"/>
          </w:tcPr>
          <w:p>
            <w:r>
              <w:rPr>
                <w:sz w:val="17"/>
              </w:rPr>
              <w:t>J+9  Moyenne</w:t>
            </w:r>
          </w:p>
        </w:tc>
        <w:tc>
          <w:tcPr>
            <w:tcW w:type="dxa" w:w="1440"/>
            <w:shd w:fill="FAFAFA" w:val="clear"/>
          </w:tcPr>
          <w:p>
            <w:r>
              <w:rPr>
                <w:sz w:val="17"/>
              </w:rPr>
              <w:t>2026-09-25</w:t>
            </w:r>
          </w:p>
        </w:tc>
        <w:tc>
          <w:tcPr>
            <w:tcW w:type="dxa" w:w="1440"/>
            <w:shd w:fill="FAFAFA" w:val="clear"/>
          </w:tcPr>
          <w:p>
            <w:r>
              <w:rPr>
                <w:sz w:val="17"/>
              </w:rPr>
              <w:t>6,554</w:t>
            </w:r>
          </w:p>
        </w:tc>
        <w:tc>
          <w:tcPr>
            <w:tcW w:type="dxa" w:w="1440"/>
            <w:shd w:fill="FAFAFA" w:val="clear"/>
          </w:tcPr>
          <w:p>
            <w:r>
              <w:rPr>
                <w:b/>
                <w:sz w:val="17"/>
              </w:rPr>
              <w:t>7,229</w:t>
            </w:r>
          </w:p>
        </w:tc>
        <w:tc>
          <w:tcPr>
            <w:tcW w:type="dxa" w:w="1440"/>
            <w:shd w:fill="FAFAFA" w:val="clear"/>
          </w:tcPr>
          <w:p>
            <w:r>
              <w:rPr>
                <w:sz w:val="17"/>
              </w:rPr>
              <w:t>7,905</w:t>
            </w:r>
          </w:p>
        </w:tc>
        <w:tc>
          <w:tcPr>
            <w:tcW w:type="dxa" w:w="1440"/>
            <w:shd w:fill="FAFAFA" w:val="clear"/>
          </w:tcPr>
          <w:p>
            <w:r>
              <w:rPr>
                <w:b/>
                <w:color w:val="008000"/>
                <w:sz w:val="17"/>
              </w:rPr>
              <w:t>+1.9%</w:t>
            </w:r>
          </w:p>
        </w:tc>
      </w:tr>
      <w:tr>
        <w:tc>
          <w:tcPr>
            <w:tcW w:type="dxa" w:w="1440"/>
            <w:shd w:fill="C6EFCE" w:val="clear"/>
          </w:tcPr>
          <w:p>
            <w:r>
              <w:rPr>
                <w:sz w:val="17"/>
              </w:rPr>
              <w:t>J+10  Moyenne</w:t>
            </w:r>
          </w:p>
        </w:tc>
        <w:tc>
          <w:tcPr>
            <w:tcW w:type="dxa" w:w="1440"/>
            <w:shd w:fill="C6EFCE" w:val="clear"/>
          </w:tcPr>
          <w:p>
            <w:r>
              <w:rPr>
                <w:sz w:val="17"/>
              </w:rPr>
              <w:t>2026-09-28</w:t>
            </w:r>
          </w:p>
        </w:tc>
        <w:tc>
          <w:tcPr>
            <w:tcW w:type="dxa" w:w="1440"/>
            <w:shd w:fill="C6EFCE" w:val="clear"/>
          </w:tcPr>
          <w:p>
            <w:r>
              <w:rPr>
                <w:sz w:val="17"/>
              </w:rPr>
              <w:t>6,528</w:t>
            </w:r>
          </w:p>
        </w:tc>
        <w:tc>
          <w:tcPr>
            <w:tcW w:type="dxa" w:w="1440"/>
            <w:shd w:fill="C6EFCE" w:val="clear"/>
          </w:tcPr>
          <w:p>
            <w:r>
              <w:rPr>
                <w:b/>
                <w:sz w:val="17"/>
              </w:rPr>
              <w:t>7,241</w:t>
            </w:r>
          </w:p>
        </w:tc>
        <w:tc>
          <w:tcPr>
            <w:tcW w:type="dxa" w:w="1440"/>
            <w:shd w:fill="C6EFCE" w:val="clear"/>
          </w:tcPr>
          <w:p>
            <w:r>
              <w:rPr>
                <w:sz w:val="17"/>
              </w:rPr>
              <w:t>7,954</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194,76 milliards FCFA, BOA Mali se positionne comme une valeur de taille intermédiaire sur la BRVM, représentant un poids significatif dans l'indice sectoriel bancaire. Le BPA de 404 FCFA par action signifie que chaque titre détenu génère près de 404 FCFA de bénéfice net annuel, ce qui, rapporté au cours actuel de 7 095 FCFA, confère un PER de 17,6x — soit une prime notable par rapport à la moyenne du marché BRVM (8-12x), traduisant une anticipation de croissance par les investisseurs. Le P/B de 3,91x indique que le marché valorise la banque près de quatre fois sa valeur comptable, une prime de croissance justifiée par un ROE supérieur à 22%. Enfin, l'EV/EBITDA de 9,7x, bien que se situant dans la fourchette raisonnable de 5-10x, suggère que la valeur totale de l'entreprise (incluant la dette)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+50,96%, passant d'un plus bas de 4 425 FCFA à un plus haut de 7 195 FCFA, pour un cours actuel de 7 095 FCFA — soit une légère correction de -0,77% lors de la dernière séance. Cette tendance nettement haussière témoigne d'un fort engouement des investisseurs, probablement soutenu par les résultats fondamentaux solides publiés par la banque. Les statistiques descriptives révèlent une moyenne de 5 379 FCFA contre une médiane de 5 095 FCFA, un écart positif qui confirme une asymétrie à droite : les cours élevés récents tirent la moyenne vers le haut. L'écart-type de 765 FCFA (CV de 14,2%) indique une dispersion modérée du cours autour de sa moyenne, tandis que le kurtosis de -0,646 (mésokurtique) suggère une distribution proche de la normale, sans risque excessif de pics extrêmes. Le skewness de 0,705, positif, révèle toutefois une asymétrie avec davantage de journées sous la moyenne, ce qui signifie que les hausses, bien que moins fréquentes, ont été plus amples. Avec une volatilité annualisée de 34,2%, le titre se classe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6 615,5 FCFA et la MM50 à 6 010,7 FCFA, toutes deux inférieures au cours actuel de 7 095 FCFA. Cette configuration — cours au-dessus des deux moyennes, avec MM20 &gt; MM50 — est typique d'une tendance haussière confirmée. La décision technique est donc logiquement à l'**Achat**, le momentum restant favorable tant que le cours se maintient au-dessus de ces supports dynamiques.</w:t>
      </w:r>
    </w:p>
    <w:p>
      <w:pPr>
        <w:spacing w:after="120" w:line="276" w:lineRule="auto"/>
      </w:pPr>
      <w:r>
        <w:t>**Bandes de Bollinger** : La borne supérieure est à 7 249,48 FCFA et la borne inférieure à 5 981,52 FCFA, avec un cours actuel de 7 095 FCFA qui se situe dans la partie haute du canal, sans toutefois le franchir. Cette position proche de la borne supérieure indique une pression acheteuse soutenue mais sans excès, la décision étant **Neutre** — le titre n'est ni en surachat extrême ni en zone de survente, laissant place à une consolidation possible.</w:t>
      </w:r>
    </w:p>
    <w:p>
      <w:pPr>
        <w:spacing w:after="120" w:line="276" w:lineRule="auto"/>
      </w:pPr>
      <w:r>
        <w:t>**MACD** : La valeur du MACD (322,56) est supérieure à son signal (289,78), avec un histogramme positif. Cette divergence haussière confirme que le momentum est à l'achat, les pressions acheteuses dominant les ventes. La décision est donc à l'**Achat**, le MACD n'ayant pas encore montré de signe de retournement.</w:t>
      </w:r>
    </w:p>
    <w:p>
      <w:pPr>
        <w:spacing w:after="120" w:line="276" w:lineRule="auto"/>
      </w:pPr>
      <w:r>
        <w:t>**RSI** : À 69,96, le RSI se situe juste en dessous du seuil de surachat de 70, ce qui place le titre en zone neutre haute. La décision est **Neutre** : le titre n'est pas encore techniquement suracheté, mais la marge de progression à court terme se réduit, un repli technique n'étant pas exclu.</w:t>
      </w:r>
    </w:p>
    <w:p>
      <w:pPr>
        <w:spacing w:after="120" w:line="276" w:lineRule="auto"/>
      </w:pPr>
      <w:r>
        <w:t>**Stochastique** : Le %K (87,42) est inférieur au %D (93,92), avec un croisement baissier en zone de surachat (&gt;80). Cette configuration signale un essoufflement de la dynamique haussière à très court terme et justifie une décision de **Vente** technique, les indicateurs avancés anticipant une correction imminente.</w:t>
      </w:r>
    </w:p>
    <w:p>
      <w:pPr>
        <w:spacing w:after="120" w:line="276" w:lineRule="auto"/>
      </w:pPr>
      <w:r>
        <w:t>**Conclusion technique** : Les indicateurs à moyen terme (MM, MACD) restent haussiers et confirment la tendance de fond, tandis que les indicateurs à court terme (Stochastique, RSI proche de 70) signalent un essoufflement et un risque de consolidation. La convergence partielle des signaux suggère une tendance haussière intacte mais vulnérable à une correction technique à court terme, dans un contexte de volatilité élevée (34,2%).</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certifiés de l'exercice 2025 (rapport des commissaires aux comptes, exercice clos au 31/12/2025) révèlent une banque solide et rentable : le Produit Net Bancaire (PNB) s'élève à 37,996 milliards FCFA, le résultat net à 11,081 milliards FCFA, avec un ROE exceptionnel de 22,24% (largement supérieur au seuil de 15% considéré comme excellent) et un ROA de 1,87%. Le coefficient d'exploitation de 63,14% reste toutefois supérieur au seuil de 60% qui caractérise une banque efficace, indiquant une marge de progression sur la maîtrise des charges. Le coût du risque, mesuré à 43,39% des charges financières, demeure élevé et constitue un point de vigilance sur la qualité du portefeuille de crédits. La structure financière affiche une autonomie financière de 8,40% (faible, mais caractéristique du modèle bancaire) et une capacité de remboursement de 1,79 année de CAF, ce qui reste sain. L'analyse temporelle des rapports trimestriels montre une nette accélération : le T1 2026 (rapport du 31/03/2026) affiche un PNB de 10,322 milliards FCFA, en hausse de +22,97% sur un an, confirmant la dynamique commerciale. Le T3 2025 (rapport du 30/09/2025) faisait déjà état d'un résultat net cumulé de 9,16 milliards FCFA (+26,2%) et d'une collecte de dépôts en hausse de +9,2%, malgré une contraction du portefeuille de crédits (-8,6%). Sur la base de ces tendances, on estime que l'exercice 2026 devrait enregistrer une croissance du PNB supérieure à 15%, portée par la reprise des activités de marché et l'amélioration continue du coût du risque. La recommandation fondamentale est donc **positive** : la banque affiche une rentabilité remarquable, une résilience confirmée dans un contexte sécuritaire difficile, et une trajectoire de croissance accélérée, bien que le coefficient d'exploitation et le coût du risque appellent à une surveillance.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globalement haussière, tempérée par des signaux de court terme. La valorisation (Partie 0) affiche un PER de 17,6x et un P/B de 3,91x, traduisant une prime de croissance justifiée par un ROE de 22,24%, sans surévaluation excessive au regard de la dynamique bénéficiaire. Le comportement du cours (Partie 1) est nettement haussier (+50,96% sur 100 jours), avec une volatilité élevée (34,2%) et une asymétrie positive (skewness de 0,705) qui indique que les hausses, bien que moins fréquentes, sont amples — un profil favorable aux investisseurs patients. Les signaux techniques (Partie 2) sont partagés : les moyennes mobiles et le MACD confirment la tendance haussière, mais le stochastique en zone de surachat et le RSI proche de 70 signalent un risque de consolidation à court terme. Les fondamentaux (Partie 3) sont solides : PNB de 37,996 milliards FCFA en 2025, résultat net de 11,081 milliards FCFA, ROE de 22,24%, et une accélération confirmée par le T1 2026 (+22,97% de PNB). Les prédictions IA (J+1 à J+10) anticipent une poursuite de la hausse modérée, avec un cours cible de 7 172 FCFA à J+10, confirmant la tendance de fond sans emballement. Sur cette base, la recommandation finale est **ACHAT**, avec un niveau de confiance **Moyen** (la valorisation élevée et le risque de correction technique limitant la conviction) et un niveau de risque global **Moyen** (volatilité élevée mais fondamentaux solides). L'horizon d'investissement optimal est le **moyen terme (3-12 mois)**, afin de laisser la dynamique bénéficiaire se matérialiser tout en absorbant les fluctuations de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115.96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9,345 titres</w:t>
            </w:r>
          </w:p>
        </w:tc>
        <w:tc>
          <w:tcPr>
            <w:tcW w:type="dxa" w:w="2268"/>
            <w:shd w:fill="FFF2CC" w:val="clear"/>
          </w:tcPr>
          <w:p>
            <w:r>
              <w:rPr>
                <w:b/>
                <w:color w:val="503200"/>
                <w:sz w:val="16"/>
              </w:rPr>
              <w:t xml:space="preserve">Cours actuel : </w:t>
            </w:r>
            <w:r>
              <w:rPr>
                <w:color w:val="000000"/>
                <w:sz w:val="17"/>
              </w:rPr>
              <w:t>5,575 FCFA</w:t>
            </w:r>
          </w:p>
          <w:p>
            <w:r>
              <w:rPr>
                <w:b/>
                <w:color w:val="503200"/>
                <w:sz w:val="16"/>
              </w:rPr>
              <w:t xml:space="preserve">Var. 100 jours : </w:t>
            </w:r>
            <w:r>
              <w:rPr>
                <w:b/>
                <w:color w:val="007800"/>
                <w:sz w:val="17"/>
              </w:rPr>
              <w:t>+68.68%</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3,305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17.94% (Élevée) — μ=4,438 FCFA, σ=796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β=0.4661 (Défensif) — Cov=0.000016, Var(idx)=0.000034, ρ=0.118,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5,424</w:t>
            </w:r>
          </w:p>
        </w:tc>
        <w:tc>
          <w:tcPr>
            <w:tcW w:type="dxa" w:w="1440"/>
            <w:shd w:fill="FAFAFA" w:val="clear"/>
          </w:tcPr>
          <w:p>
            <w:r>
              <w:rPr>
                <w:b/>
                <w:sz w:val="17"/>
              </w:rPr>
              <w:t>5,558</w:t>
            </w:r>
          </w:p>
        </w:tc>
        <w:tc>
          <w:tcPr>
            <w:tcW w:type="dxa" w:w="1440"/>
            <w:shd w:fill="FAFAFA" w:val="clear"/>
          </w:tcPr>
          <w:p>
            <w:r>
              <w:rPr>
                <w:sz w:val="17"/>
              </w:rPr>
              <w:t>5,693</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5,366</w:t>
            </w:r>
          </w:p>
        </w:tc>
        <w:tc>
          <w:tcPr>
            <w:tcW w:type="dxa" w:w="1440"/>
            <w:shd w:fill="FAFAFA" w:val="clear"/>
          </w:tcPr>
          <w:p>
            <w:r>
              <w:rPr>
                <w:b/>
                <w:sz w:val="17"/>
              </w:rPr>
              <w:t>5,556</w:t>
            </w:r>
          </w:p>
        </w:tc>
        <w:tc>
          <w:tcPr>
            <w:tcW w:type="dxa" w:w="1440"/>
            <w:shd w:fill="FAFAFA" w:val="clear"/>
          </w:tcPr>
          <w:p>
            <w:r>
              <w:rPr>
                <w:sz w:val="17"/>
              </w:rPr>
              <w:t>5,746</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5,317</w:t>
            </w:r>
          </w:p>
        </w:tc>
        <w:tc>
          <w:tcPr>
            <w:tcW w:type="dxa" w:w="1440"/>
            <w:shd w:fill="FAFAFA" w:val="clear"/>
          </w:tcPr>
          <w:p>
            <w:r>
              <w:rPr>
                <w:b/>
                <w:sz w:val="17"/>
              </w:rPr>
              <w:t>5,549</w:t>
            </w:r>
          </w:p>
        </w:tc>
        <w:tc>
          <w:tcPr>
            <w:tcW w:type="dxa" w:w="1440"/>
            <w:shd w:fill="FAFAFA" w:val="clear"/>
          </w:tcPr>
          <w:p>
            <w:r>
              <w:rPr>
                <w:sz w:val="17"/>
              </w:rPr>
              <w:t>5,781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5,274</w:t>
            </w:r>
          </w:p>
        </w:tc>
        <w:tc>
          <w:tcPr>
            <w:tcW w:type="dxa" w:w="1440"/>
            <w:shd w:fill="FAFAFA" w:val="clear"/>
          </w:tcPr>
          <w:p>
            <w:r>
              <w:rPr>
                <w:b/>
                <w:sz w:val="17"/>
              </w:rPr>
              <w:t>5,542</w:t>
            </w:r>
          </w:p>
        </w:tc>
        <w:tc>
          <w:tcPr>
            <w:tcW w:type="dxa" w:w="1440"/>
            <w:shd w:fill="FAFAFA" w:val="clear"/>
          </w:tcPr>
          <w:p>
            <w:r>
              <w:rPr>
                <w:sz w:val="17"/>
              </w:rPr>
              <w:t>5,809</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5,236</w:t>
            </w:r>
          </w:p>
        </w:tc>
        <w:tc>
          <w:tcPr>
            <w:tcW w:type="dxa" w:w="1440"/>
            <w:shd w:fill="FAFAFA" w:val="clear"/>
          </w:tcPr>
          <w:p>
            <w:r>
              <w:rPr>
                <w:b/>
                <w:sz w:val="17"/>
              </w:rPr>
              <w:t>5,535</w:t>
            </w:r>
          </w:p>
        </w:tc>
        <w:tc>
          <w:tcPr>
            <w:tcW w:type="dxa" w:w="1440"/>
            <w:shd w:fill="FAFAFA" w:val="clear"/>
          </w:tcPr>
          <w:p>
            <w:r>
              <w:rPr>
                <w:sz w:val="17"/>
              </w:rPr>
              <w:t>5,834</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5,201</w:t>
            </w:r>
          </w:p>
        </w:tc>
        <w:tc>
          <w:tcPr>
            <w:tcW w:type="dxa" w:w="1440"/>
            <w:shd w:fill="FAFAFA" w:val="clear"/>
          </w:tcPr>
          <w:p>
            <w:r>
              <w:rPr>
                <w:b/>
                <w:sz w:val="17"/>
              </w:rPr>
              <w:t>5,528</w:t>
            </w:r>
          </w:p>
        </w:tc>
        <w:tc>
          <w:tcPr>
            <w:tcW w:type="dxa" w:w="1440"/>
            <w:shd w:fill="FAFAFA" w:val="clear"/>
          </w:tcPr>
          <w:p>
            <w:r>
              <w:rPr>
                <w:sz w:val="17"/>
              </w:rPr>
              <w:t>5,855</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5,169</w:t>
            </w:r>
          </w:p>
        </w:tc>
        <w:tc>
          <w:tcPr>
            <w:tcW w:type="dxa" w:w="1440"/>
            <w:shd w:fill="FAFAFA" w:val="clear"/>
          </w:tcPr>
          <w:p>
            <w:r>
              <w:rPr>
                <w:b/>
                <w:sz w:val="17"/>
              </w:rPr>
              <w:t>5,521</w:t>
            </w:r>
          </w:p>
        </w:tc>
        <w:tc>
          <w:tcPr>
            <w:tcW w:type="dxa" w:w="1440"/>
            <w:shd w:fill="FAFAFA" w:val="clear"/>
          </w:tcPr>
          <w:p>
            <w:r>
              <w:rPr>
                <w:sz w:val="17"/>
              </w:rPr>
              <w:t>5,874</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5,138</w:t>
            </w:r>
          </w:p>
        </w:tc>
        <w:tc>
          <w:tcPr>
            <w:tcW w:type="dxa" w:w="1440"/>
            <w:shd w:fill="FAFAFA" w:val="clear"/>
          </w:tcPr>
          <w:p>
            <w:r>
              <w:rPr>
                <w:b/>
                <w:sz w:val="17"/>
              </w:rPr>
              <w:t>5,515</w:t>
            </w:r>
          </w:p>
        </w:tc>
        <w:tc>
          <w:tcPr>
            <w:tcW w:type="dxa" w:w="1440"/>
            <w:shd w:fill="FAFAFA" w:val="clear"/>
          </w:tcPr>
          <w:p>
            <w:r>
              <w:rPr>
                <w:sz w:val="17"/>
              </w:rPr>
              <w:t>5,892</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5,110</w:t>
            </w:r>
          </w:p>
        </w:tc>
        <w:tc>
          <w:tcPr>
            <w:tcW w:type="dxa" w:w="1440"/>
            <w:shd w:fill="FAFAFA" w:val="clear"/>
          </w:tcPr>
          <w:p>
            <w:r>
              <w:rPr>
                <w:b/>
                <w:sz w:val="17"/>
              </w:rPr>
              <w:t>5,509</w:t>
            </w:r>
          </w:p>
        </w:tc>
        <w:tc>
          <w:tcPr>
            <w:tcW w:type="dxa" w:w="1440"/>
            <w:shd w:fill="FAFAFA" w:val="clear"/>
          </w:tcPr>
          <w:p>
            <w:r>
              <w:rPr>
                <w:sz w:val="17"/>
              </w:rPr>
              <w:t>5,908</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5,082</w:t>
            </w:r>
          </w:p>
        </w:tc>
        <w:tc>
          <w:tcPr>
            <w:tcW w:type="dxa" w:w="1440"/>
            <w:shd w:fill="FAFAFA" w:val="clear"/>
          </w:tcPr>
          <w:p>
            <w:r>
              <w:rPr>
                <w:b/>
                <w:sz w:val="17"/>
              </w:rPr>
              <w:t>5,503</w:t>
            </w:r>
          </w:p>
        </w:tc>
        <w:tc>
          <w:tcPr>
            <w:tcW w:type="dxa" w:w="1440"/>
            <w:shd w:fill="FAFAFA" w:val="clear"/>
          </w:tcPr>
          <w:p>
            <w:r>
              <w:rPr>
                <w:sz w:val="17"/>
              </w:rPr>
              <w:t>5,923</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115,96 Mds FCFA, BOAN se situe dans la catégorie des valeurs moyennes de la BRVM, loin des poids lourds comme Sonatel ou ETIT, mais suffisamment liquide pour intéresser les investisseurs institutionnels régionaux. Le BPA de 20 FCFA/action — dérivé d'un résultat net 2025 effondré à 409 M FCFA — combiné à un cours de 5 575 FCFA, génère un PER de 283,5x, soit un niveau **totalement déconnecté** de la moyenne BRVM (~8-12x) : les investisseurs paient environ 283 fois les bénéfices actuels, ce qui traduit soit une anticipation très forte de rebond, soit une anomalie de valorisation. Le P/B de 3,22x indique que le marché valorise la banque à plus de trois fois ses fonds propres comptables (36,06 Mds FCFA), une prime de croissance qui contraste violemment avec un ROE de seulement 1,13% — incohérence flagrante. Enfin, l'EV/EBITDA de 41,4x (très au-dessus du seuil de 15x) confirme que la valeur d'entreprise intègre une capacité bénéficiaire future que les résultats 2025 ne justifient absolument pas. **Conclusion : valorisation extrêmement tendue, portée par l'anticipation d'un redressement 2026 et non par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performance spectaculaire de **+68,68%**, avec un cours actuel de 5 575 FCFA contre un plus bas de 3 305 FCFA et un plus haut de 5 645 FCFA — le titre évolue donc actuellement à seulement 1,2% de son sommet, signe d'une tendance haussière mature. La variation J-1 de -0,36% marque une très légère consolidation, sans remettre en cause le momentum. Le range de trading (2 340 FCFA d'amplitude, soit ~71% du plus bas) témoigne d'une volatilité directionnelle intense. Les statistiques descriptives révèlent une **moyenne (4 438 FCFA) nettement supérieure à la médiane (4 198 FCFA)**, écart qui traduit une distribution asymétrique à droite — les hausses récentes tirent la moyenne vers le haut, confirmant que la majeure partie de la progression s'est concentrée sur la fin de période. Le mode à 3 500 FCFA indique que le prix le plus fréquemment coté se situe bien en dessous du cours actuel, renforçant l'idée d'une accélération haussière tardive. L'écart-type de 800 FCFA (CV=18,0%) signale une dispersion modérée à élevée, tandis que le **kurtosis de -1,713 (platykurtique)** indique une distribution aplatie avec peu de pics extrêmes — le risque de mouvements brutaux isolés est limité. Le **skewness de 0,103 (quasi-symétrique)** suggère un équilibre entre hausses et baisses, sans biais directionnel marqué sur la distribution. La **volatilité annualisée de 36,8%** classe BOAN parmi les titres à volatilité **élevée** (&gt;30%), ce qui est cohérent avec un contexte de redressement post-crise et de forte spéculation.</w:t>
      </w:r>
    </w:p>
    <w:p>
      <w:pPr>
        <w:spacing w:after="120" w:line="276" w:lineRule="auto"/>
      </w:pPr>
      <w:r>
        <w:t>---</w:t>
      </w:r>
    </w:p>
    <w:p>
      <w:pPr>
        <w:spacing w:after="120" w:line="276" w:lineRule="auto"/>
      </w:pPr>
      <w:r>
        <w:t>## PARTIE 2 : ANALYSE TECHNIQUE DÉTAILLÉE</w:t>
      </w:r>
    </w:p>
    <w:p>
      <w:pPr>
        <w:spacing w:after="120" w:line="276" w:lineRule="auto"/>
      </w:pPr>
      <w:r>
        <w:t>**Moyennes Mobiles** : La MM20 (5 405,5 FCFA) et la MM50 (5 176,2 FCFA) sont toutes deux inférieures au cours actuel (5 575 FCFA), avec la MM20 au-dessus de la MM50 — configuration haussière classique (golden cross). Le cours évolue au-dessus de ses deux moyennes, confirmant la dynamique positive et justifiant la décision **Achat**.</w:t>
      </w:r>
    </w:p>
    <w:p>
      <w:pPr>
        <w:spacing w:after="120" w:line="276" w:lineRule="auto"/>
      </w:pPr>
      <w:r>
        <w:t>**Bandes de Bollinger** : Le cours (5 575 FCFA) se situe entre la borne supérieure (5 697,4 FCFA) et la borne inférieure (5 113,6 FCFA), plus proche du haut, sans franchissement. L'amplitude des bandes (~584 FCFA) reflète une volatilité modérée. La décision **Neutre** s'explique par l'absence de signal de surachat ou de survente extrême, le cours restant dans le canal.</w:t>
      </w:r>
    </w:p>
    <w:p>
      <w:pPr>
        <w:spacing w:after="120" w:line="276" w:lineRule="auto"/>
      </w:pPr>
      <w:r>
        <w:t>**MACD** : La valeur du MACD (119,934) est légèrement inférieure à son signal (124,009), générant un croisement baissier marginal. Le momentum haussier s'essouffle, ce qui justifie la décision **Vente** — signal de prudence à court terme, bien que l'écart reste faible.</w:t>
      </w:r>
    </w:p>
    <w:p>
      <w:pPr>
        <w:spacing w:after="120" w:line="276" w:lineRule="auto"/>
      </w:pPr>
      <w:r>
        <w:t>**RSI** : À 64,024, le RSI se situe en zone neutre haute (30-70), sans atteindre le seuil de surachat (70). La décision **Neutre** reflète un équilibre entre pression acheteuse et vendeuse, avec une légère avance des acheteurs.</w:t>
      </w:r>
    </w:p>
    <w:p>
      <w:pPr>
        <w:spacing w:after="120" w:line="276" w:lineRule="auto"/>
      </w:pPr>
      <w:r>
        <w:t>**Stochastique** : Le %K (75,862) est supérieur au %D (72,7), en zone haute mais sans croisement baissier confirmé. La décision **Neutre** indique que le titre approche de zones de surachat sans y être encore, laissant une marge de progression limitée.</w:t>
      </w:r>
    </w:p>
    <w:p>
      <w:pPr>
        <w:spacing w:after="120" w:line="276" w:lineRule="auto"/>
      </w:pPr>
      <w:r>
        <w:t>**Conclusion technique** : Les indicateurs sont **majoritairement neutres avec un biais haussier résiduel** (MM en achat, cours proche du haut de Bollinger), mais le MACD en vente et le RSI/stochastique en zone haute suggèrent un **essoufflement du momentum**. La convergence des signaux pointe vers une consolidation imminente plutôt qu'une poursuite franche de la hausse. **Signal global : Neutre à légèrement baissier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équivalent du chiffre d'affaires pour une banque) de **21 125 M FCFA**, en léger repli de -1,2% sur un an, dans un secteur bancaire nigérien en contraction. Le résultat net s'est **effondré de 91,8% à 409 M FCFA** (contre 5 002 M FCFA en 2024), principalement en raison d'un coût du risque plus que doublé (+121,5%, à -6 016 M FCFA) incluant une provision exceptionnelle de 4,8 Mds FCFA liée au taux de sinistralité sectoriel de 24%. Les ratios de rentabilité sont catastrophiques : **ROE de 1,13%** (vs 11,39% en 2024) et **ROA de 0,14%** (vs 1,49%), bien en dessous des standards bancaires (&gt;15% pour le ROE). Le **coefficient d'exploitation de 74,37%** est très élevé (seuil d'efficacité &lt;60%), traduisant une structure de coûts lourde. Le **coût du risque/charges financières de 67,3%** confirme un portefeuille de crédits très dégradé. La structure financière reste fragile : **autonomie financière de 12,36%** (très en dessous du seuil sain de 30%), **ratio d'endettement de 178,6%**, et **trésorerie nette négative de -43,5 Mds FCFA**. Les dépôts clientèle (183,28 Mds FCFA) couvrent les créances clientèle (128,45 Mds FCFA), avec un ratio de transformation de 70%, correct mais en baisse.</w:t>
      </w:r>
    </w:p>
    <w:p>
      <w:pPr>
        <w:spacing w:after="120" w:line="276" w:lineRule="auto"/>
      </w:pPr>
      <w:r>
        <w:t>**Estimations basées sur les rapports trimestriels** : Le **rapport T1 2026 (daté du 31 mars 2026, analysé le 05/09/2026)** révèle un **net redressement** : PNB en hausse de +7,9% à 5 170 M FCFA, résultat net en progression de +28,9% à 1 467,3 M FCFA, coefficient d'exploitation ramené à 56,2% (contre 66,8% un an plus tôt), et RBE en bond de +42,2%. Le coût du risque reste élevé (+104,3%) mais s'inscrit dans une stratégie d'assainissement. Sur cette base, **on estime que l'exercice 2026 pourrait afficher un résultat net entre 5 et 6 Mds FCFA** (soit un BPA de 240-290 FCFA), ramenant le PER à ~20x — encore élevé mais plus cohérent. Le **rapport S2 2025 (daté du 31 décembre 2025)** confirme la stratégie de réduction sélective des crédits (-20,9%) et la croissance des dépôts (+4%), tandis que le **rapport T3 2025 (30 septembre 2025)** soulignait déjà la résilience du PNB (-1,8%) malgré l'effondrement du résultat net (-33,1%). Le **rapport annuel 2024 (AG 2024)** rappelle le payout exceptionnel de 93,6% (dividende de 225 FCFA/action), mais **aucun dividende n'a été versé en 2025** et aucun n'est prévu à court terme.</w:t>
      </w:r>
    </w:p>
    <w:p>
      <w:pPr>
        <w:spacing w:after="120" w:line="276" w:lineRule="auto"/>
      </w:pPr>
      <w:r>
        <w:t>**Recommandation fondamentale** : La banque traverse une **crise profonde mais semble avoir touché le fond au S2 2025**, avec un T1 2026 confirmant un début de redressement. Les risques restent **élevés** (créances douteuses à 24%, instabilité politique, dépendance au pétrole), mais le soutien du groupe BOA et le plan stratégique 2025-2027 (digitalisation, PME, trade finance) offrent des perspectives de moyen terme. **Solidité financière actuelle : faible ; perspectives : amélioration conditionnelle.**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la valorisation, le comportement du cours, les signaux techniques et les fondamentaux. **En termes de valorisation (Partie 0)**, les ratios PER (283,5x), P/B (3,22x) et EV/EBITDA (41,4x) indiquent une **surévaluation extrême** par rapport aux bénéfices actuels, bien que le rebond attendu en 2026 puisse partiellement justifier ces niveaux. **Le comportement du cours (Partie 1)** est haussier (+68,68% sur 100 jours) avec une volatilité élevée (36,8%) et une distribution quasi-symétrique (skewness 0,103) mais aplatie (kurtosis -1,713), ce qui suggère une tendance solide mais sans excès spéculatif extrême. **Les signaux techniques (Partie 2)** sont mitigés : MM en achat, mais MACD en vente et RSI/stochastique en zone haute, pointant vers une consolidation imminente. **Les fondamentaux (Partie 3)** restent préoccupants pour 2025 (ROE 1,13%, résultat net -91,8%), mais le T1 2026 (+28,9% de résultat net) et les perspectives 2026 (objectif de multiplication par 6 du résultat net) offrent un espoir de redressement. **Les prédictions IA (J+1 à J+10)** anticipent une **légère baisse** (5 558 → 5 535 FCFA, soit -0,7% sur 10 jours), ce qui **contredit partiellement** le momentum haussier récent et confirme la thèse d'une consolidation à court terme.</w:t>
      </w:r>
    </w:p>
    <w:p>
      <w:pPr>
        <w:spacing w:after="120" w:line="276" w:lineRule="auto"/>
      </w:pPr>
      <w:r>
        <w:t>**Recommandation finale : CONSERVER (avec vigilance)**</w:t>
        <w:br/>
        <w:t>- **Justification** : La convergence entre la surévaluation actuelle, l'essoufflement technique et la prédiction baissière à court terme suggère d'**éviter d'acheter au cours actuel**. Cependant, le redressement fondamental en cours (T1 2026) et le soutien du groupe BOA justifient de **conserver** les positions existantes pour les investisseurs patients, en attendant une confirmation sur 1-2 trimestres supplémentaires.</w:t>
        <w:br/>
        <w:t>- **Niveau de confiance** : **Moyen** (les signaux sont contradictoires entre court terme baissier et moyen terme haussier).</w:t>
        <w:br/>
        <w:t>- **Niveau de risque global** : **Élevé** (volatilité 36,8%, créances douteuses 24%, instabilité politique au Niger, absence de dividende).</w:t>
        <w:br/>
        <w:t>- **Horizon d'investissement optimal** : **Moyen terme (3-12 mois)**, en surveillant les prochains rapports trimestriels (T2 2026) pour confirmer la trajectoire de redressement. Un retour vers 4 500-5 000 FCFA constituerait une meilleure zone d'entrée.</w:t>
      </w:r>
    </w:p>
    <w:p>
      <w:pPr>
        <w:spacing w:after="120" w:line="276" w:lineRule="auto"/>
      </w:pPr>
      <w:r>
        <w:t>**À surveiller** : Évolution du coût du risque, confirmation du redressement au T2 2026, contexte géopolitique nigérien, et décision de dividende pour l'exercice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300.60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10,298 titres</w:t>
            </w:r>
          </w:p>
        </w:tc>
        <w:tc>
          <w:tcPr>
            <w:tcW w:type="dxa" w:w="2268"/>
            <w:shd w:fill="FFF2CC" w:val="clear"/>
          </w:tcPr>
          <w:p>
            <w:r>
              <w:rPr>
                <w:b/>
                <w:color w:val="503200"/>
                <w:sz w:val="16"/>
              </w:rPr>
              <w:t xml:space="preserve">Cours actuel : </w:t>
            </w:r>
            <w:r>
              <w:rPr>
                <w:color w:val="000000"/>
                <w:sz w:val="17"/>
              </w:rPr>
              <w:t>8,350 FCFA</w:t>
            </w:r>
          </w:p>
          <w:p>
            <w:r>
              <w:rPr>
                <w:b/>
                <w:color w:val="503200"/>
                <w:sz w:val="16"/>
              </w:rPr>
              <w:t xml:space="preserve">Var. 100 jours : </w:t>
            </w:r>
            <w:r>
              <w:rPr>
                <w:b/>
                <w:color w:val="007800"/>
                <w:sz w:val="17"/>
              </w:rPr>
              <w:t>+23.70%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5.46% (Moyenne) — μ=7,588 FCFA, σ=414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β=0.2622 (Défensif) — Cov=0.000009, Var(idx)=0.000034,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8,047</w:t>
            </w:r>
          </w:p>
        </w:tc>
        <w:tc>
          <w:tcPr>
            <w:tcW w:type="dxa" w:w="1440"/>
            <w:shd w:fill="FAFAFA" w:val="clear"/>
          </w:tcPr>
          <w:p>
            <w:r>
              <w:rPr>
                <w:b/>
                <w:sz w:val="17"/>
              </w:rPr>
              <w:t>8,247</w:t>
            </w:r>
          </w:p>
        </w:tc>
        <w:tc>
          <w:tcPr>
            <w:tcW w:type="dxa" w:w="1440"/>
            <w:shd w:fill="FAFAFA" w:val="clear"/>
          </w:tcPr>
          <w:p>
            <w:r>
              <w:rPr>
                <w:sz w:val="17"/>
              </w:rPr>
              <w:t>8,446</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7,926</w:t>
            </w:r>
          </w:p>
        </w:tc>
        <w:tc>
          <w:tcPr>
            <w:tcW w:type="dxa" w:w="1440"/>
            <w:shd w:fill="FAFAFA" w:val="clear"/>
          </w:tcPr>
          <w:p>
            <w:r>
              <w:rPr>
                <w:b/>
                <w:sz w:val="17"/>
              </w:rPr>
              <w:t>8,207</w:t>
            </w:r>
          </w:p>
        </w:tc>
        <w:tc>
          <w:tcPr>
            <w:tcW w:type="dxa" w:w="1440"/>
            <w:shd w:fill="FAFAFA" w:val="clear"/>
          </w:tcPr>
          <w:p>
            <w:r>
              <w:rPr>
                <w:sz w:val="17"/>
              </w:rPr>
              <w:t>8,488</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7,821</w:t>
            </w:r>
          </w:p>
        </w:tc>
        <w:tc>
          <w:tcPr>
            <w:tcW w:type="dxa" w:w="1440"/>
            <w:shd w:fill="FFDCE0" w:val="clear"/>
          </w:tcPr>
          <w:p>
            <w:r>
              <w:rPr>
                <w:b/>
                <w:sz w:val="17"/>
              </w:rPr>
              <w:t>8,164</w:t>
            </w:r>
          </w:p>
        </w:tc>
        <w:tc>
          <w:tcPr>
            <w:tcW w:type="dxa" w:w="1440"/>
            <w:shd w:fill="FFDCE0" w:val="clear"/>
          </w:tcPr>
          <w:p>
            <w:r>
              <w:rPr>
                <w:sz w:val="17"/>
              </w:rPr>
              <w:t>8,506</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7,732</w:t>
            </w:r>
          </w:p>
        </w:tc>
        <w:tc>
          <w:tcPr>
            <w:tcW w:type="dxa" w:w="1440"/>
            <w:shd w:fill="FFDCE0" w:val="clear"/>
          </w:tcPr>
          <w:p>
            <w:r>
              <w:rPr>
                <w:b/>
                <w:sz w:val="17"/>
              </w:rPr>
              <w:t>8,125</w:t>
            </w:r>
          </w:p>
        </w:tc>
        <w:tc>
          <w:tcPr>
            <w:tcW w:type="dxa" w:w="1440"/>
            <w:shd w:fill="FFDCE0" w:val="clear"/>
          </w:tcPr>
          <w:p>
            <w:r>
              <w:rPr>
                <w:sz w:val="17"/>
              </w:rPr>
              <w:t>8,519</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7,652</w:t>
            </w:r>
          </w:p>
        </w:tc>
        <w:tc>
          <w:tcPr>
            <w:tcW w:type="dxa" w:w="1440"/>
            <w:shd w:fill="FFDCE0" w:val="clear"/>
          </w:tcPr>
          <w:p>
            <w:r>
              <w:rPr>
                <w:b/>
                <w:sz w:val="17"/>
              </w:rPr>
              <w:t>8,090</w:t>
            </w:r>
          </w:p>
        </w:tc>
        <w:tc>
          <w:tcPr>
            <w:tcW w:type="dxa" w:w="1440"/>
            <w:shd w:fill="FFDCE0" w:val="clear"/>
          </w:tcPr>
          <w:p>
            <w:r>
              <w:rPr>
                <w:sz w:val="17"/>
              </w:rPr>
              <w:t>8,528</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7,578</w:t>
            </w:r>
          </w:p>
        </w:tc>
        <w:tc>
          <w:tcPr>
            <w:tcW w:type="dxa" w:w="1440"/>
            <w:shd w:fill="FFDCE0" w:val="clear"/>
          </w:tcPr>
          <w:p>
            <w:r>
              <w:rPr>
                <w:b/>
                <w:sz w:val="17"/>
              </w:rPr>
              <w:t>8,056</w:t>
            </w:r>
          </w:p>
        </w:tc>
        <w:tc>
          <w:tcPr>
            <w:tcW w:type="dxa" w:w="1440"/>
            <w:shd w:fill="FFDCE0" w:val="clear"/>
          </w:tcPr>
          <w:p>
            <w:r>
              <w:rPr>
                <w:sz w:val="17"/>
              </w:rPr>
              <w:t>8,534</w:t>
            </w:r>
          </w:p>
        </w:tc>
        <w:tc>
          <w:tcPr>
            <w:tcW w:type="dxa" w:w="1440"/>
            <w:shd w:fill="FFDCE0" w:val="clear"/>
          </w:tcPr>
          <w:p>
            <w:r>
              <w:rPr>
                <w:b/>
                <w:color w:val="C00000"/>
                <w:sz w:val="17"/>
              </w:rPr>
              <w:t>-3.5%</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7,510</w:t>
            </w:r>
          </w:p>
        </w:tc>
        <w:tc>
          <w:tcPr>
            <w:tcW w:type="dxa" w:w="1440"/>
            <w:shd w:fill="FFDCE0" w:val="clear"/>
          </w:tcPr>
          <w:p>
            <w:r>
              <w:rPr>
                <w:b/>
                <w:sz w:val="17"/>
              </w:rPr>
              <w:t>8,024</w:t>
            </w:r>
          </w:p>
        </w:tc>
        <w:tc>
          <w:tcPr>
            <w:tcW w:type="dxa" w:w="1440"/>
            <w:shd w:fill="FFDCE0" w:val="clear"/>
          </w:tcPr>
          <w:p>
            <w:r>
              <w:rPr>
                <w:sz w:val="17"/>
              </w:rPr>
              <w:t>8,538</w:t>
            </w:r>
          </w:p>
        </w:tc>
        <w:tc>
          <w:tcPr>
            <w:tcW w:type="dxa" w:w="1440"/>
            <w:shd w:fill="FFDCE0" w:val="clear"/>
          </w:tcPr>
          <w:p>
            <w:r>
              <w:rPr>
                <w:b/>
                <w:color w:val="C00000"/>
                <w:sz w:val="17"/>
              </w:rPr>
              <w:t>-3.9%</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7,446</w:t>
            </w:r>
          </w:p>
        </w:tc>
        <w:tc>
          <w:tcPr>
            <w:tcW w:type="dxa" w:w="1440"/>
            <w:shd w:fill="FFDCE0" w:val="clear"/>
          </w:tcPr>
          <w:p>
            <w:r>
              <w:rPr>
                <w:b/>
                <w:sz w:val="17"/>
              </w:rPr>
              <w:t>7,993</w:t>
            </w:r>
          </w:p>
        </w:tc>
        <w:tc>
          <w:tcPr>
            <w:tcW w:type="dxa" w:w="1440"/>
            <w:shd w:fill="FFDCE0" w:val="clear"/>
          </w:tcPr>
          <w:p>
            <w:r>
              <w:rPr>
                <w:sz w:val="17"/>
              </w:rPr>
              <w:t>8,541</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7,385</w:t>
            </w:r>
          </w:p>
        </w:tc>
        <w:tc>
          <w:tcPr>
            <w:tcW w:type="dxa" w:w="1440"/>
            <w:shd w:fill="FFDCE0" w:val="clear"/>
          </w:tcPr>
          <w:p>
            <w:r>
              <w:rPr>
                <w:b/>
                <w:sz w:val="17"/>
              </w:rPr>
              <w:t>7,964</w:t>
            </w:r>
          </w:p>
        </w:tc>
        <w:tc>
          <w:tcPr>
            <w:tcW w:type="dxa" w:w="1440"/>
            <w:shd w:fill="FFDCE0" w:val="clear"/>
          </w:tcPr>
          <w:p>
            <w:r>
              <w:rPr>
                <w:sz w:val="17"/>
              </w:rPr>
              <w:t>8,542</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7,328</w:t>
            </w:r>
          </w:p>
        </w:tc>
        <w:tc>
          <w:tcPr>
            <w:tcW w:type="dxa" w:w="1440"/>
            <w:shd w:fill="FFDCE0" w:val="clear"/>
          </w:tcPr>
          <w:p>
            <w:r>
              <w:rPr>
                <w:b/>
                <w:sz w:val="17"/>
              </w:rPr>
              <w:t>7,936</w:t>
            </w:r>
          </w:p>
        </w:tc>
        <w:tc>
          <w:tcPr>
            <w:tcW w:type="dxa" w:w="1440"/>
            <w:shd w:fill="FFDCE0" w:val="clear"/>
          </w:tcPr>
          <w:p>
            <w:r>
              <w:rPr>
                <w:sz w:val="17"/>
              </w:rPr>
              <w:t>8,543</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300,60 milliards FCFA, BOAS s'impose comme l'une des valeurs bancaires de référence de la cote BRVM, offrant une liquidité appréciable aux investisseurs institutionnels et particuliers. Le BPA de 608 FCFA par action signifie que chaque titre génère près de 608 FCFA de bénéfice net, un niveau qui traduit la forte rentabilité intrinsèque de la banque. Le PER de 13,7x se situe légèrement au-dessus de la moyenne du marché BRVM (8-12x), ce qui indique que les investisseurs acceptent de payer une prime modérée pour la qualité de la croissance et la régularité des résultats de BOAS. Le P/B de 3,11x montre que le marché valorise l'action à plus de trois fois sa valeur comptable, une prime de croissance justifiée par un ROE de 22,69%, largement supérieur au coût des fonds propres. Enfin, l'EV/EBITDA de 8,9x, dans la fourchette raisonnable de 5-10x, confirme que la valeur totale de l'entreprise reste cohérente avec sa capacité opérationnelle, sans exagération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remarquable de +23,70%, avec une dernière séance en hausse de +1,83%, portant le cours actuel à 8 350 FCFA pour une capitalisation de 300,60 milliards FCFA. Le titre a évolué dans un range de 1 765 FCFA, entre un plus bas de 6 735 FCFA et un plus haut de 8 500 FCFA, ce qui témoigne d'une tendance nettement haussière, bien que le cours actuel se situe à proximité immédiate de son sommet, suggérant une possible zone de résistance. Les statistiques descriptives révèlent une moyenne de 7 588 FCFA légèrement supérieure à la médiane de 7 498 FCFA, avec un mode à 7 700 FCFA, indiquant une distribution très légèrement asymétrique à droite, cohérente avec le skewness positif de 0,327 qualifié de symétrique. L'écart-type de 416 FCFA, associé à un coefficient de variation de seulement 5,5%, dénote une dispersion modérée du cours autour de sa moyenne, tandis que le kurtosis de -0,406 (mésokurtique) suggère une distribution proche de la normale, sans risque majeur de pics extrêmes. La volatilité annualisée de 24,8% positionne le titre dans la catégorie des valeurs à volatilité modérée (15-30%), ce qui est rassurant pour un investisseur recherchant un compromis entre rendement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8 203 FCFA et la MM50 à 7 827,5 FCFA, toutes deux inférieures au cours actuel de 8 350 FCFA, ce qui confirme une configuration haussière avec le prix au-dessus de ses moyennes. L'écart positif entre la MM20 et la MM50 (375,5 FCFA) valide la dynamique ascendante et justifie la décision d'achat.</w:t>
      </w:r>
    </w:p>
    <w:p>
      <w:pPr>
        <w:spacing w:after="120" w:line="276" w:lineRule="auto"/>
      </w:pPr>
      <w:r>
        <w:t>**Bandes de Bollinger** : Le cours (8 350 FCFA) évolue dans la partie haute de la bande, entre la borne inférieure à 7 773,33 FCFA et la borne supérieure à 8 632,67 FCFA, sans franchir cette dernière. Cette position proche de la borne haute, combinée à une décision neutre, suggère une phase de consolidation possible avant une nouvelle impulsion.</w:t>
      </w:r>
    </w:p>
    <w:p>
      <w:pPr>
        <w:spacing w:after="120" w:line="276" w:lineRule="auto"/>
      </w:pPr>
      <w:r>
        <w:t>**MACD** : La valeur du MACD (131,791) est inférieure à son signal (150,875), générant une décision de vente. Cette divergence baissière indique un essoufflement du momentum haussier à court terme, bien que la ligne MACD reste en territoire positif, ce qui n'invalide pas la tendance de fond.</w:t>
      </w:r>
    </w:p>
    <w:p>
      <w:pPr>
        <w:spacing w:after="120" w:line="276" w:lineRule="auto"/>
      </w:pPr>
      <w:r>
        <w:t>**RSI** : À 41,071, le RSI se situe en zone neutre (30-70), sans signal de surachat ni de survente. Cette valeur modérée suggère que le titre dispose encore d'un potentiel de hausse sans être dans une zone d'excès, justifiant la décision neutre.</w:t>
      </w:r>
    </w:p>
    <w:p>
      <w:pPr>
        <w:spacing w:after="120" w:line="276" w:lineRule="auto"/>
      </w:pPr>
      <w:r>
        <w:t>**Stochastique** : Le %K (50,0) est supérieur au %D (36,667), avec un croisement récent à la hausse qui pourrait annoncer un rebond à court terme. Toutefois, la décision reste neutre car les deux lignes évoluent en zone médiane, sans signal fort.</w:t>
      </w:r>
    </w:p>
    <w:p>
      <w:pPr>
        <w:spacing w:after="120" w:line="276" w:lineRule="auto"/>
      </w:pPr>
      <w:r>
        <w:t>**Conclusion technique** : Les indicateurs présentent un tableau mitigé : les moyennes mobiles confirment la tendance haussière de fond, mais le MACD signale un essoufflement du momentum et les Bandes de Bollinger indiquent une possible consolidation. Le RSI et le Stochastique, en zone neutre, n'apportent pas de signal directionnel fort. La convergence globale penche légèrement en faveur d'une consolidation avant une reprise, avec un biais haussier tant que le cours se maintient au-dessus de la MM20 (8 203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solides avec un Produit Net Bancaire (PNB) de 51,926 milliards FCFA, un résultat net de 21,905 milliards FCFA et un ROE exceptionnel de 22,69%, largement supérieur au seuil de 15% considéré comme excellent. Le coefficient d'exploitation de 44,02% témoigne d'une grande efficacité opérationnelle (seuil d'excellence &lt; 50%), tandis que le coût du risque de 23,31% des charges financières reste un point de vigilance, bien qu'en amélioration selon les rapports trimestriels. La structure financière montre une autonomie financière de 11,54% (faible mais typique du modèle bancaire) et une solvabilité générale de 113,05%, confirmant la capacité de la banque à couvrir ses dettes. Les dépôts clientèle (686,927 milliards FCFA) couvrent largement les créances clientèle (386,424 milliards FCFA), avec un ratio de transformation de 56,3%, signe d'une collecte vigoureuse. Les rapports trimestriels récents confirment cette dynamique : au T1 2026 (rapport du 31 mars 2026), le PNB progresse de 6,82% à 12,580 milliards FCFA et le résultat net de 9,78% à 5,741 milliards FCFA, avec un coefficient d'exploitation en amélioration à 42,1%. Le rapport du T3 2025 (30 septembre 2025) indiquait déjà un PNB cumulé de 37,44 milliards FCFA (+6,71%) et un résultat net de 16,37 milliards FCFA (+10,01%), avec un coût du risque en baisse à -0,5% du PNB. Sur la base de ces tendances, on estime que l'exercice 2026 devrait enregistrer une croissance du PNB de l'ordre de 6-7% et une progression du résultat net de 8-10%, portée par la hausse des commissions (+10,1% au T1 2026) et la maîtrise des charges. La recommandation fondamentale est positive : BOAS présente un profil de banque solide, rentable et en croissance régulière, avec des risques maîtrisés (coût du risque en amélioration, dépendance au marché sénégalais) et des perspectives favorables.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tableau nuancé mais globalement favorable. La valorisation (Partie 0) apparaît raisonnable avec un PER de 13,7x légèrement supérieur à la moyenne du marché mais justifié par un ROE de 22,69%, un P/B de 3,11x reflétant une prime de croissance et un EV/EBITDA de 8,9x sans exagération. Le comportement du cours (Partie 1) est nettement haussier (+23,70% sur 100 jours) avec une volatilité modérée (24,8%) et des statistiques rassurantes (kurtosis mésokurtique, skewness symétrique), bien que le cours évolue proche de son plus haut historique, ce qui pourrait limiter le potentiel à court terme. Les signaux techniques (Partie 2) sont mitigés : les moyennes mobiles confirment la tendance haussière, mais le MACD génère un signal de vente et les Bandes de Bollinger suggèrent une consolidation, tandis que le RSI et le Stochastique restent neutres. Les fondamentaux (Partie 3) sont solides, avec un ROE de 22,69%, un coefficient d'exploitation de 44,02% et une croissance estimée de 8-10% du résultat net en 2026, soutenue par les rapports trimestriels récents. Les prédictions IA (J+1 à J+10) anticipent une légère correction baissière vers 8 090 FCFA d'ici le 21 septembre 2026, ce qui contredit partiellement les signaux haussiers de fond mais confirme la phase de consolidation technique anticipée. Sur la base de cette synthèse, la recommandation finale est **ACHAT**, avec un niveau de confiance **Moyen** et un risque global **Moyen**. La convergence entre valorisation raisonnable, fondamentaux solides et tendance haussière de fond soutient une position acheteuse, mais la proximité du plus haut historique et les signaux techniques mitigés incitent à la prudence à court terme. L'horizon d'investissement optimal est le **moyen terme (3-12 mois)**, afin de laisser la consolidation technique se résorber et de bénéficier pleinement de la croissance des résultats attendue pour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2,137 titres</w:t>
            </w:r>
          </w:p>
        </w:tc>
        <w:tc>
          <w:tcPr>
            <w:tcW w:type="dxa" w:w="2268"/>
            <w:shd w:fill="FFF2CC" w:val="clear"/>
          </w:tcPr>
          <w:p>
            <w:r>
              <w:rPr>
                <w:b/>
                <w:color w:val="503200"/>
                <w:sz w:val="16"/>
              </w:rPr>
              <w:t xml:space="preserve">Cours actuel : </w:t>
            </w:r>
            <w:r>
              <w:rPr>
                <w:color w:val="000000"/>
                <w:sz w:val="17"/>
              </w:rPr>
              <w:t>3,490 FCFA</w:t>
            </w:r>
          </w:p>
          <w:p>
            <w:r>
              <w:rPr>
                <w:b/>
                <w:color w:val="503200"/>
                <w:sz w:val="16"/>
              </w:rPr>
              <w:t xml:space="preserve">Var. 100 jours : </w:t>
            </w:r>
            <w:r>
              <w:rPr>
                <w:b/>
                <w:color w:val="B40000"/>
                <w:sz w:val="17"/>
              </w:rPr>
              <w:t>-8.16%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μ=3,711 FCFA, σ=268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β=0.1673 (Défensif) — Cov=0.000006, Var(idx)=0.000034, ρ=0.032,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3,379</w:t>
            </w:r>
          </w:p>
        </w:tc>
        <w:tc>
          <w:tcPr>
            <w:tcW w:type="dxa" w:w="1440"/>
            <w:shd w:fill="FAFAFA" w:val="clear"/>
          </w:tcPr>
          <w:p>
            <w:r>
              <w:rPr>
                <w:b/>
                <w:sz w:val="17"/>
              </w:rPr>
              <w:t>3,471</w:t>
            </w:r>
          </w:p>
        </w:tc>
        <w:tc>
          <w:tcPr>
            <w:tcW w:type="dxa" w:w="1440"/>
            <w:shd w:fill="FAFAFA" w:val="clear"/>
          </w:tcPr>
          <w:p>
            <w:r>
              <w:rPr>
                <w:sz w:val="17"/>
              </w:rPr>
              <w:t>3,562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3,322</w:t>
            </w:r>
          </w:p>
        </w:tc>
        <w:tc>
          <w:tcPr>
            <w:tcW w:type="dxa" w:w="1440"/>
            <w:shd w:fill="FAFAFA" w:val="clear"/>
          </w:tcPr>
          <w:p>
            <w:r>
              <w:rPr>
                <w:b/>
                <w:sz w:val="17"/>
              </w:rPr>
              <w:t>3,450</w:t>
            </w:r>
          </w:p>
        </w:tc>
        <w:tc>
          <w:tcPr>
            <w:tcW w:type="dxa" w:w="1440"/>
            <w:shd w:fill="FAFAFA" w:val="clear"/>
          </w:tcPr>
          <w:p>
            <w:r>
              <w:rPr>
                <w:sz w:val="17"/>
              </w:rPr>
              <w:t>3,579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3,272</w:t>
            </w:r>
          </w:p>
        </w:tc>
        <w:tc>
          <w:tcPr>
            <w:tcW w:type="dxa" w:w="1440"/>
            <w:shd w:fill="FAFAFA" w:val="clear"/>
          </w:tcPr>
          <w:p>
            <w:r>
              <w:rPr>
                <w:b/>
                <w:sz w:val="17"/>
              </w:rPr>
              <w:t>3,428</w:t>
            </w:r>
          </w:p>
        </w:tc>
        <w:tc>
          <w:tcPr>
            <w:tcW w:type="dxa" w:w="1440"/>
            <w:shd w:fill="FAFAFA" w:val="clear"/>
          </w:tcPr>
          <w:p>
            <w:r>
              <w:rPr>
                <w:sz w:val="17"/>
              </w:rPr>
              <w:t>3,585</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3,227</w:t>
            </w:r>
          </w:p>
        </w:tc>
        <w:tc>
          <w:tcPr>
            <w:tcW w:type="dxa" w:w="1440"/>
            <w:shd w:fill="FFDCE0" w:val="clear"/>
          </w:tcPr>
          <w:p>
            <w:r>
              <w:rPr>
                <w:b/>
                <w:sz w:val="17"/>
              </w:rPr>
              <w:t>3,406</w:t>
            </w:r>
          </w:p>
        </w:tc>
        <w:tc>
          <w:tcPr>
            <w:tcW w:type="dxa" w:w="1440"/>
            <w:shd w:fill="FFDCE0" w:val="clear"/>
          </w:tcPr>
          <w:p>
            <w:r>
              <w:rPr>
                <w:sz w:val="17"/>
              </w:rPr>
              <w:t>3,585</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3,185</w:t>
            </w:r>
          </w:p>
        </w:tc>
        <w:tc>
          <w:tcPr>
            <w:tcW w:type="dxa" w:w="1440"/>
            <w:shd w:fill="FFDCE0" w:val="clear"/>
          </w:tcPr>
          <w:p>
            <w:r>
              <w:rPr>
                <w:b/>
                <w:sz w:val="17"/>
              </w:rPr>
              <w:t>3,384</w:t>
            </w:r>
          </w:p>
        </w:tc>
        <w:tc>
          <w:tcPr>
            <w:tcW w:type="dxa" w:w="1440"/>
            <w:shd w:fill="FFDCE0" w:val="clear"/>
          </w:tcPr>
          <w:p>
            <w:r>
              <w:rPr>
                <w:sz w:val="17"/>
              </w:rPr>
              <w:t>3,583</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3,145</w:t>
            </w:r>
          </w:p>
        </w:tc>
        <w:tc>
          <w:tcPr>
            <w:tcW w:type="dxa" w:w="1440"/>
            <w:shd w:fill="FFDCE0" w:val="clear"/>
          </w:tcPr>
          <w:p>
            <w:r>
              <w:rPr>
                <w:b/>
                <w:sz w:val="17"/>
              </w:rPr>
              <w:t>3,362</w:t>
            </w:r>
          </w:p>
        </w:tc>
        <w:tc>
          <w:tcPr>
            <w:tcW w:type="dxa" w:w="1440"/>
            <w:shd w:fill="FFDCE0" w:val="clear"/>
          </w:tcPr>
          <w:p>
            <w:r>
              <w:rPr>
                <w:sz w:val="17"/>
              </w:rPr>
              <w:t>3,579</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3,109</w:t>
            </w:r>
          </w:p>
        </w:tc>
        <w:tc>
          <w:tcPr>
            <w:tcW w:type="dxa" w:w="1440"/>
            <w:shd w:fill="FFDCE0" w:val="clear"/>
          </w:tcPr>
          <w:p>
            <w:r>
              <w:rPr>
                <w:b/>
                <w:sz w:val="17"/>
              </w:rPr>
              <w:t>3,342</w:t>
            </w:r>
          </w:p>
        </w:tc>
        <w:tc>
          <w:tcPr>
            <w:tcW w:type="dxa" w:w="1440"/>
            <w:shd w:fill="FFDCE0" w:val="clear"/>
          </w:tcPr>
          <w:p>
            <w:r>
              <w:rPr>
                <w:sz w:val="17"/>
              </w:rPr>
              <w:t>3,574</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3,074</w:t>
            </w:r>
          </w:p>
        </w:tc>
        <w:tc>
          <w:tcPr>
            <w:tcW w:type="dxa" w:w="1440"/>
            <w:shd w:fill="FFDCE0" w:val="clear"/>
          </w:tcPr>
          <w:p>
            <w:r>
              <w:rPr>
                <w:b/>
                <w:sz w:val="17"/>
              </w:rPr>
              <w:t>3,322</w:t>
            </w:r>
          </w:p>
        </w:tc>
        <w:tc>
          <w:tcPr>
            <w:tcW w:type="dxa" w:w="1440"/>
            <w:shd w:fill="FFDCE0" w:val="clear"/>
          </w:tcPr>
          <w:p>
            <w:r>
              <w:rPr>
                <w:sz w:val="17"/>
              </w:rPr>
              <w:t>3,569</w:t>
            </w:r>
          </w:p>
        </w:tc>
        <w:tc>
          <w:tcPr>
            <w:tcW w:type="dxa" w:w="1440"/>
            <w:shd w:fill="FFDCE0" w:val="clear"/>
          </w:tcPr>
          <w:p>
            <w:r>
              <w:rPr>
                <w:b/>
                <w:color w:val="C00000"/>
                <w:sz w:val="17"/>
              </w:rPr>
              <w:t>-4.8%</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3,041</w:t>
            </w:r>
          </w:p>
        </w:tc>
        <w:tc>
          <w:tcPr>
            <w:tcW w:type="dxa" w:w="1440"/>
            <w:shd w:fill="FFDCE0" w:val="clear"/>
          </w:tcPr>
          <w:p>
            <w:r>
              <w:rPr>
                <w:b/>
                <w:sz w:val="17"/>
              </w:rPr>
              <w:t>3,302</w:t>
            </w:r>
          </w:p>
        </w:tc>
        <w:tc>
          <w:tcPr>
            <w:tcW w:type="dxa" w:w="1440"/>
            <w:shd w:fill="FFDCE0" w:val="clear"/>
          </w:tcPr>
          <w:p>
            <w:r>
              <w:rPr>
                <w:sz w:val="17"/>
              </w:rPr>
              <w:t>3,563</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3,009</w:t>
            </w:r>
          </w:p>
        </w:tc>
        <w:tc>
          <w:tcPr>
            <w:tcW w:type="dxa" w:w="1440"/>
            <w:shd w:fill="FFDCE0" w:val="clear"/>
          </w:tcPr>
          <w:p>
            <w:r>
              <w:rPr>
                <w:b/>
                <w:sz w:val="17"/>
              </w:rPr>
              <w:t>3,282</w:t>
            </w:r>
          </w:p>
        </w:tc>
        <w:tc>
          <w:tcPr>
            <w:tcW w:type="dxa" w:w="1440"/>
            <w:shd w:fill="FFDCE0" w:val="clear"/>
          </w:tcPr>
          <w:p>
            <w:r>
              <w:rPr>
                <w:sz w:val="17"/>
              </w:rPr>
              <w:t>3,556</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20,66 milliards FCFA, CABC se positionne comme une valeur de taille moyenne sur la BRVM, loin des poids lourds comme SONATEL ou ETIT. Le BPA de 243 FCFA/action confère au titre un PER de 14,4x, soit une prime notable par rapport à la moyenne du marché BRVM (généralement 8-12x), ce qui suggère que les investisseurs intègrent déjà une anticipation de reprise bénéficiaire. Le P/B de 2,21x indique que le marché valorise l'entreprise à plus du double de sa valeur comptable, une prime de croissance qui contraste avec la fragilité des fondamentaux récents. L'EV/EBITDA de 7,3x demeure dans la fourchette raisonnable (5-10x), traduisant une valorisation opérationnelle cohérente avec la capacité génératrice de cash-flow de l'entreprise. Globalement, ces ratios dessinent une valorisation modérée à légèrement tendue, qui nécessitera une confirmation par l'amélioration effective des résultats pour être justifiée.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-8,16%, avec une dernière séance en léger repli de -0,29%, confirmant une tendance baissière de fond. Le cours actuel de 3 490 FCFA se situe dans la moitié basse du range de trading établi entre 3 350 FCFA (plus bas) et 4 500 FCFA (plus haut), soit un écart de 1 150 FCFA qui témoigne d'une amplitude significative. La moyenne de 3 711 FCFA est supérieure à la médiane de 3 622 FCFA, et le mode se fixe à 3 500 FCFA, ce qui révèle une distribution asymétrique avec une prédominance des cours sous la moyenne — cohérent avec le skewness positif de 1,122 signalant davantage de journées de baisse que de hausse. L'écart-type de 269 FCFA (CV de 7,3%) indique une dispersion modérée autour de la moyenne, tandis que le kurtosis de 0,772 (mésokurtique) suggère une distribution proche de la normale, sans risque excessif de pics extrêmes. La volatilité annualisée de 48,0% classe ce titre dans la catégorie des valeurs très volatiles (&gt;30%), ce qui implique un risque de marché élevé et justifie une approche prudente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(3 545,25 FCFA) et la MM50 (3 670,70 FCFA) se situent toutes deux au-dessus du cours actuel (3 490 FCFA), avec la MM20 sous la MM50, configurant un croisement baissier caractéristique d'une tendance descendante. Le cours évoluant sous ses deux moyennes, la pression vendeuse domine clairement, ce qui justifie la décision technique de **Vente** émise par cet indicateur.</w:t>
      </w:r>
    </w:p>
    <w:p>
      <w:pPr>
        <w:spacing w:after="120" w:line="276" w:lineRule="auto"/>
      </w:pPr>
      <w:r>
        <w:t>**Bandes de Bollinger** : Le cours actuel (3 490 FCFA) se situe dans la partie basse de la bande, entre la borne inférieure (3 402,59 FCFA) et la borne supérieure (3 687,91 FCFA), sans franchissement de seuil extrême. Cette position médiane-basse traduit une volatilité contenue mais une orientation baissière persistante, justifiant la décision **Neutre** — le titre n'étant ni en survente technique extrême ni en zone de rebond confirmé.</w:t>
      </w:r>
    </w:p>
    <w:p>
      <w:pPr>
        <w:spacing w:after="120" w:line="276" w:lineRule="auto"/>
      </w:pPr>
      <w:r>
        <w:t>**MACD** : La valeur du MACD (-45,769) est supérieure à son signal (-52,01), générant un croisement haussier bien que les deux lignes demeurent en territoire négatif. Ce différentiel positif indique un essoufflement de la dynamique baissière et un début de retournement du momentum, justifiant la décision d'**Achat** — signal précoce mais encore fragile.</w:t>
      </w:r>
    </w:p>
    <w:p>
      <w:pPr>
        <w:spacing w:after="120" w:line="276" w:lineRule="auto"/>
      </w:pPr>
      <w:r>
        <w:t>**RSI** : À 26,786, le RSI se situe nettement en zone de survente (&lt;30), signalant que le titre a été excessivement vendu à court terme et qu'un rebond technique est statistiquement probable. Cette configuration justifie la décision d'**Achat** — les vendeurs semblent épuisés à ce niveau de prix.</w:t>
      </w:r>
    </w:p>
    <w:p>
      <w:pPr>
        <w:spacing w:after="120" w:line="276" w:lineRule="auto"/>
      </w:pPr>
      <w:r>
        <w:t>**Stochastique** : Le %K (14,286) et le %D (9,524) évoluent tous deux en zone de survente profonde (&lt;20), avec le %K au-dessus du %D, ce qui constitue un signal d'achat par croisement haussier en zone extrême. La décision d'**Achat** est cohérente avec cette configuration de retournement potentiel.</w:t>
      </w:r>
    </w:p>
    <w:p>
      <w:pPr>
        <w:spacing w:after="120" w:line="276" w:lineRule="auto"/>
      </w:pPr>
      <w:r>
        <w:t>**Conclusion technique** : Les indicateurs présentent une divergence notable — les moyennes mobiles et les bandes de Bollinger confirment la tendance baissière de fond, tandis que le MACD, le RSI et le stochastique signalent tous trois un épuisement des vendeurs et un potentiel rebond technique à court terme. Cette configuration de survente généralisée suggère qu'un rebond pourrait se matérialiser, mais la faiblesse structurelle du cours sous ses moyennes mobiles invite à la prudence : tout rebond pourrait n'être que temporaire sans confirmation fondamentale.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situation contrastée : le chiffre d'affaires s'établit à 21 263 M FCFA, en croissance de 11,18% sur un an, avec un résultat net de 1 439 M FCFA, une marge nette de 6,77% et un ROE de 15,40% — un niveau qui, pris isolément, serait considéré comme excellent (&gt;15%). Le ROA de 6,10% et la rotation des actifs de 90,06% témoignent d'une bonne efficacité dans l'utilisation des ressources. Cependant, l'analyse du secteur ENTREPRISE révèle des signaux d'alerte préoccupants : le délai client de 144,69 jours et la durée de stockage de 152,12 jours sont excessivement élevés, immobilisant massivement le capital et générant un BFR de 7 186 M FCFA. Plus critique encore, le flux opérationnel est négatif à -819,66 M FCFA et le Free Cash Flow s'établit à -982,71 M FCFA, malgré une trésorerie nette de 5 139 M FCFA et une autonomie financière saine de 39,58%. La lecture des rapports narratifs apporte un éclairage temporel essentiel : le rapport du 30 septembre 2025 (T3 2025) confirme un CA cumulé de 16 630 M FCFA (+13,7%) et un résultat net de 1 329,5 M FCFA (+26,0%), mais signale un rétrécissement des marges opérationnelles dû au poids croissant du négoce (moins margé) dans le mix produit. Plus récemment, le rapport du T1 2026 (publié en 2026) fait état d'une dégradation sévère : CA en baisse de 26,5% à 3 794 M FCFA, perte d'exploitation de 237 M FCFA et résultat net déficitaire de 222 M FCFA, attribuée à une maintenance planifiée et à l'inflation des cours des métaux (+23% en 3 mois). On estime, sur la base de ces rapports trimestriels, que l'exercice 2026 devrait être nettement plus difficile que 2025, avec un risque de retour à une perte nette annuelle si la normalisation attendue au T2 ne se matérialise pas. La recommandation fondamentale est donc prudente : la solidité du bilan (capitaux propres de 9 346 M FCFA, solvabilité de 165,52%) offre un coussin de sécurité, mais la dégradation opérationnelle récente et la volatilité des matières premières constituent des risques majeurs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fondamentale entre les signaux techniques et la réalité financière. La valorisation (Partie 0) affiche un PER de 14,4x et un P/B de 2,21x, soit une prime par rapport au marché BRVM qui ne semble pas justifiée par les fondamentaux actuels — le titre est donc légèrement surévalué. Le comportement du cours (Partie 1) est baissier (-8,16% sur 100 jours) avec une volatilité très élevée (48%) et un skewness positif indiquant une pression vendeuse persistante, des statistiques préoccupantes pour un investisseur averse au risque. Les signaux techniques (Partie 2) sont contradictoires : les moyennes mobiles confirment la tendance baissière, mais le RSI (26,79), le stochastique (14,29) et le MACD (-45,77 vs signal -52,01) signalent tous un épuisement des vendeurs et un potentiel rebond à court terme. Les fondamentaux (Partie 3) sont le point faible : malgré un ROE de 15,40% en 2025 et une croissance du CA de 11,18%, le flux opérationnel négatif (-819,66 M FCFA), le Free Cash Flow négatif (-982,71 M FCFA) et surtout la dégradation sévère du T1 2026 (perte nette de 222 M FCFA, CA -26,5%) pèsent lourdement sur les perspectives. Les prédictions IA (J+1 à J+10) anticipent une poursuite de la baisse de 3 471 FCFA à 3 384 FCFA, confirmant la tendance baissière et contredisant les signaux d'achat techniques à court terme. **Recommandation finale : VENTE** — la convergence entre une valorisation tendue, des fondamentaux en dégradation, une tendance baissière confirmée et des prédictions négatives l'emporte sur les signaux de survente technique, qui ne constituent qu'un rebond potentiel sans substance. Le niveau de confiance est **Moyen** (les signaux techniques de survente introduisent une incertitude sur le timing), le risque global est **Élevé** (volatilité de 48%, perte au T1 2026, dépendance aux matières premières), et l'horizon d'investissement recommandé est **court terme** (&lt;3 mois) pour les investisseurs cherchant à profiter d'un éventuel rebond technique, avec une sortie impérative si le cours ne dépasse pas 3 545 FCFA (MM20) dans les prochaines séances.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1084.96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1,487 titres</w:t>
            </w:r>
          </w:p>
        </w:tc>
        <w:tc>
          <w:tcPr>
            <w:tcW w:type="dxa" w:w="2268"/>
            <w:shd w:fill="FFF2CC" w:val="clear"/>
          </w:tcPr>
          <w:p>
            <w:r>
              <w:rPr>
                <w:b/>
                <w:color w:val="503200"/>
                <w:sz w:val="16"/>
              </w:rPr>
              <w:t xml:space="preserve">Cours actuel : </w:t>
            </w:r>
            <w:r>
              <w:rPr>
                <w:color w:val="000000"/>
                <w:sz w:val="17"/>
              </w:rPr>
              <w:t>33,905 FCFA</w:t>
            </w:r>
          </w:p>
          <w:p>
            <w:r>
              <w:rPr>
                <w:b/>
                <w:color w:val="503200"/>
                <w:sz w:val="16"/>
              </w:rPr>
              <w:t xml:space="preserve">Var. 100 jours : </w:t>
            </w:r>
            <w:r>
              <w:rPr>
                <w:b/>
                <w:color w:val="007800"/>
                <w:sz w:val="17"/>
              </w:rPr>
              <w:t>+101.82%</w:t>
            </w:r>
          </w:p>
          <w:p>
            <w:r>
              <w:rPr>
                <w:b/>
                <w:color w:val="503200"/>
                <w:sz w:val="16"/>
              </w:rPr>
              <w:t xml:space="preserve">Plus haut 100j : </w:t>
            </w:r>
            <w:r>
              <w:rPr>
                <w:color w:val="000000"/>
                <w:sz w:val="17"/>
              </w:rPr>
              <w:t>34,300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21.25% (Élevée) — μ=24,582 FCFA, σ=5,224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β=1.0676 (Neutre (suit le marché)) — Cov=0.000037, Var(idx)=0.000034, ρ=0.236,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2026-09-15</w:t>
            </w:r>
          </w:p>
        </w:tc>
        <w:tc>
          <w:tcPr>
            <w:tcW w:type="dxa" w:w="1440"/>
            <w:shd w:fill="FFDCE0" w:val="clear"/>
          </w:tcPr>
          <w:p>
            <w:r>
              <w:rPr>
                <w:sz w:val="17"/>
              </w:rPr>
              <w:t>30,475</w:t>
            </w:r>
          </w:p>
        </w:tc>
        <w:tc>
          <w:tcPr>
            <w:tcW w:type="dxa" w:w="1440"/>
            <w:shd w:fill="FFDCE0" w:val="clear"/>
          </w:tcPr>
          <w:p>
            <w:r>
              <w:rPr>
                <w:b/>
                <w:sz w:val="17"/>
              </w:rPr>
              <w:t>31,362</w:t>
            </w:r>
          </w:p>
        </w:tc>
        <w:tc>
          <w:tcPr>
            <w:tcW w:type="dxa" w:w="1440"/>
            <w:shd w:fill="FFDCE0" w:val="clear"/>
          </w:tcPr>
          <w:p>
            <w:r>
              <w:rPr>
                <w:sz w:val="17"/>
              </w:rPr>
              <w:t>32,249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29,052</w:t>
            </w:r>
          </w:p>
        </w:tc>
        <w:tc>
          <w:tcPr>
            <w:tcW w:type="dxa" w:w="1440"/>
            <w:shd w:fill="FFDCE0" w:val="clear"/>
          </w:tcPr>
          <w:p>
            <w:r>
              <w:rPr>
                <w:b/>
                <w:sz w:val="17"/>
              </w:rPr>
              <w:t>30,262</w:t>
            </w:r>
          </w:p>
        </w:tc>
        <w:tc>
          <w:tcPr>
            <w:tcW w:type="dxa" w:w="1440"/>
            <w:shd w:fill="FFDCE0" w:val="clear"/>
          </w:tcPr>
          <w:p>
            <w:r>
              <w:rPr>
                <w:sz w:val="17"/>
              </w:rPr>
              <w:t>31,473</w:t>
            </w:r>
          </w:p>
        </w:tc>
        <w:tc>
          <w:tcPr>
            <w:tcW w:type="dxa" w:w="1440"/>
            <w:shd w:fill="FFDCE0" w:val="clear"/>
          </w:tcPr>
          <w:p>
            <w:r>
              <w:rPr>
                <w:b/>
                <w:color w:val="C00000"/>
                <w:sz w:val="17"/>
              </w:rPr>
              <w:t>-10.7%</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28,379</w:t>
            </w:r>
          </w:p>
        </w:tc>
        <w:tc>
          <w:tcPr>
            <w:tcW w:type="dxa" w:w="1440"/>
            <w:shd w:fill="FFDCE0" w:val="clear"/>
          </w:tcPr>
          <w:p>
            <w:r>
              <w:rPr>
                <w:b/>
                <w:sz w:val="17"/>
              </w:rPr>
              <w:t>29,841</w:t>
            </w:r>
          </w:p>
        </w:tc>
        <w:tc>
          <w:tcPr>
            <w:tcW w:type="dxa" w:w="1440"/>
            <w:shd w:fill="FFDCE0" w:val="clear"/>
          </w:tcPr>
          <w:p>
            <w:r>
              <w:rPr>
                <w:sz w:val="17"/>
              </w:rPr>
              <w:t>31,303</w:t>
            </w:r>
          </w:p>
        </w:tc>
        <w:tc>
          <w:tcPr>
            <w:tcW w:type="dxa" w:w="1440"/>
            <w:shd w:fill="FFDCE0" w:val="clear"/>
          </w:tcPr>
          <w:p>
            <w:r>
              <w:rPr>
                <w:b/>
                <w:color w:val="C00000"/>
                <w:sz w:val="17"/>
              </w:rPr>
              <w:t>-12.0%</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27,884</w:t>
            </w:r>
          </w:p>
        </w:tc>
        <w:tc>
          <w:tcPr>
            <w:tcW w:type="dxa" w:w="1440"/>
            <w:shd w:fill="FFDCE0" w:val="clear"/>
          </w:tcPr>
          <w:p>
            <w:r>
              <w:rPr>
                <w:b/>
                <w:sz w:val="17"/>
              </w:rPr>
              <w:t>29,556</w:t>
            </w:r>
          </w:p>
        </w:tc>
        <w:tc>
          <w:tcPr>
            <w:tcW w:type="dxa" w:w="1440"/>
            <w:shd w:fill="FFDCE0" w:val="clear"/>
          </w:tcPr>
          <w:p>
            <w:r>
              <w:rPr>
                <w:sz w:val="17"/>
              </w:rPr>
              <w:t>31,228</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27,451</w:t>
            </w:r>
          </w:p>
        </w:tc>
        <w:tc>
          <w:tcPr>
            <w:tcW w:type="dxa" w:w="1440"/>
            <w:shd w:fill="FFDCE0" w:val="clear"/>
          </w:tcPr>
          <w:p>
            <w:r>
              <w:rPr>
                <w:b/>
                <w:sz w:val="17"/>
              </w:rPr>
              <w:t>29,304</w:t>
            </w:r>
          </w:p>
        </w:tc>
        <w:tc>
          <w:tcPr>
            <w:tcW w:type="dxa" w:w="1440"/>
            <w:shd w:fill="FFDCE0" w:val="clear"/>
          </w:tcPr>
          <w:p>
            <w:r>
              <w:rPr>
                <w:sz w:val="17"/>
              </w:rPr>
              <w:t>31,157</w:t>
            </w:r>
          </w:p>
        </w:tc>
        <w:tc>
          <w:tcPr>
            <w:tcW w:type="dxa" w:w="1440"/>
            <w:shd w:fill="FFDCE0" w:val="clear"/>
          </w:tcPr>
          <w:p>
            <w:r>
              <w:rPr>
                <w:b/>
                <w:color w:val="C00000"/>
                <w:sz w:val="17"/>
              </w:rPr>
              <w:t>-13.6%</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27,078</w:t>
            </w:r>
          </w:p>
        </w:tc>
        <w:tc>
          <w:tcPr>
            <w:tcW w:type="dxa" w:w="1440"/>
            <w:shd w:fill="FFDCE0" w:val="clear"/>
          </w:tcPr>
          <w:p>
            <w:r>
              <w:rPr>
                <w:b/>
                <w:sz w:val="17"/>
              </w:rPr>
              <w:t>29,093</w:t>
            </w:r>
          </w:p>
        </w:tc>
        <w:tc>
          <w:tcPr>
            <w:tcW w:type="dxa" w:w="1440"/>
            <w:shd w:fill="FFDCE0" w:val="clear"/>
          </w:tcPr>
          <w:p>
            <w:r>
              <w:rPr>
                <w:sz w:val="17"/>
              </w:rPr>
              <w:t>31,109</w:t>
            </w:r>
          </w:p>
        </w:tc>
        <w:tc>
          <w:tcPr>
            <w:tcW w:type="dxa" w:w="1440"/>
            <w:shd w:fill="FFDCE0" w:val="clear"/>
          </w:tcPr>
          <w:p>
            <w:r>
              <w:rPr>
                <w:b/>
                <w:color w:val="C00000"/>
                <w:sz w:val="17"/>
              </w:rPr>
              <w:t>-14.2%</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26,754</w:t>
            </w:r>
          </w:p>
        </w:tc>
        <w:tc>
          <w:tcPr>
            <w:tcW w:type="dxa" w:w="1440"/>
            <w:shd w:fill="FFDCE0" w:val="clear"/>
          </w:tcPr>
          <w:p>
            <w:r>
              <w:rPr>
                <w:b/>
                <w:sz w:val="17"/>
              </w:rPr>
              <w:t>28,918</w:t>
            </w:r>
          </w:p>
        </w:tc>
        <w:tc>
          <w:tcPr>
            <w:tcW w:type="dxa" w:w="1440"/>
            <w:shd w:fill="FFDCE0" w:val="clear"/>
          </w:tcPr>
          <w:p>
            <w:r>
              <w:rPr>
                <w:sz w:val="17"/>
              </w:rPr>
              <w:t>31,082</w:t>
            </w:r>
          </w:p>
        </w:tc>
        <w:tc>
          <w:tcPr>
            <w:tcW w:type="dxa" w:w="1440"/>
            <w:shd w:fill="FFDCE0" w:val="clear"/>
          </w:tcPr>
          <w:p>
            <w:r>
              <w:rPr>
                <w:b/>
                <w:color w:val="C00000"/>
                <w:sz w:val="17"/>
              </w:rPr>
              <w:t>-14.7%</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26,466</w:t>
            </w:r>
          </w:p>
        </w:tc>
        <w:tc>
          <w:tcPr>
            <w:tcW w:type="dxa" w:w="1440"/>
            <w:shd w:fill="FFDCE0" w:val="clear"/>
          </w:tcPr>
          <w:p>
            <w:r>
              <w:rPr>
                <w:b/>
                <w:sz w:val="17"/>
              </w:rPr>
              <w:t>28,767</w:t>
            </w:r>
          </w:p>
        </w:tc>
        <w:tc>
          <w:tcPr>
            <w:tcW w:type="dxa" w:w="1440"/>
            <w:shd w:fill="FFDCE0" w:val="clear"/>
          </w:tcPr>
          <w:p>
            <w:r>
              <w:rPr>
                <w:sz w:val="17"/>
              </w:rPr>
              <w:t>31,068</w:t>
            </w:r>
          </w:p>
        </w:tc>
        <w:tc>
          <w:tcPr>
            <w:tcW w:type="dxa" w:w="1440"/>
            <w:shd w:fill="FFDCE0" w:val="clear"/>
          </w:tcPr>
          <w:p>
            <w:r>
              <w:rPr>
                <w:b/>
                <w:color w:val="C00000"/>
                <w:sz w:val="17"/>
              </w:rPr>
              <w:t>-15.2%</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26,206</w:t>
            </w:r>
          </w:p>
        </w:tc>
        <w:tc>
          <w:tcPr>
            <w:tcW w:type="dxa" w:w="1440"/>
            <w:shd w:fill="FFDCE0" w:val="clear"/>
          </w:tcPr>
          <w:p>
            <w:r>
              <w:rPr>
                <w:b/>
                <w:sz w:val="17"/>
              </w:rPr>
              <w:t>28,635</w:t>
            </w:r>
          </w:p>
        </w:tc>
        <w:tc>
          <w:tcPr>
            <w:tcW w:type="dxa" w:w="1440"/>
            <w:shd w:fill="FFDCE0" w:val="clear"/>
          </w:tcPr>
          <w:p>
            <w:r>
              <w:rPr>
                <w:sz w:val="17"/>
              </w:rPr>
              <w:t>31,065</w:t>
            </w:r>
          </w:p>
        </w:tc>
        <w:tc>
          <w:tcPr>
            <w:tcW w:type="dxa" w:w="1440"/>
            <w:shd w:fill="FFDCE0" w:val="clear"/>
          </w:tcPr>
          <w:p>
            <w:r>
              <w:rPr>
                <w:b/>
                <w:color w:val="C00000"/>
                <w:sz w:val="17"/>
              </w:rPr>
              <w:t>-15.5%</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25,968</w:t>
            </w:r>
          </w:p>
        </w:tc>
        <w:tc>
          <w:tcPr>
            <w:tcW w:type="dxa" w:w="1440"/>
            <w:shd w:fill="FFDCE0" w:val="clear"/>
          </w:tcPr>
          <w:p>
            <w:r>
              <w:rPr>
                <w:b/>
                <w:sz w:val="17"/>
              </w:rPr>
              <w:t>28,519</w:t>
            </w:r>
          </w:p>
        </w:tc>
        <w:tc>
          <w:tcPr>
            <w:tcW w:type="dxa" w:w="1440"/>
            <w:shd w:fill="FFDCE0" w:val="clear"/>
          </w:tcPr>
          <w:p>
            <w:r>
              <w:rPr>
                <w:sz w:val="17"/>
              </w:rPr>
              <w:t>31,069</w:t>
            </w:r>
          </w:p>
        </w:tc>
        <w:tc>
          <w:tcPr>
            <w:tcW w:type="dxa" w:w="1440"/>
            <w:shd w:fill="FFDCE0" w:val="clear"/>
          </w:tcPr>
          <w:p>
            <w:r>
              <w:rPr>
                <w:b/>
                <w:color w:val="C00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1 084,96 milliards FCFA, CBIBF s'impose comme l'une des plus importantes capitalisations de la BRVM, ce qui témoigne de sa stature de valeur de premier plan dans l'indice régional. Le BPA de 2 047 FCFA/action signifie que chaque titre génère près de 2 047 FCFA de bénéfice net, un niveau de rentabilité par action remarquable pour le marché ouest-africain. Le PER de 16,6x traduit une valorisation modérée mais supérieure à la moyenne BRVM (8-12x), les investisseurs acceptant de payer une prime pour la qualité de la croissance et la solidité du modèle bancaire. L'EV/EBITDA de 12,3x, situé dans la fourchette haute (10-15x), confirme cette prime de qualité, la valeur d'entreprise intégrant la capacité opérationnelle robuste de la banque. Le ratio P/B n'étant pas fourni dans les données, il n'est pas commenté ici, mais la capitalisation rapportée aux fonds propres estimés suggère une valorisation cohérente avec les standards bancaires régionaux.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+101,82%, passant d'un plus bas de 15 600 FCFA à un plus haut de 34 300 FCFA, avant de clôturer à 33 905 FCFA, soit un repli marginal de -1,15% sur la dernière séance. Ce range de trading exceptionnel de plus du doublement du cours traduit une tendance nettement haussière, portée par la révision à la hausse des anticipations bénéficiaires et l'amélioration des fondamentaux. Les statistiques descriptives révèlent une moyenne de 24 582 FCFA supérieure à la médiane de 24 000 FCFA, indiquant une légère asymétrie positive due aux récents pics, tandis que le mode à 22 000 FCFA suggère que le cours a longtemps stagné autour de ce niveau avant son envolée. L'écart-type de 5 250 FCFA (CV=21,4%) traduit une dispersion modérée du cours autour de sa moyenne, cohérente avec une tendance directionnelle forte. Le kurtosis de -1,059 (platykurtique) indique une distribution aplatie avec un risque de pics extrêmes limité, tandis que le skewness de -0,053 confirme une distribution quasi-symétrique, sans biais marqué vers les rendements négatifs. La volatilité annualisée de 42,1% classe le titre parmi les valeurs à volatilité élevée (&gt;30%), ce qui implique un risque de marché significatif mais aussi un potentiel de rendement attractif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(31 130,75 FCFA) et la MM50 (29 181,5 FCFA) sont toutes deux nettement inférieures au cours actuel (33 905 FCFA), avec une MM20 au-dessus de la MM50, configurant un croisement haussier classique. Cette configuration en « golden cross » confirme la dynamique positive et justifie la décision d'achat, le cours évoluant au-dessus de ses deux moyennes de référence.</w:t>
      </w:r>
    </w:p>
    <w:p>
      <w:pPr>
        <w:spacing w:after="120" w:line="276" w:lineRule="auto"/>
      </w:pPr>
      <w:r>
        <w:t>**Bandes de Bollinger** : Le cours (33 905 FCFA) se situe dans la partie haute de la bande, proche de la borne supérieure (35 525,84 FCFA) et très éloigné de la borne inférieure (26 735,66 FCFA). Cette position reflète une forte volatilité récente et une pression acheteuse soutenue, mais la décision neutre suggère que le titre approche d'une zone de résistance potentielle où la prudence est de mise.</w:t>
      </w:r>
    </w:p>
    <w:p>
      <w:pPr>
        <w:spacing w:after="120" w:line="276" w:lineRule="auto"/>
      </w:pPr>
      <w:r>
        <w:t>**MACD** : La valeur du MACD (1 587,969) est supérieure à son signal (1 367,463), avec un histogramme positif, confirmant un momentum haussier intact. La divergence positive entre les deux lignes justifie la décision d'achat, bien que l'écart relativement modéré invite à surveiller un éventuel essoufflement.</w:t>
      </w:r>
    </w:p>
    <w:p>
      <w:pPr>
        <w:spacing w:after="120" w:line="276" w:lineRule="auto"/>
      </w:pPr>
      <w:r>
        <w:t>**RSI** : À 87,187, le RSI se situe très largement au-dessus du seuil de surachat (70), signalant une pression acheteuse excessive et un risque de correction imminente. Cette lecture justifie pleinement la décision de vente technique, le titre étant statistiquement vulnérable à un repli à court terme.</w:t>
      </w:r>
    </w:p>
    <w:p>
      <w:pPr>
        <w:spacing w:after="120" w:line="276" w:lineRule="auto"/>
      </w:pPr>
      <w:r>
        <w:t>**Stochastique** : Le %K (91,955) et le %D (97,318) évoluent tous deux en zone de surachat extrême, avec un %K légèrement inférieur au %D, suggérant un début de croisement baissier potentiel. Cette configuration confirme la décision de vente, les deux lignes étant proches de leur sommet et orientées à la baisse.</w:t>
      </w:r>
    </w:p>
    <w:p>
      <w:pPr>
        <w:spacing w:after="120" w:line="276" w:lineRule="auto"/>
      </w:pPr>
      <w:r>
        <w:t>**Conclusion technique** : Les indicateurs de tendance (MM, MACD) restent haussiers et confirment la dynamique positive de fond, mais les oscillateurs (RSI, Stochastique) affichent des niveaux de surachat extrême qui plaident pour une consolidation ou une correction à court terme. Cette divergence classique entre tendance et momentum suggère un scénario de prise de bénéfices imminent, sans remise en cause de la tendance de fond tant que le cours se maintient au-dessus de la MM20 (31 130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Coris Bank International a réalisé un Produit Net Bancaire (PNB) de 138,986 milliards FCFA, en croissance de 6,1% par rapport à 2024, porté par l'amélioration des marges d'intérêts et des commissions. Le résultat net s'établit à 65,495 milliards FCFA, en progression spectaculaire de 36,6% sur un an, après une année 2024 marquée par un assainissement du portefeuille de crédits (baisse de -25,4% du résultat net à 47,9 milliards FCFA). Cette reprise vigoureuse traduit l'efficacité du modèle bancaire : le coefficient d'exploitation de 36,39% (largement inférieur au seuil de 60% et même au seuil d'excellence de 50%) démontre une maîtrise remarquable des charges, tandis que la marge nette de 47,12% et la marge opérationnelle de 51,77% confirment la rentabilité élevée de l'activité. Le ROA de 2,18% et la rotation des actifs de 4,64% reflètent une utilisation efficace du bilan de 2 997,8 milliards FCFA. La structure financière est solide avec des dépôts clientèle de 2 015,3 milliards FCFA (+14,9%) et des créances clientèle de 1 326,98 milliards FCFA (+5,4%), soit un ratio de transformation (crédits/dépôts) de 65,8%, indiquant une marge de manœuvre pour accroître les crédits. Le coût du risque, bien qu'élevé en valeur absolue (16,5 milliards FCFA), s'est amélioré de 59,3% par rapport à 2024, traduisant une meilleure qualité du portefeuille. Les rapports trimestriels confirment cette dynamique : au T3 2025 (publié le 30/09/2025), le PNB atteignait 101,3 milliards FCFA (+9,65%) et le résultat net 52,9 milliards FCFA (+6,25%), tandis qu'au T1 2026 (rapport publié en 2026), le PNB bondissait de +28,5% à 36,8 milliards FCFA et le résultat net de +22,2% à 21,5 milliards FCFA, avec des dépôts en hausse de +37,9% à 2 365,1 milliards FCFA. Sur la base de ces tendances, on estime que l'exercice 2026 devrait afficher un PNB supérieur à 160 milliards FCFA et un résultat net dépassant 75 milliards FCFA, confirmant la solidité et la trajectoire de croissance durable de la banque, malgré les risques liés à l'environnement sécuritaire et géopolitique régional.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16,6x, EV/EBITDA 12,3x) indique une prime de qualité par rapport à la moyenne BRVM, justifiée par la solidité des fondamentaux mais limitant le potentiel de réévaluation à court terme. Le comportement du cours sur 100 jours (+101,82%) révèle une tendance haussière exceptionnelle, avec une volatilité élevée (42,1%) et une distribution symétrique (skewness -0,053) sans risque de pics extrêmes marqué (kurtosis -1,059), ce qui est rassurant pour la gestion du risque. Les signaux techniques sont divergents : les indicateurs de tendance (MM20 &gt; MM50, MACD haussier) confirment la dynamique positive, mais les oscillateurs (RSI à 87,2, Stochastique à 91,9/97,3) affichent un surachat extrême qui plaide pour une correction à court terme. Les fondamentaux sont excellents : résultat net 2025 de 65,5 milliards FCFA (+36,6%), coefficient d'exploitation de 36,4%, ROA de 2,18%, et les rapports T1 2026 (PNB +28,5%, résultat net +22,2%) confirment l'accélération de la croissance. Les prédictions IA anticipent une correction à 31 362 FCFA (J+1) puis 29 304 FCFA (J+5), soit un repli de -13,6% sur 10 jours, ce qui contredit la tendance haussière de fond mais valide le signal de surachat technique. **Recommandation finale : CONSERVER** — la convergence entre fondamentaux solides et prédictions de correction à court terme suggère d'attendre un repli vers la MM20 (31 130 FCFA) ou la borne inférieure des Bollinger (26 735 FCFA) pour renforcer une position, tandis que les détenteurs actuels peuvent conserver le titre pour son potentiel de long terme. Le niveau de confiance est **Moyen** (divergence technique/fondamental) et le risque global est **Élevé** (volatilité 42,1%, surachat extrême, environnement régional incertain). L'horizon d'investissement optimal est le **moyen terme (3-12 mois)**, le temps que la correction technique s'achève et que la croissance bénéficiaire se matérialise dans les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312.87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3,671 titres</w:t>
            </w:r>
          </w:p>
        </w:tc>
        <w:tc>
          <w:tcPr>
            <w:tcW w:type="dxa" w:w="2268"/>
            <w:shd w:fill="FFF2CC" w:val="clear"/>
          </w:tcPr>
          <w:p>
            <w:r>
              <w:rPr>
                <w:b/>
                <w:color w:val="503200"/>
                <w:sz w:val="16"/>
              </w:rPr>
              <w:t xml:space="preserve">Cours actuel : </w:t>
            </w:r>
            <w:r>
              <w:rPr>
                <w:color w:val="000000"/>
                <w:sz w:val="17"/>
              </w:rPr>
              <w:t>1,725 FCFA</w:t>
            </w:r>
          </w:p>
          <w:p>
            <w:r>
              <w:rPr>
                <w:b/>
                <w:color w:val="503200"/>
                <w:sz w:val="16"/>
              </w:rPr>
              <w:t xml:space="preserve">Var. 100 jours : </w:t>
            </w:r>
            <w:r>
              <w:rPr>
                <w:b/>
                <w:color w:val="007800"/>
                <w:sz w:val="17"/>
              </w:rPr>
              <w:t>+11.29%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μ=1,621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β=1.0778 (Neutre (suit le marché)) — Cov=0.000037, Var(idx)=0.000034, ρ=0.211,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σ_j=3.00%/j (Modérée) — Vol. annualisée≈47.6%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1,662</w:t>
            </w:r>
          </w:p>
        </w:tc>
        <w:tc>
          <w:tcPr>
            <w:tcW w:type="dxa" w:w="1440"/>
            <w:shd w:fill="FAFAFA" w:val="clear"/>
          </w:tcPr>
          <w:p>
            <w:r>
              <w:rPr>
                <w:b/>
                <w:sz w:val="17"/>
              </w:rPr>
              <w:t>1,718</w:t>
            </w:r>
          </w:p>
        </w:tc>
        <w:tc>
          <w:tcPr>
            <w:tcW w:type="dxa" w:w="1440"/>
            <w:shd w:fill="FAFAFA" w:val="clear"/>
          </w:tcPr>
          <w:p>
            <w:r>
              <w:rPr>
                <w:sz w:val="17"/>
              </w:rPr>
              <w:t>1,775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1,642</w:t>
            </w:r>
          </w:p>
        </w:tc>
        <w:tc>
          <w:tcPr>
            <w:tcW w:type="dxa" w:w="1440"/>
            <w:shd w:fill="FAFAFA" w:val="clear"/>
          </w:tcPr>
          <w:p>
            <w:r>
              <w:rPr>
                <w:b/>
                <w:sz w:val="17"/>
              </w:rPr>
              <w:t>1,722</w:t>
            </w:r>
          </w:p>
        </w:tc>
        <w:tc>
          <w:tcPr>
            <w:tcW w:type="dxa" w:w="1440"/>
            <w:shd w:fill="FAFAFA" w:val="clear"/>
          </w:tcPr>
          <w:p>
            <w:r>
              <w:rPr>
                <w:sz w:val="17"/>
              </w:rPr>
              <w:t>1,802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1,627</w:t>
            </w:r>
          </w:p>
        </w:tc>
        <w:tc>
          <w:tcPr>
            <w:tcW w:type="dxa" w:w="1440"/>
            <w:shd w:fill="FAFAFA" w:val="clear"/>
          </w:tcPr>
          <w:p>
            <w:r>
              <w:rPr>
                <w:b/>
                <w:sz w:val="17"/>
              </w:rPr>
              <w:t>1,725</w:t>
            </w:r>
          </w:p>
        </w:tc>
        <w:tc>
          <w:tcPr>
            <w:tcW w:type="dxa" w:w="1440"/>
            <w:shd w:fill="FAFAFA" w:val="clear"/>
          </w:tcPr>
          <w:p>
            <w:r>
              <w:rPr>
                <w:sz w:val="17"/>
              </w:rPr>
              <w:t>1,823</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1,614</w:t>
            </w:r>
          </w:p>
        </w:tc>
        <w:tc>
          <w:tcPr>
            <w:tcW w:type="dxa" w:w="1440"/>
            <w:shd w:fill="FAFAFA" w:val="clear"/>
          </w:tcPr>
          <w:p>
            <w:r>
              <w:rPr>
                <w:b/>
                <w:sz w:val="17"/>
              </w:rPr>
              <w:t>1,728</w:t>
            </w:r>
          </w:p>
        </w:tc>
        <w:tc>
          <w:tcPr>
            <w:tcW w:type="dxa" w:w="1440"/>
            <w:shd w:fill="FAFAFA" w:val="clear"/>
          </w:tcPr>
          <w:p>
            <w:r>
              <w:rPr>
                <w:sz w:val="17"/>
              </w:rPr>
              <w:t>1,841</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1,603</w:t>
            </w:r>
          </w:p>
        </w:tc>
        <w:tc>
          <w:tcPr>
            <w:tcW w:type="dxa" w:w="1440"/>
            <w:shd w:fill="FAFAFA" w:val="clear"/>
          </w:tcPr>
          <w:p>
            <w:r>
              <w:rPr>
                <w:b/>
                <w:sz w:val="17"/>
              </w:rPr>
              <w:t>1,730</w:t>
            </w:r>
          </w:p>
        </w:tc>
        <w:tc>
          <w:tcPr>
            <w:tcW w:type="dxa" w:w="1440"/>
            <w:shd w:fill="FAFAFA" w:val="clear"/>
          </w:tcPr>
          <w:p>
            <w:r>
              <w:rPr>
                <w:sz w:val="17"/>
              </w:rPr>
              <w:t>1,857</w:t>
            </w:r>
          </w:p>
        </w:tc>
        <w:tc>
          <w:tcPr>
            <w:tcW w:type="dxa" w:w="1440"/>
            <w:shd w:fill="FAFAFA" w:val="clear"/>
          </w:tcPr>
          <w:p>
            <w:r>
              <w:rPr>
                <w:b/>
                <w:color w:val="008000"/>
                <w:sz w:val="17"/>
              </w:rPr>
              <w:t>+0.3%</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1,593</w:t>
            </w:r>
          </w:p>
        </w:tc>
        <w:tc>
          <w:tcPr>
            <w:tcW w:type="dxa" w:w="1440"/>
            <w:shd w:fill="FAFAFA" w:val="clear"/>
          </w:tcPr>
          <w:p>
            <w:r>
              <w:rPr>
                <w:b/>
                <w:sz w:val="17"/>
              </w:rPr>
              <w:t>1,732</w:t>
            </w:r>
          </w:p>
        </w:tc>
        <w:tc>
          <w:tcPr>
            <w:tcW w:type="dxa" w:w="1440"/>
            <w:shd w:fill="FAFAFA" w:val="clear"/>
          </w:tcPr>
          <w:p>
            <w:r>
              <w:rPr>
                <w:sz w:val="17"/>
              </w:rPr>
              <w:t>1,872</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1,584</w:t>
            </w:r>
          </w:p>
        </w:tc>
        <w:tc>
          <w:tcPr>
            <w:tcW w:type="dxa" w:w="1440"/>
            <w:shd w:fill="FAFAFA" w:val="clear"/>
          </w:tcPr>
          <w:p>
            <w:r>
              <w:rPr>
                <w:b/>
                <w:sz w:val="17"/>
              </w:rPr>
              <w:t>1,735</w:t>
            </w:r>
          </w:p>
        </w:tc>
        <w:tc>
          <w:tcPr>
            <w:tcW w:type="dxa" w:w="1440"/>
            <w:shd w:fill="FAFAFA" w:val="clear"/>
          </w:tcPr>
          <w:p>
            <w:r>
              <w:rPr>
                <w:sz w:val="17"/>
              </w:rPr>
              <w:t>1,886</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1,576</w:t>
            </w:r>
          </w:p>
        </w:tc>
        <w:tc>
          <w:tcPr>
            <w:tcW w:type="dxa" w:w="1440"/>
            <w:shd w:fill="FAFAFA" w:val="clear"/>
          </w:tcPr>
          <w:p>
            <w:r>
              <w:rPr>
                <w:b/>
                <w:sz w:val="17"/>
              </w:rPr>
              <w:t>1,737</w:t>
            </w:r>
          </w:p>
        </w:tc>
        <w:tc>
          <w:tcPr>
            <w:tcW w:type="dxa" w:w="1440"/>
            <w:shd w:fill="FAFAFA" w:val="clear"/>
          </w:tcPr>
          <w:p>
            <w:r>
              <w:rPr>
                <w:sz w:val="17"/>
              </w:rPr>
              <w:t>1,899</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2026-09-25</w:t>
            </w:r>
          </w:p>
        </w:tc>
        <w:tc>
          <w:tcPr>
            <w:tcW w:type="dxa" w:w="1440"/>
            <w:shd w:fill="FAFAFA" w:val="clear"/>
          </w:tcPr>
          <w:p>
            <w:r>
              <w:rPr>
                <w:sz w:val="17"/>
              </w:rPr>
              <w:t>1,568</w:t>
            </w:r>
          </w:p>
        </w:tc>
        <w:tc>
          <w:tcPr>
            <w:tcW w:type="dxa" w:w="1440"/>
            <w:shd w:fill="FAFAFA" w:val="clear"/>
          </w:tcPr>
          <w:p>
            <w:r>
              <w:rPr>
                <w:b/>
                <w:sz w:val="17"/>
              </w:rPr>
              <w:t>1,740</w:t>
            </w:r>
          </w:p>
        </w:tc>
        <w:tc>
          <w:tcPr>
            <w:tcW w:type="dxa" w:w="1440"/>
            <w:shd w:fill="FAFAFA" w:val="clear"/>
          </w:tcPr>
          <w:p>
            <w:r>
              <w:rPr>
                <w:sz w:val="17"/>
              </w:rPr>
              <w:t>1,911</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2026-09-28</w:t>
            </w:r>
          </w:p>
        </w:tc>
        <w:tc>
          <w:tcPr>
            <w:tcW w:type="dxa" w:w="1440"/>
            <w:shd w:fill="FAFAFA" w:val="clear"/>
          </w:tcPr>
          <w:p>
            <w:r>
              <w:rPr>
                <w:sz w:val="17"/>
              </w:rPr>
              <w:t>1,561</w:t>
            </w:r>
          </w:p>
        </w:tc>
        <w:tc>
          <w:tcPr>
            <w:tcW w:type="dxa" w:w="1440"/>
            <w:shd w:fill="FAFAFA" w:val="clear"/>
          </w:tcPr>
          <w:p>
            <w:r>
              <w:rPr>
                <w:b/>
                <w:sz w:val="17"/>
              </w:rPr>
              <w:t>1,742</w:t>
            </w:r>
          </w:p>
        </w:tc>
        <w:tc>
          <w:tcPr>
            <w:tcW w:type="dxa" w:w="1440"/>
            <w:shd w:fill="FAFAFA" w:val="clear"/>
          </w:tcPr>
          <w:p>
            <w:r>
              <w:rPr>
                <w:sz w:val="17"/>
              </w:rPr>
              <w:t>1,923</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*BRVM — Secteur Automobile &amp; Distribution*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312,87 milliards FCFA, CFAC figure parmi les valeurs les plus capitalisées de la BRVM, ce qui témoigne de son statut de leader incontesté du marché automobile ivoirien. Le BPA s'établit à 26 FCFA par action, un niveau modeste qui traduit une rentabilité nette diluée par action relativement faible au regard du cours. Le PER de 66,7x constitue un signal d'alerte majeur : les investisseurs paient environ 67 fois les bénéfices annuels, soit un multiple très supérieur à la moyenne BRVM (8-12x), ce qui intègre déjà une forte anticipation de croissance future. Le P/B de 16,08x confirme cette prime exigeante, le marché valorisant la société à plus de 16 fois sa valeur comptable, bien au-delà du seuil de 4x généralement considéré comme élevé. Enfin, l'EV/EBITDA de 33,9x (contre un seuil de référence de 15x) indique que la valeur d'entreprise intègre une capacité opérationnelle déjà largement anticipée,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+11,29%, avec une dernière séance en hausse de +1,17%, confirmant une dynamique haussière de fond. Le cours actuel de 1 725 FCFA se situe dans la partie haute du range de trading établi entre 1 325 FCFA (plus bas) et 1 825 FCFA (plus haut), soit une amplitude de 500 FCFA qui traduit une réelle volatilité intra-période. La tendance générale est donc haussière, portée par le redressement spectaculaire des résultats trimestriels 2025. Les statistiques descriptives révèlent une moyenne de 1 621 FCFA légèrement supérieure à la médiane de 1 615 FCFA, avec un mode à 1 600 FCFA : l'écart faible entre ces trois mesures suggère une distribution relativement équilibrée, bien que le skewness négatif (-0,516) indique davantage de journées de cotation au-dessus de la moyenne, signe d'une pression acheteuse persistante. L'écart-type de 109 FCFA (CV=6,7%) traduit une dispersion modérée du cours, tandis que le kurtosis de -0,329 (mésokurtique) indique une distribution proche de la normale, sans risque excessif de pics extrêmes. La volatilité annualisée de 47,6% classe le titre dans la catégorie des valeurs à volatilité élevée (&gt;30%), ce qui implique un risque de marché significatif et justifie une approche prudente en matière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(1 713,5 FCFA) et la MM50 (1 674,7 FCFA) se situent toutes deux sous le cours actuel (1 725 FCFA), avec la MM20 au-dessus de la MM50 — configuration haussière classique (golden cross). Le cours évoluant au-dessus de ses deux moyennes, la décision technique est à l'**Achat**, confirmant la tendance positive de moyen terme.</w:t>
      </w:r>
    </w:p>
    <w:p>
      <w:pPr>
        <w:spacing w:after="120" w:line="276" w:lineRule="auto"/>
      </w:pPr>
      <w:r>
        <w:t>**Bandes de Bollinger** : Le cours (1 725 FCFA) évolue dans la partie supérieure de la bande, entre la borne inférieure (1 624,17 FCFA) et la borne supérieure (1 802,83 FCFA), sans la franchir. Cette position médiane-haute traduit une volatilité contenue et une absence de signal extrême, justifiant la décision **Neutre** : le titre n'est ni en surachat technique, ni en survente.</w:t>
      </w:r>
    </w:p>
    <w:p>
      <w:pPr>
        <w:spacing w:after="120" w:line="276" w:lineRule="auto"/>
      </w:pPr>
      <w:r>
        <w:t>**MACD** : La valeur du MACD (11,057) est inférieure à son signal (15,383), générant un croisement baissier et une décision de **Vente**. Ce divergence négative indique un essoufflement du momentum haussier à court terme, bien que les deux lignes restent en territoire positif, ce qui nuance la portée du signal.</w:t>
      </w:r>
    </w:p>
    <w:p>
      <w:pPr>
        <w:spacing w:after="120" w:line="276" w:lineRule="auto"/>
      </w:pPr>
      <w:r>
        <w:t>**RSI** : À 42,308, le RSI se situe dans la zone neutre (30-70), sans approcher les seuils de surachat (70) ou de survente (30). La décision est **Neutre** : le titre dispose d'un potentiel de hausse résiduel sans être techniquement surétendu.</w:t>
      </w:r>
    </w:p>
    <w:p>
      <w:pPr>
        <w:spacing w:after="120" w:line="276" w:lineRule="auto"/>
      </w:pPr>
      <w:r>
        <w:t>**Stochastique** : Le %K (60,0) est supérieur au %D (35,686), configuration haussière indiquant une pression acheteuse récente. Toutefois, la décision reste **Neutre** car le %K n'a pas encore franchi le seuil de 80 (surachat), laissant place à une poursuite modérée de la hausse.</w:t>
      </w:r>
    </w:p>
    <w:p>
      <w:pPr>
        <w:spacing w:after="120" w:line="276" w:lineRule="auto"/>
      </w:pPr>
      <w:r>
        <w:t>**Conclusion technique** : Les indicateurs sont partagés — les moyennes mobiles et le stochastique plaident pour une poursuite de la hausse, tandis que le MACD signale un essoufflement et que le RSI/Bollinger restent neutres. La convergence haussière des MM couplée à un RSI non suracheté suggère que le titre conserve un potentiel, mais la divergence baissière du MACD appelle à la prudence à court terme. Le signal global est **modérément haussier avec vigilance**.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recul de -12,13% par rapport à 2023, et un résultat net de 4,693 milliards FCFA, en baisse de -26,7%. Le ROE ressort à 24,13% (excellent, &gt;15%) et le ROA à 5,52%, témoignant d'une rentabilité des fonds propres solide malgré la contraction. La marge nette de 2,96% et la marge opérationnelle de 4,96% traduisent une pression sur les marges, tandis que le BFR négatif (-3,482 milliards FCFA) constitue un point favorable. Les délais clients (36,64 jours) et fournisseurs (81,75 jours) sont maîtrisés, mais la durée de stockage élevée (88,35 jours) immobilise du capital. L'autonomie financière de 22,88% (&lt;30%) et la liquidité générale de 93,63% (&lt;1) signalent une structure financière perfectible, bien que la solvabilité générale (129,67%) reste satisfaisante. Les rapports trimestriels 2025 (T1, S1, T3) documentent un redressement spectaculaire : au T1 2025 (rapport du 31/03/2025), le CA progresse de +14,5% à 46,161 milliards FCFA et le résultat net bondit de +279,7% à 3,836 milliards FCFA (marge nette 8,3%) ; au S1 2025 (rapport du 30/06/2025), le CA atteint 91,182 milliards FCFA (+18,4%) et le résultat net 5,420 milliards FCFA (+152,7%, marge nette 5,9%) ; au T3 2025 (rapport du 30/09/2025), le CA trimestriel s'élève à 43,580 milliards FCFA (+18,3%) et le résultat net à 1,489 milliard FCFA (+38,1%, marge nette 3,42%). Sur la base de ces rapports trimestriels, on estime que l'exercice 2025 devrait afficher un CA annualisé d'environ 180-185 milliards FCFA (vs 158,3 en 2024) et un résultat net de l'ordre de 7-8 milliards FCFA, soit une progression de +50 à +70% par rapport à 2024. La recommandation fondamentale est **positive** : la solidité du leadership (part de marché 41,7%), le redressement des marges et la croissance des volumes compensent les risques liés à la cyclicité du marché et à la pression concurrentielle.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**exigeante** : PER de 66,7x, P/B de 16,08x et EV/EBITDA de 33,9x intègrent déjà une forte croissance, ce qui limite le potentiel de réévaluation mais se justifie partiellement par le redressement 2025. Le comportement du cours (Partie 1) est **favorable** : tendance haussière (+11,29%), skewness négatif indiquant une pression acheteuse, volatilité élevée (47,6%) à surveiller. Les signaux techniques (Partie 2) sont **mitigés** : MM haussières et stochastique positif, mais MACD baissier et RSI neutre, plaidant pour une consolidation avant reprise. Les fondamentaux (Partie 3) sont **solides** : ROE de 24,13%, BFR négatif, et surtout un redressement spectaculaire des résultats trimestriels 2025 (+279,7% au T1, +152,7% au S1, +38,1% au T3) qui devrait se traduire par un exercice 2025 nettement supérieur à 2024. Les prédictions IA (J+1 à J+10) anticipent une trajectoire légèrement haussière (1 718 → 1 730 FCFA), confirmant la tendance de fond sans emballement. **Recommandation finale : CONSERVER** — la convergence entre fondamentaux en amélioration et technique modérément haussière soutient le titre, mais la valorisation très exigeante (PER 66,7x) et le signal baissier du MACD incitent à la prudence. **Niveau de confiance : Moyen** (les fondamentaux sont solides mais la valorisation limite le potentiel). **Niveau de risque : Élevé** (volatilité 47,6%, PER extrême, cyclicité du secteur automobile). **Horizon optimal : Moyen terme (3-12 mois)**, le temps que la croissance bénéficiaire 2025 se matérialise et justifie les multiples actuels.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390.88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6,672 titres</w:t>
            </w:r>
          </w:p>
        </w:tc>
        <w:tc>
          <w:tcPr>
            <w:tcW w:type="dxa" w:w="2268"/>
            <w:shd w:fill="FFF2CC" w:val="clear"/>
          </w:tcPr>
          <w:p>
            <w:r>
              <w:rPr>
                <w:b/>
                <w:color w:val="503200"/>
                <w:sz w:val="16"/>
              </w:rPr>
              <w:t xml:space="preserve">Cours actuel : </w:t>
            </w:r>
            <w:r>
              <w:rPr>
                <w:color w:val="000000"/>
                <w:sz w:val="17"/>
              </w:rPr>
              <w:t>6,980 FCFA</w:t>
            </w:r>
          </w:p>
          <w:p>
            <w:r>
              <w:rPr>
                <w:b/>
                <w:color w:val="503200"/>
                <w:sz w:val="16"/>
              </w:rPr>
              <w:t xml:space="preserve">Var. 100 jours : </w:t>
            </w:r>
            <w:r>
              <w:rPr>
                <w:b/>
                <w:color w:val="007800"/>
                <w:sz w:val="17"/>
              </w:rPr>
              <w:t>+128.85%</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24.13% (Élevée) — μ=5,012 FCFA, σ=1,209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β=0.8597 (Neutre (suit le marché)) — Cov=0.000030, Var(idx)=0.000034, ρ=0.157,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6,672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2026-09-15</w:t>
            </w:r>
          </w:p>
        </w:tc>
        <w:tc>
          <w:tcPr>
            <w:tcW w:type="dxa" w:w="1440"/>
            <w:shd w:fill="FFDCE0" w:val="clear"/>
          </w:tcPr>
          <w:p>
            <w:r>
              <w:rPr>
                <w:sz w:val="17"/>
              </w:rPr>
              <w:t>6,292</w:t>
            </w:r>
          </w:p>
        </w:tc>
        <w:tc>
          <w:tcPr>
            <w:tcW w:type="dxa" w:w="1440"/>
            <w:shd w:fill="FFDCE0" w:val="clear"/>
          </w:tcPr>
          <w:p>
            <w:r>
              <w:rPr>
                <w:b/>
                <w:sz w:val="17"/>
              </w:rPr>
              <w:t>6,630</w:t>
            </w:r>
          </w:p>
        </w:tc>
        <w:tc>
          <w:tcPr>
            <w:tcW w:type="dxa" w:w="1440"/>
            <w:shd w:fill="FFDCE0" w:val="clear"/>
          </w:tcPr>
          <w:p>
            <w:r>
              <w:rPr>
                <w:sz w:val="17"/>
              </w:rPr>
              <w:t>6,969</w:t>
            </w:r>
          </w:p>
        </w:tc>
        <w:tc>
          <w:tcPr>
            <w:tcW w:type="dxa" w:w="1440"/>
            <w:shd w:fill="FFDCE0" w:val="clear"/>
          </w:tcPr>
          <w:p>
            <w:r>
              <w:rPr>
                <w:b/>
                <w:color w:val="C00000"/>
                <w:sz w:val="17"/>
              </w:rPr>
              <w:t>-5.0%</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5,947</w:t>
            </w:r>
          </w:p>
        </w:tc>
        <w:tc>
          <w:tcPr>
            <w:tcW w:type="dxa" w:w="1440"/>
            <w:shd w:fill="FFDCE0" w:val="clear"/>
          </w:tcPr>
          <w:p>
            <w:r>
              <w:rPr>
                <w:b/>
                <w:sz w:val="17"/>
              </w:rPr>
              <w:t>6,409</w:t>
            </w:r>
          </w:p>
        </w:tc>
        <w:tc>
          <w:tcPr>
            <w:tcW w:type="dxa" w:w="1440"/>
            <w:shd w:fill="FFDCE0" w:val="clear"/>
          </w:tcPr>
          <w:p>
            <w:r>
              <w:rPr>
                <w:sz w:val="17"/>
              </w:rPr>
              <w:t>6,872</w:t>
            </w:r>
          </w:p>
        </w:tc>
        <w:tc>
          <w:tcPr>
            <w:tcW w:type="dxa" w:w="1440"/>
            <w:shd w:fill="FFDCE0" w:val="clear"/>
          </w:tcPr>
          <w:p>
            <w:r>
              <w:rPr>
                <w:b/>
                <w:color w:val="C00000"/>
                <w:sz w:val="17"/>
              </w:rPr>
              <w:t>-8.2%</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5,714</w:t>
            </w:r>
          </w:p>
        </w:tc>
        <w:tc>
          <w:tcPr>
            <w:tcW w:type="dxa" w:w="1440"/>
            <w:shd w:fill="FFDCE0" w:val="clear"/>
          </w:tcPr>
          <w:p>
            <w:r>
              <w:rPr>
                <w:b/>
                <w:sz w:val="17"/>
              </w:rPr>
              <w:t>6,268</w:t>
            </w:r>
          </w:p>
        </w:tc>
        <w:tc>
          <w:tcPr>
            <w:tcW w:type="dxa" w:w="1440"/>
            <w:shd w:fill="FFDCE0" w:val="clear"/>
          </w:tcPr>
          <w:p>
            <w:r>
              <w:rPr>
                <w:sz w:val="17"/>
              </w:rPr>
              <w:t>6,823</w:t>
            </w:r>
          </w:p>
        </w:tc>
        <w:tc>
          <w:tcPr>
            <w:tcW w:type="dxa" w:w="1440"/>
            <w:shd w:fill="FFDCE0" w:val="clear"/>
          </w:tcPr>
          <w:p>
            <w:r>
              <w:rPr>
                <w:b/>
                <w:color w:val="C00000"/>
                <w:sz w:val="17"/>
              </w:rPr>
              <w:t>-10.2%</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5,560</w:t>
            </w:r>
          </w:p>
        </w:tc>
        <w:tc>
          <w:tcPr>
            <w:tcW w:type="dxa" w:w="1440"/>
            <w:shd w:fill="FFDCE0" w:val="clear"/>
          </w:tcPr>
          <w:p>
            <w:r>
              <w:rPr>
                <w:b/>
                <w:sz w:val="17"/>
              </w:rPr>
              <w:t>6,192</w:t>
            </w:r>
          </w:p>
        </w:tc>
        <w:tc>
          <w:tcPr>
            <w:tcW w:type="dxa" w:w="1440"/>
            <w:shd w:fill="FFDCE0" w:val="clear"/>
          </w:tcPr>
          <w:p>
            <w:r>
              <w:rPr>
                <w:sz w:val="17"/>
              </w:rPr>
              <w:t>6,824</w:t>
            </w:r>
          </w:p>
        </w:tc>
        <w:tc>
          <w:tcPr>
            <w:tcW w:type="dxa" w:w="1440"/>
            <w:shd w:fill="FFDCE0" w:val="clear"/>
          </w:tcPr>
          <w:p>
            <w:r>
              <w:rPr>
                <w:b/>
                <w:color w:val="C00000"/>
                <w:sz w:val="17"/>
              </w:rPr>
              <w:t>-11.3%</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5,438</w:t>
            </w:r>
          </w:p>
        </w:tc>
        <w:tc>
          <w:tcPr>
            <w:tcW w:type="dxa" w:w="1440"/>
            <w:shd w:fill="FFDCE0" w:val="clear"/>
          </w:tcPr>
          <w:p>
            <w:r>
              <w:rPr>
                <w:b/>
                <w:sz w:val="17"/>
              </w:rPr>
              <w:t>6,139</w:t>
            </w:r>
          </w:p>
        </w:tc>
        <w:tc>
          <w:tcPr>
            <w:tcW w:type="dxa" w:w="1440"/>
            <w:shd w:fill="FFDCE0" w:val="clear"/>
          </w:tcPr>
          <w:p>
            <w:r>
              <w:rPr>
                <w:sz w:val="17"/>
              </w:rPr>
              <w:t>6,839</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5,333</w:t>
            </w:r>
          </w:p>
        </w:tc>
        <w:tc>
          <w:tcPr>
            <w:tcW w:type="dxa" w:w="1440"/>
            <w:shd w:fill="FFDCE0" w:val="clear"/>
          </w:tcPr>
          <w:p>
            <w:r>
              <w:rPr>
                <w:b/>
                <w:sz w:val="17"/>
              </w:rPr>
              <w:t>6,095</w:t>
            </w:r>
          </w:p>
        </w:tc>
        <w:tc>
          <w:tcPr>
            <w:tcW w:type="dxa" w:w="1440"/>
            <w:shd w:fill="FFDCE0" w:val="clear"/>
          </w:tcPr>
          <w:p>
            <w:r>
              <w:rPr>
                <w:sz w:val="17"/>
              </w:rPr>
              <w:t>6,857</w:t>
            </w:r>
          </w:p>
        </w:tc>
        <w:tc>
          <w:tcPr>
            <w:tcW w:type="dxa" w:w="1440"/>
            <w:shd w:fill="FFDCE0" w:val="clear"/>
          </w:tcPr>
          <w:p>
            <w:r>
              <w:rPr>
                <w:b/>
                <w:color w:val="C00000"/>
                <w:sz w:val="17"/>
              </w:rPr>
              <w:t>-12.7%</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5,241</w:t>
            </w:r>
          </w:p>
        </w:tc>
        <w:tc>
          <w:tcPr>
            <w:tcW w:type="dxa" w:w="1440"/>
            <w:shd w:fill="FFDCE0" w:val="clear"/>
          </w:tcPr>
          <w:p>
            <w:r>
              <w:rPr>
                <w:b/>
                <w:sz w:val="17"/>
              </w:rPr>
              <w:t>6,059</w:t>
            </w:r>
          </w:p>
        </w:tc>
        <w:tc>
          <w:tcPr>
            <w:tcW w:type="dxa" w:w="1440"/>
            <w:shd w:fill="FFDCE0" w:val="clear"/>
          </w:tcPr>
          <w:p>
            <w:r>
              <w:rPr>
                <w:sz w:val="17"/>
              </w:rPr>
              <w:t>6,878</w:t>
            </w:r>
          </w:p>
        </w:tc>
        <w:tc>
          <w:tcPr>
            <w:tcW w:type="dxa" w:w="1440"/>
            <w:shd w:fill="FFDCE0" w:val="clear"/>
          </w:tcPr>
          <w:p>
            <w:r>
              <w:rPr>
                <w:b/>
                <w:color w:val="C00000"/>
                <w:sz w:val="17"/>
              </w:rPr>
              <w:t>-13.2%</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5,159</w:t>
            </w:r>
          </w:p>
        </w:tc>
        <w:tc>
          <w:tcPr>
            <w:tcW w:type="dxa" w:w="1440"/>
            <w:shd w:fill="FFDCE0" w:val="clear"/>
          </w:tcPr>
          <w:p>
            <w:r>
              <w:rPr>
                <w:b/>
                <w:sz w:val="17"/>
              </w:rPr>
              <w:t>6,030</w:t>
            </w:r>
          </w:p>
        </w:tc>
        <w:tc>
          <w:tcPr>
            <w:tcW w:type="dxa" w:w="1440"/>
            <w:shd w:fill="FFDCE0" w:val="clear"/>
          </w:tcPr>
          <w:p>
            <w:r>
              <w:rPr>
                <w:sz w:val="17"/>
              </w:rPr>
              <w:t>6,900</w:t>
            </w:r>
          </w:p>
        </w:tc>
        <w:tc>
          <w:tcPr>
            <w:tcW w:type="dxa" w:w="1440"/>
            <w:shd w:fill="FFDCE0" w:val="clear"/>
          </w:tcPr>
          <w:p>
            <w:r>
              <w:rPr>
                <w:b/>
                <w:color w:val="C00000"/>
                <w:sz w:val="17"/>
              </w:rPr>
              <w:t>-13.6%</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5,085</w:t>
            </w:r>
          </w:p>
        </w:tc>
        <w:tc>
          <w:tcPr>
            <w:tcW w:type="dxa" w:w="1440"/>
            <w:shd w:fill="FFDCE0" w:val="clear"/>
          </w:tcPr>
          <w:p>
            <w:r>
              <w:rPr>
                <w:b/>
                <w:sz w:val="17"/>
              </w:rPr>
              <w:t>6,004</w:t>
            </w:r>
          </w:p>
        </w:tc>
        <w:tc>
          <w:tcPr>
            <w:tcW w:type="dxa" w:w="1440"/>
            <w:shd w:fill="FFDCE0" w:val="clear"/>
          </w:tcPr>
          <w:p>
            <w:r>
              <w:rPr>
                <w:sz w:val="17"/>
              </w:rPr>
              <w:t>6,924</w:t>
            </w:r>
          </w:p>
        </w:tc>
        <w:tc>
          <w:tcPr>
            <w:tcW w:type="dxa" w:w="1440"/>
            <w:shd w:fill="FFDCE0" w:val="clear"/>
          </w:tcPr>
          <w:p>
            <w:r>
              <w:rPr>
                <w:b/>
                <w:color w:val="C00000"/>
                <w:sz w:val="17"/>
              </w:rPr>
              <w:t>-14.0%</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5,017</w:t>
            </w:r>
          </w:p>
        </w:tc>
        <w:tc>
          <w:tcPr>
            <w:tcW w:type="dxa" w:w="1440"/>
            <w:shd w:fill="FFDCE0" w:val="clear"/>
          </w:tcPr>
          <w:p>
            <w:r>
              <w:rPr>
                <w:b/>
                <w:sz w:val="17"/>
              </w:rPr>
              <w:t>5,983</w:t>
            </w:r>
          </w:p>
        </w:tc>
        <w:tc>
          <w:tcPr>
            <w:tcW w:type="dxa" w:w="1440"/>
            <w:shd w:fill="FFDCE0" w:val="clear"/>
          </w:tcPr>
          <w:p>
            <w:r>
              <w:rPr>
                <w:sz w:val="17"/>
              </w:rPr>
              <w:t>6,948</w:t>
            </w:r>
          </w:p>
        </w:tc>
        <w:tc>
          <w:tcPr>
            <w:tcW w:type="dxa" w:w="1440"/>
            <w:shd w:fill="FFDCE0" w:val="clear"/>
          </w:tcPr>
          <w:p>
            <w:r>
              <w:rPr>
                <w:b/>
                <w:color w:val="C00000"/>
                <w:sz w:val="17"/>
              </w:rPr>
              <w:t>-14.3%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s'établit à 390,88 milliards FCFA, un niveau qui la place parmi les valeurs les plus importantes de la cote BRVM, reflétant sa position de monopole dans la distribution d'électricité en Côte d'Ivoire. Le BPA de 234 FCFA par action indique ce que chaque titre rapporte en bénéfice net, cohérent avec le dividende proposé de 234 FCFA (taux de distribution de 99,8%). Le PER de 29,8x est nettement supérieur à la moyenne du marché BRVM (8-12x), signalant que les investisseurs paient une prime très élevée pour les bénéfices actuels, anticipant probablement la croissance future ou surévaluant le titre. Le P/B de 10,87x traduit une valorisation à plus de dix fois la valeur comptable (capitaux propres de 35,96 Mds FCFA), une prime exigeante qui s'explique par la faible base de fonds propres dans un modèle de concession régulée. Enfin, l'EV/EBITDA de 15,6x, supérieur au seuil de 15x, confirme que la valeur d'entreprise (incluant la dette de 220,4 Mds FCFA) est chèrement valorisée par rapport à sa capacité opérationnelle de 37,2 Mds FCFA d'EBE,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exceptionnelle de +128,85%, passant d'un plus bas de 3 000 FCFA à un plus haut de 7 400 FCFA, avant de terminer à 6 980 FCFA, soit une légère correction de -1,69% lors de la dernière séance. Ce range de trading de 4 400 FCFA (soit plus du double du plus bas) témoigne d'une tendance haussière très marquée, portée par un intérêt acheteur soutenu avec un volume moyen de 6 672 titres par jour. Les statistiques descriptives révèlent une moyenne de 5 012 FCFA légèrement inférieure à la médiane de 5 098 FCFA, suggérant une distribution quasi-symétrique (skewness de 0,015), tandis que le mode à 4 995 FCFA indique que le cours a longtemps stagné autour de 5 000 FCFA avant son envolée récente. L'écart-type de 1 215 FCFA avec un coefficient de variation de 24,2% traduit une dispersion modérée du cours autour de sa moyenne, et le kurtosis de -0,671 (mésokurtique) indique une distribution proche de la normale, sans risque excessif de pics extrêmes. La volatilité annualisée de 50,9% classe ce titre dans la catégorie des valeurs à volatilité élevée (&gt;30%), ce qui est cohérent avec un mouvement haussier aussi violent et implique un risque de correction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(6 833,5 FCFA) et la MM50 (5 869,0 FCFA) sont toutes deux inférieures au cours actuel de 6 980 FCFA, avec la MM20 au-dessus de la MM50, configurant un croisement haussier classique. Cette configuration en "golden cross" confirme la dynamique positive de court et moyen terme, justifiant la décision d'**Achat**. Le cours évolue toutefois à seulement 2,1% au-dessus de la MM20, ce qui suggère une proximité avec un support dynamique important.</w:t>
      </w:r>
    </w:p>
    <w:p>
      <w:pPr>
        <w:spacing w:after="120" w:line="276" w:lineRule="auto"/>
      </w:pPr>
      <w:r>
        <w:t>**Bandes de Bollinger** : Le cours actuel (6 980 FCFA) se situe dans la partie haute de la bande, entre la borne inférieure (6 145,4 FCFA) et la borne supérieure (7 521,6 FCFA), sans la dépasser. Cette position médiane-haute indique une absence de signal de surachat extrême, justifiant la décision **Neutre**. L'amplitude des bandes (1 376 FCFA) reflète la volatilité élevée du titre, et un franchissement de la borne supérieure serait nécessaire pour confirmer une accélération haussière.</w:t>
      </w:r>
    </w:p>
    <w:p>
      <w:pPr>
        <w:spacing w:after="120" w:line="276" w:lineRule="auto"/>
      </w:pPr>
      <w:r>
        <w:t>**MACD** : La valeur du MACD (376,18) est légèrement inférieure à son signal (392,24), générant un croisement baissier de court terme qui justifie la décision de **Vente**. Cette divergence négative, bien que modeste, suggère un essoufflement du momentum haussier après la forte progression récente, et appelle à la prudence pour les positions acheteuses à court terme.</w:t>
      </w:r>
    </w:p>
    <w:p>
      <w:pPr>
        <w:spacing w:after="120" w:line="276" w:lineRule="auto"/>
      </w:pPr>
      <w:r>
        <w:t>**RSI** : À 50,27, le RSI se situe parfaitement dans la zone neutre (30-70), sans signal de surachat (&gt;70) ni de survente (&lt;30). Cette valeur médiane indique un équilibre entre acheteurs et vendeurs, justifiant la décision **Neutre** et suggérant que le titre a digéré sa hausse récente sans pression vendeuse excessive.</w:t>
      </w:r>
    </w:p>
    <w:p>
      <w:pPr>
        <w:spacing w:after="120" w:line="276" w:lineRule="auto"/>
      </w:pPr>
      <w:r>
        <w:t>**Stochastique** : Le %K (53,33) est inférieur au %D (62,22), configurant un croisement baissier qui plaide pour une consolidation à court terme. La décision **Neutre** reflète cette absence de signal directionnel fort, avec les deux lignes évoluant dans la zone médiane (20-80), sans indication de surachat ou de survente.</w:t>
      </w:r>
    </w:p>
    <w:p>
      <w:pPr>
        <w:spacing w:after="120" w:line="276" w:lineRule="auto"/>
      </w:pPr>
      <w:r>
        <w:t>**Conclusion technique** : Les indicateurs techniques présentent un tableau mitigé : les moyennes mobiles restent haussières (Achat), mais le MACD (Vente) et le stochastique (Neutre-baissier) signalent un essoufflement du momentum. Le RSI et les bandes de Bollinger en zone neutre confirment l'absence de signal extrême. La convergence des signaux suggère une phase de consolidation probable après la hausse spectaculaire, avec un support à surveiller autour de la MM20 (6 833 FCFA) et une résistance à 7 400 FCFA (plus haut récent).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CIEC a réalisé un chiffre d'affaires de 302,32 Mds FCFA, en croissance de 14,82% par rapport à 2024 (263,29 Mds FCFA), portée par une hausse des ventes d'énergie de 8,3% et une progression du nombre de clients à 5 282 283 (+15,1%). Le résultat net s'établit à 13,127 Mds FCFA, en progression de 24,4%, avec une marge nette de 4,34% et une marge opérationnelle de 7,40%. Le ROE atteint 36,50%, un niveau excellent (&gt;15%), bien que le ROA soit faible à 0,65% en raison de la structure de concession (actifs gérés pour le compte de l'Autorité concédante). Le BFR est négatif à -90,24 Mds FCFA, un point favorable qui traduit un financement des opérations par les fournisseurs (délai fournisseurs de 970 jours), mais le délai client élevé de 164 jours constitue un risque de trésorerie significatif. La structure financière est très endettée (ratio d'endettement de 612,94%, autonomie financière de 1,78%), avec une capacité de remboursement de 7,64 années, ce qui reste gérable grâce à la CAF de 28,87 Mds FCFA et un flux opérationnel de 43,91 Mds FCFA.</w:t>
      </w:r>
    </w:p>
    <w:p>
      <w:pPr>
        <w:spacing w:after="120" w:line="276" w:lineRule="auto"/>
      </w:pPr>
      <w:r>
        <w:t>**Estimations basées sur les rapports semestriels** : Le rapport du S1 2025 (daté du 30 juin 2025) indique un CA de 134,92 Mds FCFA (+18,85%) et un résultat net de 5,096 Mds FCFA (+13,4%), avec une marge nette de 3,8% (légèrement inférieure à celle de l'année complète). Sur cette base, on peut estimer que l'exercice 2025 devrait confirmer la tendance annuelle, avec un second semestre généralement plus fort (saison sèche, consommation accrue). Le rapport annuel 2025 (daté du 31 décembre 2026) confirme ces estimations avec un CA de 302,3 Mds FCFA et un résultat net de 13,1 Mds FCFA, validant la trajectoire de croissance. Les rapports antérieurs (2021, 2024) montrent une entreprise en transition après la nouvelle convention de 2021, avec une réduction drastique du bilan (actifs passés de 1 254,8 à 558,2 Mds FCFA) et une stabilisation progressive de la rentabilité.</w:t>
      </w:r>
    </w:p>
    <w:p>
      <w:pPr>
        <w:spacing w:after="120" w:line="276" w:lineRule="auto"/>
      </w:pPr>
      <w:r>
        <w:t>**Recommandation fondamentale** : CIEC présente des fondamentaux solides avec une croissance soutenue du CA et du résultat net, un ROE excellent et une politique de dividende très attractive (rendement de 3,35% au cours actuel). Cependant, la valorisation exigeante (PER 29,8x, P/B 10,87x) et le risque de crédit client (164 jours de délai) tempèrent l'enthousiasme. La dépendance au cadre réglementaire et le niveau d'endettement élevé constituent des risques à surveiller. La recommandation fondamentale est **CONSERVER**, avec un biais positif pour les investisseurs en quête de rendement, en surveillant l'évolution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de CIEC (Partie 0) apparaît nettement surévaluée avec un PER de 29,8x (vs moyenne BRVM de 8-12x), un P/B de 10,87x et un EV/EBITDA de 15,6x, ce qui intègre déjà une forte croissance future et laisse peu de marge de sécurité. Le comportement du cours (Partie 1) est exceptionnellement haussier (+128,85% sur 100 jours) mais la volatilité annualisée de 50,9% et la distribution symétrique (skewness 0,015) suggèrent un risque de correction, d'autant que le cours s'est déjà replié de -1,69% en J-1. Les signaux techniques (Partie 2) sont mitigés : les moyennes mobiles restent haussières (Achat), mais le MACD (Vente) et le stochastique (Neutre-baissier) indiquent un essoufflement du momentum, plaidant pour une consolidation. Les fondamentaux (Partie 3) sont solides avec un CA de 302,3 Mds FCFA (+14,8%), un résultat net de 13,1 Mds FCFA (+24,4%) et un ROE de 36,5%, mais la structure financière très endettée et le délai client élevé constituent des risques. Les prédictions IA (J+1 à J+10) anticipent une baisse progressive de 6 630 FCFA à 6 139 FCFA, soit une correction de -12% sur 10 jours, ce qui contredit la dynamique haussière récente et confirme les signaux baissiers du MACD et du stochastique.</w:t>
      </w:r>
    </w:p>
    <w:p>
      <w:pPr>
        <w:spacing w:after="120" w:line="276" w:lineRule="auto"/>
      </w:pPr>
      <w:r>
        <w:t>**Synthèse globale** : La convergence entre la valorisation exigeante, les signaux techniques d'essoufflement et les prédictions IA baissières suggère une correction à court terme, malgré des fondamentaux solides. La recommandation finale est **CONSERVER** avec un niveau de confiance **Moyen** et un risque global **Élevé** (volatilité 50,9%, valorisation tendue). L'horizon d'investissement optimal est **moyen terme (3-12 mois)** pour bénéficier du rendement du dividende (3,35%) et de la croissance fondamentale, en évitant les positions spéculatives à court terme qui pourraient souffrir de la correction anticipée. Les investisseurs déjà positionnés peuvent conserver leurs titres pour le dividende, tandis que les nouveaux entrants devraient attendre un repli vers la MM20 (6 833 FCFA) ou la borne inférieure des bandes de Bollinger (6 145 FCFA) pour améliorer 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4,025 titres</w:t>
            </w:r>
          </w:p>
        </w:tc>
        <w:tc>
          <w:tcPr>
            <w:tcW w:type="dxa" w:w="2268"/>
            <w:shd w:fill="FFF2CC" w:val="clear"/>
          </w:tcPr>
          <w:p>
            <w:r>
              <w:rPr>
                <w:b/>
                <w:color w:val="503200"/>
                <w:sz w:val="16"/>
              </w:rPr>
              <w:t xml:space="preserve">Cours actuel : </w:t>
            </w:r>
            <w:r>
              <w:rPr>
                <w:color w:val="000000"/>
                <w:sz w:val="17"/>
              </w:rPr>
              <w:t>17,100 FCFA</w:t>
            </w:r>
          </w:p>
          <w:p>
            <w:r>
              <w:rPr>
                <w:b/>
                <w:color w:val="503200"/>
                <w:sz w:val="16"/>
              </w:rPr>
              <w:t xml:space="preserve">Var. 100 jours : </w:t>
            </w:r>
            <w:r>
              <w:rPr>
                <w:b/>
                <w:color w:val="007800"/>
                <w:sz w:val="17"/>
              </w:rPr>
              <w:t>+8.16%</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2.78% (Faible) — μ=16,462 FCFA, σ=457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β=0.4221 (Défensif) — Cov=0.000015, Var(idx)=0.000034, ρ=0.138,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16,726</w:t>
            </w:r>
          </w:p>
        </w:tc>
        <w:tc>
          <w:tcPr>
            <w:tcW w:type="dxa" w:w="1440"/>
            <w:shd w:fill="FAFAFA" w:val="clear"/>
          </w:tcPr>
          <w:p>
            <w:r>
              <w:rPr>
                <w:b/>
                <w:sz w:val="17"/>
              </w:rPr>
              <w:t>17,253</w:t>
            </w:r>
          </w:p>
        </w:tc>
        <w:tc>
          <w:tcPr>
            <w:tcW w:type="dxa" w:w="1440"/>
            <w:shd w:fill="FAFAFA" w:val="clear"/>
          </w:tcPr>
          <w:p>
            <w:r>
              <w:rPr>
                <w:sz w:val="17"/>
              </w:rPr>
              <w:t>17,780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16,523</w:t>
            </w:r>
          </w:p>
        </w:tc>
        <w:tc>
          <w:tcPr>
            <w:tcW w:type="dxa" w:w="1440"/>
            <w:shd w:fill="FAFAFA" w:val="clear"/>
          </w:tcPr>
          <w:p>
            <w:r>
              <w:rPr>
                <w:b/>
                <w:sz w:val="17"/>
              </w:rPr>
              <w:t>17,269</w:t>
            </w:r>
          </w:p>
        </w:tc>
        <w:tc>
          <w:tcPr>
            <w:tcW w:type="dxa" w:w="1440"/>
            <w:shd w:fill="FAFAFA" w:val="clear"/>
          </w:tcPr>
          <w:p>
            <w:r>
              <w:rPr>
                <w:sz w:val="17"/>
              </w:rPr>
              <w:t>18,015</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16,375</w:t>
            </w:r>
          </w:p>
        </w:tc>
        <w:tc>
          <w:tcPr>
            <w:tcW w:type="dxa" w:w="1440"/>
            <w:shd w:fill="FAFAFA" w:val="clear"/>
          </w:tcPr>
          <w:p>
            <w:r>
              <w:rPr>
                <w:b/>
                <w:sz w:val="17"/>
              </w:rPr>
              <w:t>17,290</w:t>
            </w:r>
          </w:p>
        </w:tc>
        <w:tc>
          <w:tcPr>
            <w:tcW w:type="dxa" w:w="1440"/>
            <w:shd w:fill="FAFAFA" w:val="clear"/>
          </w:tcPr>
          <w:p>
            <w:r>
              <w:rPr>
                <w:sz w:val="17"/>
              </w:rPr>
              <w:t>18,206</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16,251</w:t>
            </w:r>
          </w:p>
        </w:tc>
        <w:tc>
          <w:tcPr>
            <w:tcW w:type="dxa" w:w="1440"/>
            <w:shd w:fill="FAFAFA" w:val="clear"/>
          </w:tcPr>
          <w:p>
            <w:r>
              <w:rPr>
                <w:b/>
                <w:sz w:val="17"/>
              </w:rPr>
              <w:t>17,309</w:t>
            </w:r>
          </w:p>
        </w:tc>
        <w:tc>
          <w:tcPr>
            <w:tcW w:type="dxa" w:w="1440"/>
            <w:shd w:fill="FAFAFA" w:val="clear"/>
          </w:tcPr>
          <w:p>
            <w:r>
              <w:rPr>
                <w:sz w:val="17"/>
              </w:rPr>
              <w:t>18,367</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16,141</w:t>
            </w:r>
          </w:p>
        </w:tc>
        <w:tc>
          <w:tcPr>
            <w:tcW w:type="dxa" w:w="1440"/>
            <w:shd w:fill="FAFAFA" w:val="clear"/>
          </w:tcPr>
          <w:p>
            <w:r>
              <w:rPr>
                <w:b/>
                <w:sz w:val="17"/>
              </w:rPr>
              <w:t>17,325</w:t>
            </w:r>
          </w:p>
        </w:tc>
        <w:tc>
          <w:tcPr>
            <w:tcW w:type="dxa" w:w="1440"/>
            <w:shd w:fill="FAFAFA" w:val="clear"/>
          </w:tcPr>
          <w:p>
            <w:r>
              <w:rPr>
                <w:sz w:val="17"/>
              </w:rPr>
              <w:t>18,509</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16,043</w:t>
            </w:r>
          </w:p>
        </w:tc>
        <w:tc>
          <w:tcPr>
            <w:tcW w:type="dxa" w:w="1440"/>
            <w:shd w:fill="FAFAFA" w:val="clear"/>
          </w:tcPr>
          <w:p>
            <w:r>
              <w:rPr>
                <w:b/>
                <w:sz w:val="17"/>
              </w:rPr>
              <w:t>17,341</w:t>
            </w:r>
          </w:p>
        </w:tc>
        <w:tc>
          <w:tcPr>
            <w:tcW w:type="dxa" w:w="1440"/>
            <w:shd w:fill="FAFAFA" w:val="clear"/>
          </w:tcPr>
          <w:p>
            <w:r>
              <w:rPr>
                <w:sz w:val="17"/>
              </w:rPr>
              <w:t>18,639</w:t>
            </w:r>
          </w:p>
        </w:tc>
        <w:tc>
          <w:tcPr>
            <w:tcW w:type="dxa" w:w="1440"/>
            <w:shd w:fill="FAFAFA" w:val="clear"/>
          </w:tcPr>
          <w:p>
            <w:r>
              <w:rPr>
                <w:b/>
                <w:color w:val="008000"/>
                <w:sz w:val="17"/>
              </w:rPr>
              <w:t>+1.4%</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15,953</w:t>
            </w:r>
          </w:p>
        </w:tc>
        <w:tc>
          <w:tcPr>
            <w:tcW w:type="dxa" w:w="1440"/>
            <w:shd w:fill="FAFAFA" w:val="clear"/>
          </w:tcPr>
          <w:p>
            <w:r>
              <w:rPr>
                <w:b/>
                <w:sz w:val="17"/>
              </w:rPr>
              <w:t>17,356</w:t>
            </w:r>
          </w:p>
        </w:tc>
        <w:tc>
          <w:tcPr>
            <w:tcW w:type="dxa" w:w="1440"/>
            <w:shd w:fill="FAFAFA" w:val="clear"/>
          </w:tcPr>
          <w:p>
            <w:r>
              <w:rPr>
                <w:sz w:val="17"/>
              </w:rPr>
              <w:t>18,760</w:t>
            </w:r>
          </w:p>
        </w:tc>
        <w:tc>
          <w:tcPr>
            <w:tcW w:type="dxa" w:w="1440"/>
            <w:shd w:fill="FAFAFA" w:val="clear"/>
          </w:tcPr>
          <w:p>
            <w:r>
              <w:rPr>
                <w:b/>
                <w:color w:val="008000"/>
                <w:sz w:val="17"/>
              </w:rPr>
              <w:t>+1.5%</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15,870</w:t>
            </w:r>
          </w:p>
        </w:tc>
        <w:tc>
          <w:tcPr>
            <w:tcW w:type="dxa" w:w="1440"/>
            <w:shd w:fill="FAFAFA" w:val="clear"/>
          </w:tcPr>
          <w:p>
            <w:r>
              <w:rPr>
                <w:b/>
                <w:sz w:val="17"/>
              </w:rPr>
              <w:t>17,372</w:t>
            </w:r>
          </w:p>
        </w:tc>
        <w:tc>
          <w:tcPr>
            <w:tcW w:type="dxa" w:w="1440"/>
            <w:shd w:fill="FAFAFA" w:val="clear"/>
          </w:tcPr>
          <w:p>
            <w:r>
              <w:rPr>
                <w:sz w:val="17"/>
              </w:rPr>
              <w:t>18,873</w:t>
            </w:r>
          </w:p>
        </w:tc>
        <w:tc>
          <w:tcPr>
            <w:tcW w:type="dxa" w:w="1440"/>
            <w:shd w:fill="FAFAFA" w:val="clear"/>
          </w:tcPr>
          <w:p>
            <w:r>
              <w:rPr>
                <w:b/>
                <w:color w:val="008000"/>
                <w:sz w:val="17"/>
              </w:rPr>
              <w:t>+1.6%</w:t>
            </w:r>
          </w:p>
        </w:tc>
      </w:tr>
      <w:tr>
        <w:tc>
          <w:tcPr>
            <w:tcW w:type="dxa" w:w="1440"/>
            <w:shd w:fill="FAFAFA" w:val="clear"/>
          </w:tcPr>
          <w:p>
            <w:r>
              <w:rPr>
                <w:sz w:val="17"/>
              </w:rPr>
              <w:t>J+9  Moyenne</w:t>
            </w:r>
          </w:p>
        </w:tc>
        <w:tc>
          <w:tcPr>
            <w:tcW w:type="dxa" w:w="1440"/>
            <w:shd w:fill="FAFAFA" w:val="clear"/>
          </w:tcPr>
          <w:p>
            <w:r>
              <w:rPr>
                <w:sz w:val="17"/>
              </w:rPr>
              <w:t>2026-09-25</w:t>
            </w:r>
          </w:p>
        </w:tc>
        <w:tc>
          <w:tcPr>
            <w:tcW w:type="dxa" w:w="1440"/>
            <w:shd w:fill="FAFAFA" w:val="clear"/>
          </w:tcPr>
          <w:p>
            <w:r>
              <w:rPr>
                <w:sz w:val="17"/>
              </w:rPr>
              <w:t>15,793</w:t>
            </w:r>
          </w:p>
        </w:tc>
        <w:tc>
          <w:tcPr>
            <w:tcW w:type="dxa" w:w="1440"/>
            <w:shd w:fill="FAFAFA" w:val="clear"/>
          </w:tcPr>
          <w:p>
            <w:r>
              <w:rPr>
                <w:b/>
                <w:sz w:val="17"/>
              </w:rPr>
              <w:t>17,386</w:t>
            </w:r>
          </w:p>
        </w:tc>
        <w:tc>
          <w:tcPr>
            <w:tcW w:type="dxa" w:w="1440"/>
            <w:shd w:fill="FAFAFA" w:val="clear"/>
          </w:tcPr>
          <w:p>
            <w:r>
              <w:rPr>
                <w:sz w:val="17"/>
              </w:rPr>
              <w:t>18,980</w:t>
            </w:r>
          </w:p>
        </w:tc>
        <w:tc>
          <w:tcPr>
            <w:tcW w:type="dxa" w:w="1440"/>
            <w:shd w:fill="FAFAFA" w:val="clear"/>
          </w:tcPr>
          <w:p>
            <w:r>
              <w:rPr>
                <w:b/>
                <w:color w:val="008000"/>
                <w:sz w:val="17"/>
              </w:rPr>
              <w:t>+1.7%</w:t>
            </w:r>
          </w:p>
        </w:tc>
      </w:tr>
      <w:tr>
        <w:tc>
          <w:tcPr>
            <w:tcW w:type="dxa" w:w="1440"/>
            <w:shd w:fill="FAFAFA" w:val="clear"/>
          </w:tcPr>
          <w:p>
            <w:r>
              <w:rPr>
                <w:sz w:val="17"/>
              </w:rPr>
              <w:t>J+10  Moyenne</w:t>
            </w:r>
          </w:p>
        </w:tc>
        <w:tc>
          <w:tcPr>
            <w:tcW w:type="dxa" w:w="1440"/>
            <w:shd w:fill="FAFAFA" w:val="clear"/>
          </w:tcPr>
          <w:p>
            <w:r>
              <w:rPr>
                <w:sz w:val="17"/>
              </w:rPr>
              <w:t>2026-09-28</w:t>
            </w:r>
          </w:p>
        </w:tc>
        <w:tc>
          <w:tcPr>
            <w:tcW w:type="dxa" w:w="1440"/>
            <w:shd w:fill="FAFAFA" w:val="clear"/>
          </w:tcPr>
          <w:p>
            <w:r>
              <w:rPr>
                <w:sz w:val="17"/>
              </w:rPr>
              <w:t>15,720</w:t>
            </w:r>
          </w:p>
        </w:tc>
        <w:tc>
          <w:tcPr>
            <w:tcW w:type="dxa" w:w="1440"/>
            <w:shd w:fill="FAFAFA" w:val="clear"/>
          </w:tcPr>
          <w:p>
            <w:r>
              <w:rPr>
                <w:b/>
                <w:sz w:val="17"/>
              </w:rPr>
              <w:t>17,401</w:t>
            </w:r>
          </w:p>
        </w:tc>
        <w:tc>
          <w:tcPr>
            <w:tcW w:type="dxa" w:w="1440"/>
            <w:shd w:fill="FAFAFA" w:val="clear"/>
          </w:tcPr>
          <w:p>
            <w:r>
              <w:rPr>
                <w:sz w:val="17"/>
              </w:rPr>
              <w:t>19,083</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941,37 milliards FCFA, ECOC s'impose comme l'une des plus importantes capitalisations de la BRVM, ce qui en fait un titre de premier plan pour les investisseurs institutionnels de la zone UEMOA. Le BPA de 1 153 FCFA/action signifie que chaque titre génère un bénéfice net de 1 153 FCFA, ce qui, rapporté au cours actuel de 17 100 FCFA, donne un PER de 14,8x — un niveau modéré mais supérieur à la moyenne du marché BRVM (généralement comprise entre 8 et 12x), suggérant que le marché intègre déjà une prime de qualité. Le P/B de 4,31x indique que le marché valorise la banque à plus de quatre fois sa valeur comptable, une prime exigeante qui reflète la confiance dans la rentabilité structurellement élevée de l'établissement (ROE de 29%). Enfin, l'EV/EBITDA de 14,4x, situé dans la fourchette haute (10-15x), confirme que la valeur d'entreprise intègre une capacité bénéficiaire solide mais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progression totale de +8,16%, malgré un repli de -1,07% lors de la dernière séance, traduisant une tendance haussière de fond avec une consolidation récente. Le cours a évolué dans un range relativement étroit entre un plus bas de 15 520 FCFA et un plus haut de 17 725 FCFA, soit une amplitude d'environ 14%, ce qui témoigne d'une certaine stabilité. La moyenne (16 462 FCFA) est légèrement supérieure à la médiane (16 322 FCFA) et au mode (16 300 FCFA), confirmant une asymétrie positive (skewness de 0,655) : les journées de hausse, bien que moins nombreuses, ont été plus amples que les journées de baisse. L'écart-type de 460 FCFA avec un coefficient de variation de seulement 2,8% indique une dispersion très faible du cours autour de sa moyenne, signe d'une grande régularité. Le kurtosis de 0,118 (mésokurtique) suggère une distribution proche de la normale, sans risque majeur de pics extrêmes. La volatilité annualisée de 28,5% place le titre dans la catégorie modérée (15-30%), ce qui est cohérent avec un profil de valeur bancaire stable et liquide.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(17 003,75 FCFA) et la MM50 (16 542,5 FCFA) se situent toutes deux sous le cours actuel (17 100 FCFA), avec la MM20 au-dessus de la MM50, configurant un croisement haussier classique. Cette configuration confirme la dynamique positive de moyen terme et justifie la décision d'achat.</w:t>
      </w:r>
    </w:p>
    <w:p>
      <w:pPr>
        <w:spacing w:after="120" w:line="276" w:lineRule="auto"/>
      </w:pPr>
      <w:r>
        <w:t>**Bandes de Bollinger** : Le cours (17 100 FCFA) évolue dans la partie supérieure de la bande, entre la borne inférieure (16 126,8 FCFA) et la borne supérieure (17 880,7 FCFA), sans franchir cette dernière. Cette position médiane-haute, couplée à une volatilité modérée, justifie la décision neutre : ni suracheté, ni survendu.</w:t>
      </w:r>
    </w:p>
    <w:p>
      <w:pPr>
        <w:spacing w:after="120" w:line="276" w:lineRule="auto"/>
      </w:pPr>
      <w:r>
        <w:t>**MACD** : La valeur du MACD (244,757) est légèrement inférieure à son signal (253,969), générant un croisement baissier marginal qui traduit un essoufflement du momentum haussier. Cette divergence négative, bien que faible, justifie la décision de vente à court terme.</w:t>
      </w:r>
    </w:p>
    <w:p>
      <w:pPr>
        <w:spacing w:after="120" w:line="276" w:lineRule="auto"/>
      </w:pPr>
      <w:r>
        <w:t>**RSI** : À 53,543, le RSI se situe parfaitement dans la zone neutre (30-70), sans signal de surachat ni de survente. Cette position médiane confirme l'absence de pression directionnelle forte et justifie la décision neutre.</w:t>
      </w:r>
    </w:p>
    <w:p>
      <w:pPr>
        <w:spacing w:after="120" w:line="276" w:lineRule="auto"/>
      </w:pPr>
      <w:r>
        <w:t>**Stochastique** : Le %K (48,56) est légèrement supérieur au %D (45,405), sans croisement significatif, et les deux oscillateurs évoluent en zone médiane. Cette configuration neutre indique une absence de signal clair, justifiant la décision neutre.</w:t>
      </w:r>
    </w:p>
    <w:p>
      <w:pPr>
        <w:spacing w:after="120" w:line="276" w:lineRule="auto"/>
      </w:pPr>
      <w:r>
        <w:t>**Conclusion technique** : Les indicateurs techniques présentent un tableau mitigé : les moyennes mobiles confirment une tendance haussière de fond, mais le MACD signale un essoufflement du momentum, tandis que le RSI et le stochastique restent neutres. Les bandes de Bollinger n'indiquent ni excès ni compression imminente. La convergence globale penche légèrement en faveur d'une consolidation avant une éventuelle reprise, avec un biais haussier modéré.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ECOC affiche des fondamentaux bancaires solides : un Produit Net Bancaire (PNB) de 132,725 milliards FCFA, un résultat net de 63,482 milliards FCFA, un ROE de 29,04% (largement supérieur au seuil de 15% considéré comme excellent) et un ROA de 3,09%. Le coefficient d'exploitation de 42,89% confirme une efficacité opérationnelle remarquable (seuil d'excellence &lt; 50%), tandis que le coût du risque de 1,36% reste modéré, témoignant d'un portefeuille de crédits sain. La structure financière montre une forte dépendance aux dépôts clientèle (1 626,223 milliards FCFA) pour financer les créances clientèle (1 050,803 milliards FCFA), avec un ratio crédits/dépôts de 64,6% — un niveau prudent qui limite le risque de liquidité. Les capitaux propres de 218,573 milliards FCFA et un ratio de solvabilité estimé à 19,3% (S1 2025) dépassent largement l'exigence réglementaire de 11,5%. Sur la base du rapport T1 2026 (publié en 2026), le PNB progresse de +3,7% à 30,8 milliards FCFA, mais le résultat net recule de -1,6% à 13,0 milliards FCFA, sous l'effet d'une hausse du coût du risque et d'une baisse des produits hors intérêts (-17,2%). On estime que l'exercice 2026 devrait enregistrer une croissance modérée du PNB (autour de +4-5%), avec une pression sur la rentabilité nette si le coût du risque reste élevé. Le rapport annuel 2024 (publié en 2024) indiquait déjà un dividende brut de 804 FCFA/action, et l'avis de convocation à l'AG du 28 avril 2026 propose un dividende de 888 FCFA brut (781 FCFA net), en hausse de +10,4%, confirmant la générosité de la politique de distribution. La recommandation fondamentale est de **conserver** le titre : la solidité financière et la rentabilité structurelle sont excellentes, mais la légère dégradation du résultat net au T1 2026 et la valorisation exigeante (P/B &gt; 4x) limitent le potentiel de surperformance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exigeant : PER de 14,8x (supérieur à la moyenne BRVM), P/B de 4,31x et EV/EBITDA de 14,4x indiquent que le marché paie une prime significative pour la qualité des fondamentaux, ce qui limite la marge de sécurité. Le comportement du cours (Partie 1) est rassurant : tendance haussière de +8,16% sur 100 jours, volatilité modérée (28,5%), distribution proche de la normale (kurtosis 0,118) et asymétrie positive (skewness 0,655) — des statistiques favorables à une détention sereine. Les signaux techniques (Partie 2) sont mitigés : les moyennes mobiles confirment la tendance haussière, mais le MACD génère un signal de vente marginal, tandis que le RSI et le stochastique restent neutres, plaidant pour une consolidation. Les fondamentaux (Partie 3) demeurent solides (ROE 29%, coefficient d'exploitation 42,9%, dividende en hausse), mais le T1 2026 montre un recul du résultat net (-1,6%) qui tempère l'optimisme. Les prédictions IA (J+1 à J+10) anticipent une trajectoire haussière modérée, de 17 253 FCFA à 17 325 FCFA, confirmant la tendance de fond sans signaler d'accélération. Sur la base de cette synthèse, la recommandation finale est **CONSERVER**, avec un niveau de confiance **Moyen** et un risque global **Moyen**. L'horizon d'investissement optimal est le **moyen terme (3-12 mois)**, en attendant la confirmation d'une reprise de la croissance bénéficiaire au T2 2026 et une meilleure visibilité sur l'évolution du coût du risque.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1,457,785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+162.96%</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27 FCFA</w:t>
            </w:r>
          </w:p>
          <w:p>
            <w:r>
              <w:rPr>
                <w:b/>
                <w:color w:val="503200"/>
                <w:sz w:val="16"/>
              </w:rPr>
              <w:t xml:space="preserve">Volatilité ann. : </w:t>
            </w:r>
            <w:r>
              <w:rPr>
                <w:color w:val="000000"/>
                <w:sz w:val="17"/>
              </w:rPr>
              <w:t>61.5%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36.62% (Élevée) — μ=49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β=2.4600 (Très agressif) — Cov=0.000085, Var(idx)=0.000034, ρ=0.373,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1,457,785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66</w:t>
            </w:r>
          </w:p>
        </w:tc>
        <w:tc>
          <w:tcPr>
            <w:tcW w:type="dxa" w:w="1440"/>
            <w:shd w:fill="FAFAFA" w:val="clear"/>
          </w:tcPr>
          <w:p>
            <w:r>
              <w:rPr>
                <w:b/>
                <w:sz w:val="17"/>
              </w:rPr>
              <w:t>70</w:t>
            </w:r>
          </w:p>
        </w:tc>
        <w:tc>
          <w:tcPr>
            <w:tcW w:type="dxa" w:w="1440"/>
            <w:shd w:fill="FAFAFA" w:val="clear"/>
          </w:tcPr>
          <w:p>
            <w:r>
              <w:rPr>
                <w:sz w:val="17"/>
              </w:rPr>
              <w:t>73</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64</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63</w:t>
            </w:r>
          </w:p>
        </w:tc>
        <w:tc>
          <w:tcPr>
            <w:tcW w:type="dxa" w:w="1440"/>
            <w:shd w:fill="FFDCE0" w:val="clear"/>
          </w:tcPr>
          <w:p>
            <w:r>
              <w:rPr>
                <w:b/>
                <w:sz w:val="17"/>
              </w:rPr>
              <w:t>69</w:t>
            </w:r>
          </w:p>
        </w:tc>
        <w:tc>
          <w:tcPr>
            <w:tcW w:type="dxa" w:w="1440"/>
            <w:shd w:fill="FFDCE0" w:val="clear"/>
          </w:tcPr>
          <w:p>
            <w:r>
              <w:rPr>
                <w:sz w:val="17"/>
              </w:rPr>
              <w:t>75</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62</w:t>
            </w:r>
          </w:p>
        </w:tc>
        <w:tc>
          <w:tcPr>
            <w:tcW w:type="dxa" w:w="1440"/>
            <w:shd w:fill="FFDCE0" w:val="clear"/>
          </w:tcPr>
          <w:p>
            <w:r>
              <w:rPr>
                <w:b/>
                <w:sz w:val="17"/>
              </w:rPr>
              <w:t>69</w:t>
            </w:r>
          </w:p>
        </w:tc>
        <w:tc>
          <w:tcPr>
            <w:tcW w:type="dxa" w:w="1440"/>
            <w:shd w:fill="FFDCE0" w:val="clear"/>
          </w:tcPr>
          <w:p>
            <w:r>
              <w:rPr>
                <w:sz w:val="17"/>
              </w:rPr>
              <w:t>75</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-4.6%</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1 283,97 milliards FCFA, ETIT figure parmi les valeurs les plus importantes de la cote BRVM, ce qui en fait un pilier de l'indice composite et un titre de référence pour les investisseurs institutionnels régionaux. Le BPA de 19 FCFA par action signifie que chaque titre génère près de 19 FCFA de bénéfice net, un niveau qui, rapporté au cours actuel de 71 FCFA, donne un PER de seulement 3,7x — très nettement inférieur à la moyenne du marché BRVM (8-12x), ce qui suggère une sous-évaluation potentielle marquée ou une décote liée aux risques perçus sur les marchés frontières. Le ratio P/B de 0,80x indique que le marché valorise le titre à 20% en dessous de sa valeur comptable, une situation rare qui peut constituer une opportunité pour un investisseur value, mais qui traduit aussi la prudence du marché face aux risques de crédit et de change. Enfin, l'EV/EBITDA de 5,1x, situé dans la fourchette raisonnable de 5-10x, confirme que la valeur d'entreprise reste cohérente avec la capacité opérationnelle de la banque, sans prime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+162,96%, avec une dernière séance en hausse de +1,43%, portant le cours à 71 FCFA. Le range de trading est particulièrement large, oscillant entre un plus bas de 27 FCFA et un plus haut de 78 FCFA, ce qui témoigne d'une tendance générale nettement haussière, portée par un intérêt croissant des investisseurs pour la valeur. Les statistiques descriptives révèlent une moyenne de 49 FCFA contre une médiane de 46 FCFA, un écart qui traduit une légère asymétrie positive liée à la récente flambée du cours, tandis que le mode à 30 FCFA rappelle que le titre a longtemps stagné à des niveaux bien inférieurs. L'écart-type de 18 FCFA, avec un coefficient de variation de 36,8%, indique une dispersion élevée du cours, confirmée par une volatilité annualisée de 61,5% — un niveau très élevé (&gt;30%) qui positionne ETIT comme un titre spéculatif à fort potentiel mais aussi à risque important. Le kurtosis de -1,826 (distribution platykurtique) suggère une faible concentration des rendements autour de la moyenne, donc moins de pics extrêmes que dans une distribution normale, tandis que le skewness de 0,065 indique une distribution quasi symétrique, sans biais directionnel marqué.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(67,95 FCFA) et la MM50 (66,72 FCFA) se situent toutes deux en dessous du cours actuel (71 FCFA), avec la MM20 au-dessus de la MM50, configurant un croisement haussier classique. Cette configuration confirme la dynamique positive et justifie la décision d'**Achat** émise par cet indicateur.</w:t>
      </w:r>
    </w:p>
    <w:p>
      <w:pPr>
        <w:spacing w:after="120" w:line="276" w:lineRule="auto"/>
      </w:pPr>
      <w:r>
        <w:t>**Bandes de Bollinger** : Le cours (71 FCFA) évolue proche de la borne supérieure (72,228 FCFA) tout en restant au-dessus de la borne inférieure (63,672 FCFA), ce qui traduit une pression acheteuse soutenue mais un risque de correction à court terme. La décision **Neutre** reflète cette position ambiguë, entre momentum haussier et proximité de la résistance.</w:t>
      </w:r>
    </w:p>
    <w:p>
      <w:pPr>
        <w:spacing w:after="120" w:line="276" w:lineRule="auto"/>
      </w:pPr>
      <w:r>
        <w:t>**MACD** : La valeur du MACD (1,651) dépasse légèrement son signal (1,606), générant un croisement haussier qui confirme le momentum positif. La décision d'**Achat** est cohérente avec cette configuration, bien que l'écart réduit entre les deux lignes suggère un essoufflement possible de la tendance.</w:t>
      </w:r>
    </w:p>
    <w:p>
      <w:pPr>
        <w:spacing w:after="120" w:line="276" w:lineRule="auto"/>
      </w:pPr>
      <w:r>
        <w:t>**RSI** : À 61,111, le RSI se situe en zone neutre (30-70), sans signal de surachat ni de survente, ce qui indique que le titre conserve un potentiel de hausse sans être techniquement épuisé. La décision **Neutre** est appropriée dans ce contexte.</w:t>
      </w:r>
    </w:p>
    <w:p>
      <w:pPr>
        <w:spacing w:after="120" w:line="276" w:lineRule="auto"/>
      </w:pPr>
      <w:r>
        <w:t>**Stochastique** : Le %K (100,0) est nettement supérieur au %D (88,889), signalant une position extrême en zone de surachat et un risque imminent de retournement. La décision de **Vente** émise par cet indicateur contraste avec les autres signaux et appelle à la prudence à court terme.</w:t>
      </w:r>
    </w:p>
    <w:p>
      <w:pPr>
        <w:spacing w:after="120" w:line="276" w:lineRule="auto"/>
      </w:pPr>
      <w:r>
        <w:t>**Conclusion technique** : Les indicateurs techniques sont majoritairement haussiers (MM, MACD), mais le stochastique en zone extrême et la proximité de la borne supérieure de Bollinger suggèrent un essoufflement à court terme. La convergence partielle des signaux plaide pour une consolidation avant une nouvelle jambe de hausse, avec un support clé à 63,67 FCFA (borne inférieure de Bollinger) et une résistance à 78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pour ETIT (banque) révèlent un Produit Net Bancaire (PNB) de 1 424,261 milliards FCFA, un résultat net de 345,523 milliards FCFA, un ROE de 21,62% (excellent, &gt;15%) et un ROA de 1,80%. Le coefficient d'exploitation de 27,35% est exceptionnellement bas (&lt;60%), témoignant d'une efficacité opérationnelle remarquable, tandis que le coût du risque rapporté aux charges financières s'élève à 18,97%, un niveau élevé qui signale un risque de crédit significatif. La structure financière affiche une autonomie financière de 8,30% (faible) et un ratio d'endettement de 154,06%, typique du modèle bancaire où les dépôts clientèle (14 120,139 milliards FCFA) financent largement les créances clientèle (6 570,385 milliards FCFA), avec un ratio de transformation sain. Les rapports narratifs récents confirment cette dynamique : le rapport S1 2026 (publié le 21 juillet 2026) fait état d'un PNB de 721 318 millions FCFA (+15% sur un an) et d'un résultat net de 166 682 millions FCFA (+6%), avec un coefficient d'exploitation amélioré à 48,4% et un ratio de prêts non performants (NPL) à 7,6%. Le rapport T1 2026 (publié en 2026) montre un PNB de 636,2 millions $EU (+23%) et un résultat net de 142,5 millions $EU (+16%), mais avec un coût du risque en hausse de 73%, un signal d'alerte. Sur la base de ces rapports trimestriels, on estime que l'exercice 2026 devrait enregistrer une croissance du PNB de l'ordre de 12-15%, avec un résultat net en progression modérée de 5-8%, sous réserve de la maîtrise du coût du risque. La recommandation fondamentale est de **Conserver** le titre : la solidité des fondamentaux (ROE élevé, efficacité opérationnelle, croissance du PNB) est tempérée par la hausse du coût du risque et la faible autonomie financière, tandis que la valorisation attractive (PER 3,7x, P/B 0,80x) offre une marge de sécurité.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apparaît nettement sous-évaluée (PER 3,7x vs moyenne BRVM 8-12x, P/B 0,80x), ce qui constitue un argument fort pour un investisseur value, même si cette décote reflète les risques spécifiques aux marchés frontières. Le comportement du cours sur 100 jours est exceptionnellement haussier (+162,96%), mais la volatilité annualisée de 61,5% et le kurtosis platykurtique (-1,826) indiquent un titre spéculatif, avec un risque de correction après la flambée récente. Les signaux techniques sont partagés : les moyennes mobiles et le MACD sont haussiers, mais le stochastique en zone de surachat (%K=100) et la proximité de la borne supérieure de Bollinger appellent à la prudence à court terme. Les fondamentaux sont solides (ROE 21,62%, coefficient d'exploitation 27,35%, PNB en croissance de 15% au S1 2026), mais le coût du risque en hausse (+40% au S1 2026, +73% au T1 2026) et la faible autonomie financière (8,30%) constituent des points de vigilance. Les prédictions IA pour les 10 prochains jours (70 → 68 FCFA) suggèrent une légère consolidation baissière, ce qui contredit partiellement les signaux haussiers des moyennes mobiles mais confirme le risque de correction à court terme. Sur la base de cette synthèse, la recommandation finale est **CONSERVER** avec un biais positif : la convergence entre valorisation attractive, fondamentaux solides et croissance du PNB justifie une position en portefeuille, mais le risque de crédit et la volatilité élevée incitent à la prudence. Le niveau de confiance est **Moyen** (les signaux techniques et fondamentaux sont partiellement divergents), et le niveau de risque global est **Élevé** (volatilité 61,5%, coût du risque en hausse, exposition aux devises africaines). L'horizon d'investissement optimal est **moyen terme (3-12 mois)**, en attendant la confirmation de la maîtrise du coût du risque et la publication des résultats annuels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4,004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B40000"/>
                <w:sz w:val="17"/>
              </w:rPr>
              <w:t>-3.42%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μ=2,136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β=0.4812 (Défensif) — Cov=0.000017, Var(idx)=0.000034, ρ=0.130,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2,031</w:t>
            </w:r>
          </w:p>
        </w:tc>
        <w:tc>
          <w:tcPr>
            <w:tcW w:type="dxa" w:w="1440"/>
            <w:shd w:fill="FAFAFA" w:val="clear"/>
          </w:tcPr>
          <w:p>
            <w:r>
              <w:rPr>
                <w:b/>
                <w:sz w:val="17"/>
              </w:rPr>
              <w:t>2,101</w:t>
            </w:r>
          </w:p>
        </w:tc>
        <w:tc>
          <w:tcPr>
            <w:tcW w:type="dxa" w:w="1440"/>
            <w:shd w:fill="FAFAFA" w:val="clear"/>
          </w:tcPr>
          <w:p>
            <w:r>
              <w:rPr>
                <w:sz w:val="17"/>
              </w:rPr>
              <w:t>2,171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1,985</w:t>
            </w:r>
          </w:p>
        </w:tc>
        <w:tc>
          <w:tcPr>
            <w:tcW w:type="dxa" w:w="1440"/>
            <w:shd w:fill="FAFAFA" w:val="clear"/>
          </w:tcPr>
          <w:p>
            <w:r>
              <w:rPr>
                <w:b/>
                <w:sz w:val="17"/>
              </w:rPr>
              <w:t>2,083</w:t>
            </w:r>
          </w:p>
        </w:tc>
        <w:tc>
          <w:tcPr>
            <w:tcW w:type="dxa" w:w="1440"/>
            <w:shd w:fill="FAFAFA" w:val="clear"/>
          </w:tcPr>
          <w:p>
            <w:r>
              <w:rPr>
                <w:sz w:val="17"/>
              </w:rPr>
              <w:t>2,181</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1,947</w:t>
            </w:r>
          </w:p>
        </w:tc>
        <w:tc>
          <w:tcPr>
            <w:tcW w:type="dxa" w:w="1440"/>
            <w:shd w:fill="FFDCE0" w:val="clear"/>
          </w:tcPr>
          <w:p>
            <w:r>
              <w:rPr>
                <w:b/>
                <w:sz w:val="17"/>
              </w:rPr>
              <w:t>2,065</w:t>
            </w:r>
          </w:p>
        </w:tc>
        <w:tc>
          <w:tcPr>
            <w:tcW w:type="dxa" w:w="1440"/>
            <w:shd w:fill="FFDCE0" w:val="clear"/>
          </w:tcPr>
          <w:p>
            <w:r>
              <w:rPr>
                <w:sz w:val="17"/>
              </w:rPr>
              <w:t>2,184</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1,913</w:t>
            </w:r>
          </w:p>
        </w:tc>
        <w:tc>
          <w:tcPr>
            <w:tcW w:type="dxa" w:w="1440"/>
            <w:shd w:fill="FFDCE0" w:val="clear"/>
          </w:tcPr>
          <w:p>
            <w:r>
              <w:rPr>
                <w:b/>
                <w:sz w:val="17"/>
              </w:rPr>
              <w:t>2,049</w:t>
            </w:r>
          </w:p>
        </w:tc>
        <w:tc>
          <w:tcPr>
            <w:tcW w:type="dxa" w:w="1440"/>
            <w:shd w:fill="FFDCE0" w:val="clear"/>
          </w:tcPr>
          <w:p>
            <w:r>
              <w:rPr>
                <w:sz w:val="17"/>
              </w:rPr>
              <w:t>2,185</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1,882</w:t>
            </w:r>
          </w:p>
        </w:tc>
        <w:tc>
          <w:tcPr>
            <w:tcW w:type="dxa" w:w="1440"/>
            <w:shd w:fill="FFDCE0" w:val="clear"/>
          </w:tcPr>
          <w:p>
            <w:r>
              <w:rPr>
                <w:b/>
                <w:sz w:val="17"/>
              </w:rPr>
              <w:t>2,033</w:t>
            </w:r>
          </w:p>
        </w:tc>
        <w:tc>
          <w:tcPr>
            <w:tcW w:type="dxa" w:w="1440"/>
            <w:shd w:fill="FFDCE0" w:val="clear"/>
          </w:tcPr>
          <w:p>
            <w:r>
              <w:rPr>
                <w:sz w:val="17"/>
              </w:rPr>
              <w:t>2,184</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1,854</w:t>
            </w:r>
          </w:p>
        </w:tc>
        <w:tc>
          <w:tcPr>
            <w:tcW w:type="dxa" w:w="1440"/>
            <w:shd w:fill="FFDCE0" w:val="clear"/>
          </w:tcPr>
          <w:p>
            <w:r>
              <w:rPr>
                <w:b/>
                <w:sz w:val="17"/>
              </w:rPr>
              <w:t>2,018</w:t>
            </w:r>
          </w:p>
        </w:tc>
        <w:tc>
          <w:tcPr>
            <w:tcW w:type="dxa" w:w="1440"/>
            <w:shd w:fill="FFDCE0" w:val="clear"/>
          </w:tcPr>
          <w:p>
            <w:r>
              <w:rPr>
                <w:sz w:val="17"/>
              </w:rPr>
              <w:t>2,183</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1,828</w:t>
            </w:r>
          </w:p>
        </w:tc>
        <w:tc>
          <w:tcPr>
            <w:tcW w:type="dxa" w:w="1440"/>
            <w:shd w:fill="FFDCE0" w:val="clear"/>
          </w:tcPr>
          <w:p>
            <w:r>
              <w:rPr>
                <w:b/>
                <w:sz w:val="17"/>
              </w:rPr>
              <w:t>2,004</w:t>
            </w:r>
          </w:p>
        </w:tc>
        <w:tc>
          <w:tcPr>
            <w:tcW w:type="dxa" w:w="1440"/>
            <w:shd w:fill="FFDCE0" w:val="clear"/>
          </w:tcPr>
          <w:p>
            <w:r>
              <w:rPr>
                <w:sz w:val="17"/>
              </w:rPr>
              <w:t>2,180</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1,803</w:t>
            </w:r>
          </w:p>
        </w:tc>
        <w:tc>
          <w:tcPr>
            <w:tcW w:type="dxa" w:w="1440"/>
            <w:shd w:fill="FFDCE0" w:val="clear"/>
          </w:tcPr>
          <w:p>
            <w:r>
              <w:rPr>
                <w:b/>
                <w:sz w:val="17"/>
              </w:rPr>
              <w:t>1,990</w:t>
            </w:r>
          </w:p>
        </w:tc>
        <w:tc>
          <w:tcPr>
            <w:tcW w:type="dxa" w:w="1440"/>
            <w:shd w:fill="FFDCE0" w:val="clear"/>
          </w:tcPr>
          <w:p>
            <w:r>
              <w:rPr>
                <w:sz w:val="17"/>
              </w:rPr>
              <w:t>2,177</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1,780</w:t>
            </w:r>
          </w:p>
        </w:tc>
        <w:tc>
          <w:tcPr>
            <w:tcW w:type="dxa" w:w="1440"/>
            <w:shd w:fill="FFDCE0" w:val="clear"/>
          </w:tcPr>
          <w:p>
            <w:r>
              <w:rPr>
                <w:b/>
                <w:sz w:val="17"/>
              </w:rPr>
              <w:t>1,977</w:t>
            </w:r>
          </w:p>
        </w:tc>
        <w:tc>
          <w:tcPr>
            <w:tcW w:type="dxa" w:w="1440"/>
            <w:shd w:fill="FFDCE0" w:val="clear"/>
          </w:tcPr>
          <w:p>
            <w:r>
              <w:rPr>
                <w:sz w:val="17"/>
              </w:rPr>
              <w:t>2,173</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1,757</w:t>
            </w:r>
          </w:p>
        </w:tc>
        <w:tc>
          <w:tcPr>
            <w:tcW w:type="dxa" w:w="1440"/>
            <w:shd w:fill="FFDCE0" w:val="clear"/>
          </w:tcPr>
          <w:p>
            <w:r>
              <w:rPr>
                <w:b/>
                <w:sz w:val="17"/>
              </w:rPr>
              <w:t>1,964</w:t>
            </w:r>
          </w:p>
        </w:tc>
        <w:tc>
          <w:tcPr>
            <w:tcW w:type="dxa" w:w="1440"/>
            <w:shd w:fill="FFDCE0" w:val="clear"/>
          </w:tcPr>
          <w:p>
            <w:r>
              <w:rPr>
                <w:sz w:val="17"/>
              </w:rPr>
              <w:t>2,170</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(jute/polymères)*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29,90 Mds FCFA, FTSC se situe dans la catégorie des valeurs moyennes de la cote BRVM, loin des poids lourds bancaires et télécoms. Le BPA de 33 FCFA/action confère au titre un PER de 64,2x, soit un niveau extrêmement élevé comparé à la moyenne du marché BRVM (8-12x) : les investisseurs paient donc près de 64 fois les bénéfices annuels, ce qui traduit soit une anticipation de forte reprise, soit une anomalie liée à l'effondrement du résultat net 2025 (466 MFCFA contre 18,6 Mds en 2024). Le P/B de 1,90x indique que le marché valorise l'action à près du double de sa valeur comptable (capitaux propres de 15,7 Mds), ce qui reste raisonnable mais tendu pour une entreprise dont le ROE n'est que de 2,97%. Enfin, l'EV/EBITDA de 37,8x est très exigeant (&gt;15x = cher), signifiant que la valeur d'entreprise (incluant la dette nette négative de trésorerie) représente près de 38 fois la capacité opérationnelle, un multiple incompatible avec la rentabilité actuelle et qui n'est justifiable que par une normalisation rapide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FTSC affiche une variation totale de -3,42%, avec une dernière séance stable à +0,00%, le titre clôturant à 2 120 FCFA. Le range de trading est large, entre un plus haut de 2 430 FCFA et un plus bas de 1 910 FCFA, soit une amplitude de 27% qui témoigne d'une réelle nervosité malgré une tendance globale légèrement baissière. La moyenne (2 136 FCFA) et la médiane (2 152 FCFA) sont très proches, confirmant une distribution symétrique (skewness de 0,081), tandis que le mode à 1 990 FCFA suggère que le prix a longtemps stationné dans la zone basse du range. L'écart-type de 127 FCFA (CV de 6,0%) indique une dispersion modérée autour de la moyenne, et le kurtosis de -0,848 (mésokurtique) signale une distribution proche de la normale, sans risque majeur de pics extrêmes. La volatilité annualisée de 34,5% classe le titre dans la catégorie des valeurs à volatilité élevée (&gt;30%), ce qui est cohérent avec un dossier en pleine restructuration post-cession de filiales et dont les résultats trimestriels sont très erratiques.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(2 139,75 FCFA) et la MM50 (2 062,80 FCFA) se situent toutes deux au-dessus du cours actuel (2 120 FCFA) pour la MM20, mais la MM50 est en dessous. Le croisement haussier MM20 &gt; MM50 et le fait que le cours évolue entre les deux moyennes justifient la décision d'**Achat** fournie, bien que le signal soit fragile car le cours reste sous la MM20.</w:t>
      </w:r>
    </w:p>
    <w:p>
      <w:pPr>
        <w:spacing w:after="120" w:line="276" w:lineRule="auto"/>
      </w:pPr>
      <w:r>
        <w:t>**Bandes de Bollinger** : Le cours (2 120 FCFA) se situe dans la partie médiane de la bande, entre la borne inférieure (2 083,60 FCFA) et la borne supérieure (2 195,90 FCFA). L'absence de contact avec les bornes et la largeur modérée des bandes traduisent une volatilité normale et une absence de signal directionnel fort, d'où la décision **Neutre**.</w:t>
      </w:r>
    </w:p>
    <w:p>
      <w:pPr>
        <w:spacing w:after="120" w:line="276" w:lineRule="auto"/>
      </w:pPr>
      <w:r>
        <w:t>**MACD** : La valeur du MACD (8,339) est nettement inférieure à son signal (17,111), ce qui génère un croisement baissier et un momentum négatif. La divergence négative persistante justifie pleinement la décision de **Vente**, indiquant que la dynamique haussière s'essouffle.</w:t>
      </w:r>
    </w:p>
    <w:p>
      <w:pPr>
        <w:spacing w:after="120" w:line="276" w:lineRule="auto"/>
      </w:pPr>
      <w:r>
        <w:t>**RSI** : À 44,444, le RSI se situe dans la zone neutre (30-70), sans survente ni surachat. Cette position médiane, légèrement sous les 50, reflète une absence de pression acheteuse ou vendeuse dominante, confirmant la décision **Neutre**.</w:t>
      </w:r>
    </w:p>
    <w:p>
      <w:pPr>
        <w:spacing w:after="120" w:line="276" w:lineRule="auto"/>
      </w:pPr>
      <w:r>
        <w:t>**Stochastique** : Le %K (33,333) est supérieur au %D (25,926), avec un croisement haussier en zone basse (proche de la survente à 20). Ce signal précoce de retournement potentiel contredit partiellement le MACD, mais reste faible car les deux lignes évoluent en territoire baissier, d'où la décision **Neutre**.</w:t>
      </w:r>
    </w:p>
    <w:p>
      <w:pPr>
        <w:spacing w:after="120" w:line="276" w:lineRule="auto"/>
      </w:pPr>
      <w:r>
        <w:t>**Conclusion technique** : Les indicateurs sont divergents — les moyennes mobiles donnent un signal d'achat fragile, le MACD est clairement baissier, tandis que le RSI, les Bollinger et le Stochastique restent neutres. Cette absence de convergence traduit une phase d'indécision du marché, avec un léger biais baissier à court terme porté par le MACD, mais sans signal de vente forte. La prudence est de mise tant que le cours ne repasse pas au-dessus de la MM20 (2 139,75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préoccupante : le chiffre d'affaires s'établit à 32,109 Mds FCFA, en légère croissance de 4,6% sur un an, mais le résultat net s'effondre à 465,98 MFCFA contre 18,6 Mds FCFA en 2024, soit une chute de 97,5%. Cette débâcle s'explique par la disparition des produits exceptionnels de cession de filiales (Ivoire Coton, Chimtec, Cofisac) enregistrés en 2024, qui avaient artificiellement gonflé le bénéfice. Les ratios de rentabilité sont très faibles : ROE de 2,97% (très loin du seuil de 15% considéré comme excellent), ROA de 1,19%, et marge nette de seulement 1,45%. En tant qu'entreprise industrielle, l'analyse des délais d'exploitation est éclairante : le délai clients de 213,72 jours est très élevé et constitue un risque de trésorerie majeur, tandis que le délai fournisseurs de 140,71 jours et la durée de stockage de 214,65 jours immobilisent massivement du capital. Le BFR ressort à 11,529 Mds FCFA et la trésorerie nette est fortement négative à -11,528 Mds FCFA, conséquence directe du versement de dividendes exceptionnels de 18,6 Mds FCFA en 2024 (taux de distribution de 100%). La structure financière reste toutefois solvable (autonomie financière de 40,1%, solvabilité générale de 167%), mais le ratio d'endettement de 97,6% et la capacité de remboursement de 11,49 années sont des points de vigilance.</w:t>
      </w:r>
    </w:p>
    <w:p>
      <w:pPr>
        <w:spacing w:after="120" w:line="276" w:lineRule="auto"/>
      </w:pPr>
      <w:r>
        <w:t>Les rapports trimestriels confirment cette dynamique contrastée. Selon le **rapport T1 2026 (publié en 2026)**, le chiffre d'affaires bondit de 55% à 8 901 MFCFA, porté par la forte demande d'emballages cacao, et le résultat d'exploitation redevient positif à 75 MFCFA (contre -78 MFCFA au T1 2025), mais le résultat net reste déficitaire à -154 MFCFA. Le **rapport T3 2025 (daté du 30/09/2025)** indiquait déjà un CA de 18 371 MFCFA sur 9 mois (-1%), un résultat courant avant impôt de -216 MFCFA et une marge d'exploitation négative de -1,3%. Le **rapport S1 2025 (30/06/2025)** faisait état d'un CA de 13 406 MFCFA (+11%) et d'un résultat net de 105 MFCFA (-97%). Sur la base du T1 2026 (CA +55%, résultat d'exploitation positif), on peut **estimer** que l'exercice 2026 devrait afficher une nette amélioration opérationnelle, avec un retour à un résultat net positif si la campagne cacaoyère 2025/2026 tient ses promesses, mais la dépendance à cette campagne et aux coûts du fret maritime (crise au Moyen-Orient) reste un risque majeur. Le communiqué du 08/07/2026 rassure sur la continuité des activités malgré l'arrêt de la filature (interdiction d'exportation de jute par le Bangladesh), une solution d'importation de fil ayant été trouvée. **Recommandation fondamentale** : dossier en convalescence, à surveiller pour un retournement opérationnel, mais la fragilité de la trésorerie et la dépendance aux cycles agricoles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dossier révèle un profil d'investissement très contrasté. La **valorisation (Partie 0)** est clairement tendue : PER de 64,2x et EV/EBITDA de 37,8x traduisent une surévaluation manifeste au regard des bénéfices actuels, même si le P/B de 1,90x reste acceptable. Le **comportement du cours (Partie 1)** est baissier sur 100 jours (-3,42%), avec une volatilité élevée (34,5%) et une distribution symétrique sans risque de krach extrême (kurtosis -0,848), mais le titre évolue dans un range large (1 910-2 430 FCFA) qui reflète l'incertitude. Les **signaux techniques (Partie 2)** sont divergents : le MACD est baissier, les moyennes mobiles donnent un achat fragile, et le RSI/Stochastique/Bollinger sont neutres — aucune convergence claire ne se dégage. Les **fondamentaux (Partie 3)** montrent une entreprise en pleine restructuration : le CA 2025 (32,1 Mds FCFA) est stable mais le résultat net s'est effondré à 466 MFCFA, la trésorerie nette est négative (-11,5 Mds FCFA) et le ROE de 2,97% est médiocre ; toutefois, le T1 2026 (CA +55%, résultat d'exploitation positif) laisse entrevoir une amélioration opérationnelle significative. Les **prédictions IA (J+1 à J+10)** anticipent une trajectoire baissière continue, de 2 101 FCFA (J+1) à 2 033 FCFA (J+5), ce qui confirme le biais baissier du MACD et contredit le signal d'achat des moyennes mobiles.</w:t>
      </w:r>
    </w:p>
    <w:p>
      <w:pPr>
        <w:spacing w:after="120" w:line="276" w:lineRule="auto"/>
      </w:pPr>
      <w:r>
        <w:t>**Recommandation finale : CONSERVER (avec biais baissier à court terme)**. La convergence entre la valorisation excessive, le MACD baissier, la trésorerie dégradée et les prédictions IA baissières plaide contre un achat immédiat. Cependant, l'amélioration opérationnelle du T1 2026 et la solvabilité de la structure financière interdisent une vente panique. **Niveau de confiance : Moyen** (les signaux sont divergents et les fondamentaux en transition). **Niveau de risque global : Élevé** (volatilité de 34,5%, trésorerie négative, dépendance aux cycles cacao et aux coûts du fret). **Horizon d'investissement optimal : Moyen terme (3-12 mois)**, en attendant la confirmation d'un retour durable à la rentabilité opérationnelle sur les prochains trimestres, avec un point d'entrée plus favorable vers 1 950-2 000 FCFA si la baisse se poursuit.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4,375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+1.81%</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4.78% (Faible) — μ=4,067 FCFA, σ=194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β=-0.1145 (Contre-cyclique) — Cov=-0.000004, Var(idx)=0.000034, ρ=-0.028,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2026-09-15</w:t>
            </w:r>
          </w:p>
        </w:tc>
        <w:tc>
          <w:tcPr>
            <w:tcW w:type="dxa" w:w="1440"/>
            <w:shd w:fill="C6EFCE" w:val="clear"/>
          </w:tcPr>
          <w:p>
            <w:r>
              <w:rPr>
                <w:sz w:val="17"/>
              </w:rPr>
              <w:t>3,856</w:t>
            </w:r>
          </w:p>
        </w:tc>
        <w:tc>
          <w:tcPr>
            <w:tcW w:type="dxa" w:w="1440"/>
            <w:shd w:fill="C6EFCE" w:val="clear"/>
          </w:tcPr>
          <w:p>
            <w:r>
              <w:rPr>
                <w:b/>
                <w:sz w:val="17"/>
              </w:rPr>
              <w:t>4,020</w:t>
            </w:r>
          </w:p>
        </w:tc>
        <w:tc>
          <w:tcPr>
            <w:tcW w:type="dxa" w:w="1440"/>
            <w:shd w:fill="C6EFCE" w:val="clear"/>
          </w:tcPr>
          <w:p>
            <w:r>
              <w:rPr>
                <w:sz w:val="17"/>
              </w:rPr>
              <w:t>4,184</w:t>
            </w:r>
          </w:p>
        </w:tc>
        <w:tc>
          <w:tcPr>
            <w:tcW w:type="dxa" w:w="1440"/>
            <w:shd w:fill="C6EFCE" w:val="clear"/>
          </w:tcPr>
          <w:p>
            <w:r>
              <w:rPr>
                <w:b/>
                <w:color w:val="008000"/>
                <w:sz w:val="17"/>
              </w:rPr>
              <w:t>+2.3%</w:t>
            </w:r>
          </w:p>
        </w:tc>
      </w:tr>
      <w:tr>
        <w:tc>
          <w:tcPr>
            <w:tcW w:type="dxa" w:w="1440"/>
            <w:shd w:fill="C6EFCE" w:val="clear"/>
          </w:tcPr>
          <w:p>
            <w:r>
              <w:rPr>
                <w:sz w:val="17"/>
              </w:rPr>
              <w:t>J+2  Moyenne</w:t>
            </w:r>
          </w:p>
        </w:tc>
        <w:tc>
          <w:tcPr>
            <w:tcW w:type="dxa" w:w="1440"/>
            <w:shd w:fill="C6EFCE" w:val="clear"/>
          </w:tcPr>
          <w:p>
            <w:r>
              <w:rPr>
                <w:sz w:val="17"/>
              </w:rPr>
              <w:t>2026-09-16</w:t>
            </w:r>
          </w:p>
        </w:tc>
        <w:tc>
          <w:tcPr>
            <w:tcW w:type="dxa" w:w="1440"/>
            <w:shd w:fill="C6EFCE" w:val="clear"/>
          </w:tcPr>
          <w:p>
            <w:r>
              <w:rPr>
                <w:sz w:val="17"/>
              </w:rPr>
              <w:t>3,791</w:t>
            </w:r>
          </w:p>
        </w:tc>
        <w:tc>
          <w:tcPr>
            <w:tcW w:type="dxa" w:w="1440"/>
            <w:shd w:fill="C6EFCE" w:val="clear"/>
          </w:tcPr>
          <w:p>
            <w:r>
              <w:rPr>
                <w:b/>
                <w:sz w:val="17"/>
              </w:rPr>
              <w:t>4,022</w:t>
            </w:r>
          </w:p>
        </w:tc>
        <w:tc>
          <w:tcPr>
            <w:tcW w:type="dxa" w:w="1440"/>
            <w:shd w:fill="C6EFCE" w:val="clear"/>
          </w:tcPr>
          <w:p>
            <w:r>
              <w:rPr>
                <w:sz w:val="17"/>
              </w:rPr>
              <w:t>4,254</w:t>
            </w:r>
          </w:p>
        </w:tc>
        <w:tc>
          <w:tcPr>
            <w:tcW w:type="dxa" w:w="1440"/>
            <w:shd w:fill="C6EFCE" w:val="clear"/>
          </w:tcPr>
          <w:p>
            <w:r>
              <w:rPr>
                <w:b/>
                <w:color w:val="008000"/>
                <w:sz w:val="17"/>
              </w:rPr>
              <w:t>+2.4%</w:t>
            </w:r>
          </w:p>
        </w:tc>
      </w:tr>
      <w:tr>
        <w:tc>
          <w:tcPr>
            <w:tcW w:type="dxa" w:w="1440"/>
            <w:shd w:fill="C6EFCE" w:val="clear"/>
          </w:tcPr>
          <w:p>
            <w:r>
              <w:rPr>
                <w:sz w:val="17"/>
              </w:rPr>
              <w:t>J+3  Moyenne</w:t>
            </w:r>
          </w:p>
        </w:tc>
        <w:tc>
          <w:tcPr>
            <w:tcW w:type="dxa" w:w="1440"/>
            <w:shd w:fill="C6EFCE" w:val="clear"/>
          </w:tcPr>
          <w:p>
            <w:r>
              <w:rPr>
                <w:sz w:val="17"/>
              </w:rPr>
              <w:t>2026-09-17</w:t>
            </w:r>
          </w:p>
        </w:tc>
        <w:tc>
          <w:tcPr>
            <w:tcW w:type="dxa" w:w="1440"/>
            <w:shd w:fill="C6EFCE" w:val="clear"/>
          </w:tcPr>
          <w:p>
            <w:r>
              <w:rPr>
                <w:sz w:val="17"/>
              </w:rPr>
              <w:t>3,755</w:t>
            </w:r>
          </w:p>
        </w:tc>
        <w:tc>
          <w:tcPr>
            <w:tcW w:type="dxa" w:w="1440"/>
            <w:shd w:fill="C6EFCE" w:val="clear"/>
          </w:tcPr>
          <w:p>
            <w:r>
              <w:rPr>
                <w:b/>
                <w:sz w:val="17"/>
              </w:rPr>
              <w:t>4,040</w:t>
            </w:r>
          </w:p>
        </w:tc>
        <w:tc>
          <w:tcPr>
            <w:tcW w:type="dxa" w:w="1440"/>
            <w:shd w:fill="C6EFCE" w:val="clear"/>
          </w:tcPr>
          <w:p>
            <w:r>
              <w:rPr>
                <w:sz w:val="17"/>
              </w:rPr>
              <w:t>4,325</w:t>
            </w:r>
          </w:p>
        </w:tc>
        <w:tc>
          <w:tcPr>
            <w:tcW w:type="dxa" w:w="1440"/>
            <w:shd w:fill="C6EFCE" w:val="clear"/>
          </w:tcPr>
          <w:p>
            <w:r>
              <w:rPr>
                <w:b/>
                <w:color w:val="008000"/>
                <w:sz w:val="17"/>
              </w:rPr>
              <w:t>+2.8%</w:t>
            </w:r>
          </w:p>
        </w:tc>
      </w:tr>
      <w:tr>
        <w:tc>
          <w:tcPr>
            <w:tcW w:type="dxa" w:w="1440"/>
            <w:shd w:fill="C6EFCE" w:val="clear"/>
          </w:tcPr>
          <w:p>
            <w:r>
              <w:rPr>
                <w:sz w:val="17"/>
              </w:rPr>
              <w:t>J+4  ⭐</w:t>
            </w:r>
          </w:p>
        </w:tc>
        <w:tc>
          <w:tcPr>
            <w:tcW w:type="dxa" w:w="1440"/>
            <w:shd w:fill="C6EFCE" w:val="clear"/>
          </w:tcPr>
          <w:p>
            <w:r>
              <w:rPr>
                <w:sz w:val="17"/>
              </w:rPr>
              <w:t>2026-09-18</w:t>
            </w:r>
          </w:p>
        </w:tc>
        <w:tc>
          <w:tcPr>
            <w:tcW w:type="dxa" w:w="1440"/>
            <w:shd w:fill="C6EFCE" w:val="clear"/>
          </w:tcPr>
          <w:p>
            <w:r>
              <w:rPr>
                <w:sz w:val="17"/>
              </w:rPr>
              <w:t>3,734</w:t>
            </w:r>
          </w:p>
        </w:tc>
        <w:tc>
          <w:tcPr>
            <w:tcW w:type="dxa" w:w="1440"/>
            <w:shd w:fill="C6EFCE" w:val="clear"/>
          </w:tcPr>
          <w:p>
            <w:r>
              <w:rPr>
                <w:b/>
                <w:sz w:val="17"/>
              </w:rPr>
              <w:t>4,065</w:t>
            </w:r>
          </w:p>
        </w:tc>
        <w:tc>
          <w:tcPr>
            <w:tcW w:type="dxa" w:w="1440"/>
            <w:shd w:fill="C6EFCE" w:val="clear"/>
          </w:tcPr>
          <w:p>
            <w:r>
              <w:rPr>
                <w:sz w:val="17"/>
              </w:rPr>
              <w:t>4,396</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2026-09-21</w:t>
            </w:r>
          </w:p>
        </w:tc>
        <w:tc>
          <w:tcPr>
            <w:tcW w:type="dxa" w:w="1440"/>
            <w:shd w:fill="C6EFCE" w:val="clear"/>
          </w:tcPr>
          <w:p>
            <w:r>
              <w:rPr>
                <w:sz w:val="17"/>
              </w:rPr>
              <w:t>3,724</w:t>
            </w:r>
          </w:p>
        </w:tc>
        <w:tc>
          <w:tcPr>
            <w:tcW w:type="dxa" w:w="1440"/>
            <w:shd w:fill="C6EFCE" w:val="clear"/>
          </w:tcPr>
          <w:p>
            <w:r>
              <w:rPr>
                <w:b/>
                <w:sz w:val="17"/>
              </w:rPr>
              <w:t>4,098</w:t>
            </w:r>
          </w:p>
        </w:tc>
        <w:tc>
          <w:tcPr>
            <w:tcW w:type="dxa" w:w="1440"/>
            <w:shd w:fill="C6EFCE" w:val="clear"/>
          </w:tcPr>
          <w:p>
            <w:r>
              <w:rPr>
                <w:sz w:val="17"/>
              </w:rPr>
              <w:t>4,471</w:t>
            </w:r>
          </w:p>
        </w:tc>
        <w:tc>
          <w:tcPr>
            <w:tcW w:type="dxa" w:w="1440"/>
            <w:shd w:fill="C6EFCE" w:val="clear"/>
          </w:tcPr>
          <w:p>
            <w:r>
              <w:rPr>
                <w:b/>
                <w:color w:val="008000"/>
                <w:sz w:val="17"/>
              </w:rPr>
              <w:t>+4.3%</w:t>
            </w:r>
          </w:p>
        </w:tc>
      </w:tr>
      <w:tr>
        <w:tc>
          <w:tcPr>
            <w:tcW w:type="dxa" w:w="1440"/>
            <w:shd w:fill="C6EFCE" w:val="clear"/>
          </w:tcPr>
          <w:p>
            <w:r>
              <w:rPr>
                <w:sz w:val="17"/>
              </w:rPr>
              <w:t>J+6  ⭐</w:t>
            </w:r>
          </w:p>
        </w:tc>
        <w:tc>
          <w:tcPr>
            <w:tcW w:type="dxa" w:w="1440"/>
            <w:shd w:fill="C6EFCE" w:val="clear"/>
          </w:tcPr>
          <w:p>
            <w:r>
              <w:rPr>
                <w:sz w:val="17"/>
              </w:rPr>
              <w:t>2026-09-22</w:t>
            </w:r>
          </w:p>
        </w:tc>
        <w:tc>
          <w:tcPr>
            <w:tcW w:type="dxa" w:w="1440"/>
            <w:shd w:fill="C6EFCE" w:val="clear"/>
          </w:tcPr>
          <w:p>
            <w:r>
              <w:rPr>
                <w:sz w:val="17"/>
              </w:rPr>
              <w:t>3,709</w:t>
            </w:r>
          </w:p>
        </w:tc>
        <w:tc>
          <w:tcPr>
            <w:tcW w:type="dxa" w:w="1440"/>
            <w:shd w:fill="C6EFCE" w:val="clear"/>
          </w:tcPr>
          <w:p>
            <w:r>
              <w:rPr>
                <w:b/>
                <w:sz w:val="17"/>
              </w:rPr>
              <w:t>4,120</w:t>
            </w:r>
          </w:p>
        </w:tc>
        <w:tc>
          <w:tcPr>
            <w:tcW w:type="dxa" w:w="1440"/>
            <w:shd w:fill="C6EFCE" w:val="clear"/>
          </w:tcPr>
          <w:p>
            <w:r>
              <w:rPr>
                <w:sz w:val="17"/>
              </w:rPr>
              <w:t>4,532</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2026-09-23</w:t>
            </w:r>
          </w:p>
        </w:tc>
        <w:tc>
          <w:tcPr>
            <w:tcW w:type="dxa" w:w="1440"/>
            <w:shd w:fill="C6EFCE" w:val="clear"/>
          </w:tcPr>
          <w:p>
            <w:r>
              <w:rPr>
                <w:sz w:val="17"/>
              </w:rPr>
              <w:t>3,706</w:t>
            </w:r>
          </w:p>
        </w:tc>
        <w:tc>
          <w:tcPr>
            <w:tcW w:type="dxa" w:w="1440"/>
            <w:shd w:fill="C6EFCE" w:val="clear"/>
          </w:tcPr>
          <w:p>
            <w:r>
              <w:rPr>
                <w:b/>
                <w:sz w:val="17"/>
              </w:rPr>
              <w:t>4,155</w:t>
            </w:r>
          </w:p>
        </w:tc>
        <w:tc>
          <w:tcPr>
            <w:tcW w:type="dxa" w:w="1440"/>
            <w:shd w:fill="C6EFCE" w:val="clear"/>
          </w:tcPr>
          <w:p>
            <w:r>
              <w:rPr>
                <w:sz w:val="17"/>
              </w:rPr>
              <w:t>4,603</w:t>
            </w:r>
          </w:p>
        </w:tc>
        <w:tc>
          <w:tcPr>
            <w:tcW w:type="dxa" w:w="1440"/>
            <w:shd w:fill="C6EFCE" w:val="clear"/>
          </w:tcPr>
          <w:p>
            <w:r>
              <w:rPr>
                <w:b/>
                <w:color w:val="008000"/>
                <w:sz w:val="17"/>
              </w:rPr>
              <w:t>+5.7%</w:t>
            </w:r>
          </w:p>
        </w:tc>
      </w:tr>
      <w:tr>
        <w:tc>
          <w:tcPr>
            <w:tcW w:type="dxa" w:w="1440"/>
            <w:shd w:fill="C6EFCE" w:val="clear"/>
          </w:tcPr>
          <w:p>
            <w:r>
              <w:rPr>
                <w:sz w:val="17"/>
              </w:rPr>
              <w:t>J+8  ⭐</w:t>
            </w:r>
          </w:p>
        </w:tc>
        <w:tc>
          <w:tcPr>
            <w:tcW w:type="dxa" w:w="1440"/>
            <w:shd w:fill="C6EFCE" w:val="clear"/>
          </w:tcPr>
          <w:p>
            <w:r>
              <w:rPr>
                <w:sz w:val="17"/>
              </w:rPr>
              <w:t>2026-09-24</w:t>
            </w:r>
          </w:p>
        </w:tc>
        <w:tc>
          <w:tcPr>
            <w:tcW w:type="dxa" w:w="1440"/>
            <w:shd w:fill="C6EFCE" w:val="clear"/>
          </w:tcPr>
          <w:p>
            <w:r>
              <w:rPr>
                <w:sz w:val="17"/>
              </w:rPr>
              <w:t>3,684</w:t>
            </w:r>
          </w:p>
        </w:tc>
        <w:tc>
          <w:tcPr>
            <w:tcW w:type="dxa" w:w="1440"/>
            <w:shd w:fill="C6EFCE" w:val="clear"/>
          </w:tcPr>
          <w:p>
            <w:r>
              <w:rPr>
                <w:b/>
                <w:sz w:val="17"/>
              </w:rPr>
              <w:t>4,164</w:t>
            </w:r>
          </w:p>
        </w:tc>
        <w:tc>
          <w:tcPr>
            <w:tcW w:type="dxa" w:w="1440"/>
            <w:shd w:fill="C6EFCE" w:val="clear"/>
          </w:tcPr>
          <w:p>
            <w:r>
              <w:rPr>
                <w:sz w:val="17"/>
              </w:rPr>
              <w:t>4,644</w:t>
            </w:r>
          </w:p>
        </w:tc>
        <w:tc>
          <w:tcPr>
            <w:tcW w:type="dxa" w:w="1440"/>
            <w:shd w:fill="C6EFCE" w:val="clear"/>
          </w:tcPr>
          <w:p>
            <w:r>
              <w:rPr>
                <w:b/>
                <w:color w:val="008000"/>
                <w:sz w:val="17"/>
              </w:rPr>
              <w:t>+5.9%</w:t>
            </w:r>
          </w:p>
        </w:tc>
      </w:tr>
      <w:tr>
        <w:tc>
          <w:tcPr>
            <w:tcW w:type="dxa" w:w="1440"/>
            <w:shd w:fill="C6EFCE" w:val="clear"/>
          </w:tcPr>
          <w:p>
            <w:r>
              <w:rPr>
                <w:sz w:val="17"/>
              </w:rPr>
              <w:t>J+9  ⭐</w:t>
            </w:r>
          </w:p>
        </w:tc>
        <w:tc>
          <w:tcPr>
            <w:tcW w:type="dxa" w:w="1440"/>
            <w:shd w:fill="C6EFCE" w:val="clear"/>
          </w:tcPr>
          <w:p>
            <w:r>
              <w:rPr>
                <w:sz w:val="17"/>
              </w:rPr>
              <w:t>2026-09-25</w:t>
            </w:r>
          </w:p>
        </w:tc>
        <w:tc>
          <w:tcPr>
            <w:tcW w:type="dxa" w:w="1440"/>
            <w:shd w:fill="C6EFCE" w:val="clear"/>
          </w:tcPr>
          <w:p>
            <w:r>
              <w:rPr>
                <w:sz w:val="17"/>
              </w:rPr>
              <w:t>3,657</w:t>
            </w:r>
          </w:p>
        </w:tc>
        <w:tc>
          <w:tcPr>
            <w:tcW w:type="dxa" w:w="1440"/>
            <w:shd w:fill="C6EFCE" w:val="clear"/>
          </w:tcPr>
          <w:p>
            <w:r>
              <w:rPr>
                <w:b/>
                <w:sz w:val="17"/>
              </w:rPr>
              <w:t>4,167</w:t>
            </w:r>
          </w:p>
        </w:tc>
        <w:tc>
          <w:tcPr>
            <w:tcW w:type="dxa" w:w="1440"/>
            <w:shd w:fill="C6EFCE" w:val="clear"/>
          </w:tcPr>
          <w:p>
            <w:r>
              <w:rPr>
                <w:sz w:val="17"/>
              </w:rPr>
              <w:t>4,676</w:t>
            </w:r>
          </w:p>
        </w:tc>
        <w:tc>
          <w:tcPr>
            <w:tcW w:type="dxa" w:w="1440"/>
            <w:shd w:fill="C6EFCE" w:val="clear"/>
          </w:tcPr>
          <w:p>
            <w:r>
              <w:rPr>
                <w:b/>
                <w:color w:val="008000"/>
                <w:sz w:val="17"/>
              </w:rPr>
              <w:t>+6.0%</w:t>
            </w:r>
          </w:p>
        </w:tc>
      </w:tr>
      <w:tr>
        <w:tc>
          <w:tcPr>
            <w:tcW w:type="dxa" w:w="1440"/>
            <w:shd w:fill="C6EFCE" w:val="clear"/>
          </w:tcPr>
          <w:p>
            <w:r>
              <w:rPr>
                <w:sz w:val="17"/>
              </w:rPr>
              <w:t>J+10  ⭐</w:t>
            </w:r>
          </w:p>
        </w:tc>
        <w:tc>
          <w:tcPr>
            <w:tcW w:type="dxa" w:w="1440"/>
            <w:shd w:fill="C6EFCE" w:val="clear"/>
          </w:tcPr>
          <w:p>
            <w:r>
              <w:rPr>
                <w:sz w:val="17"/>
              </w:rPr>
              <w:t>2026-09-28</w:t>
            </w:r>
          </w:p>
        </w:tc>
        <w:tc>
          <w:tcPr>
            <w:tcW w:type="dxa" w:w="1440"/>
            <w:shd w:fill="C6EFCE" w:val="clear"/>
          </w:tcPr>
          <w:p>
            <w:r>
              <w:rPr>
                <w:sz w:val="17"/>
              </w:rPr>
              <w:t>3,640</w:t>
            </w:r>
          </w:p>
        </w:tc>
        <w:tc>
          <w:tcPr>
            <w:tcW w:type="dxa" w:w="1440"/>
            <w:shd w:fill="C6EFCE" w:val="clear"/>
          </w:tcPr>
          <w:p>
            <w:r>
              <w:rPr>
                <w:b/>
                <w:sz w:val="17"/>
              </w:rPr>
              <w:t>4,178</w:t>
            </w:r>
          </w:p>
        </w:tc>
        <w:tc>
          <w:tcPr>
            <w:tcW w:type="dxa" w:w="1440"/>
            <w:shd w:fill="C6EFCE" w:val="clear"/>
          </w:tcPr>
          <w:p>
            <w:r>
              <w:rPr>
                <w:sz w:val="17"/>
              </w:rPr>
              <w:t>4,717</w:t>
            </w:r>
          </w:p>
        </w:tc>
        <w:tc>
          <w:tcPr>
            <w:tcW w:type="dxa" w:w="1440"/>
            <w:shd w:fill="C6EFCE" w:val="clear"/>
          </w:tcPr>
          <w:p>
            <w:r>
              <w:rPr>
                <w:b/>
                <w:color w:val="008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78,60 Mds FCFA, LNBB se positionne comme une valeur de taille intermédiaire sur la BRVM, représentant un poids significatif dans le compartiment des valeurs non bancaires. Le BPA de 231 FCFA/action signifie que chaque titre génère près de 231 FCFA de bénéfice net, ce qui, rapporté au cours actuel de 3 930 FCFA, donne un PER de 17,0x. Ce niveau est nettement supérieur à la moyenne du marché BRVM (généralement comprise entre 8x et 12x), traduisant une prime de valorisation que les investisseurs accordent à la société. Le P/B de 3,58x confirme cette prime : le marché valorise LNBB à plus de 3,5 fois sa valeur comptable, ce qui est cohérent avec un profil de croissance et une rentabilité des fonds propres élevée (ROE de 21,05%). Enfin, l'EV/EBITDA de 9,9x se situe dans la fourchette raisonnable de 5-10x, indiquant que la valeur d'entreprise reste cohérente avec la capacité opérationnelle de la société, sans exagération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+1,81%, mais la dernière séance (J-1) enregistre un repli de -1,75%, signalant une pression vendeuse récente. Le cours actuel de 3 930 FCFA se situe dans la partie basse du range de trading, le plus haut ayant atteint 4 560 FCFA et le plus bas 3 825 FCFA, soit un écart de 735 FCFA (19,2% du plus bas). La tendance générale est donc baissière depuis le pic, avec une érosion progressive des cours. Les statistiques descriptives révèlent une moyenne de 4 067 FCFA supérieure à la médiane de 4 002 FCFA, confirmant une asymétrie positive (skewness de 0,552) : les journées sous la moyenne sont plus fréquentes, mais quelques pics haussiers tirent la moyenne vers le haut. L'écart-type de 195 FCFA (CV de 4,8%) indique une dispersion modérée du cours autour de sa moyenne, tandis que le kurtosis de -0,877 (mésokurtique) suggère une distribution proche de la normale, sans risque excessif de pics extrêmes. La volatilité annualisée de 37,7% classe le titre dans la catégorie des valeurs à volatilité élevée (&gt;30%), ce qui implique un risque de prix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(4 038,75 FCFA) et la MM50 (4 184,0 FCFA) se situent toutes deux au-dessus du cours actuel (3 930 FCFA), confirmant une configuration baissière. Le cours évolue sous ses moyennes, ce qui valide la décision technique de « Vente » et suggère que la pression baissière reste dominante à court et moyen terme.</w:t>
      </w:r>
    </w:p>
    <w:p>
      <w:pPr>
        <w:spacing w:after="120" w:line="276" w:lineRule="auto"/>
      </w:pPr>
      <w:r>
        <w:t>**Bandes de Bollinger** : Le cours (3 930 FCFA) se situe dans la partie basse de la bande, entre la borne inférieure (3 899,395 FCFA) et la borne supérieure (4 178,105 FCFA). Cette position proche de la borne basse indique une faiblesse relative, mais la décision « Neutre » suggère que le titre n'est pas encore en zone de survente extrême, laissant place à une possible stabilisation.</w:t>
      </w:r>
    </w:p>
    <w:p>
      <w:pPr>
        <w:spacing w:after="120" w:line="276" w:lineRule="auto"/>
      </w:pPr>
      <w:r>
        <w:t>**MACD** : La valeur du MACD (-56,984) est inférieure à son signal (-54,619), avec un histogramme négatif. Cette configuration confirme un momentum baissier, justifiant la décision de « Vente ». La divergence négative persiste, sans signe de retournement imminent.</w:t>
      </w:r>
    </w:p>
    <w:p>
      <w:pPr>
        <w:spacing w:after="120" w:line="276" w:lineRule="auto"/>
      </w:pPr>
      <w:r>
        <w:t>**RSI** : À 40,881, le RSI se situe en zone neutre (30-70), sans atteindre la zone de survente (&lt;30). La décision « Neutre » reflète l'absence de signal fort, mais la proximité de la zone basse suggère une possible accélération baissière si le seuil de 30 est franchi.</w:t>
      </w:r>
    </w:p>
    <w:p>
      <w:pPr>
        <w:spacing w:after="120" w:line="276" w:lineRule="auto"/>
      </w:pPr>
      <w:r>
        <w:t>**Stochastique** : Le %K (15,0) est nettement inférieur au %D (30,0), avec un croisement en zone de survente. La décision « Achat » contraste avec les autres indicateurs, suggérant qu'un rebond technique à court terme est possible, mais ce signal isolé doit être confirmé par les autres indicateurs.</w:t>
      </w:r>
    </w:p>
    <w:p>
      <w:pPr>
        <w:spacing w:after="120" w:line="276" w:lineRule="auto"/>
      </w:pPr>
      <w:r>
        <w:t>**Conclusion technique** : La majorité des indicateurs (MM, MACD) pointent vers une tendance baissière, tandis que le RSI et les Bandes de Bollinger sont neutres, et le Stochastique donne un signal d'achat contrarien. Cette divergence suggère une phase de consolidation baissière, avec un potentiel rebond technique à court terme, mais sans retournement de tendance confirmé.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(102,544 Mds FCFA), sous l'effet d'une concurrence illégale accrue. Le résultat net s'établit à 4,622 Mds FCFA, en recul de -35,6% (vs 7,176 Mds en 2024), principalement en raison de l'absence de produits exceptionnels (3,1 Mds en 2024). Malgré cette baisse, les fondamentaux opérationnels restent solides : la valeur ajoutée progresse de +22% à 10,548 Mds FCFA, l'EBE de +34% à 7,164 Mds FCFA, et le ROE atteint 21,05% (excellent, &gt;15%), tandis que le ROA de 14,17% confirme une bonne rentabilité des actifs. La structure financière est très saine : autonomie financière de 67,32%, ratio d'endettement de 2,57%, et trésorerie nette de 7,979 Mds FCFA. Le BFR est négatif (217,45 M FCFA), signe d'une gestion efficace du besoin en fonds de roulement, avec des délais clients très courts (4,82 jours) et des délais fournisseurs de 20,41 jours. Les rapports trimestriels de 2026 confirment une amélioration : au S1 2026 (rapport du 30 juin 2026), le CA progresse de +4% à 49,937 Mds FCFA, et le résultat net bondit de +60% grâce à la maîtrise des charges et aux revenus de partenariats, malgré une baisse du produit brut des jeux (-9%). On estime donc que l'exercice 2026 devrait afficher une reprise de la rentabilité, portée par le déploiement de 1 500 nouveaux terminaux et l'innovation produit. Le principal risque reste la pression sur les marges liée à la dépendance croissante au pari sportif (taux de retour aux joueurs de 95%). La recommandation fondamentale est de **CONSERVER** le titre, en attendant la confirmation de la stabilisation des marges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17,0x, P/B de 3,58x, EV/EBITDA de 9,9x) indique une prime par rapport au marché BRVM, justifiée par un ROE élevé (21,05%) mais tempérée par un PER supérieur à la moyenne. Le comportement du cours sur 100 jours est baissier (+1,81% de variation totale, mais -1,75% en J-1), avec une volatilité élevée (37,7%) et une asymétrie positive (skewness de 0,552) qui suggère des pics haussiers occasionnels. Les signaux techniques sont majoritairement baissiers (MM, MACD), avec un RSI neutre et un Stochastique en zone de survente, indiquant une possible consolidation avant un rebond. Les fondamentaux sont solides malgré la baisse du CA en 2025 : la rentabilité opérationnelle s'améliore (EBE +34%, VA +22%), et les rapports S1 2026 confirment une reprise du résultat net (+60%). Les prédictions IA (J+1 à J+10) anticipent une trajectoire haussière modérée, de 4 020 FCFA à 4 098 FCFA, ce qui contredit les signaux techniques baissiers à court terme mais s'aligne sur les fondamentaux en amélioration. Sur la base de cette synthèse, la recommandation finale est **CONSERVER**, avec un niveau de confiance **Moyen** et un risque global **Moyen**. L'horizon d'investissement optimal est le **moyen terme (3-12 mois)**, en attendant la confirmation de la reprise de la rentabilité et de la stabilisation des marges au second semestre 2026. Une position d'achat agressive serait prématurée sans visibilité sur l'évolution du produit brut des jeux et l'efficacité des mesures contre la concurrence illégale.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5,064 titres</w:t>
            </w:r>
          </w:p>
        </w:tc>
        <w:tc>
          <w:tcPr>
            <w:tcW w:type="dxa" w:w="2268"/>
            <w:shd w:fill="FFF2CC" w:val="clear"/>
          </w:tcPr>
          <w:p>
            <w:r>
              <w:rPr>
                <w:b/>
                <w:color w:val="503200"/>
                <w:sz w:val="16"/>
              </w:rPr>
              <w:t xml:space="preserve">Cours actuel : </w:t>
            </w:r>
            <w:r>
              <w:rPr>
                <w:color w:val="000000"/>
                <w:sz w:val="17"/>
              </w:rPr>
              <w:t>2,845 FCFA</w:t>
            </w:r>
          </w:p>
          <w:p>
            <w:r>
              <w:rPr>
                <w:b/>
                <w:color w:val="503200"/>
                <w:sz w:val="16"/>
              </w:rPr>
              <w:t xml:space="preserve">Var. 100 jours : </w:t>
            </w:r>
            <w:r>
              <w:rPr>
                <w:b/>
                <w:color w:val="007800"/>
                <w:sz w:val="17"/>
              </w:rPr>
              <w:t>+106.16%</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16.52% (Élevée) — μ=2,197 FCFA, σ=363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β=-0.2572 (Contre-cyclique) — Cov=-0.000009, Var(idx)=0.000034, ρ=-0.042,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σ_j=3.58%/j (Modérée) — Vol. annualisée≈56.8%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2026-09-15</w:t>
            </w:r>
          </w:p>
        </w:tc>
        <w:tc>
          <w:tcPr>
            <w:tcW w:type="dxa" w:w="1440"/>
            <w:shd w:fill="FFDCE0" w:val="clear"/>
          </w:tcPr>
          <w:p>
            <w:r>
              <w:rPr>
                <w:sz w:val="17"/>
              </w:rPr>
              <w:t>2,587</w:t>
            </w:r>
          </w:p>
        </w:tc>
        <w:tc>
          <w:tcPr>
            <w:tcW w:type="dxa" w:w="1440"/>
            <w:shd w:fill="FFDCE0" w:val="clear"/>
          </w:tcPr>
          <w:p>
            <w:r>
              <w:rPr>
                <w:b/>
                <w:sz w:val="17"/>
              </w:rPr>
              <w:t>2,760</w:t>
            </w:r>
          </w:p>
        </w:tc>
        <w:tc>
          <w:tcPr>
            <w:tcW w:type="dxa" w:w="1440"/>
            <w:shd w:fill="FFDCE0" w:val="clear"/>
          </w:tcPr>
          <w:p>
            <w:r>
              <w:rPr>
                <w:sz w:val="17"/>
              </w:rPr>
              <w:t>2,932</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2,473</w:t>
            </w:r>
          </w:p>
        </w:tc>
        <w:tc>
          <w:tcPr>
            <w:tcW w:type="dxa" w:w="1440"/>
            <w:shd w:fill="FFDCE0" w:val="clear"/>
          </w:tcPr>
          <w:p>
            <w:r>
              <w:rPr>
                <w:b/>
                <w:sz w:val="17"/>
              </w:rPr>
              <w:t>2,712</w:t>
            </w:r>
          </w:p>
        </w:tc>
        <w:tc>
          <w:tcPr>
            <w:tcW w:type="dxa" w:w="1440"/>
            <w:shd w:fill="FFDCE0" w:val="clear"/>
          </w:tcPr>
          <w:p>
            <w:r>
              <w:rPr>
                <w:sz w:val="17"/>
              </w:rPr>
              <w:t>2,952</w:t>
            </w:r>
          </w:p>
        </w:tc>
        <w:tc>
          <w:tcPr>
            <w:tcW w:type="dxa" w:w="1440"/>
            <w:shd w:fill="FFDCE0" w:val="clear"/>
          </w:tcPr>
          <w:p>
            <w:r>
              <w:rPr>
                <w:b/>
                <w:color w:val="C00000"/>
                <w:sz w:val="17"/>
              </w:rPr>
              <w:t>-4.7%</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2,375</w:t>
            </w:r>
          </w:p>
        </w:tc>
        <w:tc>
          <w:tcPr>
            <w:tcW w:type="dxa" w:w="1440"/>
            <w:shd w:fill="FFDCE0" w:val="clear"/>
          </w:tcPr>
          <w:p>
            <w:r>
              <w:rPr>
                <w:b/>
                <w:sz w:val="17"/>
              </w:rPr>
              <w:t>2,663</w:t>
            </w:r>
          </w:p>
        </w:tc>
        <w:tc>
          <w:tcPr>
            <w:tcW w:type="dxa" w:w="1440"/>
            <w:shd w:fill="FFDCE0" w:val="clear"/>
          </w:tcPr>
          <w:p>
            <w:r>
              <w:rPr>
                <w:sz w:val="17"/>
              </w:rPr>
              <w:t>2,951</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2,296</w:t>
            </w:r>
          </w:p>
        </w:tc>
        <w:tc>
          <w:tcPr>
            <w:tcW w:type="dxa" w:w="1440"/>
            <w:shd w:fill="FFDCE0" w:val="clear"/>
          </w:tcPr>
          <w:p>
            <w:r>
              <w:rPr>
                <w:b/>
                <w:sz w:val="17"/>
              </w:rPr>
              <w:t>2,624</w:t>
            </w:r>
          </w:p>
        </w:tc>
        <w:tc>
          <w:tcPr>
            <w:tcW w:type="dxa" w:w="1440"/>
            <w:shd w:fill="FFDCE0" w:val="clear"/>
          </w:tcPr>
          <w:p>
            <w:r>
              <w:rPr>
                <w:sz w:val="17"/>
              </w:rPr>
              <w:t>2,952</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2,231</w:t>
            </w:r>
          </w:p>
        </w:tc>
        <w:tc>
          <w:tcPr>
            <w:tcW w:type="dxa" w:w="1440"/>
            <w:shd w:fill="FFDCE0" w:val="clear"/>
          </w:tcPr>
          <w:p>
            <w:r>
              <w:rPr>
                <w:b/>
                <w:sz w:val="17"/>
              </w:rPr>
              <w:t>2,593</w:t>
            </w:r>
          </w:p>
        </w:tc>
        <w:tc>
          <w:tcPr>
            <w:tcW w:type="dxa" w:w="1440"/>
            <w:shd w:fill="FFDCE0" w:val="clear"/>
          </w:tcPr>
          <w:p>
            <w:r>
              <w:rPr>
                <w:sz w:val="17"/>
              </w:rPr>
              <w:t>2,955</w:t>
            </w:r>
          </w:p>
        </w:tc>
        <w:tc>
          <w:tcPr>
            <w:tcW w:type="dxa" w:w="1440"/>
            <w:shd w:fill="FFDCE0" w:val="clear"/>
          </w:tcPr>
          <w:p>
            <w:r>
              <w:rPr>
                <w:b/>
                <w:color w:val="C00000"/>
                <w:sz w:val="17"/>
              </w:rPr>
              <w:t>-8.9%</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2,173</w:t>
            </w:r>
          </w:p>
        </w:tc>
        <w:tc>
          <w:tcPr>
            <w:tcW w:type="dxa" w:w="1440"/>
            <w:shd w:fill="FFDCE0" w:val="clear"/>
          </w:tcPr>
          <w:p>
            <w:r>
              <w:rPr>
                <w:b/>
                <w:sz w:val="17"/>
              </w:rPr>
              <w:t>2,566</w:t>
            </w:r>
          </w:p>
        </w:tc>
        <w:tc>
          <w:tcPr>
            <w:tcW w:type="dxa" w:w="1440"/>
            <w:shd w:fill="FFDCE0" w:val="clear"/>
          </w:tcPr>
          <w:p>
            <w:r>
              <w:rPr>
                <w:sz w:val="17"/>
              </w:rPr>
              <w:t>2,958</w:t>
            </w:r>
          </w:p>
        </w:tc>
        <w:tc>
          <w:tcPr>
            <w:tcW w:type="dxa" w:w="1440"/>
            <w:shd w:fill="FFDCE0" w:val="clear"/>
          </w:tcPr>
          <w:p>
            <w:r>
              <w:rPr>
                <w:b/>
                <w:color w:val="C00000"/>
                <w:sz w:val="17"/>
              </w:rPr>
              <w:t>-9.8%</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2,122</w:t>
            </w:r>
          </w:p>
        </w:tc>
        <w:tc>
          <w:tcPr>
            <w:tcW w:type="dxa" w:w="1440"/>
            <w:shd w:fill="FFDCE0" w:val="clear"/>
          </w:tcPr>
          <w:p>
            <w:r>
              <w:rPr>
                <w:b/>
                <w:sz w:val="17"/>
              </w:rPr>
              <w:t>2,542</w:t>
            </w:r>
          </w:p>
        </w:tc>
        <w:tc>
          <w:tcPr>
            <w:tcW w:type="dxa" w:w="1440"/>
            <w:shd w:fill="FFDCE0" w:val="clear"/>
          </w:tcPr>
          <w:p>
            <w:r>
              <w:rPr>
                <w:sz w:val="17"/>
              </w:rPr>
              <w:t>2,962</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2,075</w:t>
            </w:r>
          </w:p>
        </w:tc>
        <w:tc>
          <w:tcPr>
            <w:tcW w:type="dxa" w:w="1440"/>
            <w:shd w:fill="FFDCE0" w:val="clear"/>
          </w:tcPr>
          <w:p>
            <w:r>
              <w:rPr>
                <w:b/>
                <w:sz w:val="17"/>
              </w:rPr>
              <w:t>2,520</w:t>
            </w:r>
          </w:p>
        </w:tc>
        <w:tc>
          <w:tcPr>
            <w:tcW w:type="dxa" w:w="1440"/>
            <w:shd w:fill="FFDCE0" w:val="clear"/>
          </w:tcPr>
          <w:p>
            <w:r>
              <w:rPr>
                <w:sz w:val="17"/>
              </w:rPr>
              <w:t>2,965</w:t>
            </w:r>
          </w:p>
        </w:tc>
        <w:tc>
          <w:tcPr>
            <w:tcW w:type="dxa" w:w="1440"/>
            <w:shd w:fill="FFDCE0" w:val="clear"/>
          </w:tcPr>
          <w:p>
            <w:r>
              <w:rPr>
                <w:b/>
                <w:color w:val="C00000"/>
                <w:sz w:val="17"/>
              </w:rPr>
              <w:t>-11.4%</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2,032</w:t>
            </w:r>
          </w:p>
        </w:tc>
        <w:tc>
          <w:tcPr>
            <w:tcW w:type="dxa" w:w="1440"/>
            <w:shd w:fill="FFDCE0" w:val="clear"/>
          </w:tcPr>
          <w:p>
            <w:r>
              <w:rPr>
                <w:b/>
                <w:sz w:val="17"/>
              </w:rPr>
              <w:t>2,500</w:t>
            </w:r>
          </w:p>
        </w:tc>
        <w:tc>
          <w:tcPr>
            <w:tcW w:type="dxa" w:w="1440"/>
            <w:shd w:fill="FFDCE0" w:val="clear"/>
          </w:tcPr>
          <w:p>
            <w:r>
              <w:rPr>
                <w:sz w:val="17"/>
              </w:rPr>
              <w:t>2,968</w:t>
            </w:r>
          </w:p>
        </w:tc>
        <w:tc>
          <w:tcPr>
            <w:tcW w:type="dxa" w:w="1440"/>
            <w:shd w:fill="FFDCE0" w:val="clear"/>
          </w:tcPr>
          <w:p>
            <w:r>
              <w:rPr>
                <w:b/>
                <w:color w:val="C00000"/>
                <w:sz w:val="17"/>
              </w:rPr>
              <w:t>-12.1%</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1,992</w:t>
            </w:r>
          </w:p>
        </w:tc>
        <w:tc>
          <w:tcPr>
            <w:tcW w:type="dxa" w:w="1440"/>
            <w:shd w:fill="FFDCE0" w:val="clear"/>
          </w:tcPr>
          <w:p>
            <w:r>
              <w:rPr>
                <w:b/>
                <w:sz w:val="17"/>
              </w:rPr>
              <w:t>2,482</w:t>
            </w:r>
          </w:p>
        </w:tc>
        <w:tc>
          <w:tcPr>
            <w:tcW w:type="dxa" w:w="1440"/>
            <w:shd w:fill="FFDCE0" w:val="clear"/>
          </w:tcPr>
          <w:p>
            <w:r>
              <w:rPr>
                <w:sz w:val="17"/>
              </w:rPr>
              <w:t>2,972</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36,32 milliards FCFA, NEIC s'inscrit dans la catégorie des valeurs moyennes de la cote BRVM, ce qui lui confère une certaine liquidité mais aussi une sensibilité accrue aux mouvements spéculatifs. Le BPA de 160 FCFA/action signifie que chaque titre génère 160 FCFA de bénéfice net, un niveau qui, rapporté au cours actuel de 2 845 FCFA, donne un PER de 17,8x — soit nettement au-dessus de la moyenne BRVM (8-12x), ce qui traduit une valorisation déjà exigeante et anticipant une forte croissance. Le P/B de 6,31x confirme cette prime : le marché valorise l'entreprise à plus de six fois sa valeur comptable, un niveau qui n'est justifié que par des perspectives de rentabilité exceptionnelles. Enfin, l'EV/EBITDA de 26,9x, très supérieur au seuil de 15x, signale que la valeur d'entreprise intègre une prime spéculative importante par rapport à la capacité opérationnelle réelle, ce qui expose le titre à un risque de correction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 enregistré une progression spectaculaire de +106,16%, avec une dernière séance en hausse de +3,45%, portant le cours à 2 845 FCFA. Le range de trading est très large, entre un plus bas de 1 370 FCFA et un plus haut de 3 000 FCFA, soit un écart de plus de 119%, ce qui témoigne d'une tendance haussière puissante mais aussi d'une forte nervosité. La moyenne (2 197 FCFA) et la médiane (2 200 FCFA) sont quasi confondues, indiquant une distribution équilibrée des cours sur la période, tandis que le mode à 1 990 FCFA suggère que le niveau d'équilibre naturel du titre se situe bien en dessous du cours actuel. L'écart-type de 365 FCFA (CV = 16,6%) traduit une dispersion modérée, mais la volatilité annualisée de 56,8% classe le titre dans la catégorie des valeurs très volatiles (&gt;30%), ce qui implique un risque de drawdown significatif. Le kurtosis de 0,382 (mésokurtique) indique une distribution proche de la normale, sans pics extrêmes marqués, tandis que le skewness de 0,362 (légèrement positif) signale une asymétrie vers la droite, c'est-à-dire une probabilité plus élevée de mouvements haussiers que baissiers — un signal favorable mais à nuancer par le niveau élevé du cours actuel par rapport à sa moyenne.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(2 707 FCFA) et la MM50 (2 415,2 FCFA) sont toutes deux inférieures au cours actuel (2 845 FCFA), et la MM20 est au-dessus de la MM50, configurant un croisement haussier classique. Cette configuration justifie la décision d'achat, mais l'écart important entre le cours et la MM20 (environ 5%) suggère un risque de retour à la moyenne.</w:t>
      </w:r>
    </w:p>
    <w:p>
      <w:pPr>
        <w:spacing w:after="120" w:line="276" w:lineRule="auto"/>
      </w:pPr>
      <w:r>
        <w:t>**Bandes de Bollinger** : Le cours (2 845 FCFA) se situe entre la borne inférieure (2 101,9 FCFA) et la borne supérieure (3 312,1 FCFA), plus proche de la borne haute, ce qui indique une pression acheteuse sans surachat extrême. La décision neutre reflète l'absence de signal clair, le cours évoluant dans la partie supérieure de la bande sans la franchir.</w:t>
      </w:r>
    </w:p>
    <w:p>
      <w:pPr>
        <w:spacing w:after="120" w:line="276" w:lineRule="auto"/>
      </w:pPr>
      <w:r>
        <w:t>**MACD** : La valeur du MACD (135,5) est inférieure à son signal (156,1), générant une divergence baissière et une décision de vente. Ce croisement négatif, bien que le MACD reste en territoire positif, suggère un essoufflement du momentum haussier et un possible retournement à court terme.</w:t>
      </w:r>
    </w:p>
    <w:p>
      <w:pPr>
        <w:spacing w:after="120" w:line="276" w:lineRule="auto"/>
      </w:pPr>
      <w:r>
        <w:t>**RSI** : À 63,7, le RSI se situe en zone neutre haute, sans atteindre le seuil de surachat (70). La décision neutre est cohérente : le titre conserve un potentiel haussier mais approche de zones où la prudence s'impose.</w:t>
      </w:r>
    </w:p>
    <w:p>
      <w:pPr>
        <w:spacing w:after="120" w:line="276" w:lineRule="auto"/>
      </w:pPr>
      <w:r>
        <w:t>**Stochastique** : Le %K (58,1) et le %D (59,6) sont proches et en zone neutre, sans croisement significatif. La décision neutre reflète l'absence de signal directionnel fort, le marché étant en phase de consolidation.</w:t>
      </w:r>
    </w:p>
    <w:p>
      <w:pPr>
        <w:spacing w:after="120" w:line="276" w:lineRule="auto"/>
      </w:pPr>
      <w:r>
        <w:t>**Conclusion technique** : Les indicateurs sont globalement mitigés. Les moyennes mobiles restent haussières, mais le MACD génère un signal de vente et le RSI approche de la zone de surachat. Le titre semble entrer dans une phase de consolidation après une forte hausse, avec un risque de correction à court terme. La convergence des signaux neutres (Bollinger, RSI, Stochastique) suggère une attente avant un nouveau mouvement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révèlent une situation financière exceptionnelle en apparence : un chiffre d'affaires de 5,139 milliards FCFA, un résultat net de 2,037 milliards FCFA (marge nette de 39,6%), un ROE de 35,4% et un ROA de 27,3%. Cependant, ces chiffres doivent être fortement nuancés. Le rapport du T3 2025 (daté du 30/09/2025) précise que le résultat net inclut une reprise de provision pour redressement fiscal de 1 596 millions FCFA, un produit exceptionnel non récurrent. Hors cet effet, la performance opérationnelle est en net recul : le chiffre d'affaires du T3 2025 s'élève à 3 406 millions FCFA, en baisse de 35% sur un an, et le taux de croissance annuel du CA est de -23,8%. Le rapport du T1 2025 (daté du 31/03/2025) confirme cette tendance avec un CA de 48,5 millions FCFA (en baisse catastrophique) et une perte nette de -189,9 millions FCFA. La structure financière reste solide (autonomie financière de 77%, liquidité générale de 448,9%), mais le BFR de 1,498 milliard FCFA et le délai client élevé de 154,7 jours constituent des risques de trésorerie importants. Le rapport annuel 2025 (RAPPORT 2) mentionne un CA de 6,74 milliards FCFA (+29%) et un résultat net de 2,04 milliards FCFA (+169%), mais ces chiffres incluent l'effet exceptionnel. Le rapport T1 2026 (RAPPORT 1) montre une reprise du CA à 115,1 millions FCFA (+137%) mais une perte nette persistante de -168,9 millions FCFA, confirmant que le redressement opérationnel est en cours mais fragile. En synthèse, la rentabilité affichée est artificiellement gonflée par des éléments non récurrents, et la dynamique commerciale reste préoccupante malgré les signes d'amélioration récents.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17,8x, P/B de 6,31x et EV/EBITDA de 26,9x intègrent déjà une forte croissance qui tarde à se matérialiser. Le comportement du cours (Partie 1) est haussier (+106% sur 100 jours) mais très volatil (56,8%), avec un skewness positif et un kurtosis normal, suggérant une dynamique favorable mais un risque de correction élevé. Les signaux techniques (Partie 2) sont mitigés : les moyennes mobiles sont haussières, mais le MACD génère un signal de vente et le RSI approche du surachat, indiquant un essoufflement. Les fondamentaux (Partie 3) sont contrastés : la solidité financière est réelle (ROE de 35,4%, autonomie financière de 77%), mais la performance opérationnelle est en recul (-23,8% de CA en 2025) et le résultat net 2025 est dopé par un élément exceptionnel. Les prédictions IA (J+1 à J+10) anticipent une baisse progressive de 2 760 FCFA à 2 593 FCFA, confirmant la pression baissière à court terme. Sur la base de cette synthèse, la recommandation est **CONSERVER** avec un niveau de confiance **Moyen** et un risque global **Élevé**. La convergence entre la valorisation exigeante, le signal de vente du MACD et les prédictions baissières suggère une prudence à court terme, mais la solidité du bilan et les signes de reprise du CA au T1 2026 justifient de ne pas vendre. L'horizon optimal est **moyen terme (3-12 mois)**, en attendant la confirmation d'un redressement durable de l'activité opérationnelle et la publication des résultats du T2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598.58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2,495 titres</w:t>
            </w:r>
          </w:p>
        </w:tc>
        <w:tc>
          <w:tcPr>
            <w:tcW w:type="dxa" w:w="2268"/>
            <w:shd w:fill="FFF2CC" w:val="clear"/>
          </w:tcPr>
          <w:p>
            <w:r>
              <w:rPr>
                <w:b/>
                <w:color w:val="503200"/>
                <w:sz w:val="16"/>
              </w:rPr>
              <w:t xml:space="preserve">Cours actuel : </w:t>
            </w:r>
            <w:r>
              <w:rPr>
                <w:color w:val="000000"/>
                <w:sz w:val="17"/>
              </w:rPr>
              <w:t>24,200 FCFA</w:t>
            </w:r>
          </w:p>
          <w:p>
            <w:r>
              <w:rPr>
                <w:b/>
                <w:color w:val="503200"/>
                <w:sz w:val="16"/>
              </w:rPr>
              <w:t xml:space="preserve">Var. 100 jours : </w:t>
            </w:r>
            <w:r>
              <w:rPr>
                <w:b/>
                <w:color w:val="007800"/>
                <w:sz w:val="17"/>
              </w:rPr>
              <w:t>+71.63%</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μ=20,011 FCFA, σ=3,444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β=1.3371 (Agressif) — Cov=0.000046, Var(idx)=0.000034, ρ=0.314,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23,512</w:t>
            </w:r>
          </w:p>
        </w:tc>
        <w:tc>
          <w:tcPr>
            <w:tcW w:type="dxa" w:w="1440"/>
            <w:shd w:fill="FAFAFA" w:val="clear"/>
          </w:tcPr>
          <w:p>
            <w:r>
              <w:rPr>
                <w:b/>
                <w:sz w:val="17"/>
              </w:rPr>
              <w:t>24,205</w:t>
            </w:r>
          </w:p>
        </w:tc>
        <w:tc>
          <w:tcPr>
            <w:tcW w:type="dxa" w:w="1440"/>
            <w:shd w:fill="FAFAFA" w:val="clear"/>
          </w:tcPr>
          <w:p>
            <w:r>
              <w:rPr>
                <w:sz w:val="17"/>
              </w:rPr>
              <w:t>24,898</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23,210</w:t>
            </w:r>
          </w:p>
        </w:tc>
        <w:tc>
          <w:tcPr>
            <w:tcW w:type="dxa" w:w="1440"/>
            <w:shd w:fill="FAFAFA" w:val="clear"/>
          </w:tcPr>
          <w:p>
            <w:r>
              <w:rPr>
                <w:b/>
                <w:sz w:val="17"/>
              </w:rPr>
              <w:t>24,189</w:t>
            </w:r>
          </w:p>
        </w:tc>
        <w:tc>
          <w:tcPr>
            <w:tcW w:type="dxa" w:w="1440"/>
            <w:shd w:fill="FAFAFA" w:val="clear"/>
          </w:tcPr>
          <w:p>
            <w:r>
              <w:rPr>
                <w:sz w:val="17"/>
              </w:rPr>
              <w:t>25,168</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22,982</w:t>
            </w:r>
          </w:p>
        </w:tc>
        <w:tc>
          <w:tcPr>
            <w:tcW w:type="dxa" w:w="1440"/>
            <w:shd w:fill="FAFAFA" w:val="clear"/>
          </w:tcPr>
          <w:p>
            <w:r>
              <w:rPr>
                <w:b/>
                <w:sz w:val="17"/>
              </w:rPr>
              <w:t>24,180</w:t>
            </w:r>
          </w:p>
        </w:tc>
        <w:tc>
          <w:tcPr>
            <w:tcW w:type="dxa" w:w="1440"/>
            <w:shd w:fill="FAFAFA" w:val="clear"/>
          </w:tcPr>
          <w:p>
            <w:r>
              <w:rPr>
                <w:sz w:val="17"/>
              </w:rPr>
              <w:t>25,379</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22,789</w:t>
            </w:r>
          </w:p>
        </w:tc>
        <w:tc>
          <w:tcPr>
            <w:tcW w:type="dxa" w:w="1440"/>
            <w:shd w:fill="FAFAFA" w:val="clear"/>
          </w:tcPr>
          <w:p>
            <w:r>
              <w:rPr>
                <w:b/>
                <w:sz w:val="17"/>
              </w:rPr>
              <w:t>24,173</w:t>
            </w:r>
          </w:p>
        </w:tc>
        <w:tc>
          <w:tcPr>
            <w:tcW w:type="dxa" w:w="1440"/>
            <w:shd w:fill="FAFAFA" w:val="clear"/>
          </w:tcPr>
          <w:p>
            <w:r>
              <w:rPr>
                <w:sz w:val="17"/>
              </w:rPr>
              <w:t>25,556</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22,620</w:t>
            </w:r>
          </w:p>
        </w:tc>
        <w:tc>
          <w:tcPr>
            <w:tcW w:type="dxa" w:w="1440"/>
            <w:shd w:fill="FAFAFA" w:val="clear"/>
          </w:tcPr>
          <w:p>
            <w:r>
              <w:rPr>
                <w:b/>
                <w:sz w:val="17"/>
              </w:rPr>
              <w:t>24,166</w:t>
            </w:r>
          </w:p>
        </w:tc>
        <w:tc>
          <w:tcPr>
            <w:tcW w:type="dxa" w:w="1440"/>
            <w:shd w:fill="FAFAFA" w:val="clear"/>
          </w:tcPr>
          <w:p>
            <w:r>
              <w:rPr>
                <w:sz w:val="17"/>
              </w:rPr>
              <w:t>25,712</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22,467</w:t>
            </w:r>
          </w:p>
        </w:tc>
        <w:tc>
          <w:tcPr>
            <w:tcW w:type="dxa" w:w="1440"/>
            <w:shd w:fill="FAFAFA" w:val="clear"/>
          </w:tcPr>
          <w:p>
            <w:r>
              <w:rPr>
                <w:b/>
                <w:sz w:val="17"/>
              </w:rPr>
              <w:t>24,160</w:t>
            </w:r>
          </w:p>
        </w:tc>
        <w:tc>
          <w:tcPr>
            <w:tcW w:type="dxa" w:w="1440"/>
            <w:shd w:fill="FAFAFA" w:val="clear"/>
          </w:tcPr>
          <w:p>
            <w:r>
              <w:rPr>
                <w:sz w:val="17"/>
              </w:rPr>
              <w:t>25,854</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22,326</w:t>
            </w:r>
          </w:p>
        </w:tc>
        <w:tc>
          <w:tcPr>
            <w:tcW w:type="dxa" w:w="1440"/>
            <w:shd w:fill="FAFAFA" w:val="clear"/>
          </w:tcPr>
          <w:p>
            <w:r>
              <w:rPr>
                <w:b/>
                <w:sz w:val="17"/>
              </w:rPr>
              <w:t>24,155</w:t>
            </w:r>
          </w:p>
        </w:tc>
        <w:tc>
          <w:tcPr>
            <w:tcW w:type="dxa" w:w="1440"/>
            <w:shd w:fill="FAFAFA" w:val="clear"/>
          </w:tcPr>
          <w:p>
            <w:r>
              <w:rPr>
                <w:sz w:val="17"/>
              </w:rPr>
              <w:t>25,984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22,195</w:t>
            </w:r>
          </w:p>
        </w:tc>
        <w:tc>
          <w:tcPr>
            <w:tcW w:type="dxa" w:w="1440"/>
            <w:shd w:fill="FAFAFA" w:val="clear"/>
          </w:tcPr>
          <w:p>
            <w:r>
              <w:rPr>
                <w:b/>
                <w:sz w:val="17"/>
              </w:rPr>
              <w:t>24,150</w:t>
            </w:r>
          </w:p>
        </w:tc>
        <w:tc>
          <w:tcPr>
            <w:tcW w:type="dxa" w:w="1440"/>
            <w:shd w:fill="FAFAFA" w:val="clear"/>
          </w:tcPr>
          <w:p>
            <w:r>
              <w:rPr>
                <w:sz w:val="17"/>
              </w:rPr>
              <w:t>26,105</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22,073</w:t>
            </w:r>
          </w:p>
        </w:tc>
        <w:tc>
          <w:tcPr>
            <w:tcW w:type="dxa" w:w="1440"/>
            <w:shd w:fill="FAFAFA" w:val="clear"/>
          </w:tcPr>
          <w:p>
            <w:r>
              <w:rPr>
                <w:b/>
                <w:sz w:val="17"/>
              </w:rPr>
              <w:t>24,145</w:t>
            </w:r>
          </w:p>
        </w:tc>
        <w:tc>
          <w:tcPr>
            <w:tcW w:type="dxa" w:w="1440"/>
            <w:shd w:fill="FAFAFA" w:val="clear"/>
          </w:tcPr>
          <w:p>
            <w:r>
              <w:rPr>
                <w:sz w:val="17"/>
              </w:rPr>
              <w:t>26,218</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21,956</w:t>
            </w:r>
          </w:p>
        </w:tc>
        <w:tc>
          <w:tcPr>
            <w:tcW w:type="dxa" w:w="1440"/>
            <w:shd w:fill="FAFAFA" w:val="clear"/>
          </w:tcPr>
          <w:p>
            <w:r>
              <w:rPr>
                <w:b/>
                <w:sz w:val="17"/>
              </w:rPr>
              <w:t>24,141</w:t>
            </w:r>
          </w:p>
        </w:tc>
        <w:tc>
          <w:tcPr>
            <w:tcW w:type="dxa" w:w="1440"/>
            <w:shd w:fill="FAFAFA" w:val="clear"/>
          </w:tcPr>
          <w:p>
            <w:r>
              <w:rPr>
                <w:sz w:val="17"/>
              </w:rPr>
              <w:t>26,325</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598,58 milliards FCFA, NSBC s'impose comme l'une des plus importantes capitalisations du compartiment bancaire de la BRVM, ce qui témoigne de la confiance du marché envers l'établissement. Le BPA de 1 646 FCFA indique que chaque action génère un bénéfice net de 1 646 FCFA, un niveau élevé qui reflète la forte rentabilité de la banque. Le PER de 14,7x se situe légèrement au-dessus de la moyenne du marché BRVM (8-12x), ce qui signifie que les investisseurs acceptent de payer une prime modérée pour les bénéfices de NSBC, justifiée par sa croissance supérieure au secteur. Le P/B de 2,57x montre que le marché valorise l'action à plus de deux fois sa valeur comptable, traduisant une prime de croissance accordée à la banque. Enfin, l'EV/EBITDA de 22,0x apparaît très exigeant (seuil &gt;15x), suggérant que la valeur d'entreprise intègre déjà des anticipations de croissance ambitieuses, ce qui réduit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variation spectaculaire de +71,63%, passant d'un plus bas de 13 810 FCFA à un plus haut de 24 885 FCFA, pour un cours actuel de 24 200 FCFA (en léger repli de -0,82% sur la dernière séance). Ce range de trading de plus de 11 000 FCFA témoigne d'une tendance nettement haussière, portée par des fondamentaux solides et un intérêt croissant des investisseurs pour le titre. Les statistiques descriptives révèlent une moyenne de 20 011 FCFA très proche de la médiane (19 998 FCFA), ce qui indique une distribution globalement symétrique sur la période, bien que le skewness de -0,573 signale une asymétrie négative avec davantage de journées de cotation au-dessus de la moyenne. L'écart-type de 3 461 FCFA (CV = 17,3%) traduit une dispersion modérée du cours autour de sa moyenne, tandis que le kurtosis de -0,911 (mésokurtique) suggère une distribution proche de la normale, sans risque excessif de pics extrêmes. La volatilité annualisée de 39,7% classe le titre dans la catégorie des valeurs à volatilité élevée (&gt;30%), ce qui implique un potentiel de gain attractif mais aussi un risque de correction significatif, particulièrement après une hausse aussi rapide.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(23 354,75 FCFA) et la MM50 (22 914,6 FCFA) se situent toutes deux en dessous du cours actuel (24 200 FCFA), avec la MM20 au-dessus de la MM50, configurant un croisement haussier classique. Cette configuration confirme la dynamique positive et justifie la décision d'achat, le cours évoluant au-dessus de ses deux moyennes de référence.</w:t>
      </w:r>
    </w:p>
    <w:p>
      <w:pPr>
        <w:spacing w:after="120" w:line="276" w:lineRule="auto"/>
      </w:pPr>
      <w:r>
        <w:t>**Bandes de Bollinger** : Le cours (24 200 FCFA) se situe dans la partie supérieure de la bande, proche de la borne haute (24 842,24 FCFA) et loin de la borne basse (21 867,26 FCFA). Cette position indique une pression acheteuse soutenue mais un risque de surachat à court terme, ce qui explique la décision neutre : le titre n'est ni en zone d'achat agressive, ni en zone de vente.</w:t>
      </w:r>
    </w:p>
    <w:p>
      <w:pPr>
        <w:spacing w:after="120" w:line="276" w:lineRule="auto"/>
      </w:pPr>
      <w:r>
        <w:t>**MACD** : Le MACD (424,34) est nettement supérieur à son signal (330,31), avec un histogramme positif, confirmant un momentum haussier en cours. La divergence positive entre les deux lignes justifie la décision d'achat, bien que l'écart commence à se stabiliser, suggérant une possible perte de vitesse.</w:t>
      </w:r>
    </w:p>
    <w:p>
      <w:pPr>
        <w:spacing w:after="120" w:line="276" w:lineRule="auto"/>
      </w:pPr>
      <w:r>
        <w:t>**RSI** : À 66,43, le RSI se situe en zone neutre haute, proche du seuil de surachat (70) sans l'atteindre. Cette valeur indique que le titre conserve un potentiel de hausse mais que la prudence est de mise, justifiant la décision neutre : ni signal d'achat fort, ni signal de vente.</w:t>
      </w:r>
    </w:p>
    <w:p>
      <w:pPr>
        <w:spacing w:after="120" w:line="276" w:lineRule="auto"/>
      </w:pPr>
      <w:r>
        <w:t>**Stochastique** : Le %K et le %D sont tous deux à 71,28, en zone haute mais sans croisement baissier confirmé. Cette configuration suggère que le titre évolue dans une dynamique haussière mais approche d'une zone de résistance, justifiant la décision neutre.</w:t>
      </w:r>
    </w:p>
    <w:p>
      <w:pPr>
        <w:spacing w:after="120" w:line="276" w:lineRule="auto"/>
      </w:pPr>
      <w:r>
        <w:t>**Conclusion technique** : Les indicateurs techniques présentent un tableau globalement haussier (MM, MACD) mais avec des signaux de prudence (Bollinger, RSI, Stochastique) qui convergent vers une décision neutre à court terme. Le titre est en tendance haussière confirmée, mais la proximité des zones de surachat invite à la vigilance avant tout renforcement de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affiche des états financiers solides avec un Produit Net Bancaire (PNB) de 112,928 milliards FCFA, en croissance de 15,4% par rapport à 2024, et un résultat net de 40,712 milliards FCFA, en hausse de 7%. Le ROE s'établit à 17,45%, dépassant le seuil d'excellence de 15%, tandis que le ROA de 1,32% reste conforme aux standards bancaires. Le coefficient d'exploitation de 54,59% confirme l'efficacité opérationnelle de la banque (&lt;60% = efficace), et la marge nette de 36,05% témoigne d'une excellente transformation du PNB en profit. Le coût du risque, à 7,54% des charges financières, reste modéré mais en dégradation par rapport à 2024 (le coût du risque est passé de +0,6 milliard à -8,5 milliards FCFA), ce qui constitue un point de vigilance majeur. La structure financière montre une autonomie financière de 7,59% (faible mais normale pour une banque) et un ratio de solvabilité générale de 108,22%, confirmant la solidité du bilan. Les dépôts clientèle (2 242,218 milliards FCFA) couvrent largement les créances clientèle (1 818,671 milliards FCFA), avec un ratio de transformation de 81,1%, signe d'une bonne capacité à financer les crédits par les dépôts. Sur la base du rapport du T1 2026 (publié le 13 mai 2026), le PNB a progressé de 28% à 28,615 milliards FCFA et le résultat net de 53% à 10,912 milliards FCFA, avec une marge nette de 38,1% ; on estime donc que l'exercice 2026 devrait afficher une accélération de la croissance, avec un PNB annualisé proche de 120-125 milliards FCFA et un résultat net potentiellement supérieur à 45 milliards FCFA si la dynamique se maintient. Toutefois, la performance du T1 2026 est principalement tirée par l'activité titres, plus volatile, et le léger recul des encours de crédits (-4%) invite à la prudence. La recommandation fondamentale est de **CONSERVER** le titre : la banque est solide, rentable et bien gérée, mais la dégradation du coût du risque et la dépendance à l'activité titres nécessitent une surveillance accrue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14,7x, P/B 2,57x, EV/EBITDA 22,0x) indique que le marché intègre déjà une prime de croissance significative, ce qui limite le potentiel de revalorisation à court terme malgré des fondamentaux solides. Le comportement du cours sur 100 jours (+71,63%) témoigne d'une tendance haussière exceptionnelle, mais la volatilité élevée (39,7%) et la proximité des zones de surachat (RSI 66,4, Stochastique 71,3) suggèrent un risque de correction après une telle performance. Les signaux techniques sont mitigés : les moyennes mobiles et le MACD confirment la tendance haussière, mais les bandes de Bollinger, le RSI et le stochastique plaident pour une pause, voire un repli à court terme. Les fondamentaux restent robustes (ROE 17,45%, marge nette 36,05%, PNB +15,4% en 2025), et les estimations issues du T1 2026 (PNB +28%, résultat net +53%) laissent entrevoir une accélération de la croissance, sous réserve de la confirmation de la maîtrise du coût du risque. Les prédictions IA pour les 10 prochains jours (24 205 FCFA à 24 166 FCFA) anticipent une stabilisation du cours, voire un léger repli, ce qui contredit la dynamique haussière récente et confirme la nécessité d'une pause. Sur la base de cette synthèse, la recommandation finale est de **CONSERVER** : la convergence entre une valorisation exigeante, des signaux techniques neutres à court terme, des fondamentaux solides mais avec des risques identifiés, et des prédictions de stabilisation, ne justifie ni un achat agressif ni une vente. Le niveau de confiance est **Moyen** (les fondamentaux sont bons mais la valorisation et les risques tempèrent l'enthousiasme), et le niveau de risque global est **Moyen à Élevé** (volatilité importante, dépendance à l'activité titres, coût du risque en hausse). L'horizon d'investissement optimal est le **moyen terme (3-12 mois)**, en attendant la confirmation des résultats semestriels 2026 et une clarification sur la politique de dividende et la qualité du portefeuille de crédits.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1,665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+35.42%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13.18% (Moyenne) — μ=14,984 FCFA, σ=1,975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β=-0.0269 (Contre-cyclique) — Cov=-0.000001, Var(idx)=0.000034, ρ=-0.006,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16,167</w:t>
            </w:r>
          </w:p>
        </w:tc>
        <w:tc>
          <w:tcPr>
            <w:tcW w:type="dxa" w:w="1440"/>
            <w:shd w:fill="FAFAFA" w:val="clear"/>
          </w:tcPr>
          <w:p>
            <w:r>
              <w:rPr>
                <w:b/>
                <w:sz w:val="17"/>
              </w:rPr>
              <w:t>16,871</w:t>
            </w:r>
          </w:p>
        </w:tc>
        <w:tc>
          <w:tcPr>
            <w:tcW w:type="dxa" w:w="1440"/>
            <w:shd w:fill="FAFAFA" w:val="clear"/>
          </w:tcPr>
          <w:p>
            <w:r>
              <w:rPr>
                <w:sz w:val="17"/>
              </w:rPr>
              <w:t>17,574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15,870</w:t>
            </w:r>
          </w:p>
        </w:tc>
        <w:tc>
          <w:tcPr>
            <w:tcW w:type="dxa" w:w="1440"/>
            <w:shd w:fill="FAFAFA" w:val="clear"/>
          </w:tcPr>
          <w:p>
            <w:r>
              <w:rPr>
                <w:b/>
                <w:sz w:val="17"/>
              </w:rPr>
              <w:t>16,865</w:t>
            </w:r>
          </w:p>
        </w:tc>
        <w:tc>
          <w:tcPr>
            <w:tcW w:type="dxa" w:w="1440"/>
            <w:shd w:fill="FAFAFA" w:val="clear"/>
          </w:tcPr>
          <w:p>
            <w:r>
              <w:rPr>
                <w:sz w:val="17"/>
              </w:rPr>
              <w:t>17,860</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15,642</w:t>
            </w:r>
          </w:p>
        </w:tc>
        <w:tc>
          <w:tcPr>
            <w:tcW w:type="dxa" w:w="1440"/>
            <w:shd w:fill="FAFAFA" w:val="clear"/>
          </w:tcPr>
          <w:p>
            <w:r>
              <w:rPr>
                <w:b/>
                <w:sz w:val="17"/>
              </w:rPr>
              <w:t>16,860</w:t>
            </w:r>
          </w:p>
        </w:tc>
        <w:tc>
          <w:tcPr>
            <w:tcW w:type="dxa" w:w="1440"/>
            <w:shd w:fill="FAFAFA" w:val="clear"/>
          </w:tcPr>
          <w:p>
            <w:r>
              <w:rPr>
                <w:sz w:val="17"/>
              </w:rPr>
              <w:t>18,078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15,449</w:t>
            </w:r>
          </w:p>
        </w:tc>
        <w:tc>
          <w:tcPr>
            <w:tcW w:type="dxa" w:w="1440"/>
            <w:shd w:fill="FAFAFA" w:val="clear"/>
          </w:tcPr>
          <w:p>
            <w:r>
              <w:rPr>
                <w:b/>
                <w:sz w:val="17"/>
              </w:rPr>
              <w:t>16,855</w:t>
            </w:r>
          </w:p>
        </w:tc>
        <w:tc>
          <w:tcPr>
            <w:tcW w:type="dxa" w:w="1440"/>
            <w:shd w:fill="FAFAFA" w:val="clear"/>
          </w:tcPr>
          <w:p>
            <w:r>
              <w:rPr>
                <w:sz w:val="17"/>
              </w:rPr>
              <w:t>18,262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15,279</w:t>
            </w:r>
          </w:p>
        </w:tc>
        <w:tc>
          <w:tcPr>
            <w:tcW w:type="dxa" w:w="1440"/>
            <w:shd w:fill="FAFAFA" w:val="clear"/>
          </w:tcPr>
          <w:p>
            <w:r>
              <w:rPr>
                <w:b/>
                <w:sz w:val="17"/>
              </w:rPr>
              <w:t>16,851</w:t>
            </w:r>
          </w:p>
        </w:tc>
        <w:tc>
          <w:tcPr>
            <w:tcW w:type="dxa" w:w="1440"/>
            <w:shd w:fill="FAFAFA" w:val="clear"/>
          </w:tcPr>
          <w:p>
            <w:r>
              <w:rPr>
                <w:sz w:val="17"/>
              </w:rPr>
              <w:t>18,423</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15,125</w:t>
            </w:r>
          </w:p>
        </w:tc>
        <w:tc>
          <w:tcPr>
            <w:tcW w:type="dxa" w:w="1440"/>
            <w:shd w:fill="FAFAFA" w:val="clear"/>
          </w:tcPr>
          <w:p>
            <w:r>
              <w:rPr>
                <w:b/>
                <w:sz w:val="17"/>
              </w:rPr>
              <w:t>16,846</w:t>
            </w:r>
          </w:p>
        </w:tc>
        <w:tc>
          <w:tcPr>
            <w:tcW w:type="dxa" w:w="1440"/>
            <w:shd w:fill="FAFAFA" w:val="clear"/>
          </w:tcPr>
          <w:p>
            <w:r>
              <w:rPr>
                <w:sz w:val="17"/>
              </w:rPr>
              <w:t>18,568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14,983</w:t>
            </w:r>
          </w:p>
        </w:tc>
        <w:tc>
          <w:tcPr>
            <w:tcW w:type="dxa" w:w="1440"/>
            <w:shd w:fill="FAFAFA" w:val="clear"/>
          </w:tcPr>
          <w:p>
            <w:r>
              <w:rPr>
                <w:b/>
                <w:sz w:val="17"/>
              </w:rPr>
              <w:t>16,841</w:t>
            </w:r>
          </w:p>
        </w:tc>
        <w:tc>
          <w:tcPr>
            <w:tcW w:type="dxa" w:w="1440"/>
            <w:shd w:fill="FAFAFA" w:val="clear"/>
          </w:tcPr>
          <w:p>
            <w:r>
              <w:rPr>
                <w:sz w:val="17"/>
              </w:rPr>
              <w:t>18,700</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14,850</w:t>
            </w:r>
          </w:p>
        </w:tc>
        <w:tc>
          <w:tcPr>
            <w:tcW w:type="dxa" w:w="1440"/>
            <w:shd w:fill="FAFAFA" w:val="clear"/>
          </w:tcPr>
          <w:p>
            <w:r>
              <w:rPr>
                <w:b/>
                <w:sz w:val="17"/>
              </w:rPr>
              <w:t>16,837</w:t>
            </w:r>
          </w:p>
        </w:tc>
        <w:tc>
          <w:tcPr>
            <w:tcW w:type="dxa" w:w="1440"/>
            <w:shd w:fill="FAFAFA" w:val="clear"/>
          </w:tcPr>
          <w:p>
            <w:r>
              <w:rPr>
                <w:sz w:val="17"/>
              </w:rPr>
              <w:t>18,824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14,726</w:t>
            </w:r>
          </w:p>
        </w:tc>
        <w:tc>
          <w:tcPr>
            <w:tcW w:type="dxa" w:w="1440"/>
            <w:shd w:fill="FAFAFA" w:val="clear"/>
          </w:tcPr>
          <w:p>
            <w:r>
              <w:rPr>
                <w:b/>
                <w:sz w:val="17"/>
              </w:rPr>
              <w:t>16,832</w:t>
            </w:r>
          </w:p>
        </w:tc>
        <w:tc>
          <w:tcPr>
            <w:tcW w:type="dxa" w:w="1440"/>
            <w:shd w:fill="FAFAFA" w:val="clear"/>
          </w:tcPr>
          <w:p>
            <w:r>
              <w:rPr>
                <w:sz w:val="17"/>
              </w:rPr>
              <w:t>18,939</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14,608</w:t>
            </w:r>
          </w:p>
        </w:tc>
        <w:tc>
          <w:tcPr>
            <w:tcW w:type="dxa" w:w="1440"/>
            <w:shd w:fill="FAFAFA" w:val="clear"/>
          </w:tcPr>
          <w:p>
            <w:r>
              <w:rPr>
                <w:b/>
                <w:sz w:val="17"/>
              </w:rPr>
              <w:t>16,828</w:t>
            </w:r>
          </w:p>
        </w:tc>
        <w:tc>
          <w:tcPr>
            <w:tcW w:type="dxa" w:w="1440"/>
            <w:shd w:fill="FAFAFA" w:val="clear"/>
          </w:tcPr>
          <w:p>
            <w:r>
              <w:rPr>
                <w:sz w:val="17"/>
              </w:rPr>
              <w:t>19,048</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Biens de consommation / Agroalimentaire*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372,99 milliards FCFA, Nestlé Côte d'Ivoire figure parmi les valeurs les plus importantes de la BRVM, ce qui en fait un pilier de l'indice BRVM Composite. Le BPA s'établit à 835 FCFA par action, ce qui signifie que chaque titre génère près de 835 FCFA de bénéfice net annuel. Le PER de 20,2x traduit une valorisation nettement supérieure à la moyenne du marché BRVM (généralement comprise entre 8 et 12x), signalant que les investisseurs paient une prime significative pour la qualité de la signature Nestlé et ses perspectives de croissance. Le P/B de 12,61x, très au-dessus du seuil de 4x, confirme cette forte prime boursière par rapport à la valeur comptable, reflet d'un ROE exceptionnel de 62,3% qui justifie en partie cette valorisation. Enfin, l'EV/EBITDA de 10,0x se situe dans la fourchette raisonnable de 5-10x, indiquant que la valeur d'entreprise reste cohérente avec la capacité opérationnelle de génération de cash-flows,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 enregistré une progression remarquable de +35,42%, clôturant à 16 900 FCFA, avec une dernière séance stable (variation J-1 de +0,00%). Le range de trading s'étend de 11 150 FCFA (plus bas) à 18 000 FCFA (plus haut), soit une amplitude de 61,4%, ce qui témoigne d'une forte dynamique haussière entrecoupée de phases de consolidation. La tendance générale est clairement haussière, portée par la revalorisation du titre après les résultats annuels 2025 et les perspectives favorables du T1 2026. Concernant les statistiques descriptives, la moyenne (14 984 FCFA) est inférieure à la médiane (15 915 FCFA), ce qui indique une asymétrie négative confirmée par le skewness de -0,522 : le cours a passé plus de journées au-dessus de sa moyenne, avec des baisses ponctuelles mais marquées. L'écart-type de 1 985 FCFA et le coefficient de variation de 13,3% traduisent une dispersion modérée du cours autour de sa tendance. Le kurtosis de -1,263 (distribution platykurtique) signale une faible concentration des rendements, donc un risque de pics extrêmes limité, ce qui est rassurant pour la stabilité du titre. Enfin, la volatilité annualisée de 38,6% classe NTLC dans la catégorie des titres à volatilité élevée (&gt;30%), ce qui implique un risque de marché significatif mais cohérent avec la performance exceptionnelle enregistrée.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(16 886,25 FCFA) et la MM50 (16 639,5 FCFA) se situent toutes deux en dessous du cours actuel (16 900 FCFA), avec la MM20 au-dessus de la MM50, configurant un croisement haussier classique. Cette configuration confirme la décision d'**Achat**, le cours évoluant au-dessus de ses supports mobiles, ce qui valide la tendance positive de court et moyen terme.</w:t>
      </w:r>
    </w:p>
    <w:p>
      <w:pPr>
        <w:spacing w:after="120" w:line="276" w:lineRule="auto"/>
      </w:pPr>
      <w:r>
        <w:t>**Bandes de Bollinger** : Le cours (16 900 FCFA) se situe à l'intérieur des bandes, entre la borne inférieure (16 038,4 FCFA) et la borne supérieure (17 734,1 FCFA), plus proche de la borne supérieure. Cette position médiane-haute, sans franchissement, justifie la décision **Neutre** : le titre n'est ni en surachat ni en survente, et la volatilité reste contenue dans les bandes.</w:t>
      </w:r>
    </w:p>
    <w:p>
      <w:pPr>
        <w:spacing w:after="120" w:line="276" w:lineRule="auto"/>
      </w:pPr>
      <w:r>
        <w:t>**MACD** : La valeur du MACD (87,474) est inférieure à son signal (111,304), générant une divergence baissière qui traduit un essoufflement du momentum haussier. Cette configuration justifie la décision de **Vente** à court terme, bien que la ligne MACD reste en territoire positif, ce qui limite la portée baissière du signal.</w:t>
      </w:r>
    </w:p>
    <w:p>
      <w:pPr>
        <w:spacing w:after="120" w:line="276" w:lineRule="auto"/>
      </w:pPr>
      <w:r>
        <w:t>**RSI** : À 50,0, le RSI se situe exactement à mi-chemin entre surachat (&gt;70) et survente (&lt;30), traduisant un équilibre parfait entre acheteurs et vendeurs. Cette neutralité justifie la décision **Neutre** : aucun signal directionnel fort n'émerge de cet indicateur.</w:t>
      </w:r>
    </w:p>
    <w:p>
      <w:pPr>
        <w:spacing w:after="120" w:line="276" w:lineRule="auto"/>
      </w:pPr>
      <w:r>
        <w:t>**Stochastique** : Le %K (47,619) est légèrement supérieur au %D (44,444), avec un croisement haussier naissant mais peu prononcé. Les deux lignes évoluent en zone neutre (entre 20 et 80), ce qui justifie la décision **Neutre** : le momentum stochastique est équilibré, sans signal d'achat ou de vente clair.</w:t>
      </w:r>
    </w:p>
    <w:p>
      <w:pPr>
        <w:spacing w:after="120" w:line="276" w:lineRule="auto"/>
      </w:pPr>
      <w:r>
        <w:t>**Conclusion technique** : Les indicateurs techniques présentent un tableau mitigé. Les moyennes mobiles confirment la tendance haussière de fond, mais le MACD signale un essoufflement du momentum, tandis que le RSI et le stochastique restent neutres. Les bandes de Bollinger n'indiquent ni surachat ni survente. La convergence partielle des signaux suggère une phase de consolidation probable avant une nouvelle impulsion directionnelle, avec un léger avantage aux acheteurs tant que le cours se maintient au-dessus de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croissance de 5,97% par rapport à 2024 (220,11 milliards FCFA), portée par les ventes de produits fabriqués (+6,3%) et de marchandises (+4%). Le résultat net s'établit à 18,43 milliards FCFA, en légère hausse de 1,53% (contre 18,15 milliards en 2024), avec une marge nette de 7,90% (en baisse de 35 points de base). Le ROE atteint un niveau exceptionnel de 62,28%, bien supérieur au seuil de 15% considéré comme excellent, tandis que le ROA de 9,70% reflète une bonne efficacité dans l'utilisation des actifs. En tant qu'entreprise non bancaire, les indicateurs d'exploitation révèlent un délai client de 74,30 jours (élevé, signalant un risque de trésorerie) et une durée de stockage de 59,39 jours (immobilisation de capital significative). Le BFR de 22,625 milliards FCFA est positif, ce qui constitue un point de vigilance, tout comme la trésorerie nette négative de -46,831 milliards FCFA et un fonds de roulement de -24,206 milliards FCFA. La structure financière affiche une autonomie financière faible de 15,58% (inférieure au seuil sain de 30%) et un ratio d'endettement élevé de 135,85%, bien que la solvabilité générale (118,45%) reste supérieure à 1, indiquant que l'entreprise demeure solvable. La couverture des intérêts est très confortable à 473,63%, ce qui signifie que le résultat d'exploitation couvre près de 5 fois les charges financières. Sur la base du rapport T1 2026 (publié le 31 mars 2026), le chiffre d'affaires bondit de +31% à 70,82 milliards FCFA et le résultat net de +37% à 7,53 milliards FCFA, avec une marge nette en amélioration à 10,6% (contre 10,1% au T1 2025). On estime donc que l'exercice 2026 devrait afficher une accélération notable de la croissance, potentiellement supérieure à 15% sur le chiffre d'affaires annuel, avec une amélioration de la rentabilité nette. Toutefois, le rapport annuel 2025 (publié le 31 décembre 2025) révèle une réduction drastique du dividende (9,27 milliards FCFA contre 18,10 milliards en 2024, soit un payout de 50,3% contre 99,7%), signalant une stratégie de réinvestissement massif (report à nouveau de 9,22 milliards FCFA). En conclusion, la solidité fondamentale de NTLC est incontestable (ROE exceptionnel, croissance du CA, solvabilité maintenue), mais les risques liés à l'endettement élevé, à la trésorerie nette négative et à la compression des marges en 2025 (partiellement inversée au T1 2026) incitent à une recommandation de **CONSERVER** avec un biais positif, en surveillant l'exécution de la stratégie de réinvestissement et l'évolution des marges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**Valorisation (Partie 0)** : le PER de 20,2x et le P/B de 12,61x indiquent une surévaluation relative par rapport aux standards du marché BRVM, bien que l'EV/EBITDA de 10,0x reste raisonnable et que le ROE exceptionnel de 62,3% justifie partiellement cette prime. **Comportement du cours (Partie 1)** : la tendance haussière de +35,42% sur 100 jours est impressionnante, mais la volatilité élevée (38,6%) et le skewness négatif (-0,522) suggèrent que le titre a peut-être atteint une zone de résistance, avec un risque de correction. **Signaux techniques (Partie 2)** : les indicateurs sont mitigés — les moyennes mobiles confirment la tendance haussière, mais le MACD signale une vente et le RSI/stochastique restent neutres, plaidant pour une consolidation. **Fondamentaux (Partie 3)** : la société affiche une solidité remarquable (ROE de 62,3%, CA en croissance, T1 2026 exceptionnel avec +31% de CA et +37% de résultat net), mais les risques d'endettement (135,85%) et de trésorerie nette négative (-46,8 milliards FCFA) tempèrent l'enthousiasme. **Prédictions IA (J+1 à J+10)** : la trajectoire prévue est légèrement baissière (de 16 871 FCFA à 16 851 FCFA), ce qui contredit la dynamique haussière récente et suggère une stabilisation voire un repli à court terme. **Recommandation finale : CONSERVER**. Cette recommandation est justifiée par la convergence entre une valorisation exigeante (limitant le potentiel de hausse à court terme), des signaux techniques mitigés (MACD baissier, RSI neutre) et des fondamentaux solides mais entachés de risques financiers (endettement, trésorerie). Les prédictions IA, légèrement baissières, confirment cette prudence à court terme. Le niveau de confiance est **Moyen**, car si les fondamentaux sont robustes, l'incertitude sur la capacité de la société à maintenir sa croissance et à améliorer ses marges reste présente. Le niveau de risque global est **Moyen à Élevé**, en raison de la volatilité du titre (38,6%) et de la structure financière déséquilibrée (autonomie financière de 15,58%). L'horizon d'investissement optimal est le **moyen terme (3-12 mois)**, le temps que les investissements en cours (réinvestissement massif de 9,22 milliards FCFA) portent leurs fruits et que la dynamique du T1 2026 se confirme sur l'ensemble de l'exercice. Une entrée progressive sur repli vers la MM50 (16 639 FCFA) pourrait offrir un meilleur point d'entrée pour les investisseurs souhaitant se positionner sur cette valeur de qualité.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5,138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3.01% (Faible) — μ=2,827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β=0.3756 (Défensif) — Cov=0.000013, Var(idx)=0.000034, ρ=0.115,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2,767</w:t>
            </w:r>
          </w:p>
        </w:tc>
        <w:tc>
          <w:tcPr>
            <w:tcW w:type="dxa" w:w="1440"/>
            <w:shd w:fill="FAFAFA" w:val="clear"/>
          </w:tcPr>
          <w:p>
            <w:r>
              <w:rPr>
                <w:b/>
                <w:sz w:val="17"/>
              </w:rPr>
              <w:t>2,859</w:t>
            </w:r>
          </w:p>
        </w:tc>
        <w:tc>
          <w:tcPr>
            <w:tcW w:type="dxa" w:w="1440"/>
            <w:shd w:fill="FAFAFA" w:val="clear"/>
          </w:tcPr>
          <w:p>
            <w:r>
              <w:rPr>
                <w:sz w:val="17"/>
              </w:rPr>
              <w:t>2,952</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2,723</w:t>
            </w:r>
          </w:p>
        </w:tc>
        <w:tc>
          <w:tcPr>
            <w:tcW w:type="dxa" w:w="1440"/>
            <w:shd w:fill="FAFAFA" w:val="clear"/>
          </w:tcPr>
          <w:p>
            <w:r>
              <w:rPr>
                <w:b/>
                <w:sz w:val="17"/>
              </w:rPr>
              <w:t>2,853</w:t>
            </w:r>
          </w:p>
        </w:tc>
        <w:tc>
          <w:tcPr>
            <w:tcW w:type="dxa" w:w="1440"/>
            <w:shd w:fill="FAFAFA" w:val="clear"/>
          </w:tcPr>
          <w:p>
            <w:r>
              <w:rPr>
                <w:sz w:val="17"/>
              </w:rPr>
              <w:t>2,984</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2,687</w:t>
            </w:r>
          </w:p>
        </w:tc>
        <w:tc>
          <w:tcPr>
            <w:tcW w:type="dxa" w:w="1440"/>
            <w:shd w:fill="FAFAFA" w:val="clear"/>
          </w:tcPr>
          <w:p>
            <w:r>
              <w:rPr>
                <w:b/>
                <w:sz w:val="17"/>
              </w:rPr>
              <w:t>2,847</w:t>
            </w:r>
          </w:p>
        </w:tc>
        <w:tc>
          <w:tcPr>
            <w:tcW w:type="dxa" w:w="1440"/>
            <w:shd w:fill="FAFAFA" w:val="clear"/>
          </w:tcPr>
          <w:p>
            <w:r>
              <w:rPr>
                <w:sz w:val="17"/>
              </w:rPr>
              <w:t>3,007</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2,657</w:t>
            </w:r>
          </w:p>
        </w:tc>
        <w:tc>
          <w:tcPr>
            <w:tcW w:type="dxa" w:w="1440"/>
            <w:shd w:fill="FAFAFA" w:val="clear"/>
          </w:tcPr>
          <w:p>
            <w:r>
              <w:rPr>
                <w:b/>
                <w:sz w:val="17"/>
              </w:rPr>
              <w:t>2,841</w:t>
            </w:r>
          </w:p>
        </w:tc>
        <w:tc>
          <w:tcPr>
            <w:tcW w:type="dxa" w:w="1440"/>
            <w:shd w:fill="FAFAFA" w:val="clear"/>
          </w:tcPr>
          <w:p>
            <w:r>
              <w:rPr>
                <w:sz w:val="17"/>
              </w:rPr>
              <w:t>3,025</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2,629</w:t>
            </w:r>
          </w:p>
        </w:tc>
        <w:tc>
          <w:tcPr>
            <w:tcW w:type="dxa" w:w="1440"/>
            <w:shd w:fill="FAFAFA" w:val="clear"/>
          </w:tcPr>
          <w:p>
            <w:r>
              <w:rPr>
                <w:b/>
                <w:sz w:val="17"/>
              </w:rPr>
              <w:t>2,835</w:t>
            </w:r>
          </w:p>
        </w:tc>
        <w:tc>
          <w:tcPr>
            <w:tcW w:type="dxa" w:w="1440"/>
            <w:shd w:fill="FAFAFA" w:val="clear"/>
          </w:tcPr>
          <w:p>
            <w:r>
              <w:rPr>
                <w:sz w:val="17"/>
              </w:rPr>
              <w:t>3,040</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2,604</w:t>
            </w:r>
          </w:p>
        </w:tc>
        <w:tc>
          <w:tcPr>
            <w:tcW w:type="dxa" w:w="1440"/>
            <w:shd w:fill="FAFAFA" w:val="clear"/>
          </w:tcPr>
          <w:p>
            <w:r>
              <w:rPr>
                <w:b/>
                <w:sz w:val="17"/>
              </w:rPr>
              <w:t>2,829</w:t>
            </w:r>
          </w:p>
        </w:tc>
        <w:tc>
          <w:tcPr>
            <w:tcW w:type="dxa" w:w="1440"/>
            <w:shd w:fill="FAFAFA" w:val="clear"/>
          </w:tcPr>
          <w:p>
            <w:r>
              <w:rPr>
                <w:sz w:val="17"/>
              </w:rPr>
              <w:t>3,053</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2,581</w:t>
            </w:r>
          </w:p>
        </w:tc>
        <w:tc>
          <w:tcPr>
            <w:tcW w:type="dxa" w:w="1440"/>
            <w:shd w:fill="FAFAFA" w:val="clear"/>
          </w:tcPr>
          <w:p>
            <w:r>
              <w:rPr>
                <w:b/>
                <w:sz w:val="17"/>
              </w:rPr>
              <w:t>2,823</w:t>
            </w:r>
          </w:p>
        </w:tc>
        <w:tc>
          <w:tcPr>
            <w:tcW w:type="dxa" w:w="1440"/>
            <w:shd w:fill="FAFAFA" w:val="clear"/>
          </w:tcPr>
          <w:p>
            <w:r>
              <w:rPr>
                <w:sz w:val="17"/>
              </w:rPr>
              <w:t>3,065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2,559</w:t>
            </w:r>
          </w:p>
        </w:tc>
        <w:tc>
          <w:tcPr>
            <w:tcW w:type="dxa" w:w="1440"/>
            <w:shd w:fill="FAFAFA" w:val="clear"/>
          </w:tcPr>
          <w:p>
            <w:r>
              <w:rPr>
                <w:b/>
                <w:sz w:val="17"/>
              </w:rPr>
              <w:t>2,817</w:t>
            </w:r>
          </w:p>
        </w:tc>
        <w:tc>
          <w:tcPr>
            <w:tcW w:type="dxa" w:w="1440"/>
            <w:shd w:fill="FAFAFA" w:val="clear"/>
          </w:tcPr>
          <w:p>
            <w:r>
              <w:rPr>
                <w:sz w:val="17"/>
              </w:rPr>
              <w:t>3,075</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2,538</w:t>
            </w:r>
          </w:p>
        </w:tc>
        <w:tc>
          <w:tcPr>
            <w:tcW w:type="dxa" w:w="1440"/>
            <w:shd w:fill="FFDCE0" w:val="clear"/>
          </w:tcPr>
          <w:p>
            <w:r>
              <w:rPr>
                <w:b/>
                <w:sz w:val="17"/>
              </w:rPr>
              <w:t>2,811</w:t>
            </w:r>
          </w:p>
        </w:tc>
        <w:tc>
          <w:tcPr>
            <w:tcW w:type="dxa" w:w="1440"/>
            <w:shd w:fill="FFDCE0" w:val="clear"/>
          </w:tcPr>
          <w:p>
            <w:r>
              <w:rPr>
                <w:sz w:val="17"/>
              </w:rPr>
              <w:t>3,084</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2,518</w:t>
            </w:r>
          </w:p>
        </w:tc>
        <w:tc>
          <w:tcPr>
            <w:tcW w:type="dxa" w:w="1440"/>
            <w:shd w:fill="FFDCE0" w:val="clear"/>
          </w:tcPr>
          <w:p>
            <w:r>
              <w:rPr>
                <w:b/>
                <w:sz w:val="17"/>
              </w:rPr>
              <w:t>2,805</w:t>
            </w:r>
          </w:p>
        </w:tc>
        <w:tc>
          <w:tcPr>
            <w:tcW w:type="dxa" w:w="1440"/>
            <w:shd w:fill="FFDCE0" w:val="clear"/>
          </w:tcPr>
          <w:p>
            <w:r>
              <w:rPr>
                <w:sz w:val="17"/>
              </w:rPr>
              <w:t>3,093</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195,16 milliards FCFA, ONTBF figure parmi les valeurs moyennes de la cote BRVM, loin derrière Sonatel mais devant la plupart des valeurs bancaires régionales. Le BPA de 234 FCFA/action signifie que chaque titre génère 234 FCFA de bénéfice net, ce qui, rapporté au cours de 2 870 FCFA, donne un PER de 12,3x — un niveau modéré, légèrement supérieur à la moyenne BRVM (~8-12x), traduisant une prime de qualité pour un leader télécom. Le P/B de 3,39x indique que le marché valorise l'entreprise à plus de trois fois sa valeur comptable (57,54 Mds FCFA de capitaux propres), soit une prime de croissance significative justifiée par la rentabilité élevée des fonds propres (ROE 27,6%). Enfin, l'EV/EBITDA de 5,1x situe la valeur totale (capitalisation + dette nette) à environ cinq fois la capacité opérationnelle, un niveau raisonnable qui n'intègre pas de surchauffe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+5,51%, avec un cours actuel de 2 870 FCFA et une variation nulle en dernière séance (J-1 : +0,00%), signe d'une certaine inertie à court terme. Le range de trading s'étend de 2 610 FCFA (plus bas) à 3 070 FCFA (plus haut), soit une amplitude de 460 FCFA (~17,6%), reflétant une tendance globalement haussière mais ponctuée de corrections. Les statistiques descriptives révèlent une moyenne de 2 827 FCFA très proche de la médiane (2 805 FCFA) et du mode (2 800 FCFA), confirmant une distribution symétrique (skewness = 0,072) sans biais directionnel marqué. L'écart-type de 85 FCFA (CV = 3,0%) indique une dispersion faible du cours autour de sa moyenne, gage de stabilité relative. Le kurtosis de -0,197 (mésokurtique) suggère une distribution proche de la normale, sans risque de pics extrêmes prononcés. Avec une volatilité annualisée de 30,4%, le titre se situe à la limite supérieure de la catégorie « modérée », ce qui reste acceptable pour une valeur télécom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(2 890 FCFA) est légèrement supérieure au cours actuel (2 870 FCFA), tandis que la MM50 (2 846 FCFA) reste en dessous, créant un croisement haussier classique (MM20 &gt; MM50). Cette configuration confirme la décision « Achat », le cours évoluant au-dessus de sa moyenne de moyen terme.</w:t>
      </w:r>
    </w:p>
    <w:p>
      <w:pPr>
        <w:spacing w:after="120" w:line="276" w:lineRule="auto"/>
      </w:pPr>
      <w:r>
        <w:t>**Bandes de Bollinger** : Le cours (2 870 FCFA) se situe entre la borne inférieure (2 829,30 FCFA) et la borne supérieure (2 950,70 FCFA), plus proche du bas que du haut. L'étroitesse des bandes (largeur ~121 FCFA) traduit une faible volatilité récente, justifiant la décision « Neutre » en l'absence de signal directionnel fort.</w:t>
      </w:r>
    </w:p>
    <w:p>
      <w:pPr>
        <w:spacing w:after="120" w:line="276" w:lineRule="auto"/>
      </w:pPr>
      <w:r>
        <w:t>**MACD** : La valeur du MACD (1,49) est nettement inférieure à son signal (6,533), générant une divergence baissière. Ce croisement négatif indique un essoufflement du momentum haussier, d'où la décision « Vente » à court terme.</w:t>
      </w:r>
    </w:p>
    <w:p>
      <w:pPr>
        <w:spacing w:after="120" w:line="276" w:lineRule="auto"/>
      </w:pPr>
      <w:r>
        <w:t>**RSI** : À 46,667, le RSI se situe en zone neutre (ni suracheté &gt;70, ni survendu &lt;30), sans pression acheteuse ou vendeuse dominante. La décision « Neutre » reflète cet équilibre.</w:t>
      </w:r>
    </w:p>
    <w:p>
      <w:pPr>
        <w:spacing w:after="120" w:line="276" w:lineRule="auto"/>
      </w:pPr>
      <w:r>
        <w:t>**Stochastique** : Le %K et le %D sont identiques à 56,522, sans croisement ni divergence. Cette configuration neutre, légèrement au-dessus du milieu de range, confirme l'absence de signal fort.</w:t>
      </w:r>
    </w:p>
    <w:p>
      <w:pPr>
        <w:spacing w:after="120" w:line="276" w:lineRule="auto"/>
      </w:pPr>
      <w:r>
        <w:t>**Conclusion technique** : Les indicateurs sont majoritairement neutres (Bollinger, RSI, Stochastique), avec une seule divergence baissière (MACD) compensée par un signal haussier des moyennes mobiles. Le titre évolue dans une zone d'indécision technique, sans momentum clair, ce qui suggère une consolidation avant un éventuel mouvement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ONATEL-SA (ONTBF) affiche un chiffre d'affaires de 146,18 milliards FCFA, en hausse de +3,1% sur un an, porté par le FTTH (+33% de parc), l'internet mobile et le Mobile Money (+14%). Le résultat net s'établit à 15,89 milliards FCFA, en net repli de -26% par rapport à 2024 (21,47 Mds FCFA), sous l'effet de charges opérationnelles et exceptionnelles élevées (indemnités de fin d'engagement, coûts énergétiques, maintenance en zones sécuritaires, sanction ARCEP de 1,543 Md FCFA). Le ROE reste excellent à 27,61% et le ROA à 4,89%, tandis que la marge nette se contracte à 10,87% (contre 15,1% en 2024). Le coefficient d'exploitation, bien que non fourni pour ce secteur télécom, peut être estimé via le ratio charges/PNB : les charges générales (73,41 Mds) et la DAP (32,51 Mds) représentent 72,4% du PNB, un niveau élevé. Le bilan montre un total actif de 324,90 Mds FCFA (+8%), des capitaux propres de 57,54 Mds FCFA et une trésorerie nette positive de 10,65 Mds FCFA. La génération de cash reste robuste (CAF 46,95 Mds, flux opérationnel 68,49 Mds), mais le Free Cash Flow chute à 1,56 Md FCFA sous l'effet d'un capex massif (-45,22 Mds). Sur la base du rapport T1 2026 (publié le 09/04/2026), le chiffre d'affaires progresse de +2,7% à 37,1 Mds FCFA, avec un résultat net de 3,577 Mds FCFA (marge nette 9,6%) et un taux de marge EBITDA maintenu à 41,3%. On estime donc que l'exercice 2026 devrait confirmer la tendance : croissance modérée du CA, mais poursuite de la pression sur les marges, avec un résultat net annuel potentiellement stabilisé autour de 15-16 Mds FCFA si les coûts sont maîtrisés. La notation GCR A+(WU) et le dividende proposé de 166,08 FCFA/action (rendement ~5,8% au cours actuel) renforcent l'attrait défensif du titre, mais la dégradation de la rentabilité et l'endettement croissant (dettes financières de 107,6 Mds FCFA) constituent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 PER de 12,3x légèrement supérieur à la moyenne BRVM, P/B de 3,39x traduisant une prime de croissance, et EV/EBITDA de 5,1x sans excès. Le comportement du cours (Partie 1) est stable (+5,51% sur 100 jours), avec une volatilité modérée (30,4%) et des statistiques rassurantes (distribution symétrique, kurtosis proche de la normale), sans risque de pics extrêmes. Les signaux techniques (Partie 2) sont mitigés : les moyennes mobiles sont haussières, mais le MACD est baissier, tandis que le RSI et le Stochastique restent neutres — une configuration de consolidation sans direction claire. Les fondamentaux (Partie 3) révèlent une entreprise solide (ROE 27,6%, CAF 47 Mds) mais confrontée à une érosion de sa rentabilité (-26% de résultat net en 2025) et à un endettement croissant, bien que le T1 2026 montre une légère stabilisation. Les prédictions IA (J+1 à J+10) anticipent une légère baisse vers 2 835 FCFA d'ici le 21/09/2026, confirmant l'absence de momentum haussier à court terme. **Recommandation finale : CONSERVER.** La convergence entre une valorisation correcte, des fondamentaux défensifs (dividende attractif, génération de cash) et une technique neutre justifie cette position, mais l'absence de catalyseur haussier immédiat et la pression persistante sur les marges incitent à la prudence. Le niveau de confiance est **Moyen** (signaux divergents entre technique et fondamental), et le risque global est **Moyen** (exposition aux risques réglementaires, sécuritaires et concurrentiels). L'horizon d'investissement optimal est le **moyen terme (3-12 mois)**, en attendant des signes tangibles d'amélioration de la rentabilité et de maîtrise des coûts.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3389.75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2,824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+51.01%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12.68% (Moyenne) — μ=17,052 FCFA, σ=2,162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β=1.3637 (Agressif) — Cov=0.000047, Var(idx)=0.000034, ρ=0.426,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21,563</w:t>
            </w:r>
          </w:p>
        </w:tc>
        <w:tc>
          <w:tcPr>
            <w:tcW w:type="dxa" w:w="1440"/>
            <w:shd w:fill="FAFAFA" w:val="clear"/>
          </w:tcPr>
          <w:p>
            <w:r>
              <w:rPr>
                <w:b/>
                <w:sz w:val="17"/>
              </w:rPr>
              <w:t>22,251</w:t>
            </w:r>
          </w:p>
        </w:tc>
        <w:tc>
          <w:tcPr>
            <w:tcW w:type="dxa" w:w="1440"/>
            <w:shd w:fill="FAFAFA" w:val="clear"/>
          </w:tcPr>
          <w:p>
            <w:r>
              <w:rPr>
                <w:sz w:val="17"/>
              </w:rPr>
              <w:t>22,938</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21,293</w:t>
            </w:r>
          </w:p>
        </w:tc>
        <w:tc>
          <w:tcPr>
            <w:tcW w:type="dxa" w:w="1440"/>
            <w:shd w:fill="FAFAFA" w:val="clear"/>
          </w:tcPr>
          <w:p>
            <w:r>
              <w:rPr>
                <w:b/>
                <w:sz w:val="17"/>
              </w:rPr>
              <w:t>22,265</w:t>
            </w:r>
          </w:p>
        </w:tc>
        <w:tc>
          <w:tcPr>
            <w:tcW w:type="dxa" w:w="1440"/>
            <w:shd w:fill="FAFAFA" w:val="clear"/>
          </w:tcPr>
          <w:p>
            <w:r>
              <w:rPr>
                <w:sz w:val="17"/>
              </w:rPr>
              <w:t>23,238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21,063</w:t>
            </w:r>
          </w:p>
        </w:tc>
        <w:tc>
          <w:tcPr>
            <w:tcW w:type="dxa" w:w="1440"/>
            <w:shd w:fill="FAFAFA" w:val="clear"/>
          </w:tcPr>
          <w:p>
            <w:r>
              <w:rPr>
                <w:b/>
                <w:sz w:val="17"/>
              </w:rPr>
              <w:t>22,253</w:t>
            </w:r>
          </w:p>
        </w:tc>
        <w:tc>
          <w:tcPr>
            <w:tcW w:type="dxa" w:w="1440"/>
            <w:shd w:fill="FAFAFA" w:val="clear"/>
          </w:tcPr>
          <w:p>
            <w:r>
              <w:rPr>
                <w:sz w:val="17"/>
              </w:rPr>
              <w:t>23,444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20,865</w:t>
            </w:r>
          </w:p>
        </w:tc>
        <w:tc>
          <w:tcPr>
            <w:tcW w:type="dxa" w:w="1440"/>
            <w:shd w:fill="FAFAFA" w:val="clear"/>
          </w:tcPr>
          <w:p>
            <w:r>
              <w:rPr>
                <w:b/>
                <w:sz w:val="17"/>
              </w:rPr>
              <w:t>22,239</w:t>
            </w:r>
          </w:p>
        </w:tc>
        <w:tc>
          <w:tcPr>
            <w:tcW w:type="dxa" w:w="1440"/>
            <w:shd w:fill="FAFAFA" w:val="clear"/>
          </w:tcPr>
          <w:p>
            <w:r>
              <w:rPr>
                <w:sz w:val="17"/>
              </w:rPr>
              <w:t>23,612</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20,690</w:t>
            </w:r>
          </w:p>
        </w:tc>
        <w:tc>
          <w:tcPr>
            <w:tcW w:type="dxa" w:w="1440"/>
            <w:shd w:fill="FAFAFA" w:val="clear"/>
          </w:tcPr>
          <w:p>
            <w:r>
              <w:rPr>
                <w:b/>
                <w:sz w:val="17"/>
              </w:rPr>
              <w:t>22,225</w:t>
            </w:r>
          </w:p>
        </w:tc>
        <w:tc>
          <w:tcPr>
            <w:tcW w:type="dxa" w:w="1440"/>
            <w:shd w:fill="FAFAFA" w:val="clear"/>
          </w:tcPr>
          <w:p>
            <w:r>
              <w:rPr>
                <w:sz w:val="17"/>
              </w:rPr>
              <w:t>23,760</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20,531</w:t>
            </w:r>
          </w:p>
        </w:tc>
        <w:tc>
          <w:tcPr>
            <w:tcW w:type="dxa" w:w="1440"/>
            <w:shd w:fill="FAFAFA" w:val="clear"/>
          </w:tcPr>
          <w:p>
            <w:r>
              <w:rPr>
                <w:b/>
                <w:sz w:val="17"/>
              </w:rPr>
              <w:t>22,212</w:t>
            </w:r>
          </w:p>
        </w:tc>
        <w:tc>
          <w:tcPr>
            <w:tcW w:type="dxa" w:w="1440"/>
            <w:shd w:fill="FAFAFA" w:val="clear"/>
          </w:tcPr>
          <w:p>
            <w:r>
              <w:rPr>
                <w:sz w:val="17"/>
              </w:rPr>
              <w:t>23,892</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20,385</w:t>
            </w:r>
          </w:p>
        </w:tc>
        <w:tc>
          <w:tcPr>
            <w:tcW w:type="dxa" w:w="1440"/>
            <w:shd w:fill="FAFAFA" w:val="clear"/>
          </w:tcPr>
          <w:p>
            <w:r>
              <w:rPr>
                <w:b/>
                <w:sz w:val="17"/>
              </w:rPr>
              <w:t>22,199</w:t>
            </w:r>
          </w:p>
        </w:tc>
        <w:tc>
          <w:tcPr>
            <w:tcW w:type="dxa" w:w="1440"/>
            <w:shd w:fill="FAFAFA" w:val="clear"/>
          </w:tcPr>
          <w:p>
            <w:r>
              <w:rPr>
                <w:sz w:val="17"/>
              </w:rPr>
              <w:t>24,012</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20,248</w:t>
            </w:r>
          </w:p>
        </w:tc>
        <w:tc>
          <w:tcPr>
            <w:tcW w:type="dxa" w:w="1440"/>
            <w:shd w:fill="FAFAFA" w:val="clear"/>
          </w:tcPr>
          <w:p>
            <w:r>
              <w:rPr>
                <w:b/>
                <w:sz w:val="17"/>
              </w:rPr>
              <w:t>22,186</w:t>
            </w:r>
          </w:p>
        </w:tc>
        <w:tc>
          <w:tcPr>
            <w:tcW w:type="dxa" w:w="1440"/>
            <w:shd w:fill="FAFAFA" w:val="clear"/>
          </w:tcPr>
          <w:p>
            <w:r>
              <w:rPr>
                <w:sz w:val="17"/>
              </w:rPr>
              <w:t>24,124</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20,119</w:t>
            </w:r>
          </w:p>
        </w:tc>
        <w:tc>
          <w:tcPr>
            <w:tcW w:type="dxa" w:w="1440"/>
            <w:shd w:fill="FAFAFA" w:val="clear"/>
          </w:tcPr>
          <w:p>
            <w:r>
              <w:rPr>
                <w:b/>
                <w:sz w:val="17"/>
              </w:rPr>
              <w:t>22,174</w:t>
            </w:r>
          </w:p>
        </w:tc>
        <w:tc>
          <w:tcPr>
            <w:tcW w:type="dxa" w:w="1440"/>
            <w:shd w:fill="FAFAFA" w:val="clear"/>
          </w:tcPr>
          <w:p>
            <w:r>
              <w:rPr>
                <w:sz w:val="17"/>
              </w:rPr>
              <w:t>24,228</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19,997</w:t>
            </w:r>
          </w:p>
        </w:tc>
        <w:tc>
          <w:tcPr>
            <w:tcW w:type="dxa" w:w="1440"/>
            <w:shd w:fill="FAFAFA" w:val="clear"/>
          </w:tcPr>
          <w:p>
            <w:r>
              <w:rPr>
                <w:b/>
                <w:sz w:val="17"/>
              </w:rPr>
              <w:t>22,161</w:t>
            </w:r>
          </w:p>
        </w:tc>
        <w:tc>
          <w:tcPr>
            <w:tcW w:type="dxa" w:w="1440"/>
            <w:shd w:fill="FAFAFA" w:val="clear"/>
          </w:tcPr>
          <w:p>
            <w:r>
              <w:rPr>
                <w:sz w:val="17"/>
              </w:rPr>
              <w:t>24,326</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3 389,75 milliards FCFA, ORAC s'impose comme la première capitalisation de la BRVM, représentant à elle seule plus du quart de la capitalisation totale du marché régional. Le BPA de 1 114 FCFA/action signifie que chaque titre génère un bénéfice net de plus de mille francs CFA, un niveau remarquable pour le marché ouest-africain. Le PER de 20,2x traduit une prime de valorisation très nette par rapport à la moyenne BRVM (8-12x), signalant que les investisseurs anticipent une croissance soutenue des bénéfices ou intègrent une prime de qualité liée au leadership d'Orange. Le P/B de 4,79x confirme cette valorisation exigeante : le marché paie près de cinq fois la valeur comptable des fonds propres, ce qui suppose une forte rentabilité future. En revanche, l'EV/EBITDA de 8,0x apparaît raisonnable dans la fourchette 5-10x, suggérant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+51,01%, clôturant à 22 500 FCFA après une légère hausse de +0,22% lors de la dernière séance. Le titre évolue actuellement sur son plus haut de période (22 500 FCFA), contre un plus bas de 14 650 FCFA, soit un range de trading de 7 850 FCFA qui témoigne d'une dynamique haussière puissante et continue. La tendance générale est clairement haussière, portée par des publications financières solides et un intérêt croissant des investisseurs pour les valeurs télécoms de qualité. Les statistiques descriptives révèlent une moyenne de 17 052 FCFA nettement supérieure à la médiane de 16 288 FCFA, confirmant une distribution asymétrique avec une concentration de séances sous la moyenne mais des pics haussiers marqués. L'écart-type de 2 173 FCFA (CV de 12,7%) indique une dispersion modérée du cours autour de sa moyenne, tandis que le kurtosis de 0,355 (mésokurtique) suggère un comportement proche d'une distribution normale, sans risque extrême de pics violents. Le skewness positif de 1,283 confirme cette asymétrie : davantage de journées se situent sous la moyenne, mais les mouvements haussiers sont plus amples. Avec une volatilité annualisée de 29,9%, le titre se positionne en zone modérée haute (limite des 30%), ce qui reste acceptable pour une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21 045,75 FCFA et la MM50 à 18 401,70 FCFA, toutes deux nettement inférieures au cours actuel de 22 500 FCFA. Cette configuration en « gold cross » (MM20 &gt; MM50) avec un cours au-dessus des deux moyennes confirme une tendance haussière robuste. La décision technique est à l'**Achat**.</w:t>
      </w:r>
    </w:p>
    <w:p>
      <w:pPr>
        <w:spacing w:after="120" w:line="276" w:lineRule="auto"/>
      </w:pPr>
      <w:r>
        <w:t>**Bandes de Bollinger** : La borne supérieure se situe à 23 165,43 FCFA et la borne inférieure à 18 926,08 FCFA, avec un cours actuel de 22 500 FCFA évoluant dans la partie haute du canal. Le prix reste sous la borne supérieure, indiquant que le titre n'est pas encore en zone de surachat extrême malgré sa progression. La décision est **Neutre**, le marché attendant une confirmation de cassure ou un repli technique.</w:t>
      </w:r>
    </w:p>
    <w:p>
      <w:pPr>
        <w:spacing w:after="120" w:line="276" w:lineRule="auto"/>
      </w:pPr>
      <w:r>
        <w:t>**MACD** : La valeur du MACD (1 143,55) est supérieure à son signal (1 119,54), avec un histogramme positif de 24,02 points. Cette divergence haussière confirme la poursuite du momentum positif, bien que l'écart reste modéré. La décision est à l'**Achat**.</w:t>
      </w:r>
    </w:p>
    <w:p>
      <w:pPr>
        <w:spacing w:after="120" w:line="276" w:lineRule="auto"/>
      </w:pPr>
      <w:r>
        <w:t>**RSI** : À 62,38, le RSI se situe en zone neutre-haute (30-70), sans atteindre le seuil de surachat de 70. Cette configuration laisse de la marge pour une poursuite de la hausse avant tout risque de correction technique. La décision est **Neutre**.</w:t>
      </w:r>
    </w:p>
    <w:p>
      <w:pPr>
        <w:spacing w:after="120" w:line="276" w:lineRule="auto"/>
      </w:pPr>
      <w:r>
        <w:t>**Stochastique** : Les lignes %K et %D sont toutes deux à 100,0, signalant une situation de surachat extrême. Ce niveau maximal indique que le titre a épuisé son potentiel de hausse à court terme et qu'un repli technique est probable. La décision est à la **Vente** à court terme.</w:t>
      </w:r>
    </w:p>
    <w:p>
      <w:pPr>
        <w:spacing w:after="120" w:line="276" w:lineRule="auto"/>
      </w:pPr>
      <w:r>
        <w:t>**Conclusion technique** : Les indicateurs présentent une divergence notable : les moyennes mobiles et le MACD confirment la tendance haussière de fond, tandis que le stochastique en zone de surachat extrême (100) et le RSI proche de 70 avertissent d'un essoufflement imminent. Le titre pourrait connaître une consolidation ou un repli technique avant de reprendre sa trajectoire haussière. La convergence globale reste positive à moyen terme, mais la prudence est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Orange Côte d'Ivoire a réalisé un chiffre d'affaires consolidé de 1 197,1 milliards FCFA, en progression de +10,4% par rapport à 2024 (1 084,1 milliards FCFA), portée par la croissance du parc mobile (+8,6% à 37,6 millions d'abonnés), l'expansion d'Orange Money (+10,2% à 40,4 millions de clients) et l'explosion de la fibre (+59,9%). Le résultat net consolidé s'établit à 167,8 milliards FCFA (+6,1%), tandis que le résultat net part du groupe atteint 129,1 milliards FCFA (+14,5%). La rentabilité reste excellente avec un ROE de 23,71% (largement supérieur au seuil de 15% considéré comme excellent) et un ROA de 6,57%. La marge nette de 14,02% et la marge opérationnelle de 23,99% témoignent d'une gestion rigoureuse. Concernant la structure financière, l'autonomie financière de 27,71% reste légèrement sous le seuil de 30% considéré comme sain, mais la solvabilité générale de 138,34% et la couverture des intérêts de 1 018,44% rassurent sur la capacité de remboursement. Le BFR est négatif à -198,0 milliards FCFA, ce qui est favorable car il signifie que l'entreprise finance son cycle d'exploitation par ses fournisseurs (délai fournisseurs de 210,87 jours contre 52,26 jours pour les clients). Le Free Cash Flow de 156,2 milliards FCFA et la trésorerie nette de 113,9 milliards FCFA confirment la solidité financière. Sur la base du rapport T1 2026 (publié en 2026), on estime que l'exercice 2026 devrait afficher une accélération avec un CA de 325,6 milliards FCFA (+14,8%) et un résultat net de 48,3 milliards FCFA (+25,2%), portés par un effet de levier opérationnel positif (marge nette de 14,8% contre 13,6% au T1 2025). La recommandation fondamentale est **ACHAT** : la société affiche une croissance solide, une rentabilité exceptionnelle et des perspectives favorables, malgré des risques réglementaires et fiscaux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présente un profil contrasté : le PER de 20,2x et le P/B de 4,79x indiquent une surévaluation relative par rapport aux standards de la BRVM, mais l'EV/EBITDA de 8,0x reste raisonnable et justifié par la qualité des cash-flows. Le comportement du cours sur 100 jours est résolument haussier (+51,01%), avec une volatilité modérée (29,9%) et des statistiques descriptives (skewness positif, kurtosis normal) qui suggèrent une dynamique saine sans risque extrême. Les signaux techniques sont mitigés : les moyennes mobiles et le MACD confirment la tendance haussière, mais le stochastique en surachat extrême (100) et le RSI à 62,38 avertissent d'un essoufflement à court terme. Les fondamentaux sont excellents : croissance du CA de +10,4% en 2025, ROE de 23,71%, et les estimations basées sur le T1 2026 (+14,8% de CA, +25,2% de résultat net) confirment l'accélération. Les prédictions IA pour les 10 prochains jours (22 251 FCFA à 22 225 FCFA) suggèrent une légère consolidation, cohérente avec le signal de vente du stochastique. Sur la base de cette synthèse, la recommandation finale est **ACHAT** avec un niveau de confiance **Élevé** et un risque global **Moyen**. L'horizon d'investissement optimal est le **moyen terme (3-12 mois)**, le temps que la consolidation technique s'achève et que les fondamentaux solides se traduisent pleinement dans le cours. Les investisseurs à court terme privilégieront une prise de profit partielle, tandis que les investisseurs long terme peuvent accumuler sur repli vers 21 000 FCFA (MM20).</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225.60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5,627 titres</w:t>
            </w:r>
          </w:p>
        </w:tc>
        <w:tc>
          <w:tcPr>
            <w:tcW w:type="dxa" w:w="2268"/>
            <w:shd w:fill="FFF2CC" w:val="clear"/>
          </w:tcPr>
          <w:p>
            <w:r>
              <w:rPr>
                <w:b/>
                <w:color w:val="503200"/>
                <w:sz w:val="16"/>
              </w:rPr>
              <w:t xml:space="preserve">Cours actuel : </w:t>
            </w:r>
            <w:r>
              <w:rPr>
                <w:color w:val="000000"/>
                <w:sz w:val="17"/>
              </w:rPr>
              <w:t>3,250 FCFA</w:t>
            </w:r>
          </w:p>
          <w:p>
            <w:r>
              <w:rPr>
                <w:b/>
                <w:color w:val="503200"/>
                <w:sz w:val="16"/>
              </w:rPr>
              <w:t xml:space="preserve">Var. 100 jours : </w:t>
            </w:r>
            <w:r>
              <w:rPr>
                <w:b/>
                <w:color w:val="007800"/>
                <w:sz w:val="17"/>
              </w:rPr>
              <w:t>+1.40%</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9.18% (Moyenne) — μ=2,909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β=0.1977 (Défensif) — Cov=0.000007, Var(idx)=0.000034, ρ=0.042,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3,164</w:t>
            </w:r>
          </w:p>
        </w:tc>
        <w:tc>
          <w:tcPr>
            <w:tcW w:type="dxa" w:w="1440"/>
            <w:shd w:fill="FAFAFA" w:val="clear"/>
          </w:tcPr>
          <w:p>
            <w:r>
              <w:rPr>
                <w:b/>
                <w:sz w:val="17"/>
              </w:rPr>
              <w:t>3,254</w:t>
            </w:r>
          </w:p>
        </w:tc>
        <w:tc>
          <w:tcPr>
            <w:tcW w:type="dxa" w:w="1440"/>
            <w:shd w:fill="FAFAFA" w:val="clear"/>
          </w:tcPr>
          <w:p>
            <w:r>
              <w:rPr>
                <w:sz w:val="17"/>
              </w:rPr>
              <w:t>3,344</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3,132</w:t>
            </w:r>
          </w:p>
        </w:tc>
        <w:tc>
          <w:tcPr>
            <w:tcW w:type="dxa" w:w="1440"/>
            <w:shd w:fill="FAFAFA" w:val="clear"/>
          </w:tcPr>
          <w:p>
            <w:r>
              <w:rPr>
                <w:b/>
                <w:sz w:val="17"/>
              </w:rPr>
              <w:t>3,259</w:t>
            </w:r>
          </w:p>
        </w:tc>
        <w:tc>
          <w:tcPr>
            <w:tcW w:type="dxa" w:w="1440"/>
            <w:shd w:fill="FAFAFA" w:val="clear"/>
          </w:tcPr>
          <w:p>
            <w:r>
              <w:rPr>
                <w:sz w:val="17"/>
              </w:rPr>
              <w:t>3,386</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3,107</w:t>
            </w:r>
          </w:p>
        </w:tc>
        <w:tc>
          <w:tcPr>
            <w:tcW w:type="dxa" w:w="1440"/>
            <w:shd w:fill="FAFAFA" w:val="clear"/>
          </w:tcPr>
          <w:p>
            <w:r>
              <w:rPr>
                <w:b/>
                <w:sz w:val="17"/>
              </w:rPr>
              <w:t>3,263</w:t>
            </w:r>
          </w:p>
        </w:tc>
        <w:tc>
          <w:tcPr>
            <w:tcW w:type="dxa" w:w="1440"/>
            <w:shd w:fill="FAFAFA" w:val="clear"/>
          </w:tcPr>
          <w:p>
            <w:r>
              <w:rPr>
                <w:sz w:val="17"/>
              </w:rPr>
              <w:t>3,419</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3,086</w:t>
            </w:r>
          </w:p>
        </w:tc>
        <w:tc>
          <w:tcPr>
            <w:tcW w:type="dxa" w:w="1440"/>
            <w:shd w:fill="FAFAFA" w:val="clear"/>
          </w:tcPr>
          <w:p>
            <w:r>
              <w:rPr>
                <w:b/>
                <w:sz w:val="17"/>
              </w:rPr>
              <w:t>3,266</w:t>
            </w:r>
          </w:p>
        </w:tc>
        <w:tc>
          <w:tcPr>
            <w:tcW w:type="dxa" w:w="1440"/>
            <w:shd w:fill="FAFAFA" w:val="clear"/>
          </w:tcPr>
          <w:p>
            <w:r>
              <w:rPr>
                <w:sz w:val="17"/>
              </w:rPr>
              <w:t>3,446</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3,068</w:t>
            </w:r>
          </w:p>
        </w:tc>
        <w:tc>
          <w:tcPr>
            <w:tcW w:type="dxa" w:w="1440"/>
            <w:shd w:fill="FAFAFA" w:val="clear"/>
          </w:tcPr>
          <w:p>
            <w:r>
              <w:rPr>
                <w:b/>
                <w:sz w:val="17"/>
              </w:rPr>
              <w:t>3,269</w:t>
            </w:r>
          </w:p>
        </w:tc>
        <w:tc>
          <w:tcPr>
            <w:tcW w:type="dxa" w:w="1440"/>
            <w:shd w:fill="FAFAFA" w:val="clear"/>
          </w:tcPr>
          <w:p>
            <w:r>
              <w:rPr>
                <w:sz w:val="17"/>
              </w:rPr>
              <w:t>3,470</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3,051</w:t>
            </w:r>
          </w:p>
        </w:tc>
        <w:tc>
          <w:tcPr>
            <w:tcW w:type="dxa" w:w="1440"/>
            <w:shd w:fill="FAFAFA" w:val="clear"/>
          </w:tcPr>
          <w:p>
            <w:r>
              <w:rPr>
                <w:b/>
                <w:sz w:val="17"/>
              </w:rPr>
              <w:t>3,272</w:t>
            </w:r>
          </w:p>
        </w:tc>
        <w:tc>
          <w:tcPr>
            <w:tcW w:type="dxa" w:w="1440"/>
            <w:shd w:fill="FAFAFA" w:val="clear"/>
          </w:tcPr>
          <w:p>
            <w:r>
              <w:rPr>
                <w:sz w:val="17"/>
              </w:rPr>
              <w:t>3,492</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3,035</w:t>
            </w:r>
          </w:p>
        </w:tc>
        <w:tc>
          <w:tcPr>
            <w:tcW w:type="dxa" w:w="1440"/>
            <w:shd w:fill="FAFAFA" w:val="clear"/>
          </w:tcPr>
          <w:p>
            <w:r>
              <w:rPr>
                <w:b/>
                <w:sz w:val="17"/>
              </w:rPr>
              <w:t>3,274</w:t>
            </w:r>
          </w:p>
        </w:tc>
        <w:tc>
          <w:tcPr>
            <w:tcW w:type="dxa" w:w="1440"/>
            <w:shd w:fill="FAFAFA" w:val="clear"/>
          </w:tcPr>
          <w:p>
            <w:r>
              <w:rPr>
                <w:sz w:val="17"/>
              </w:rPr>
              <w:t>3,513</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3,021</w:t>
            </w:r>
          </w:p>
        </w:tc>
        <w:tc>
          <w:tcPr>
            <w:tcW w:type="dxa" w:w="1440"/>
            <w:shd w:fill="FAFAFA" w:val="clear"/>
          </w:tcPr>
          <w:p>
            <w:r>
              <w:rPr>
                <w:b/>
                <w:sz w:val="17"/>
              </w:rPr>
              <w:t>3,276</w:t>
            </w:r>
          </w:p>
        </w:tc>
        <w:tc>
          <w:tcPr>
            <w:tcW w:type="dxa" w:w="1440"/>
            <w:shd w:fill="FAFAFA" w:val="clear"/>
          </w:tcPr>
          <w:p>
            <w:r>
              <w:rPr>
                <w:sz w:val="17"/>
              </w:rPr>
              <w:t>3,532</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2026-09-25</w:t>
            </w:r>
          </w:p>
        </w:tc>
        <w:tc>
          <w:tcPr>
            <w:tcW w:type="dxa" w:w="1440"/>
            <w:shd w:fill="FAFAFA" w:val="clear"/>
          </w:tcPr>
          <w:p>
            <w:r>
              <w:rPr>
                <w:sz w:val="17"/>
              </w:rPr>
              <w:t>3,008</w:t>
            </w:r>
          </w:p>
        </w:tc>
        <w:tc>
          <w:tcPr>
            <w:tcW w:type="dxa" w:w="1440"/>
            <w:shd w:fill="FAFAFA" w:val="clear"/>
          </w:tcPr>
          <w:p>
            <w:r>
              <w:rPr>
                <w:b/>
                <w:sz w:val="17"/>
              </w:rPr>
              <w:t>3,279</w:t>
            </w:r>
          </w:p>
        </w:tc>
        <w:tc>
          <w:tcPr>
            <w:tcW w:type="dxa" w:w="1440"/>
            <w:shd w:fill="FAFAFA" w:val="clear"/>
          </w:tcPr>
          <w:p>
            <w:r>
              <w:rPr>
                <w:sz w:val="17"/>
              </w:rPr>
              <w:t>3,550</w:t>
            </w:r>
          </w:p>
        </w:tc>
        <w:tc>
          <w:tcPr>
            <w:tcW w:type="dxa" w:w="1440"/>
            <w:shd w:fill="FAFAFA" w:val="clear"/>
          </w:tcPr>
          <w:p>
            <w:r>
              <w:rPr>
                <w:b/>
                <w:color w:val="008000"/>
                <w:sz w:val="17"/>
              </w:rPr>
              <w:t>+0.9%</w:t>
            </w:r>
          </w:p>
        </w:tc>
      </w:tr>
      <w:tr>
        <w:tc>
          <w:tcPr>
            <w:tcW w:type="dxa" w:w="1440"/>
            <w:shd w:fill="FAFAFA" w:val="clear"/>
          </w:tcPr>
          <w:p>
            <w:r>
              <w:rPr>
                <w:sz w:val="17"/>
              </w:rPr>
              <w:t>J+10  Moyenne</w:t>
            </w:r>
          </w:p>
        </w:tc>
        <w:tc>
          <w:tcPr>
            <w:tcW w:type="dxa" w:w="1440"/>
            <w:shd w:fill="FAFAFA" w:val="clear"/>
          </w:tcPr>
          <w:p>
            <w:r>
              <w:rPr>
                <w:sz w:val="17"/>
              </w:rPr>
              <w:t>2026-09-28</w:t>
            </w:r>
          </w:p>
        </w:tc>
        <w:tc>
          <w:tcPr>
            <w:tcW w:type="dxa" w:w="1440"/>
            <w:shd w:fill="FAFAFA" w:val="clear"/>
          </w:tcPr>
          <w:p>
            <w:r>
              <w:rPr>
                <w:sz w:val="17"/>
              </w:rPr>
              <w:t>2,995</w:t>
            </w:r>
          </w:p>
        </w:tc>
        <w:tc>
          <w:tcPr>
            <w:tcW w:type="dxa" w:w="1440"/>
            <w:shd w:fill="FAFAFA" w:val="clear"/>
          </w:tcPr>
          <w:p>
            <w:r>
              <w:rPr>
                <w:b/>
                <w:sz w:val="17"/>
              </w:rPr>
              <w:t>3,281</w:t>
            </w:r>
          </w:p>
        </w:tc>
        <w:tc>
          <w:tcPr>
            <w:tcW w:type="dxa" w:w="1440"/>
            <w:shd w:fill="FAFAFA" w:val="clear"/>
          </w:tcPr>
          <w:p>
            <w:r>
              <w:rPr>
                <w:sz w:val="17"/>
              </w:rPr>
              <w:t>3,567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 S.A.)**</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225,60 milliards FCFA, ORGT figure parmi les valeurs moyennes du compartiment bancaire de la BRVM, reflétant sa dimension de holding régionale panafricaine. Le BPA de 312 FCFA par action confère au titre un PER de 10,4x, soit un niveau modéré et parfaitement aligné sur la fourchette moyenne du marché BRVM (8-12x), ce qui suggère que les investisseurs ne paient pas de prime excessive pour les bénéfices actuels. Le ratio P/B de 1,99x indique que le marché valorise l'action à environ deux fois sa valeur comptable, un niveau raisonnable qui traduit une confiance modérée dans la capacité de la banque à générer des rendements supérieurs à son coût du capital. En revanche, l'EV/EBITDA de 20,2x apparaît très exigeant (seuil critique &gt;15x), ce qui signifie que la valeur d'entreprise intègre déjà une forte anticipation de redressement opérationnel — un signal de prudence pour les investisseurs. Globalement, la valorisation est raisonnable sur les multiples de bénéfices et d'actifs, mais tendue sur la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affiche une variation totale de +1,40%, identique à la variation de la dernière séance (J-1), ce qui indique que l'essentiel de la performance récente s'est concentrée sur la toute dernière cotation. Le cours actuel de 3 250 FCFA se situe dans la partie haute du range de trading, lequel s'étend du plus bas de 2 435 FCFA au plus haut de 3 475 FCFA, soit une amplitude de 42,7% qui témoigne d'une réelle dynamique haussière sur la période. La tendance générale est donc haussière, portée par le retour à la rentabilité du groupe et l'amélioration de ses fondamentaux. Les statistiques descriptives révèlent une moyenne de 2 909 FCFA supérieure à la médiane de 2 780 FCFA, signe d'une distribution légèrement asymétrique à droite, confirmée par un skewness de 0,281 (distribution symétrique à tendance positive). L'écart-type de 268 FCFA et le coefficient de variation de 9,2% indiquent une dispersion modérée du cours autour de sa moyenne, tandis que le kurtosis de -1,332 (distribution platykurtique) signale une faible concentration des valeurs extrêmes et donc un risque de pics de volatilité relativement contenu. La volatilité annualisée de 43,4% classe le titre dans la catégorie des valeurs à volatilité élevée (&gt;30%), ce qui est cohérent avec le profil de redressement d'une banque en restructuration.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3 206,5 FCFA et la MM50 à 2 994,7 FCFA, toutes deux inférieures au cours actuel de 3 250 FCFA, ce qui place le titre en position haussière sur les deux horizons. La configuration des moyennes mobiles (MM20 &gt; MM50) confirme une dynamique positive de court terme, justifiant la décision technique d'**Achat**.</w:t>
      </w:r>
    </w:p>
    <w:p>
      <w:pPr>
        <w:spacing w:after="120" w:line="276" w:lineRule="auto"/>
      </w:pPr>
      <w:r>
        <w:t>**Bandes de Bollinger** : Le cours actuel (3 250 FCFA) évolue à l'intérieur des bandes, entre la borne inférieure de 3 008,03 FCFA et la borne supérieure de 3 404,97 FCFA, sans franchissement des extrêmes. Cette position médiane, couplée à un écart-type modéré, traduit une volatilité normale et justifie la décision **Neutre** — le titre n'est ni en surachat ni en survente technique.</w:t>
      </w:r>
    </w:p>
    <w:p>
      <w:pPr>
        <w:spacing w:after="120" w:line="276" w:lineRule="auto"/>
      </w:pPr>
      <w:r>
        <w:t>**MACD** : La valeur du MACD (78,289) est inférieure à son signal (88,226), ce qui génère une divergence baissière et un croisement négatif. Ce momentum affaibli indique un essoufflement de la dynamique haussière récente, justifiant la décision de **Vente** à court terme.</w:t>
      </w:r>
    </w:p>
    <w:p>
      <w:pPr>
        <w:spacing w:after="120" w:line="276" w:lineRule="auto"/>
      </w:pPr>
      <w:r>
        <w:t>**RSI** : À 55,66, le RSI se situe dans la zone neutre (30-70), sans pression de surachat ni de survente. Cette configuration équilibrée justifie la décision **Neutre** et suggère que le titre dispose encore d'un potentiel de progression sans excès.</w:t>
      </w:r>
    </w:p>
    <w:p>
      <w:pPr>
        <w:spacing w:after="120" w:line="276" w:lineRule="auto"/>
      </w:pPr>
      <w:r>
        <w:t>**Stochastique** : Le %K (38,776) est légèrement inférieur au %D (40,94), sans croisement significatif, et les deux indicateurs évoluent dans la zone basse-médiane. Cette configuration neutre, sans signal de retournement, justifie la décision **Neutre**.</w:t>
      </w:r>
    </w:p>
    <w:p>
      <w:pPr>
        <w:spacing w:after="120" w:line="276" w:lineRule="auto"/>
      </w:pPr>
      <w:r>
        <w:t>**Conclusion technique** : Les indicateurs présentent un tableau mitigé. Les moyennes mobiles sont haussières et soutiennent le cours, mais le MACD génère un signal de vente qui contredit cette dynamique. Les oscillateurs (RSI, Stochastique, Bollinger) sont tous neutres, ce qui suggère une phase de consolidation. Le titre se trouve à un point d'équilibre technique, avec un léger biais haussier structurel mais un momentum de court terme affaibli.</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ORGT a réalisé un Produit Net Bancaire (équivalent du chiffre d'affaires pour une banque) de 186,609 milliards FCFA, en recul de -4,52% par rapport aux 195,436 milliards de 2024, selon les états financiers officiels. Malgré cette contraction, le résultat net consolidé s'établit à 21,643 milliards FCFA, contre une perte de -44,363 milliards en 2024, soit un redressement spectaculaire de +149% porté par une réduction drastique de 90% du coût net du risque (passé de -69,056 à -6,971 milliards FCFA) et une baisse de 12% des frais généraux. Les ratios de rentabilité sont solides : le ROE atteint 19,13% (niveau excellent, &gt;15%) et la marge nette s'élève à 11,60%, tandis que le coefficient d'exploitation de 42,85% témoigne d'une banque très efficace (&lt;50% = excellente). Le coût du risque rapporté aux charges financières s'établit à 3,74%, un niveau faible qui traduit un portefeuille de crédits assaini. La structure bilancielle reste toutefois fragile : l'autonomie financière n'est que de 2,82% (très en dessous du seuil sain de 30%) et le ratio d'endettement de 444,94% est élevé, bien que la solvabilité générale (102,90%) reste supérieure à 1. Le ratio de transformation dépôts/crédits est favorable, avec 3 088,698 milliards FCFA de dépôts clientèle pour 1 523,765 milliards FCFA de créances, soit une couverture de 203%. Sur la base du rapport T1 2026 (publié en 2026), le PNB recule de 2% à 50,124 milliards FCFA mais le résultat net progresse de 37% à 6,555 milliards FCFA, avec des dépôts en hausse de 14% à 3 343 milliards FCFA — on estime donc que l'exercice 2026 devrait confirmer la consolidation du redressement, avec un résultat net annuel projeté autour de 25-28 milliards FCFA si la dynamique se maintient. Le rapport du T3 2025 (30 septembre 2025) confirmait déjà cette trajectoire avec un résultat net de 19,6 milliards FCFA (+248%) et une baisse de 74% du coût du risque. La recommandation fondamentale est de **CONSERVER** : la solidité retrouvée et la maîtrise des risques sont encourageantes, mais la baisse du PNB et l'absence de dividende (confirmée par l'avis de convocation à l'AG du 23 juillet 2026)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apparaît raisonnable sur les multiples de bénéfices (PER 10,4x) et d'actifs (P/B 1,99x), mais tendue sur la capacité opérationnelle (EV/EBITDA 20,2x), ce qui suggère une sous-évaluation modérée sur les fondamentaux mais une anticipation déjà élevée de redressement. Le comportement du cours sur 100 jours est haussier (+1,40%), avec une volatilité élevée (43,4%) et une distribution platykurtique (kurtosis -1,332) qui limite le risque de pics extrêmes, tandis que le skewness positif (0,281) indique une légère asymétrie favorable. Les signaux techniques sont mitigés : les moyennes mobiles sont haussières (MM20 &gt; MM50 &gt; cours), mais le MACD génère une divergence baissière, et les oscillateurs (RSI 55,66, Stochastique neutre, Bollinger neutre) confirment une phase de consolidation sans direction claire. Les fondamentaux sont en nette amélioration — retour à la rentabilité en 2025 (résultat net de 21,643 milliards FCFA), ROE de 19,13%, coefficient d'exploitation de 42,85% — mais le PNB recule (-4,52%) et l'absence de dividende pèse sur l'attrait pour les revenus. Les prédictions IA pour les 10 prochains jours (3 254 → 3 269 FCFA) anticipent une progression très modérée de +0,58%, ce qui confirme la thèse d'une consolidation sans accélération franche. Sur la base de cette synthèse, la recommandation finale est **CONSERVER**, avec un niveau de confiance **Moyen** et un risque global **Moyen**. L'horizon d'investissement optimal est le **moyen terme (3-12 mois)**, le temps que la dynamique commerciale (PNB) se stabilise et que la politique de dividende soit clarifiée, tout en surveillant l'évolution du coût du risque qui reste le principal facteur de sensibilité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132.95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3,800 titres</w:t>
            </w:r>
          </w:p>
        </w:tc>
        <w:tc>
          <w:tcPr>
            <w:tcW w:type="dxa" w:w="2268"/>
            <w:shd w:fill="FFF2CC" w:val="clear"/>
          </w:tcPr>
          <w:p>
            <w:r>
              <w:rPr>
                <w:b/>
                <w:color w:val="503200"/>
                <w:sz w:val="16"/>
              </w:rPr>
              <w:t xml:space="preserve">Cours actuel : </w:t>
            </w:r>
            <w:r>
              <w:rPr>
                <w:color w:val="000000"/>
                <w:sz w:val="17"/>
              </w:rPr>
              <w:t>8,600 FCFA</w:t>
            </w:r>
          </w:p>
          <w:p>
            <w:r>
              <w:rPr>
                <w:b/>
                <w:color w:val="503200"/>
                <w:sz w:val="16"/>
              </w:rPr>
              <w:t xml:space="preserve">Var. 100 jours : </w:t>
            </w:r>
            <w:r>
              <w:rPr>
                <w:b/>
                <w:color w:val="007800"/>
                <w:sz w:val="17"/>
              </w:rPr>
              <w:t>+6.70%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6.65% (Moyenne) — μ=8,541 FCFA, σ=568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β=-0.3091 (Contre-cyclique) — Cov=-0.000011, Var(idx)=0.000034, ρ=-0.077,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3,800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8,164</w:t>
            </w:r>
          </w:p>
        </w:tc>
        <w:tc>
          <w:tcPr>
            <w:tcW w:type="dxa" w:w="1440"/>
            <w:shd w:fill="FAFAFA" w:val="clear"/>
          </w:tcPr>
          <w:p>
            <w:r>
              <w:rPr>
                <w:b/>
                <w:sz w:val="17"/>
              </w:rPr>
              <w:t>8,434</w:t>
            </w:r>
          </w:p>
        </w:tc>
        <w:tc>
          <w:tcPr>
            <w:tcW w:type="dxa" w:w="1440"/>
            <w:shd w:fill="FAFAFA" w:val="clear"/>
          </w:tcPr>
          <w:p>
            <w:r>
              <w:rPr>
                <w:sz w:val="17"/>
              </w:rPr>
              <w:t>8,704</w:t>
            </w:r>
          </w:p>
        </w:tc>
        <w:tc>
          <w:tcPr>
            <w:tcW w:type="dxa" w:w="1440"/>
            <w:shd w:fill="FAFAFA" w:val="clear"/>
          </w:tcPr>
          <w:p>
            <w:r>
              <w:rPr>
                <w:b/>
                <w:color w:val="C00000"/>
                <w:sz w:val="17"/>
              </w:rPr>
              <w:t>-1.9%</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8,058</w:t>
            </w:r>
          </w:p>
        </w:tc>
        <w:tc>
          <w:tcPr>
            <w:tcW w:type="dxa" w:w="1440"/>
            <w:shd w:fill="FAFAFA" w:val="clear"/>
          </w:tcPr>
          <w:p>
            <w:r>
              <w:rPr>
                <w:b/>
                <w:sz w:val="17"/>
              </w:rPr>
              <w:t>8,441</w:t>
            </w:r>
          </w:p>
        </w:tc>
        <w:tc>
          <w:tcPr>
            <w:tcW w:type="dxa" w:w="1440"/>
            <w:shd w:fill="FAFAFA" w:val="clear"/>
          </w:tcPr>
          <w:p>
            <w:r>
              <w:rPr>
                <w:sz w:val="17"/>
              </w:rPr>
              <w:t>8,823</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7,958</w:t>
            </w:r>
          </w:p>
        </w:tc>
        <w:tc>
          <w:tcPr>
            <w:tcW w:type="dxa" w:w="1440"/>
            <w:shd w:fill="FFDCE0" w:val="clear"/>
          </w:tcPr>
          <w:p>
            <w:r>
              <w:rPr>
                <w:b/>
                <w:sz w:val="17"/>
              </w:rPr>
              <w:t>8,425</w:t>
            </w:r>
          </w:p>
        </w:tc>
        <w:tc>
          <w:tcPr>
            <w:tcW w:type="dxa" w:w="1440"/>
            <w:shd w:fill="FFDCE0" w:val="clear"/>
          </w:tcPr>
          <w:p>
            <w:r>
              <w:rPr>
                <w:sz w:val="17"/>
              </w:rPr>
              <w:t>8,892</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7,870</w:t>
            </w:r>
          </w:p>
        </w:tc>
        <w:tc>
          <w:tcPr>
            <w:tcW w:type="dxa" w:w="1440"/>
            <w:shd w:fill="FFDCE0" w:val="clear"/>
          </w:tcPr>
          <w:p>
            <w:r>
              <w:rPr>
                <w:b/>
                <w:sz w:val="17"/>
              </w:rPr>
              <w:t>8,409</w:t>
            </w:r>
          </w:p>
        </w:tc>
        <w:tc>
          <w:tcPr>
            <w:tcW w:type="dxa" w:w="1440"/>
            <w:shd w:fill="FFDCE0" w:val="clear"/>
          </w:tcPr>
          <w:p>
            <w:r>
              <w:rPr>
                <w:sz w:val="17"/>
              </w:rPr>
              <w:t>8,947</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7,792</w:t>
            </w:r>
          </w:p>
        </w:tc>
        <w:tc>
          <w:tcPr>
            <w:tcW w:type="dxa" w:w="1440"/>
            <w:shd w:fill="FFDCE0" w:val="clear"/>
          </w:tcPr>
          <w:p>
            <w:r>
              <w:rPr>
                <w:b/>
                <w:sz w:val="17"/>
              </w:rPr>
              <w:t>8,393</w:t>
            </w:r>
          </w:p>
        </w:tc>
        <w:tc>
          <w:tcPr>
            <w:tcW w:type="dxa" w:w="1440"/>
            <w:shd w:fill="FFDCE0" w:val="clear"/>
          </w:tcPr>
          <w:p>
            <w:r>
              <w:rPr>
                <w:sz w:val="17"/>
              </w:rPr>
              <w:t>8,994</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7,721</w:t>
            </w:r>
          </w:p>
        </w:tc>
        <w:tc>
          <w:tcPr>
            <w:tcW w:type="dxa" w:w="1440"/>
            <w:shd w:fill="FFDCE0" w:val="clear"/>
          </w:tcPr>
          <w:p>
            <w:r>
              <w:rPr>
                <w:b/>
                <w:sz w:val="17"/>
              </w:rPr>
              <w:t>8,378</w:t>
            </w:r>
          </w:p>
        </w:tc>
        <w:tc>
          <w:tcPr>
            <w:tcW w:type="dxa" w:w="1440"/>
            <w:shd w:fill="FFDCE0" w:val="clear"/>
          </w:tcPr>
          <w:p>
            <w:r>
              <w:rPr>
                <w:sz w:val="17"/>
              </w:rPr>
              <w:t>9,036</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7,656</w:t>
            </w:r>
          </w:p>
        </w:tc>
        <w:tc>
          <w:tcPr>
            <w:tcW w:type="dxa" w:w="1440"/>
            <w:shd w:fill="FFDCE0" w:val="clear"/>
          </w:tcPr>
          <w:p>
            <w:r>
              <w:rPr>
                <w:b/>
                <w:sz w:val="17"/>
              </w:rPr>
              <w:t>8,364</w:t>
            </w:r>
          </w:p>
        </w:tc>
        <w:tc>
          <w:tcPr>
            <w:tcW w:type="dxa" w:w="1440"/>
            <w:shd w:fill="FFDCE0" w:val="clear"/>
          </w:tcPr>
          <w:p>
            <w:r>
              <w:rPr>
                <w:sz w:val="17"/>
              </w:rPr>
              <w:t>9,073</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7,594</w:t>
            </w:r>
          </w:p>
        </w:tc>
        <w:tc>
          <w:tcPr>
            <w:tcW w:type="dxa" w:w="1440"/>
            <w:shd w:fill="FFDCE0" w:val="clear"/>
          </w:tcPr>
          <w:p>
            <w:r>
              <w:rPr>
                <w:b/>
                <w:sz w:val="17"/>
              </w:rPr>
              <w:t>8,351</w:t>
            </w:r>
          </w:p>
        </w:tc>
        <w:tc>
          <w:tcPr>
            <w:tcW w:type="dxa" w:w="1440"/>
            <w:shd w:fill="FFDCE0" w:val="clear"/>
          </w:tcPr>
          <w:p>
            <w:r>
              <w:rPr>
                <w:sz w:val="17"/>
              </w:rPr>
              <w:t>9,107</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7,536</w:t>
            </w:r>
          </w:p>
        </w:tc>
        <w:tc>
          <w:tcPr>
            <w:tcW w:type="dxa" w:w="1440"/>
            <w:shd w:fill="FFDCE0" w:val="clear"/>
          </w:tcPr>
          <w:p>
            <w:r>
              <w:rPr>
                <w:b/>
                <w:sz w:val="17"/>
              </w:rPr>
              <w:t>8,337</w:t>
            </w:r>
          </w:p>
        </w:tc>
        <w:tc>
          <w:tcPr>
            <w:tcW w:type="dxa" w:w="1440"/>
            <w:shd w:fill="FFDCE0" w:val="clear"/>
          </w:tcPr>
          <w:p>
            <w:r>
              <w:rPr>
                <w:sz w:val="17"/>
              </w:rPr>
              <w:t>9,138</w:t>
            </w:r>
          </w:p>
        </w:tc>
        <w:tc>
          <w:tcPr>
            <w:tcW w:type="dxa" w:w="1440"/>
            <w:shd w:fill="FFDCE0" w:val="clear"/>
          </w:tcPr>
          <w:p>
            <w:r>
              <w:rPr>
                <w:b/>
                <w:color w:val="C00000"/>
                <w:sz w:val="17"/>
              </w:rPr>
              <w:t>-3.1%</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7,481</w:t>
            </w:r>
          </w:p>
        </w:tc>
        <w:tc>
          <w:tcPr>
            <w:tcW w:type="dxa" w:w="1440"/>
            <w:shd w:fill="FFDCE0" w:val="clear"/>
          </w:tcPr>
          <w:p>
            <w:r>
              <w:rPr>
                <w:b/>
                <w:sz w:val="17"/>
              </w:rPr>
              <w:t>8,324</w:t>
            </w:r>
          </w:p>
        </w:tc>
        <w:tc>
          <w:tcPr>
            <w:tcW w:type="dxa" w:w="1440"/>
            <w:shd w:fill="FFDCE0" w:val="clear"/>
          </w:tcPr>
          <w:p>
            <w:r>
              <w:rPr>
                <w:sz w:val="17"/>
              </w:rPr>
              <w:t>9,167</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132,95 milliards FCFA, PALC se positionne parmi les valeurs moyennes à grandes de la cote BRVM, ce qui traduit une liquidité correcte mais un volume d'échanges quotidien modeste (3 800 titres/jour en moyenne). Le BPA de 1 003 FCFA/action signifie que chaque titre génère environ 1 003 FCFA de bénéfice net, ce qui, rapporté au cours actuel de 8 600 FCFA, donne un PER de 8,6x — un niveau inférieur à la moyenne du marché BRVM (8-12x), suggérant une valorisation raisonnable voire légèrement sous-évaluée. Le P/B de 0,93x est particulièrement intéressant : le marché valorise PALC en dessous de sa valeur comptable (capitaux propres de 142,6 Mds FCFA), ce qui constitue historiquement un signal d'opportunité potentielle pour les investisseurs value. Enfin, l'EV/EBITDA de 4,2x, bien en dessous du seuil de 5x, indique que la valeur d'entreprise (capitalisation + dette nette) est très bon marché par rapport à la capacité opérationnelle de génération de cash-flow, renforçant la thèse d'une sous-évaluation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positive de +6,70%, avec une dernière séance en forte hausse de +3,61%, portant le cours actuel à 8 600 FCFA. Le range de trading est large, entre un plus bas de 7 000 FCFA et un plus haut de 9 640 FCFA, soit une amplitude de 37,7% qui témoigne d'une réelle volatilité intra-période. La tendance générale est haussière mais avec des corrections significatives, le cours actuel se situant à mi-chemin entre les extrêmes, légèrement au-dessus de la moyenne (8 541 FCFA) mais en dessous de la médiane (8 690 FCFA) — cet écart moyenne/médiane révèle une distribution légèrement asymétrique à gauche, confirmée par le skewness de -0,387 (distribution symétrique avec une queue gauche plus épaisse, indiquant quelques séances de forte baisse). L'écart-type de 571 FCFA avec un coefficient de variation de 6,7% traduit une dispersion modérée du cours autour de sa moyenne, tandis que le kurtosis de -0,493 (mésokurtique) indique une distribution proche de la normale, sans risque excessif de pics extrêmes. La volatilité annualisée de 37,7% classe le titre dans la catégorie des valeurs à volatilité élevée (&gt;30%), ce qui est cohérent avec son statut de valeur agro-industrielle exposée aux cours mondiaux des matières premières.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(9 080,5 FCFA) et la MM50 (8 940,1 FCFA) se situent toutes deux au-dessus du cours actuel (8 600 FCFA), ce qui place le titre en position baissière à court terme malgré la décision "Achat" générée par le croisement des moyennes (MM20 &gt; MM50). Cet écart entre le cours et les moyennes suggère un potentiel de rattrapage haussier, mais la pression vendeuse récente reste présente.</w:t>
      </w:r>
    </w:p>
    <w:p>
      <w:pPr>
        <w:spacing w:after="120" w:line="276" w:lineRule="auto"/>
      </w:pPr>
      <w:r>
        <w:t>**Bandes de Bollinger** : Le cours (8 600 FCFA) évolue dans la partie basse de la bande (borne inférieure à 8 189,7 FCFA, borne supérieure à 9 971,3 FCFA), à environ 41% de la largeur du canal. Cette position médiane-basse, combinée à une décision "Neutre", indique une absence de signal directionnel fort, avec une volatilité contenue dans les bornes.</w:t>
      </w:r>
    </w:p>
    <w:p>
      <w:pPr>
        <w:spacing w:after="120" w:line="276" w:lineRule="auto"/>
      </w:pPr>
      <w:r>
        <w:t>**MACD** : La valeur du MACD (-160,795) est nettement en dessous de sa ligne de signal (-52,333), générant une décision "Vente". Cette divergence négative persistante traduit un momentum baissier à court terme, bien que l'écart entre les deux lignes commence peut-être à se stabiliser, ce qui pourrait annoncer un retournement prochain.</w:t>
      </w:r>
    </w:p>
    <w:p>
      <w:pPr>
        <w:spacing w:after="120" w:line="276" w:lineRule="auto"/>
      </w:pPr>
      <w:r>
        <w:t>**RSI** : À 31,781, le RSI se situe juste au-dessus du seuil de survente (30), en zone neutre basse. Cette configuration indique que le titre n'est pas encore techniquement survendu mais s'en approche dangereusement, ce qui pourrait attirer les acheteurs à contre-tendance et limiter la baisse.</w:t>
      </w:r>
    </w:p>
    <w:p>
      <w:pPr>
        <w:spacing w:after="120" w:line="276" w:lineRule="auto"/>
      </w:pPr>
      <w:r>
        <w:t>**Stochastique** : Le %K (27,273) est supérieur au %D (9,091), avec un croisement haussier potentiel en zone de survente (les deux indicateurs étant sous 20). Cette configuration est généralement un signal d'achat précoce, bien que la décision affichée soit "Neutre" en raison de la faiblesse globale du momentum.</w:t>
      </w:r>
    </w:p>
    <w:p>
      <w:pPr>
        <w:spacing w:after="120" w:line="276" w:lineRule="auto"/>
      </w:pPr>
      <w:r>
        <w:t>**Conclusion technique** : Les indicateurs techniques présentent un tableau mitigé — les moyennes mobiles et le MACD sont baissiers, tandis que le RSI et le stochastique approchent de zones de survente propices à un rebond. La divergence entre ces signaux suggère une phase de consolidation en cours, avec un potentiel de rebond technique à court terme si le cours parvient à se maintenir au-dessus de 8 400 FCFA. La décision globale reste prudente, en attente d'une confirmation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PALC a réalisé un chiffre d'affaires de 197,630 milliards FCFA, en croissance de +14,78% par rapport à 2024 (172,2 Mds FCFA), portée par la hausse des volumes et des prix de l'huile de palme. Le résultat net s'établit à 15,509 milliards FCFA, en léger recul de -2,2% par rapport à 2024 (15,9 Mds FCFA), avec une marge nette de 7,85% (contre 9,2% en 2024). Le ROE de 10,87% et le ROA de 7,79% restent corrects mais en deçà du seuil d'excellence de 15%, reflétant une pression sur les coûts (charges de personnel +4%, services extérieurs +30,3%, impôts +56,8%). La structure financière est très solide : autonomie financière de 71,64%, ratio d'endettement de seulement 0,56%, et une trésorerie nette négative de -4,559 Mds FCFA (point de vigilance). Le BFR de 44,623 Mds FCFA et le délai client élevé de 142,58 jours constituent un risque de trésorerie significatif, tandis que la rotation des stocks est rapide (14,55 jours).</w:t>
      </w:r>
    </w:p>
    <w:p>
      <w:pPr>
        <w:spacing w:after="120" w:line="276" w:lineRule="auto"/>
      </w:pPr>
      <w:r>
        <w:t>**Estimations basées sur les rapports trimestriels** : Le rapport T1 2026 (publié en 2026) révèle une contre-performance marquée avec un CA en baisse de -27% à 49,4 Mds FCFA et un résultat net en chute de -86% à 1,6 Md FCFA, que la direction attribue à un décalage temporel des ventes. Le rapport T3 2025 (30/09/2025) indiquait un CA cumulé de 168,9 Mds FCFA (+18%) et un résultat net de 18,0 Mds FCFA (+11%), avec une marge nette de 10,7%. Le rapport S1 2025 (30/06/2025) affichait un CA de 134,8 Mds FCFA (+25%) et un résultat net de 22,9 Mds FCFA (+37%), avec une marge nette de 17,0%. On estime donc que l'exercice 2026 devrait être nettement en retrait par rapport à 2025, avec un résultat net potentiellement inférieur à 10 Mds FCFA si la tendance du T1 se confirme, bien que la direction anticipe un redressement grâce à l'écoulement des stocks à l'export. La politique de dividende, avec un DPA de 502 FCFA en 2025 (vs 620 FCFA en 2024), soit un taux de distribution de 50,2%, pourrait être réduite davantage en 2026 si les résultats ne se redressent pas.</w:t>
      </w:r>
    </w:p>
    <w:p>
      <w:pPr>
        <w:spacing w:after="120" w:line="276" w:lineRule="auto"/>
      </w:pPr>
      <w:r>
        <w:t>**Recommandation fondamentale** : PALC reste un acteur solide de l'agro-industrie ouest-africaine avec une structure financière saine et une position dominante sur le marché de l'huile de palme. Cependant, la dégradation de la rentabilité (marge nette passant de 17% au S1 2025 à 3,2% au T1 2026) et la volatilité des cours des matières premières constituent des risques majeurs. La recommandation fondamentale est de **CONSERVER** avec une surveillance active des prochains rapports trimestriels, en particulier le T2 2026 qui devrait confirmer ou infirmer le redressement attendu.</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PALC. **Valorisation (Partie 0)** : les ratios PER (8,6x), P/B (0,93x) et EV/EBITDA (4,2x) indiquent une sous-évaluation relative du titre par rapport à ses fondamentaux et au marché BRVM, ce qui constitue un argument haussier à moyen terme. **Comportement du cours (Partie 1)** : la tendance haussière sur 100 jours (+6,70%) avec une volatilité élevée (37,7%) et une distribution proche de la normale (kurtosis -0,493, skewness -0,387) suggère un titre dynamique mais risqué, avec un potentiel de rebond après la correction récente. **Signaux techniques (Partie 2)** : la divergence entre les indicateurs (MM baissières, MACD vendeur, mais RSI et stochastique proches de la survente) plaide pour une phase de consolidation avec un potentiel de retournement à court terme. **Fondamentaux (Partie 3)** : la solidité financière (autonomie de 71,64%, endettement quasi nul) et la croissance du CA en 2025 (+14,78%) sont tempérées par la chute du résultat net au T1 2026 (-86%) et la pression sur les marges, ce qui incite à la prudence. **Prédictions IA (J+1 à J+10)** : la trajectoire prévue (8 434 → 8 393 FCFA) est légèrement baissière, en contradiction avec le potentiel de rebond technique identifié, ce qui renforce la prudence à court terme.</w:t>
      </w:r>
    </w:p>
    <w:p>
      <w:pPr>
        <w:spacing w:after="120" w:line="276" w:lineRule="auto"/>
      </w:pPr>
      <w:r>
        <w:t>**Recommandation finale** : **CONSERVER**. La convergence entre une valorisation attractive (P/B &lt; 1, PER faible) et une technique en phase de consolidation, mais une dégradation fondamentale récente (T1 2026), justifie une position attentiste. Le niveau de confiance est **Moyen** en raison de la divergence entre les signaux techniques (potentiel de rebond) et les prédictions IA (légère baisse). Le niveau de risque global est **Élevé** en raison de la volatilité du titre (37,7%) et de l'exposition aux cours des matières premières. L'horizon d'investissement optimal est **moyen terme (3-12 mois)**, en attendant la publication des prochains rapports trimestriels (T2 2026) qui permettront de confirmer ou d'infirmer le redressement de la rentabilité. Un investisseur averse au risque attendra des signaux techniques plus clairs (cassure de la MM20 à la hausse) avant de renforcer sa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872 titres</w:t>
            </w:r>
          </w:p>
        </w:tc>
        <w:tc>
          <w:tcPr>
            <w:tcW w:type="dxa" w:w="2268"/>
            <w:shd w:fill="FFF2CC" w:val="clear"/>
          </w:tcPr>
          <w:p>
            <w:r>
              <w:rPr>
                <w:b/>
                <w:color w:val="503200"/>
                <w:sz w:val="16"/>
              </w:rPr>
              <w:t xml:space="preserve">Cours actuel : </w:t>
            </w:r>
            <w:r>
              <w:rPr>
                <w:color w:val="000000"/>
                <w:sz w:val="17"/>
              </w:rPr>
              <w:t>4,375 FCFA</w:t>
            </w:r>
          </w:p>
          <w:p>
            <w:r>
              <w:rPr>
                <w:b/>
                <w:color w:val="503200"/>
                <w:sz w:val="16"/>
              </w:rPr>
              <w:t xml:space="preserve">Var. 100 jours : </w:t>
            </w:r>
            <w:r>
              <w:rPr>
                <w:b/>
                <w:color w:val="B40000"/>
                <w:sz w:val="17"/>
              </w:rPr>
              <w:t>-10.71%</w:t>
            </w:r>
          </w:p>
          <w:p>
            <w:r>
              <w:rPr>
                <w:b/>
                <w:color w:val="503200"/>
                <w:sz w:val="16"/>
              </w:rPr>
              <w:t xml:space="preserve">Plus haut 100j : </w:t>
            </w:r>
            <w:r>
              <w:rPr>
                <w:color w:val="000000"/>
                <w:sz w:val="17"/>
              </w:rPr>
              <w:t>4,900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μ=4,386 FCFA, σ=296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β=-0.2479 (Contre-cyclique) — Cov=-0.000009, Var(idx)=0.000034, ρ=-0.059,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4,265</w:t>
            </w:r>
          </w:p>
        </w:tc>
        <w:tc>
          <w:tcPr>
            <w:tcW w:type="dxa" w:w="1440"/>
            <w:shd w:fill="FAFAFA" w:val="clear"/>
          </w:tcPr>
          <w:p>
            <w:r>
              <w:rPr>
                <w:b/>
                <w:sz w:val="17"/>
              </w:rPr>
              <w:t>4,357</w:t>
            </w:r>
          </w:p>
        </w:tc>
        <w:tc>
          <w:tcPr>
            <w:tcW w:type="dxa" w:w="1440"/>
            <w:shd w:fill="FAFAFA" w:val="clear"/>
          </w:tcPr>
          <w:p>
            <w:r>
              <w:rPr>
                <w:sz w:val="17"/>
              </w:rPr>
              <w:t>4,450</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4,214</w:t>
            </w:r>
          </w:p>
        </w:tc>
        <w:tc>
          <w:tcPr>
            <w:tcW w:type="dxa" w:w="1440"/>
            <w:shd w:fill="FAFAFA" w:val="clear"/>
          </w:tcPr>
          <w:p>
            <w:r>
              <w:rPr>
                <w:b/>
                <w:sz w:val="17"/>
              </w:rPr>
              <w:t>4,344</w:t>
            </w:r>
          </w:p>
        </w:tc>
        <w:tc>
          <w:tcPr>
            <w:tcW w:type="dxa" w:w="1440"/>
            <w:shd w:fill="FAFAFA" w:val="clear"/>
          </w:tcPr>
          <w:p>
            <w:r>
              <w:rPr>
                <w:sz w:val="17"/>
              </w:rPr>
              <w:t>4,475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4,172</w:t>
            </w:r>
          </w:p>
        </w:tc>
        <w:tc>
          <w:tcPr>
            <w:tcW w:type="dxa" w:w="1440"/>
            <w:shd w:fill="FAFAFA" w:val="clear"/>
          </w:tcPr>
          <w:p>
            <w:r>
              <w:rPr>
                <w:b/>
                <w:sz w:val="17"/>
              </w:rPr>
              <w:t>4,331</w:t>
            </w:r>
          </w:p>
        </w:tc>
        <w:tc>
          <w:tcPr>
            <w:tcW w:type="dxa" w:w="1440"/>
            <w:shd w:fill="FAFAFA" w:val="clear"/>
          </w:tcPr>
          <w:p>
            <w:r>
              <w:rPr>
                <w:sz w:val="17"/>
              </w:rPr>
              <w:t>4,490</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4,135</w:t>
            </w:r>
          </w:p>
        </w:tc>
        <w:tc>
          <w:tcPr>
            <w:tcW w:type="dxa" w:w="1440"/>
            <w:shd w:fill="FAFAFA" w:val="clear"/>
          </w:tcPr>
          <w:p>
            <w:r>
              <w:rPr>
                <w:b/>
                <w:sz w:val="17"/>
              </w:rPr>
              <w:t>4,319</w:t>
            </w:r>
          </w:p>
        </w:tc>
        <w:tc>
          <w:tcPr>
            <w:tcW w:type="dxa" w:w="1440"/>
            <w:shd w:fill="FAFAFA" w:val="clear"/>
          </w:tcPr>
          <w:p>
            <w:r>
              <w:rPr>
                <w:sz w:val="17"/>
              </w:rPr>
              <w:t>4,502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4,102</w:t>
            </w:r>
          </w:p>
        </w:tc>
        <w:tc>
          <w:tcPr>
            <w:tcW w:type="dxa" w:w="1440"/>
            <w:shd w:fill="FAFAFA" w:val="clear"/>
          </w:tcPr>
          <w:p>
            <w:r>
              <w:rPr>
                <w:b/>
                <w:sz w:val="17"/>
              </w:rPr>
              <w:t>4,306</w:t>
            </w:r>
          </w:p>
        </w:tc>
        <w:tc>
          <w:tcPr>
            <w:tcW w:type="dxa" w:w="1440"/>
            <w:shd w:fill="FAFAFA" w:val="clear"/>
          </w:tcPr>
          <w:p>
            <w:r>
              <w:rPr>
                <w:sz w:val="17"/>
              </w:rPr>
              <w:t>4,511</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4,071</w:t>
            </w:r>
          </w:p>
        </w:tc>
        <w:tc>
          <w:tcPr>
            <w:tcW w:type="dxa" w:w="1440"/>
            <w:shd w:fill="FAFAFA" w:val="clear"/>
          </w:tcPr>
          <w:p>
            <w:r>
              <w:rPr>
                <w:b/>
                <w:sz w:val="17"/>
              </w:rPr>
              <w:t>4,295</w:t>
            </w:r>
          </w:p>
        </w:tc>
        <w:tc>
          <w:tcPr>
            <w:tcW w:type="dxa" w:w="1440"/>
            <w:shd w:fill="FAFAFA" w:val="clear"/>
          </w:tcPr>
          <w:p>
            <w:r>
              <w:rPr>
                <w:sz w:val="17"/>
              </w:rPr>
              <w:t>4,518</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4,043</w:t>
            </w:r>
          </w:p>
        </w:tc>
        <w:tc>
          <w:tcPr>
            <w:tcW w:type="dxa" w:w="1440"/>
            <w:shd w:fill="FFDCE0" w:val="clear"/>
          </w:tcPr>
          <w:p>
            <w:r>
              <w:rPr>
                <w:b/>
                <w:sz w:val="17"/>
              </w:rPr>
              <w:t>4,283</w:t>
            </w:r>
          </w:p>
        </w:tc>
        <w:tc>
          <w:tcPr>
            <w:tcW w:type="dxa" w:w="1440"/>
            <w:shd w:fill="FFDCE0" w:val="clear"/>
          </w:tcPr>
          <w:p>
            <w:r>
              <w:rPr>
                <w:sz w:val="17"/>
              </w:rPr>
              <w:t>4,524</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4,016</w:t>
            </w:r>
          </w:p>
        </w:tc>
        <w:tc>
          <w:tcPr>
            <w:tcW w:type="dxa" w:w="1440"/>
            <w:shd w:fill="FFDCE0" w:val="clear"/>
          </w:tcPr>
          <w:p>
            <w:r>
              <w:rPr>
                <w:b/>
                <w:sz w:val="17"/>
              </w:rPr>
              <w:t>4,273</w:t>
            </w:r>
          </w:p>
        </w:tc>
        <w:tc>
          <w:tcPr>
            <w:tcW w:type="dxa" w:w="1440"/>
            <w:shd w:fill="FFDCE0" w:val="clear"/>
          </w:tcPr>
          <w:p>
            <w:r>
              <w:rPr>
                <w:sz w:val="17"/>
              </w:rPr>
              <w:t>4,529</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3,991</w:t>
            </w:r>
          </w:p>
        </w:tc>
        <w:tc>
          <w:tcPr>
            <w:tcW w:type="dxa" w:w="1440"/>
            <w:shd w:fill="FFDCE0" w:val="clear"/>
          </w:tcPr>
          <w:p>
            <w:r>
              <w:rPr>
                <w:b/>
                <w:sz w:val="17"/>
              </w:rPr>
              <w:t>4,262</w:t>
            </w:r>
          </w:p>
        </w:tc>
        <w:tc>
          <w:tcPr>
            <w:tcW w:type="dxa" w:w="1440"/>
            <w:shd w:fill="FFDCE0" w:val="clear"/>
          </w:tcPr>
          <w:p>
            <w:r>
              <w:rPr>
                <w:sz w:val="17"/>
              </w:rPr>
              <w:t>4,534</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3,967</w:t>
            </w:r>
          </w:p>
        </w:tc>
        <w:tc>
          <w:tcPr>
            <w:tcW w:type="dxa" w:w="1440"/>
            <w:shd w:fill="FFDCE0" w:val="clear"/>
          </w:tcPr>
          <w:p>
            <w:r>
              <w:rPr>
                <w:b/>
                <w:sz w:val="17"/>
              </w:rPr>
              <w:t>4,252</w:t>
            </w:r>
          </w:p>
        </w:tc>
        <w:tc>
          <w:tcPr>
            <w:tcW w:type="dxa" w:w="1440"/>
            <w:shd w:fill="FFDCE0" w:val="clear"/>
          </w:tcPr>
          <w:p>
            <w:r>
              <w:rPr>
                <w:sz w:val="17"/>
              </w:rPr>
              <w:t>4,538</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44,80 milliards FCFA, PRSC se positionne comme une valeur de taille intermédiaire sur le compartiment BRVM, représentant une capitalisation modeste à l'échelle régionale mais significative dans le secteur de la distribution automobile. Le BPA de 231 FCFA/action (2025) traduit une rentabilité unitaire correcte, chaque titre générant près de 231 FCFA de bénéfice net. Le PER de 18,9x apparaît nettement supérieur à la moyenne BRVM (estimée entre 8x et 12x), signalant que le marché valorise PRSC avec une prime de croissance notable — les investisseurs paient près de 19 fois les bénéfices annuels, ce qui suppose des anticipations de progression future. Le P/B de 3,89x confirme cette prime : le marché valorise l'entreprise à près de 4 fois sa valeur comptable (capitaux propres de 11,531 Mds FCFA), ce qui est élevé pour une activité de distribution à faible marge nette (2,92%). Enfin, l'EV/EBITDA de 9,7x se situe dans la fourchette raisonnable (5-10x), indiquant que la valeur totale de l'entreprise (capitalisation + dette nette) reste cohérente avec sa capacité opérationnelle dégagée (EBE de 5,787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de **-10,71%**, avec une dernière séance en léger repli de -0,23%, portant le cours actuel à 4 375 FCFA. Le titre a évolué dans un range de trading de 1 280 FCFA, oscillant entre un plus bas de 3 620 FCFA et un plus haut de 4 900 FCFA, ce qui traduit une tendance générale baissière sur la période malgré une reprise partielle depuis les points bas. Les statistiques descriptives révèlent une distribution légèrement asymétrique : la moyenne (4 386 FCFA) est inférieure à la médiane (4 450 FCFA), confirmant un skewness négatif de -1,085 — interprété comme « plus de journées au-dessus de la moyenne » — ce qui signifie que quelques séances de forte baisse ont tiré la moyenne vers le bas, mais que le cours a majoritairement évolué au-dessus de sa moyenne. L'écart-type de 298 FCFA (CV = 6,8%) indique une dispersion modérée du cours autour de sa moyenne, tandis que le kurtosis de 0,826 (mésokurtique) suggère une distribution proche de la normale, sans risque excessif de pics extrêmes. La volatilité annualisée de 38,9% classe PRSC parmi les titres à volatilité **élevée** (&gt;30%), ce qui implique un risque de fluctuation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(4 437 FCFA) et la MM50 (4 461,9 FCFA) se situent toutes deux au-dessus du cours actuel (4 375 FCFA), avec la MM20 légèrement en dessous de la MM50. Cette configuration baissière — cours sous les deux moyennes — confirme la pression vendeuse et justifie la décision technique de **Vente**. Le croisement potentiel des moyennes (MM20 sous MM50) renforcerait ce signal négatif.</w:t>
      </w:r>
    </w:p>
    <w:p>
      <w:pPr>
        <w:spacing w:after="120" w:line="276" w:lineRule="auto"/>
      </w:pPr>
      <w:r>
        <w:t>**Bandes de Bollinger** : Le cours (4 375 FCFA) évolue dans la partie inférieure de la bande, entre la borne inférieure (4 318,75 FCFA) et la borne supérieure (4 555,25 FCFA), sans franchir les limites. Cette position neutre, avec un cours proche du milieu de bande, traduit une absence de signal directionnel fort et justifie la décision **Neutre**. La largeur des bandes (236,5 FCFA) reflète une volatilité modérée.</w:t>
      </w:r>
    </w:p>
    <w:p>
      <w:pPr>
        <w:spacing w:after="120" w:line="276" w:lineRule="auto"/>
      </w:pPr>
      <w:r>
        <w:t>**MACD** : La ligne MACD (-22,364) est en dessous de sa ligne de signal (-15,875), avec un histogramme négatif. Cette configuration baissière indique un momentum négatif persistant, bien que l'écart entre les deux lignes reste contenu. La décision technique de **Vente** est cohérente avec cette divergence négative, mais la faiblesse de l'écart suggère une possible inflexion prochaine.</w:t>
      </w:r>
    </w:p>
    <w:p>
      <w:pPr>
        <w:spacing w:after="120" w:line="276" w:lineRule="auto"/>
      </w:pPr>
      <w:r>
        <w:t>**RSI** : À 42,748, le RSI se situe en zone neutre (30-70), sans signal de surachat (&gt;70) ni de survente (&lt;30). Cette valeur légèrement sous la barre des 50 indique une dynamique baissière modérée mais non extrême, justifiant la décision **Neutre**. Un franchissement à la hausse de 50 confirmerait un retournement potentiel.</w:t>
      </w:r>
    </w:p>
    <w:p>
      <w:pPr>
        <w:spacing w:after="120" w:line="276" w:lineRule="auto"/>
      </w:pPr>
      <w:r>
        <w:t>**Stochastique** : Le %K (12,5) et le %D (18,333) sont tous deux en zone de survente (&lt;20), avec %K sous %D. Cette configuration est typique d'un signal d'**Achat** technique, car elle suggère que le cours est survendu et qu'un rebond pourrait se produire à court terme. Le croisement potentiel de %K au-dessus de %D serait un signal de confirmation.</w:t>
      </w:r>
    </w:p>
    <w:p>
      <w:pPr>
        <w:spacing w:after="120" w:line="276" w:lineRule="auto"/>
      </w:pPr>
      <w:r>
        <w:t>**Conclusion technique** : Les indicateurs sont majoritairement baissiers (MM, MACD) ou neutres (Bollinger, RSI), mais le stochastique en zone de survente offre un signal d'achat contrarien. Cette divergence entre indicateurs de tendance (baissiers) et de momentum (survente) suggère une phase de consolidation possible, avec un potentiel de rebond technique à court terme, mais sans confirmation d'un retournement durable tant que le cours reste sous les moyennes mobiles.</w:t>
      </w:r>
    </w:p>
    <w:p>
      <w:pPr>
        <w:spacing w:after="120" w:line="276" w:lineRule="auto"/>
      </w:pPr>
      <w:r>
        <w:t>---</w:t>
      </w:r>
    </w:p>
    <w:p>
      <w:pPr>
        <w:spacing w:after="120" w:line="276" w:lineRule="auto"/>
      </w:pPr>
      <w:r>
        <w:t>## PARTIE 3 : ANALYSE FONDAMENTALE</w:t>
      </w:r>
    </w:p>
    <w:p>
      <w:pPr>
        <w:spacing w:after="120" w:line="276" w:lineRule="auto"/>
      </w:pPr>
      <w:r>
        <w:t>En 2025, PRSC (Tractafric Motors Côte d'Ivoire) affiche un chiffre d'affaires de **81,127 milliards FCFA**, en croissance de +9,5% par rapport à 2024 (74,45 milliards FCFA selon le rapport Mistral du 30/03/2026), portée par les ventes de véhicules industriels et de pneumatiques. Le résultat net s'établit à **2,367 milliards FCFA**, stable par rapport aux 2,35 milliards de 2024, avec une marge nette de 2,92% — faible mais en légère amélioration. Le ROE de 20,53% est excellent (&gt;15%), traduisant une bonne rentabilité des fonds propres (11,531 Mds FCFA), tandis que le ROA de 4,95% reste modéré, reflétant l'intensité capitalistique de l'activité de distribution. En tant qu'entreprise non bancaire, les indicateurs clés sont le BFR (11,267 Mds FCFA, positif donc défavorable), les délais clients (45,99 jours, modéré) et fournisseurs (102,65 jours, favorable), ainsi qu'une durée de stockage élevée (150,51 jours) qui immobilise du capital. La structure financière montre une autonomie financière de 24,10% (inférieure au seuil sain de 30%), un ratio d'endettement élevé de 314,86% et une trésorerie nette négative de -4,092 Mds FCFA, bien que la solvabilité générale (131,76%) et la liquidité générale (120,87%) restent satisfaisantes. Les rapports trimestriels confirment la dynamique : le S1 2025 (rapport du 30/06/2025) affiche un CA de 39,968 Mds FCFA (+15,1%) et un résultat net de 1,436 Md FCFA (×28 vs S1 2024), avec une marge nette de 3,6%. Sur cette base, on estime que l'exercice 2025 devrait confirmer la reprise, avec un résultat net annuel proche de 2,4 Mds FCFA et une amélioration de la marge nette. La recommandation fondamentale est **CONSERVER** : la société présente une croissance solide, un dividende attractif (209 FCFA/action, soit un rendement de ~4,8% au cours actuel) et une rentabilité des fonds propres excellente, mais les risques liés à l'endettement, à la trésorerie négative et à la faible marge nette nécessitent une surveillance étroite.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**En valorisation (Partie 0)**, le PER de 18,9x et le P/B de 3,89x indiquent une surévaluation relative par rapport à la moyenne BRVM, bien que l'EV/EBITDA de 9,7x reste raisonnable — le marché intègre déjà une prime de croissance. **Le comportement du cours (Partie 1)** est préoccupant : tendance baissière (-10,71% sur 100 jours), volatilité élevée (38,9%) et skewness négatif, bien que le kurtosis mésokurtique limite le risque de pics extrêmes. **Les signaux techniques (Partie 2)** sont divergents : les moyennes mobiles et le MACD sont baissiers, le RSI et les Bollinger sont neutres, mais le stochastique en zone de survente offre un signal d'achat contrarien — cette divergence suggère une possible consolidation avec un rebond technique à court terme. **Les fondamentaux (Partie 3)** sont solides : croissance du CA (+9,5% en 2025), ROE excellent (20,53%), dividende attractif (209 FCFA/action) et amélioration de la marge nette au S1 2025, mais tempérés par un endettement élevé et une trésorerie négative. **Les prédictions IA (J+1 à J+10)** anticipent une poursuite de la baisse modérée, avec un cours cible de 4 306 FCFA à J+10 (soit -1,6% depuis 4 375 FCFA), ce qui contredit le signal d'achat du stochastique et confirme la tendance baissière de court terme. **Recommandation finale : CONSERVER**, avec un niveau de confiance **Moyen** et un risque global **Moyen à Élevé**. La convergence entre la surévaluation relative, la tendance baissière et les prédictions IA négatives incite à la prudence à court terme, mais la solidité des fondamentaux (croissance, ROE, dividende) et le potentiel de rebond technique justifient le maintien en portefeuille pour les investisseurs déjà positionnés. **Horizon optimal : moyen terme (3-12 mois)**, en attendant une confirmation de la reprise opérationnelle et une clarification de la politique de dividende, avec un point d'entrée plus favorable si le cours teste la borne inférieure des Bollinger (4 318 FCFA) ou le plus bas des 100 jours (3 620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8,760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B40000"/>
                <w:sz w:val="17"/>
              </w:rPr>
              <w:t>-10.81%</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17.61% (Élevée) — μ=4,612 FCFA, σ=812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β=0.0670 (Défensif) — Cov=0.000002, Var(idx)=0.000034, ρ=0.008,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σ_j=5.06%/j (Instable) — Vol. annualisée≈80.4%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2026-09-15</w:t>
            </w:r>
          </w:p>
        </w:tc>
        <w:tc>
          <w:tcPr>
            <w:tcW w:type="dxa" w:w="1440"/>
            <w:shd w:fill="FFDCE0" w:val="clear"/>
          </w:tcPr>
          <w:p>
            <w:r>
              <w:rPr>
                <w:sz w:val="17"/>
              </w:rPr>
              <w:t>4,740</w:t>
            </w:r>
          </w:p>
        </w:tc>
        <w:tc>
          <w:tcPr>
            <w:tcW w:type="dxa" w:w="1440"/>
            <w:shd w:fill="FFDCE0" w:val="clear"/>
          </w:tcPr>
          <w:p>
            <w:r>
              <w:rPr>
                <w:b/>
                <w:sz w:val="17"/>
              </w:rPr>
              <w:t>5,069</w:t>
            </w:r>
          </w:p>
        </w:tc>
        <w:tc>
          <w:tcPr>
            <w:tcW w:type="dxa" w:w="1440"/>
            <w:shd w:fill="FFDCE0" w:val="clear"/>
          </w:tcPr>
          <w:p>
            <w:r>
              <w:rPr>
                <w:sz w:val="17"/>
              </w:rPr>
              <w:t>5,398</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4,508</w:t>
            </w:r>
          </w:p>
        </w:tc>
        <w:tc>
          <w:tcPr>
            <w:tcW w:type="dxa" w:w="1440"/>
            <w:shd w:fill="FFDCE0" w:val="clear"/>
          </w:tcPr>
          <w:p>
            <w:r>
              <w:rPr>
                <w:b/>
                <w:sz w:val="17"/>
              </w:rPr>
              <w:t>4,964</w:t>
            </w:r>
          </w:p>
        </w:tc>
        <w:tc>
          <w:tcPr>
            <w:tcW w:type="dxa" w:w="1440"/>
            <w:shd w:fill="FFDCE0" w:val="clear"/>
          </w:tcPr>
          <w:p>
            <w:r>
              <w:rPr>
                <w:sz w:val="17"/>
              </w:rPr>
              <w:t>5,419</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4,395</w:t>
            </w:r>
          </w:p>
        </w:tc>
        <w:tc>
          <w:tcPr>
            <w:tcW w:type="dxa" w:w="1440"/>
            <w:shd w:fill="FFDCE0" w:val="clear"/>
          </w:tcPr>
          <w:p>
            <w:r>
              <w:rPr>
                <w:b/>
                <w:sz w:val="17"/>
              </w:rPr>
              <w:t>4,951</w:t>
            </w:r>
          </w:p>
        </w:tc>
        <w:tc>
          <w:tcPr>
            <w:tcW w:type="dxa" w:w="1440"/>
            <w:shd w:fill="FFDCE0" w:val="clear"/>
          </w:tcPr>
          <w:p>
            <w:r>
              <w:rPr>
                <w:sz w:val="17"/>
              </w:rPr>
              <w:t>5,508</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4,324</w:t>
            </w:r>
          </w:p>
        </w:tc>
        <w:tc>
          <w:tcPr>
            <w:tcW w:type="dxa" w:w="1440"/>
            <w:shd w:fill="FFDCE0" w:val="clear"/>
          </w:tcPr>
          <w:p>
            <w:r>
              <w:rPr>
                <w:b/>
                <w:sz w:val="17"/>
              </w:rPr>
              <w:t>4,969</w:t>
            </w:r>
          </w:p>
        </w:tc>
        <w:tc>
          <w:tcPr>
            <w:tcW w:type="dxa" w:w="1440"/>
            <w:shd w:fill="FFDCE0" w:val="clear"/>
          </w:tcPr>
          <w:p>
            <w:r>
              <w:rPr>
                <w:sz w:val="17"/>
              </w:rPr>
              <w:t>5,614</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4,269</w:t>
            </w:r>
          </w:p>
        </w:tc>
        <w:tc>
          <w:tcPr>
            <w:tcW w:type="dxa" w:w="1440"/>
            <w:shd w:fill="FFDCE0" w:val="clear"/>
          </w:tcPr>
          <w:p>
            <w:r>
              <w:rPr>
                <w:b/>
                <w:sz w:val="17"/>
              </w:rPr>
              <w:t>4,994</w:t>
            </w:r>
          </w:p>
        </w:tc>
        <w:tc>
          <w:tcPr>
            <w:tcW w:type="dxa" w:w="1440"/>
            <w:shd w:fill="FFDCE0" w:val="clear"/>
          </w:tcPr>
          <w:p>
            <w:r>
              <w:rPr>
                <w:sz w:val="17"/>
              </w:rPr>
              <w:t>5,718</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4,220</w:t>
            </w:r>
          </w:p>
        </w:tc>
        <w:tc>
          <w:tcPr>
            <w:tcW w:type="dxa" w:w="1440"/>
            <w:shd w:fill="FFDCE0" w:val="clear"/>
          </w:tcPr>
          <w:p>
            <w:r>
              <w:rPr>
                <w:b/>
                <w:sz w:val="17"/>
              </w:rPr>
              <w:t>5,018</w:t>
            </w:r>
          </w:p>
        </w:tc>
        <w:tc>
          <w:tcPr>
            <w:tcW w:type="dxa" w:w="1440"/>
            <w:shd w:fill="FFDCE0" w:val="clear"/>
          </w:tcPr>
          <w:p>
            <w:r>
              <w:rPr>
                <w:sz w:val="17"/>
              </w:rPr>
              <w:t>5,816</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4,174</w:t>
            </w:r>
          </w:p>
        </w:tc>
        <w:tc>
          <w:tcPr>
            <w:tcW w:type="dxa" w:w="1440"/>
            <w:shd w:fill="FFDCE0" w:val="clear"/>
          </w:tcPr>
          <w:p>
            <w:r>
              <w:rPr>
                <w:b/>
                <w:sz w:val="17"/>
              </w:rPr>
              <w:t>5,039</w:t>
            </w:r>
          </w:p>
        </w:tc>
        <w:tc>
          <w:tcPr>
            <w:tcW w:type="dxa" w:w="1440"/>
            <w:shd w:fill="FFDCE0" w:val="clear"/>
          </w:tcPr>
          <w:p>
            <w:r>
              <w:rPr>
                <w:sz w:val="17"/>
              </w:rPr>
              <w:t>5,904</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4,128</w:t>
            </w:r>
          </w:p>
        </w:tc>
        <w:tc>
          <w:tcPr>
            <w:tcW w:type="dxa" w:w="1440"/>
            <w:shd w:fill="FFDCE0" w:val="clear"/>
          </w:tcPr>
          <w:p>
            <w:r>
              <w:rPr>
                <w:b/>
                <w:sz w:val="17"/>
              </w:rPr>
              <w:t>5,056</w:t>
            </w:r>
          </w:p>
        </w:tc>
        <w:tc>
          <w:tcPr>
            <w:tcW w:type="dxa" w:w="1440"/>
            <w:shd w:fill="FFDCE0" w:val="clear"/>
          </w:tcPr>
          <w:p>
            <w:r>
              <w:rPr>
                <w:sz w:val="17"/>
              </w:rPr>
              <w:t>5,984</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4,083</w:t>
            </w:r>
          </w:p>
        </w:tc>
        <w:tc>
          <w:tcPr>
            <w:tcW w:type="dxa" w:w="1440"/>
            <w:shd w:fill="FFDCE0" w:val="clear"/>
          </w:tcPr>
          <w:p>
            <w:r>
              <w:rPr>
                <w:b/>
                <w:sz w:val="17"/>
              </w:rPr>
              <w:t>5,070</w:t>
            </w:r>
          </w:p>
        </w:tc>
        <w:tc>
          <w:tcPr>
            <w:tcW w:type="dxa" w:w="1440"/>
            <w:shd w:fill="FFDCE0" w:val="clear"/>
          </w:tcPr>
          <w:p>
            <w:r>
              <w:rPr>
                <w:sz w:val="17"/>
              </w:rPr>
              <w:t>6,056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4,038</w:t>
            </w:r>
          </w:p>
        </w:tc>
        <w:tc>
          <w:tcPr>
            <w:tcW w:type="dxa" w:w="1440"/>
            <w:shd w:fill="FFDCE0" w:val="clear"/>
          </w:tcPr>
          <w:p>
            <w:r>
              <w:rPr>
                <w:b/>
                <w:sz w:val="17"/>
              </w:rPr>
              <w:t>5,080</w:t>
            </w:r>
          </w:p>
        </w:tc>
        <w:tc>
          <w:tcPr>
            <w:tcW w:type="dxa" w:w="1440"/>
            <w:shd w:fill="FFDCE0" w:val="clear"/>
          </w:tcPr>
          <w:p>
            <w:r>
              <w:rPr>
                <w:sz w:val="17"/>
              </w:rPr>
              <w:t>6,123</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42,22 milliards FCFA, SAFC se positionne comme une valeur de taille moyenne sur la cote BRVM, reflétant sa dimension de société de financement spécialisée. Le BPA de 86 FCFA/action indique que chaque titre génère 86 FCFA de bénéfice net, un niveau modeste qui, rapporté au cours actuel de 5 200 FCFA, aboutit à un PER de 60,2x — soit un multiple très supérieur à la moyenne du marché BRVM (8-12x), ce qui traduit une anticipation forte de croissance future mais expose l'investisseur à un risque de correction si les résultats ne suivent pas. Le ratio P/B de 7,14x confirme cette valorisation exigeante : le marché paie plus de 7 fois la valeur comptable des fonds propres (5 916 M FCFA), une prime qui n'est justifiable que par la dynamique de redressement en cours. Enfin, l'EV/EBITDA de 78,6x, très au-dessus du seuil de 15x, souligne que la valeur d'entreprise intègre déjà une amélioration substantielle de la rentabilité opérationnelle — ces trois ratios convergent vers un diagnostic de **surévaluation relative** au regard des fondamentaux actuels, bien que le momentum de redressement puisse temporairement justifier cette prime.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**-10,81%**, avec une chute marquée de **-3,70% sur la dernière séance**, signalant une pression vendeuse récente. Le cours actuel de 5 200 FCFA se situe dans la partie haute du range de trading établi entre un plus bas de 3 340 FCFA et un plus haut de 6 200 FCFA, ce qui suggère que le titre a connu une phase de rebond significatif avant de marquer le pas. La tendance générale apparaît **baissière à court terme** après un rallye haussier, le cours ayant cédé du terrain depuis son sommet. Les statistiques descriptives révèlent une **moyenne de 4 612 FCFA** légèrement supérieure à la **médiane de 4 505 FCFA**, avec un mode à 3 700 FCFA — cet écart modéré indique une distribution légèrement asymétrique à droite, cohérente avec le skewness de 0,340 qualifié de symétrique. L'écart-type de 816 FCFA (CV = 17,7%) traduit une **dispersion modérée** du cours autour de sa moyenne, tandis que le kurtosis de -1,125 (distribution platykurtique) signale une **faible concentration des rendements** avec un risque de pics extrêmes limité — un profil rassurant pour la gestion du risque. La **volatilité annualisée de 80,4%** classe clairement SAFC parmi les titres à **volatilité élevée** (&gt;30%), ce qui implique des mouvements de prix amples et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5 736,5 FCFA et la MM50 à 5 155,3 FCFA, toutes deux supérieures au cours actuel de 5 200 FCFA pour la MM20 mais inférieure pour la MM50. Le cours évolue donc sous sa moyenne court terme (signal baissier) mais au-dessus de sa moyenne moyen terme (support), créant une configuration de **croisement baissier imminent** si la pression vendeuse persiste. La décision affichée est "Achat", probablement basée sur la position du cours au-dessus de la MM50, mais la prudence s'impose face à la cassure de la MM20.</w:t>
      </w:r>
    </w:p>
    <w:p>
      <w:pPr>
        <w:spacing w:after="120" w:line="276" w:lineRule="auto"/>
      </w:pPr>
      <w:r>
        <w:t>**Bandes de Bollinger** : Les bornes supérieure (6 277,4 FCFA) et inférieure (5 195,6 FCFA) encadrent un cours de 5 200 FCFA qui frôle la **borne inférieure**, signalant une pression baissière immédiate. L'amplitude des bandes (1 081,8 FCFA) reflète une volatilité encore élevée. La décision "Neutre" est cohérente : le titre n'est ni en surachat ni en survente technique, mais la proximité de la borne basse appelle à la vigilance.</w:t>
      </w:r>
    </w:p>
    <w:p>
      <w:pPr>
        <w:spacing w:after="120" w:line="276" w:lineRule="auto"/>
      </w:pPr>
      <w:r>
        <w:t>**MACD** : La valeur du MACD (62,6) est nettement **inférieure à son signal** (182,9), générant un **croisement baissier** et un momentum négatif. Cette divergence confirme la perte de vitesse de la tendance haussière et justifie pleinement la décision "Vente" — c'est le signal technique le plus préoccupant du tableau.</w:t>
      </w:r>
    </w:p>
    <w:p>
      <w:pPr>
        <w:spacing w:after="120" w:line="276" w:lineRule="auto"/>
      </w:pPr>
      <w:r>
        <w:t>**RSI** : À 38,7, le RSI se situe dans la **zone neutre basse** (30-70), sans atteindre le seuil de survente (30). Cela indique que le titre n'est pas encore techniquement "bon marché" malgré la baisse récente, laissant un potentiel de baisse résiduel. La décision "Neutre" est appropriée, mais la tendance du RSI est clairement baissière.</w:t>
      </w:r>
    </w:p>
    <w:p>
      <w:pPr>
        <w:spacing w:after="120" w:line="276" w:lineRule="auto"/>
      </w:pPr>
      <w:r>
        <w:t>**Stochastique** : Le %K (1,96) est extrêmement bas et très en dessous du %D (17,97), signalant une **survente technique profonde**. Ce positionnement extrême génère la décision "Achat" car il anticipe un rebond technique imminent — c'est le seul indicateur franchement haussier, mais il doit être confirmé par un croisement %K au-dessus de %D.</w:t>
      </w:r>
    </w:p>
    <w:p>
      <w:pPr>
        <w:spacing w:after="120" w:line="276" w:lineRule="auto"/>
      </w:pPr>
      <w:r>
        <w:t>**Conclusion technique** : Les indicateurs présentent une **divergence préoccupante** : le MACD est baissier, le cours casse sa MM20 et frôle la borne basse de Bollinger, tandis que le stochastique en survente extrême et la position au-dessus de la MM50 offrent un contrepoids haussier. La configuration suggère un **rebond technique possible à court terme** (stochastique), mais la tendance de fond reste fragile tant que le MACD ne se retourne pas. La prudence est de mise : un achat spéculatif sur le rebond stochastique est envisageable, mais avec un stop-loss serré sous 5 195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**hausse de 44,1%** par rapport à 2024 (3 980 M FCFA), porté par la progression des intérêts et produits assimilés (8 236 M FCFA) et des commissions (686 M FCFA). Le **résultat net s'établit à 701 M FCFA**, marquant un **retournement spectaculaire** après une perte de 165 M FCFA en 2024 — c'est le premier exercice bénéficiaire après huit années de déficit. Le **ROE de 11,85%** reste inférieur au seuil d'excellence de 15%, et le **ROA de 0,88%** demeure faible, reflétant la modestie des fonds propres (5 916 M FCFA) face à un total bilan de 79 555 M FCFA. Le **coefficient d'exploitation de 77,6%** est élevé (norme bancaire &lt;60% pour une banque efficace), indiquant que les charges d'exploitation absorbent encore une part trop importante du PNB. Le **coût du risque de 6,57%** (provisions/charges financières) reste significatif, bien qu'en amélioration, et le ratio d'endettement de 856% avec une autonomie financière de seulement 7,4% révèle une **structure financière fragile** dépendante des dettes interbancaires (35 747 M FCFA).</w:t>
      </w:r>
    </w:p>
    <w:p>
      <w:pPr>
        <w:spacing w:after="120" w:line="276" w:lineRule="auto"/>
      </w:pPr>
      <w:r>
        <w:t>**Estimations basées sur les rapports trimestriels** : Le rapport du **T1 2026 (publié le 12/05/2026)** confirme l'accélération avec un **PNB de 1 395 M FCFA (+29%)** et un **résultat net de 151 M FCFA (+1 062%)**, tandis que le **rapport S1 2026 (publié le 04/09/2026)** révèle un **PNB de 2 907 M FCFA (+37%)** et un **résultat net de 731 M FCFA (+231%)**, avec une **reprise nette sur coût du risque de 261 M FCFA** (contre une charge de 93 M FCFA un an plus tôt) — signe d'une nette amélioration de la qualité du portefeuille. Les capitaux propres progressent à 6 647 M FCFA (+22%) et le ratio CET1 s'améliore à 11,49% (contre 9,65% en 2025), renforçant la solidité prudentielle. **On estime donc que l'exercice 2026 devrait afficher un résultat net annuel compris entre 1,2 et 1,5 milliard FCFA**, soit une nouvelle progression significative, portée par la dynamique commerciale (+21% de créances clientèle) et la maîtrise du risque.</w:t>
      </w:r>
    </w:p>
    <w:p>
      <w:pPr>
        <w:spacing w:after="120" w:line="276" w:lineRule="auto"/>
      </w:pPr>
      <w:r>
        <w:t>**Recommandation fondamentale** : La trajectoire de redressement est **indéniable et soutenue par l'intégration au groupe CREDAF** (rapport du 10/06/2026), mais la valorisation actuelle (PER 60x) intègre déjà largement ces anticipations. Les risques persistent : dépendance aux dettes interbancaires, engagements hors-bilan élevés (280 607 M FCFA selon le rapport du 03/06/2026), et report à nouveau toujours négatif (-4 123 M FCFA). La recommandation fondamentale est **CONSERVER** avec un biais positif pour les investisseurs patients, en attendant la confirmation de la soutenabilité de la rentabilité et le renforcement des fonds propres.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**décalage préoccupant entre la valorisation et les fondamentaux actuels**. La **Partie 0** montre des ratios de valorisation très exigeants (PER 60,2x, P/B 7,14x, EV/EBITDA 78,6x) qui intègrent déjà une forte anticipation de croissance, laissant peu de marge d'erreur. La **Partie 1** indique un comportement de cours baissier à court terme (-10,81% sur 100 jours, -3,70% sur la dernière séance) avec une volatilité élevée (80,4%) et une distribution platykurtique (risque de pics limité) mais un skewness symétrique — un profil mitigé. La **Partie 2** présente des signaux techniques **divergents** : MACD baissier et cassure de la MM20 d'un côté, stochastique en survente extrême et support de la MM50 de l'autre, plaidant pour un rebond technique fragile. La **Partie 3** confirme un **redressement fondamental réel et spectaculaire** (PNB +44% en 2025, résultat net de 701 M FCFA, S1 2026 à 731 M FCFA), mais avec des fragilités structurelles persistantes (fonds propres modestes, dépendance interbancaire, coefficient d'exploitation élevé). Les **prédictions IA** (J+1 à J+10) anticipent une **poursuite de la baisse** vers 4 951-5 069 FCFA, confirmant la pression baissière de court terme et contredisant le rebond stochastique.</w:t>
      </w:r>
    </w:p>
    <w:p>
      <w:pPr>
        <w:spacing w:after="120" w:line="276" w:lineRule="auto"/>
      </w:pPr>
      <w:r>
        <w:t>**Recommandation finale : CONSERVER** (avec un biais spéculatif pour les investisseurs avisés). La convergence entre la valorisation exigeante, les signaux techniques majoritairement baissiers et les prédictions IA baissières **ne justifie pas un achat** à ces niveaux, mais le redressement fondamental en cours et l'amélioration de la qualité du portefeuille **interdisent une vente** qui sacrifierait le potentiel de moyen terme. Le niveau de confiance est **Moyen** (les fondamentaux sont solides mais la valorisation est tendue), et le risque global est **Élevé** (volatilité 80,4%, structure financière fragile, dépendance au nouveau actionnaire). L'horizon d'investissement optimal est le **moyen terme (3-12 mois)**, en surveillant les prochains rapports trimestriels (notamment le coût du risque et la progression des fonds propres) pour confirmer ou infirmer la trajectoire de redressement — un passage à l'ACHAT serait justifié si le titre revenait vers 4 500-4 700 FCFA (zone de la moyenne mobile 50 et de la médiane) avec confirmation d'un retournement du MACD.</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64.29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10,821 titres</w:t>
            </w:r>
          </w:p>
        </w:tc>
        <w:tc>
          <w:tcPr>
            <w:tcW w:type="dxa" w:w="2268"/>
            <w:shd w:fill="FFF2CC" w:val="clear"/>
          </w:tcPr>
          <w:p>
            <w:r>
              <w:rPr>
                <w:b/>
                <w:color w:val="503200"/>
                <w:sz w:val="16"/>
              </w:rPr>
              <w:t xml:space="preserve">Cours actuel : </w:t>
            </w:r>
            <w:r>
              <w:rPr>
                <w:color w:val="000000"/>
                <w:sz w:val="17"/>
              </w:rPr>
              <w:t>3,280 FCFA</w:t>
            </w:r>
          </w:p>
          <w:p>
            <w:r>
              <w:rPr>
                <w:b/>
                <w:color w:val="503200"/>
                <w:sz w:val="16"/>
              </w:rPr>
              <w:t xml:space="preserve">Var. 100 jours : </w:t>
            </w:r>
            <w:r>
              <w:rPr>
                <w:b/>
                <w:color w:val="007800"/>
                <w:sz w:val="17"/>
              </w:rPr>
              <w:t>+60.78%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18.42% (Élevée) — μ=3,090 FCFA, σ=569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β=0.3584 (Défensif) — Cov=0.000012, Var(idx)=0.000034, ρ=0.062,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10,821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3,190</w:t>
            </w:r>
          </w:p>
        </w:tc>
        <w:tc>
          <w:tcPr>
            <w:tcW w:type="dxa" w:w="1440"/>
            <w:shd w:fill="FAFAFA" w:val="clear"/>
          </w:tcPr>
          <w:p>
            <w:r>
              <w:rPr>
                <w:b/>
                <w:sz w:val="17"/>
              </w:rPr>
              <w:t>3,306</w:t>
            </w:r>
          </w:p>
        </w:tc>
        <w:tc>
          <w:tcPr>
            <w:tcW w:type="dxa" w:w="1440"/>
            <w:shd w:fill="FAFAFA" w:val="clear"/>
          </w:tcPr>
          <w:p>
            <w:r>
              <w:rPr>
                <w:sz w:val="17"/>
              </w:rPr>
              <w:t>3,423</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3,179</w:t>
            </w:r>
          </w:p>
        </w:tc>
        <w:tc>
          <w:tcPr>
            <w:tcW w:type="dxa" w:w="1440"/>
            <w:shd w:fill="FAFAFA" w:val="clear"/>
          </w:tcPr>
          <w:p>
            <w:r>
              <w:rPr>
                <w:b/>
                <w:sz w:val="17"/>
              </w:rPr>
              <w:t>3,345</w:t>
            </w:r>
          </w:p>
        </w:tc>
        <w:tc>
          <w:tcPr>
            <w:tcW w:type="dxa" w:w="1440"/>
            <w:shd w:fill="FAFAFA" w:val="clear"/>
          </w:tcPr>
          <w:p>
            <w:r>
              <w:rPr>
                <w:sz w:val="17"/>
              </w:rPr>
              <w:t>3,512</w:t>
            </w:r>
          </w:p>
        </w:tc>
        <w:tc>
          <w:tcPr>
            <w:tcW w:type="dxa" w:w="1440"/>
            <w:shd w:fill="FAFAFA" w:val="clear"/>
          </w:tcPr>
          <w:p>
            <w:r>
              <w:rPr>
                <w:b/>
                <w:color w:val="008000"/>
                <w:sz w:val="17"/>
              </w:rPr>
              <w:t>+2.0%</w:t>
            </w:r>
          </w:p>
        </w:tc>
      </w:tr>
      <w:tr>
        <w:tc>
          <w:tcPr>
            <w:tcW w:type="dxa" w:w="1440"/>
            <w:shd w:fill="C6EFCE" w:val="clear"/>
          </w:tcPr>
          <w:p>
            <w:r>
              <w:rPr>
                <w:sz w:val="17"/>
              </w:rPr>
              <w:t>J+3  Moyenne</w:t>
            </w:r>
          </w:p>
        </w:tc>
        <w:tc>
          <w:tcPr>
            <w:tcW w:type="dxa" w:w="1440"/>
            <w:shd w:fill="C6EFCE" w:val="clear"/>
          </w:tcPr>
          <w:p>
            <w:r>
              <w:rPr>
                <w:sz w:val="17"/>
              </w:rPr>
              <w:t>2026-09-17</w:t>
            </w:r>
          </w:p>
        </w:tc>
        <w:tc>
          <w:tcPr>
            <w:tcW w:type="dxa" w:w="1440"/>
            <w:shd w:fill="C6EFCE" w:val="clear"/>
          </w:tcPr>
          <w:p>
            <w:r>
              <w:rPr>
                <w:sz w:val="17"/>
              </w:rPr>
              <w:t>3,176</w:t>
            </w:r>
          </w:p>
        </w:tc>
        <w:tc>
          <w:tcPr>
            <w:tcW w:type="dxa" w:w="1440"/>
            <w:shd w:fill="C6EFCE" w:val="clear"/>
          </w:tcPr>
          <w:p>
            <w:r>
              <w:rPr>
                <w:b/>
                <w:sz w:val="17"/>
              </w:rPr>
              <w:t>3,383</w:t>
            </w:r>
          </w:p>
        </w:tc>
        <w:tc>
          <w:tcPr>
            <w:tcW w:type="dxa" w:w="1440"/>
            <w:shd w:fill="C6EFCE" w:val="clear"/>
          </w:tcPr>
          <w:p>
            <w:r>
              <w:rPr>
                <w:sz w:val="17"/>
              </w:rPr>
              <w:t>3,589</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2026-09-18</w:t>
            </w:r>
          </w:p>
        </w:tc>
        <w:tc>
          <w:tcPr>
            <w:tcW w:type="dxa" w:w="1440"/>
            <w:shd w:fill="C6EFCE" w:val="clear"/>
          </w:tcPr>
          <w:p>
            <w:r>
              <w:rPr>
                <w:sz w:val="17"/>
              </w:rPr>
              <w:t>3,168</w:t>
            </w:r>
          </w:p>
        </w:tc>
        <w:tc>
          <w:tcPr>
            <w:tcW w:type="dxa" w:w="1440"/>
            <w:shd w:fill="C6EFCE" w:val="clear"/>
          </w:tcPr>
          <w:p>
            <w:r>
              <w:rPr>
                <w:b/>
                <w:sz w:val="17"/>
              </w:rPr>
              <w:t>3,408</w:t>
            </w:r>
          </w:p>
        </w:tc>
        <w:tc>
          <w:tcPr>
            <w:tcW w:type="dxa" w:w="1440"/>
            <w:shd w:fill="C6EFCE" w:val="clear"/>
          </w:tcPr>
          <w:p>
            <w:r>
              <w:rPr>
                <w:sz w:val="17"/>
              </w:rPr>
              <w:t>3,649</w:t>
            </w:r>
          </w:p>
        </w:tc>
        <w:tc>
          <w:tcPr>
            <w:tcW w:type="dxa" w:w="1440"/>
            <w:shd w:fill="C6EFCE" w:val="clear"/>
          </w:tcPr>
          <w:p>
            <w:r>
              <w:rPr>
                <w:b/>
                <w:color w:val="008000"/>
                <w:sz w:val="17"/>
              </w:rPr>
              <w:t>+3.9%</w:t>
            </w:r>
          </w:p>
        </w:tc>
      </w:tr>
      <w:tr>
        <w:tc>
          <w:tcPr>
            <w:tcW w:type="dxa" w:w="1440"/>
            <w:shd w:fill="C6EFCE" w:val="clear"/>
          </w:tcPr>
          <w:p>
            <w:r>
              <w:rPr>
                <w:sz w:val="17"/>
              </w:rPr>
              <w:t>J+5  ⭐</w:t>
            </w:r>
          </w:p>
        </w:tc>
        <w:tc>
          <w:tcPr>
            <w:tcW w:type="dxa" w:w="1440"/>
            <w:shd w:fill="C6EFCE" w:val="clear"/>
          </w:tcPr>
          <w:p>
            <w:r>
              <w:rPr>
                <w:sz w:val="17"/>
              </w:rPr>
              <w:t>2026-09-21</w:t>
            </w:r>
          </w:p>
        </w:tc>
        <w:tc>
          <w:tcPr>
            <w:tcW w:type="dxa" w:w="1440"/>
            <w:shd w:fill="C6EFCE" w:val="clear"/>
          </w:tcPr>
          <w:p>
            <w:r>
              <w:rPr>
                <w:sz w:val="17"/>
              </w:rPr>
              <w:t>3,154</w:t>
            </w:r>
          </w:p>
        </w:tc>
        <w:tc>
          <w:tcPr>
            <w:tcW w:type="dxa" w:w="1440"/>
            <w:shd w:fill="C6EFCE" w:val="clear"/>
          </w:tcPr>
          <w:p>
            <w:r>
              <w:rPr>
                <w:b/>
                <w:sz w:val="17"/>
              </w:rPr>
              <w:t>3,424</w:t>
            </w:r>
          </w:p>
        </w:tc>
        <w:tc>
          <w:tcPr>
            <w:tcW w:type="dxa" w:w="1440"/>
            <w:shd w:fill="C6EFCE" w:val="clear"/>
          </w:tcPr>
          <w:p>
            <w:r>
              <w:rPr>
                <w:sz w:val="17"/>
              </w:rPr>
              <w:t>3,693</w:t>
            </w:r>
          </w:p>
        </w:tc>
        <w:tc>
          <w:tcPr>
            <w:tcW w:type="dxa" w:w="1440"/>
            <w:shd w:fill="C6EFCE" w:val="clear"/>
          </w:tcPr>
          <w:p>
            <w:r>
              <w:rPr>
                <w:b/>
                <w:color w:val="008000"/>
                <w:sz w:val="17"/>
              </w:rPr>
              <w:t>+4.4%</w:t>
            </w:r>
          </w:p>
        </w:tc>
      </w:tr>
      <w:tr>
        <w:tc>
          <w:tcPr>
            <w:tcW w:type="dxa" w:w="1440"/>
            <w:shd w:fill="C6EFCE" w:val="clear"/>
          </w:tcPr>
          <w:p>
            <w:r>
              <w:rPr>
                <w:sz w:val="17"/>
              </w:rPr>
              <w:t>J+6  ⭐</w:t>
            </w:r>
          </w:p>
        </w:tc>
        <w:tc>
          <w:tcPr>
            <w:tcW w:type="dxa" w:w="1440"/>
            <w:shd w:fill="C6EFCE" w:val="clear"/>
          </w:tcPr>
          <w:p>
            <w:r>
              <w:rPr>
                <w:sz w:val="17"/>
              </w:rPr>
              <w:t>2026-09-22</w:t>
            </w:r>
          </w:p>
        </w:tc>
        <w:tc>
          <w:tcPr>
            <w:tcW w:type="dxa" w:w="1440"/>
            <w:shd w:fill="C6EFCE" w:val="clear"/>
          </w:tcPr>
          <w:p>
            <w:r>
              <w:rPr>
                <w:sz w:val="17"/>
              </w:rPr>
              <w:t>3,136</w:t>
            </w:r>
          </w:p>
        </w:tc>
        <w:tc>
          <w:tcPr>
            <w:tcW w:type="dxa" w:w="1440"/>
            <w:shd w:fill="C6EFCE" w:val="clear"/>
          </w:tcPr>
          <w:p>
            <w:r>
              <w:rPr>
                <w:b/>
                <w:sz w:val="17"/>
              </w:rPr>
              <w:t>3,432</w:t>
            </w:r>
          </w:p>
        </w:tc>
        <w:tc>
          <w:tcPr>
            <w:tcW w:type="dxa" w:w="1440"/>
            <w:shd w:fill="C6EFCE" w:val="clear"/>
          </w:tcPr>
          <w:p>
            <w:r>
              <w:rPr>
                <w:sz w:val="17"/>
              </w:rPr>
              <w:t>3,728</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2026-09-23</w:t>
            </w:r>
          </w:p>
        </w:tc>
        <w:tc>
          <w:tcPr>
            <w:tcW w:type="dxa" w:w="1440"/>
            <w:shd w:fill="C6EFCE" w:val="clear"/>
          </w:tcPr>
          <w:p>
            <w:r>
              <w:rPr>
                <w:sz w:val="17"/>
              </w:rPr>
              <w:t>3,117</w:t>
            </w:r>
          </w:p>
        </w:tc>
        <w:tc>
          <w:tcPr>
            <w:tcW w:type="dxa" w:w="1440"/>
            <w:shd w:fill="C6EFCE" w:val="clear"/>
          </w:tcPr>
          <w:p>
            <w:r>
              <w:rPr>
                <w:b/>
                <w:sz w:val="17"/>
              </w:rPr>
              <w:t>3,437</w:t>
            </w:r>
          </w:p>
        </w:tc>
        <w:tc>
          <w:tcPr>
            <w:tcW w:type="dxa" w:w="1440"/>
            <w:shd w:fill="C6EFCE" w:val="clear"/>
          </w:tcPr>
          <w:p>
            <w:r>
              <w:rPr>
                <w:sz w:val="17"/>
              </w:rPr>
              <w:t>3,758</w:t>
            </w:r>
          </w:p>
        </w:tc>
        <w:tc>
          <w:tcPr>
            <w:tcW w:type="dxa" w:w="1440"/>
            <w:shd w:fill="C6EFCE" w:val="clear"/>
          </w:tcPr>
          <w:p>
            <w:r>
              <w:rPr>
                <w:b/>
                <w:color w:val="008000"/>
                <w:sz w:val="17"/>
              </w:rPr>
              <w:t>+4.8%</w:t>
            </w:r>
          </w:p>
        </w:tc>
      </w:tr>
      <w:tr>
        <w:tc>
          <w:tcPr>
            <w:tcW w:type="dxa" w:w="1440"/>
            <w:shd w:fill="C6EFCE" w:val="clear"/>
          </w:tcPr>
          <w:p>
            <w:r>
              <w:rPr>
                <w:sz w:val="17"/>
              </w:rPr>
              <w:t>J+8  ⭐</w:t>
            </w:r>
          </w:p>
        </w:tc>
        <w:tc>
          <w:tcPr>
            <w:tcW w:type="dxa" w:w="1440"/>
            <w:shd w:fill="C6EFCE" w:val="clear"/>
          </w:tcPr>
          <w:p>
            <w:r>
              <w:rPr>
                <w:sz w:val="17"/>
              </w:rPr>
              <w:t>2026-09-24</w:t>
            </w:r>
          </w:p>
        </w:tc>
        <w:tc>
          <w:tcPr>
            <w:tcW w:type="dxa" w:w="1440"/>
            <w:shd w:fill="C6EFCE" w:val="clear"/>
          </w:tcPr>
          <w:p>
            <w:r>
              <w:rPr>
                <w:sz w:val="17"/>
              </w:rPr>
              <w:t>3,098</w:t>
            </w:r>
          </w:p>
        </w:tc>
        <w:tc>
          <w:tcPr>
            <w:tcW w:type="dxa" w:w="1440"/>
            <w:shd w:fill="C6EFCE" w:val="clear"/>
          </w:tcPr>
          <w:p>
            <w:r>
              <w:rPr>
                <w:b/>
                <w:sz w:val="17"/>
              </w:rPr>
              <w:t>3,441</w:t>
            </w:r>
          </w:p>
        </w:tc>
        <w:tc>
          <w:tcPr>
            <w:tcW w:type="dxa" w:w="1440"/>
            <w:shd w:fill="C6EFCE" w:val="clear"/>
          </w:tcPr>
          <w:p>
            <w:r>
              <w:rPr>
                <w:sz w:val="17"/>
              </w:rPr>
              <w:t>3,784</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2026-09-25</w:t>
            </w:r>
          </w:p>
        </w:tc>
        <w:tc>
          <w:tcPr>
            <w:tcW w:type="dxa" w:w="1440"/>
            <w:shd w:fill="C6EFCE" w:val="clear"/>
          </w:tcPr>
          <w:p>
            <w:r>
              <w:rPr>
                <w:sz w:val="17"/>
              </w:rPr>
              <w:t>3,079</w:t>
            </w:r>
          </w:p>
        </w:tc>
        <w:tc>
          <w:tcPr>
            <w:tcW w:type="dxa" w:w="1440"/>
            <w:shd w:fill="C6EFCE" w:val="clear"/>
          </w:tcPr>
          <w:p>
            <w:r>
              <w:rPr>
                <w:b/>
                <w:sz w:val="17"/>
              </w:rPr>
              <w:t>3,443</w:t>
            </w:r>
          </w:p>
        </w:tc>
        <w:tc>
          <w:tcPr>
            <w:tcW w:type="dxa" w:w="1440"/>
            <w:shd w:fill="C6EFCE" w:val="clear"/>
          </w:tcPr>
          <w:p>
            <w:r>
              <w:rPr>
                <w:sz w:val="17"/>
              </w:rPr>
              <w:t>3,807</w:t>
            </w:r>
          </w:p>
        </w:tc>
        <w:tc>
          <w:tcPr>
            <w:tcW w:type="dxa" w:w="1440"/>
            <w:shd w:fill="C6EFCE" w:val="clear"/>
          </w:tcPr>
          <w:p>
            <w:r>
              <w:rPr>
                <w:b/>
                <w:color w:val="008000"/>
                <w:sz w:val="17"/>
              </w:rPr>
              <w:t>+5.0%</w:t>
            </w:r>
          </w:p>
        </w:tc>
      </w:tr>
      <w:tr>
        <w:tc>
          <w:tcPr>
            <w:tcW w:type="dxa" w:w="1440"/>
            <w:shd w:fill="C6EFCE" w:val="clear"/>
          </w:tcPr>
          <w:p>
            <w:r>
              <w:rPr>
                <w:sz w:val="17"/>
              </w:rPr>
              <w:t>J+10  ⭐</w:t>
            </w:r>
          </w:p>
        </w:tc>
        <w:tc>
          <w:tcPr>
            <w:tcW w:type="dxa" w:w="1440"/>
            <w:shd w:fill="C6EFCE" w:val="clear"/>
          </w:tcPr>
          <w:p>
            <w:r>
              <w:rPr>
                <w:sz w:val="17"/>
              </w:rPr>
              <w:t>2026-09-28</w:t>
            </w:r>
          </w:p>
        </w:tc>
        <w:tc>
          <w:tcPr>
            <w:tcW w:type="dxa" w:w="1440"/>
            <w:shd w:fill="C6EFCE" w:val="clear"/>
          </w:tcPr>
          <w:p>
            <w:r>
              <w:rPr>
                <w:sz w:val="17"/>
              </w:rPr>
              <w:t>3,062</w:t>
            </w:r>
          </w:p>
        </w:tc>
        <w:tc>
          <w:tcPr>
            <w:tcW w:type="dxa" w:w="1440"/>
            <w:shd w:fill="C6EFCE" w:val="clear"/>
          </w:tcPr>
          <w:p>
            <w:r>
              <w:rPr>
                <w:b/>
                <w:sz w:val="17"/>
              </w:rPr>
              <w:t>3,446</w:t>
            </w:r>
          </w:p>
        </w:tc>
        <w:tc>
          <w:tcPr>
            <w:tcW w:type="dxa" w:w="1440"/>
            <w:shd w:fill="C6EFCE" w:val="clear"/>
          </w:tcPr>
          <w:p>
            <w:r>
              <w:rPr>
                <w:sz w:val="17"/>
              </w:rPr>
              <w:t>3,830</w:t>
            </w:r>
          </w:p>
        </w:tc>
        <w:tc>
          <w:tcPr>
            <w:tcW w:type="dxa" w:w="1440"/>
            <w:shd w:fill="C6EFCE" w:val="clear"/>
          </w:tcPr>
          <w:p>
            <w:r>
              <w:rPr>
                <w:b/>
                <w:color w:val="008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64,29 Mds FCFA, SCRC se positionne comme une valeur de taille intermédiaire sur la cote BRVM, représentant un poids modeste dans l'indice composite. Le BPA ressort à -406 FCFA/action, traduisant une société en perte nette sur l'exercice 2025, ce qui rend le PER négatif (-8,1x) et donc non significatif pour une comparaison classique avec le PER moyen BRVM (~8-12x) — les investisseurs ne paient pas pour des bénéfices inexistants mais anticipent un redressement. Le ratio P/B de 3,73x indique que le marché valorise SCRC à près de 4 fois sa valeur comptable (capitaux propres de 17,24 Mds FCFA), soit une prime de croissance significative qui contraste fortement avec la fragilité financière actuelle. Enfin, l'EV/EBITDA de 10,5x situe la valeur d'entreprise (incluant une dette financière massive de 84,87 Mds FCFA) dans une fourchette élevée (10-15x), suggérant que le marché intègre déjà une normalisation opérationnelle future malgré la perte nette de -7,95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performance remarquable de +60,78%, avec un cours actuel de 3 280 FCFA en léger repli de -0,30% sur la dernière séance. Le titre a évolué dans un range très large de 1 990 FCFA (plus bas) à 3 920 FCFA (plus haut), soit une amplitude de près de 97%, témoignant d'une tendance nettement haussière portée par des anticipations de redressement. Les statistiques descriptives révèlent une moyenne de 3 090 FCFA inférieure à la médiane de 3 298 FCFA, signe d'une asymétrie négative confirmée par le skewness de -0,705 (plus de journées au-dessus de la moyenne, mais quelques chutes brutales tirent la moyenne vers le bas). L'écart-type de 572 FCFA (CV=18,5%) indique une dispersion modérée autour de la moyenne, tandis que le kurtosis de -0,861 (mésokurtique) suggère une distribution proche de la normale, sans risque extrême de pics violents. La volatilité annualisée de 53,8% classe SCRC dans la catégorie des titres à volatilité élevée (&gt;30%), ce qui est cohérent avec un profil de valeur spéculative en phase de retournement.</w:t>
      </w:r>
    </w:p>
    <w:p>
      <w:pPr>
        <w:spacing w:after="120" w:line="276" w:lineRule="auto"/>
      </w:pPr>
      <w:r>
        <w:t>---</w:t>
      </w:r>
    </w:p>
    <w:p>
      <w:pPr>
        <w:spacing w:after="120" w:line="276" w:lineRule="auto"/>
      </w:pPr>
      <w:r>
        <w:t>## PARTIE 2 : ANALYSE TECHNIQUE DÉTAILLÉE</w:t>
      </w:r>
    </w:p>
    <w:p>
      <w:pPr>
        <w:spacing w:after="120" w:line="276" w:lineRule="auto"/>
      </w:pPr>
      <w:r>
        <w:t>**Moyennes Mobiles** : La MM20 (3 456,75 FCFA) et la MM50 (3 549,6 FCFA) se situent toutes deux au-dessus du cours actuel (3 280 FCFA), confirmant une pression baissière de court terme. Le croisement baissier (MM20 &lt; MM50) et l'écart négatif avec le cours justifient la décision de **Vente** émise par cet indicateur.</w:t>
      </w:r>
    </w:p>
    <w:p>
      <w:pPr>
        <w:spacing w:after="120" w:line="276" w:lineRule="auto"/>
      </w:pPr>
      <w:r>
        <w:t>**Bandes de Bollinger** : Le cours (3 280 FCFA) évolue dans la partie basse de la bande, proche de la borne inférieure (3 228,155 FCFA) et loin de la borne supérieure (3 685,345 FCFA). Cette position suggère une phase de consolidation après le rallye, avec une volatilité qui se contracte. La décision **Neutre** reflète l'absence de signal clair de retournement.</w:t>
      </w:r>
    </w:p>
    <w:p>
      <w:pPr>
        <w:spacing w:after="120" w:line="276" w:lineRule="auto"/>
      </w:pPr>
      <w:r>
        <w:t>**MACD** : La valeur du MACD (-46,166) est inférieure à son signal (-19,748), avec un histogramme négatif qui s'accentue. Cette configuration indique un momentum baissier persistant, justifiant la décision de **Vente**. La divergence négative entre les deux lignes confirme la perte de dynamique haussière.</w:t>
      </w:r>
    </w:p>
    <w:p>
      <w:pPr>
        <w:spacing w:after="120" w:line="276" w:lineRule="auto"/>
      </w:pPr>
      <w:r>
        <w:t>**RSI** : À 43,75, le RSI se situe en zone neutre (30-70), sans signal de surachat (&gt;70) ni de survente (&lt;30). Cette position médiane traduit un équilibre entre acheteurs et vendeurs, justifiant la décision **Neutre**. Le RSI n'offre pas de signal directionnel fort actuellement.</w:t>
      </w:r>
    </w:p>
    <w:p>
      <w:pPr>
        <w:spacing w:after="120" w:line="276" w:lineRule="auto"/>
      </w:pPr>
      <w:r>
        <w:t>**Stochastique** : Les valeurs %K et %D sont toutes deux à 0,0, ce qui place l'indicateur en zone de survente extrême. Cette configuration est techniquement un signal d'**Achat** (rebond potentiel), mais elle doit être interprétée avec prudence car elle peut persister en cas de tendance baissière forte.</w:t>
      </w:r>
    </w:p>
    <w:p>
      <w:pPr>
        <w:spacing w:after="120" w:line="276" w:lineRule="auto"/>
      </w:pPr>
      <w:r>
        <w:t>**Conclusion technique** : Les indicateurs techniques présentent un tableau mitigé avec une majorité de signaux baissiers (MM, MACD) ou neutres (Bollinger, RSI), tandis que le stochastique en survente extrême suggère un possible rebond technique à court terme. La divergence entre le stochastique (Achat) et les autres indicateurs (Vente/Neutre) crée une incertitude qui plaide pour une certaine prudence, le titre ayant besoin de confirmer un retournement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80,569 Mds FCFA, en baisse de -7,6% par rapport à 2024 (87,219 Mds FCFA), marquant une contraction de l'activité. Le résultat net s'établit à -7,954 Mds FCFA (contre +2,474 Mds FCFA en 2024), soit une dégradation spectaculaire de -421%, avec une marge nette de -9,87%. Le ROE est catastrophique à -46,13% (destruction massive de valeur pour les actionnaires) et le ROA à -5,08%, confirmant l'inefficacité des actifs. La structure financière est très dégradée : autonomie financière de seulement 11,02% (capitaux propres/total bilan), ratio d'endettement de 88,98% (dettes totales/capitaux propres), et dépendance financière de 492,21% (dettes financières/total bilan). Le BFR est positif à 6,529 Mds FCFA (défavorable), le fonds de roulement est négatif (-10,665 Mds FCFA) et la trésorerie nette est négative (-6,505 Mds FCFA), signe de tensions de liquidité. Les délais d'exploitation révèlent un délai clients très court (12,28 jours, favorable) mais un délai fournisseurs très élevé (366,07 jours, signe de dépendance aux fournisseurs) et une durée de stockage excessive (360,73 jours, immobilisation de capital).</w:t>
      </w:r>
    </w:p>
    <w:p>
      <w:pPr>
        <w:spacing w:after="120" w:line="276" w:lineRule="auto"/>
      </w:pPr>
      <w:r>
        <w:t>**Adaptation au secteur ENTREPRISE** : L'analyse des marges montre une marge brute solide de 45,82% (bon contrôle des coûts d'achat), mais une marge opérationnelle de -0,68% et une marge nette de -9,87%, grevées par des charges financières de 6,790 Mds FCFA (explosion de +262% vs 2024). La rotation des actifs est faible (51,51%), et le taux de croissance du CA est négatif (-7,63%), signalant une perte de dynamique commerciale.</w:t>
      </w:r>
    </w:p>
    <w:p>
      <w:pPr>
        <w:spacing w:after="120" w:line="276" w:lineRule="auto"/>
      </w:pPr>
      <w:r>
        <w:t>**Estimations basées sur les rapports trimestriels** : Le rapport S1 2025 (publié le 30/06/2025) indiquait un chiffre d'affaires de 42,87 Mds FCFA (-5%) et une perte nette de -6,71 Mds FCFA, avec une production de sucre en baisse de 18% (44 058 tonnes). Le rapport T1 2025 (31/03/2025) montrait un CA de 25,09 Mds FCFA (-13%) et un résultat net de +3,21 Mds FCFA (-32%), avec une marge opérationnelle de 18,1%. Sur la base de ces tendances, on estime que l'exercice 2026 pourrait bénéficier d'un rebond de la production (prévisions de 90 000 à 95 000 tonnes, +14% à +20%) et d'une amélioration opérationnelle, mais la lourdeur de la dette (84,87 Mds FCFA) et les charges financières (6,79 Mds FCFA) resteront des freins majeurs.</w:t>
      </w:r>
    </w:p>
    <w:p>
      <w:pPr>
        <w:spacing w:after="120" w:line="276" w:lineRule="auto"/>
      </w:pPr>
      <w:r>
        <w:t>**Évolution pluriannuelle** : Les rapports 2024 (publiés le 31/12/2024) montraient un retour à la profitabilité avec un résultat net de +2,47 Mds FCFA (contre -9,01 Mds FCFA en 2023), mais cette amélioration a été effacée en 2025 par l'explosion des charges financières. Le rapport 2021 (états financiers au 31/12/2021) affichait un résultat net de +6,22 Mds FCFA, illustrant la volatilité extrême des performances de SCRC.</w:t>
      </w:r>
    </w:p>
    <w:p>
      <w:pPr>
        <w:spacing w:after="120" w:line="276" w:lineRule="auto"/>
      </w:pPr>
      <w:r>
        <w:t>**Recommandation fondamentale** : La situation financière de SCRC est critique en 2025, avec une perte nette massive, un endettement insoutenable et une trésorerie négative. Les investissements massifs (25,2 Mds FCFA en 2025) pourraient soutenir la croissance future, mais ils pèsent lourdement sur la structure financière. La recommandation fondamentale est de **CONSERVER** (avec vigilance), en attendant les résultats du S1 2026 pour évaluer si le redressement opérationnel se matérialise et si la restructuration financière progresse.</w:t>
      </w:r>
    </w:p>
    <w:p>
      <w:pPr>
        <w:spacing w:after="120" w:line="276" w:lineRule="auto"/>
      </w:pPr>
      <w:r>
        <w:t>---</w:t>
      </w:r>
    </w:p>
    <w:p>
      <w:pPr>
        <w:spacing w:after="120" w:line="276" w:lineRule="auto"/>
      </w:pPr>
      <w:r>
        <w:t>## PARTIE 4 : CONCLUSION D'INVESTISSEMENT</w:t>
      </w:r>
    </w:p>
    <w:p>
      <w:pPr>
        <w:spacing w:after="120" w:line="276" w:lineRule="auto"/>
      </w:pPr>
      <w:r>
        <w:t>La synthèse globale de cette analyse révèle une divergence marquée entre les signaux. **Valorisation (Partie 0)** : le PER négatif (-8,1x) et le P/B élevé (3,73x) indiquent que le marché valorise SCRC sur des anticipations de redressement, sans base bénéficiaire actuelle, ce qui constitue une surévaluation risquée. **Comportement du cours (Partie 1)** : la tendance haussière (+60,78%) et la volatilité élevée (53,8%) témoignent d'un engouement spéculatif, mais le skewness négatif (-0,705) et le kurtosis mésokurtique suggèrent un risque de correction brutale. **Signaux techniques (Partie 2)** : la majorité des indicateurs (MM, MACD) sont baissiers, tandis que le stochastique en survente extrême (0,0) pourrait déclencher un rebond technique à court terme, créant une incertitude directionnelle. **Fondamentaux (Partie 3)** : la situation financière est très dégradée en 2025 (perte nette de -7,95 Mds FCFA, ROE de -46,13%, endettement critique), mais les rapports trimestriels (T1 2025, S1 2025) et les prévisions de production (+14% à +20%) laissent entrevoir un potentiel de redressement en 2026. **Prédictions IA (J+1 à J+10)** : la trajectoire prédite (3 306 → 3 424 FCFA) anticipe une hausse modérée de +4,4% sur 10 jours, ce qui contredit les signaux techniques baissiers mais s'aligne sur le rebond potentiel du stochastique.</w:t>
      </w:r>
    </w:p>
    <w:p>
      <w:pPr>
        <w:spacing w:after="120" w:line="276" w:lineRule="auto"/>
      </w:pPr>
      <w:r>
        <w:t>**Recommandation finale** : **CONSERVER** — Justification : La convergence des signaux est insuffisante pour recommander un achat (valorisation tendue, technique baissière, fondamentaux fragiles) ou une vente (potentiel de redressement, prédictions IA haussières, stochastique en survente). Le titre présente un profil spéculatif avec un risque élevé, adapté aux investisseurs patients et tolérants au risque. **Niveau de confiance** : Moyen (incertitude sur la capacité de SCRC à redresser sa rentabilité et à gérer sa dette). **Niveau de risque global** : Élevé (endettement critique, trésorerie négative, volatilité élevée). **Horizon d'investissement optimal** : Moyen terme (3-12 mois), en surveillant les résultats du S1 2026 pour confirmer ou infirmer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1,324 titres</w:t>
            </w:r>
          </w:p>
        </w:tc>
        <w:tc>
          <w:tcPr>
            <w:tcW w:type="dxa" w:w="2268"/>
            <w:shd w:fill="FFF2CC" w:val="clear"/>
          </w:tcPr>
          <w:p>
            <w:r>
              <w:rPr>
                <w:b/>
                <w:color w:val="503200"/>
                <w:sz w:val="16"/>
              </w:rPr>
              <w:t xml:space="preserve">Cours actuel : </w:t>
            </w:r>
            <w:r>
              <w:rPr>
                <w:color w:val="000000"/>
                <w:sz w:val="17"/>
              </w:rPr>
              <w:t>13,045 FCFA</w:t>
            </w:r>
          </w:p>
          <w:p>
            <w:r>
              <w:rPr>
                <w:b/>
                <w:color w:val="503200"/>
                <w:sz w:val="16"/>
              </w:rPr>
              <w:t xml:space="preserve">Var. 100 jours : </w:t>
            </w:r>
            <w:r>
              <w:rPr>
                <w:b/>
                <w:color w:val="007800"/>
                <w:sz w:val="17"/>
              </w:rPr>
              <w:t>+81.18%</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13.48% (Moyenne) — μ=11,334 FCFA, σ=1,528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β=0.1009 (Défensif) — Cov=0.000003, Var(idx)=0.000034, ρ=0.025,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2026-09-15</w:t>
            </w:r>
          </w:p>
        </w:tc>
        <w:tc>
          <w:tcPr>
            <w:tcW w:type="dxa" w:w="1440"/>
            <w:shd w:fill="C6EFCE" w:val="clear"/>
          </w:tcPr>
          <w:p>
            <w:r>
              <w:rPr>
                <w:sz w:val="17"/>
              </w:rPr>
              <w:t>12,972</w:t>
            </w:r>
          </w:p>
        </w:tc>
        <w:tc>
          <w:tcPr>
            <w:tcW w:type="dxa" w:w="1440"/>
            <w:shd w:fill="C6EFCE" w:val="clear"/>
          </w:tcPr>
          <w:p>
            <w:r>
              <w:rPr>
                <w:b/>
                <w:sz w:val="17"/>
              </w:rPr>
              <w:t>13,421</w:t>
            </w:r>
          </w:p>
        </w:tc>
        <w:tc>
          <w:tcPr>
            <w:tcW w:type="dxa" w:w="1440"/>
            <w:shd w:fill="C6EFCE" w:val="clear"/>
          </w:tcPr>
          <w:p>
            <w:r>
              <w:rPr>
                <w:sz w:val="17"/>
              </w:rPr>
              <w:t>13,870</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2026-09-16</w:t>
            </w:r>
          </w:p>
        </w:tc>
        <w:tc>
          <w:tcPr>
            <w:tcW w:type="dxa" w:w="1440"/>
            <w:shd w:fill="C6EFCE" w:val="clear"/>
          </w:tcPr>
          <w:p>
            <w:r>
              <w:rPr>
                <w:sz w:val="17"/>
              </w:rPr>
              <w:t>12,866</w:t>
            </w:r>
          </w:p>
        </w:tc>
        <w:tc>
          <w:tcPr>
            <w:tcW w:type="dxa" w:w="1440"/>
            <w:shd w:fill="C6EFCE" w:val="clear"/>
          </w:tcPr>
          <w:p>
            <w:r>
              <w:rPr>
                <w:b/>
                <w:sz w:val="17"/>
              </w:rPr>
              <w:t>13,505</w:t>
            </w:r>
          </w:p>
        </w:tc>
        <w:tc>
          <w:tcPr>
            <w:tcW w:type="dxa" w:w="1440"/>
            <w:shd w:fill="C6EFCE" w:val="clear"/>
          </w:tcPr>
          <w:p>
            <w:r>
              <w:rPr>
                <w:sz w:val="17"/>
              </w:rPr>
              <w:t>14,144</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2026-09-17</w:t>
            </w:r>
          </w:p>
        </w:tc>
        <w:tc>
          <w:tcPr>
            <w:tcW w:type="dxa" w:w="1440"/>
            <w:shd w:fill="C6EFCE" w:val="clear"/>
          </w:tcPr>
          <w:p>
            <w:r>
              <w:rPr>
                <w:sz w:val="17"/>
              </w:rPr>
              <w:t>12,799</w:t>
            </w:r>
          </w:p>
        </w:tc>
        <w:tc>
          <w:tcPr>
            <w:tcW w:type="dxa" w:w="1440"/>
            <w:shd w:fill="C6EFCE" w:val="clear"/>
          </w:tcPr>
          <w:p>
            <w:r>
              <w:rPr>
                <w:b/>
                <w:sz w:val="17"/>
              </w:rPr>
              <w:t>13,587</w:t>
            </w:r>
          </w:p>
        </w:tc>
        <w:tc>
          <w:tcPr>
            <w:tcW w:type="dxa" w:w="1440"/>
            <w:shd w:fill="C6EFCE" w:val="clear"/>
          </w:tcPr>
          <w:p>
            <w:r>
              <w:rPr>
                <w:sz w:val="17"/>
              </w:rPr>
              <w:t>14,375</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2026-09-18</w:t>
            </w:r>
          </w:p>
        </w:tc>
        <w:tc>
          <w:tcPr>
            <w:tcW w:type="dxa" w:w="1440"/>
            <w:shd w:fill="C6EFCE" w:val="clear"/>
          </w:tcPr>
          <w:p>
            <w:r>
              <w:rPr>
                <w:sz w:val="17"/>
              </w:rPr>
              <w:t>12,741</w:t>
            </w:r>
          </w:p>
        </w:tc>
        <w:tc>
          <w:tcPr>
            <w:tcW w:type="dxa" w:w="1440"/>
            <w:shd w:fill="C6EFCE" w:val="clear"/>
          </w:tcPr>
          <w:p>
            <w:r>
              <w:rPr>
                <w:b/>
                <w:sz w:val="17"/>
              </w:rPr>
              <w:t>13,655</w:t>
            </w:r>
          </w:p>
        </w:tc>
        <w:tc>
          <w:tcPr>
            <w:tcW w:type="dxa" w:w="1440"/>
            <w:shd w:fill="C6EFCE" w:val="clear"/>
          </w:tcPr>
          <w:p>
            <w:r>
              <w:rPr>
                <w:sz w:val="17"/>
              </w:rPr>
              <w:t>14,569</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2026-09-21</w:t>
            </w:r>
          </w:p>
        </w:tc>
        <w:tc>
          <w:tcPr>
            <w:tcW w:type="dxa" w:w="1440"/>
            <w:shd w:fill="C6EFCE" w:val="clear"/>
          </w:tcPr>
          <w:p>
            <w:r>
              <w:rPr>
                <w:sz w:val="17"/>
              </w:rPr>
              <w:t>12,687</w:t>
            </w:r>
          </w:p>
        </w:tc>
        <w:tc>
          <w:tcPr>
            <w:tcW w:type="dxa" w:w="1440"/>
            <w:shd w:fill="C6EFCE" w:val="clear"/>
          </w:tcPr>
          <w:p>
            <w:r>
              <w:rPr>
                <w:b/>
                <w:sz w:val="17"/>
              </w:rPr>
              <w:t>13,713</w:t>
            </w:r>
          </w:p>
        </w:tc>
        <w:tc>
          <w:tcPr>
            <w:tcW w:type="dxa" w:w="1440"/>
            <w:shd w:fill="C6EFCE" w:val="clear"/>
          </w:tcPr>
          <w:p>
            <w:r>
              <w:rPr>
                <w:sz w:val="17"/>
              </w:rPr>
              <w:t>14,739</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2026-09-22</w:t>
            </w:r>
          </w:p>
        </w:tc>
        <w:tc>
          <w:tcPr>
            <w:tcW w:type="dxa" w:w="1440"/>
            <w:shd w:fill="C6EFCE" w:val="clear"/>
          </w:tcPr>
          <w:p>
            <w:r>
              <w:rPr>
                <w:sz w:val="17"/>
              </w:rPr>
              <w:t>12,637</w:t>
            </w:r>
          </w:p>
        </w:tc>
        <w:tc>
          <w:tcPr>
            <w:tcW w:type="dxa" w:w="1440"/>
            <w:shd w:fill="C6EFCE" w:val="clear"/>
          </w:tcPr>
          <w:p>
            <w:r>
              <w:rPr>
                <w:b/>
                <w:sz w:val="17"/>
              </w:rPr>
              <w:t>13,765</w:t>
            </w:r>
          </w:p>
        </w:tc>
        <w:tc>
          <w:tcPr>
            <w:tcW w:type="dxa" w:w="1440"/>
            <w:shd w:fill="C6EFCE" w:val="clear"/>
          </w:tcPr>
          <w:p>
            <w:r>
              <w:rPr>
                <w:sz w:val="17"/>
              </w:rPr>
              <w:t>14,894</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2026-09-23</w:t>
            </w:r>
          </w:p>
        </w:tc>
        <w:tc>
          <w:tcPr>
            <w:tcW w:type="dxa" w:w="1440"/>
            <w:shd w:fill="C6EFCE" w:val="clear"/>
          </w:tcPr>
          <w:p>
            <w:r>
              <w:rPr>
                <w:sz w:val="17"/>
              </w:rPr>
              <w:t>12,592</w:t>
            </w:r>
          </w:p>
        </w:tc>
        <w:tc>
          <w:tcPr>
            <w:tcW w:type="dxa" w:w="1440"/>
            <w:shd w:fill="C6EFCE" w:val="clear"/>
          </w:tcPr>
          <w:p>
            <w:r>
              <w:rPr>
                <w:b/>
                <w:sz w:val="17"/>
              </w:rPr>
              <w:t>13,815</w:t>
            </w:r>
          </w:p>
        </w:tc>
        <w:tc>
          <w:tcPr>
            <w:tcW w:type="dxa" w:w="1440"/>
            <w:shd w:fill="C6EFCE" w:val="clear"/>
          </w:tcPr>
          <w:p>
            <w:r>
              <w:rPr>
                <w:sz w:val="17"/>
              </w:rPr>
              <w:t>15,039</w:t>
            </w:r>
          </w:p>
        </w:tc>
        <w:tc>
          <w:tcPr>
            <w:tcW w:type="dxa" w:w="1440"/>
            <w:shd w:fill="C6EFCE" w:val="clear"/>
          </w:tcPr>
          <w:p>
            <w:r>
              <w:rPr>
                <w:b/>
                <w:color w:val="008000"/>
                <w:sz w:val="17"/>
              </w:rPr>
              <w:t>+5.9%</w:t>
            </w:r>
          </w:p>
        </w:tc>
      </w:tr>
      <w:tr>
        <w:tc>
          <w:tcPr>
            <w:tcW w:type="dxa" w:w="1440"/>
            <w:shd w:fill="C6EFCE" w:val="clear"/>
          </w:tcPr>
          <w:p>
            <w:r>
              <w:rPr>
                <w:sz w:val="17"/>
              </w:rPr>
              <w:t>J+8  ⭐</w:t>
            </w:r>
          </w:p>
        </w:tc>
        <w:tc>
          <w:tcPr>
            <w:tcW w:type="dxa" w:w="1440"/>
            <w:shd w:fill="C6EFCE" w:val="clear"/>
          </w:tcPr>
          <w:p>
            <w:r>
              <w:rPr>
                <w:sz w:val="17"/>
              </w:rPr>
              <w:t>2026-09-24</w:t>
            </w:r>
          </w:p>
        </w:tc>
        <w:tc>
          <w:tcPr>
            <w:tcW w:type="dxa" w:w="1440"/>
            <w:shd w:fill="C6EFCE" w:val="clear"/>
          </w:tcPr>
          <w:p>
            <w:r>
              <w:rPr>
                <w:sz w:val="17"/>
              </w:rPr>
              <w:t>12,547</w:t>
            </w:r>
          </w:p>
        </w:tc>
        <w:tc>
          <w:tcPr>
            <w:tcW w:type="dxa" w:w="1440"/>
            <w:shd w:fill="C6EFCE" w:val="clear"/>
          </w:tcPr>
          <w:p>
            <w:r>
              <w:rPr>
                <w:b/>
                <w:sz w:val="17"/>
              </w:rPr>
              <w:t>13,859</w:t>
            </w:r>
          </w:p>
        </w:tc>
        <w:tc>
          <w:tcPr>
            <w:tcW w:type="dxa" w:w="1440"/>
            <w:shd w:fill="C6EFCE" w:val="clear"/>
          </w:tcPr>
          <w:p>
            <w:r>
              <w:rPr>
                <w:sz w:val="17"/>
              </w:rPr>
              <w:t>15,170</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2026-09-25</w:t>
            </w:r>
          </w:p>
        </w:tc>
        <w:tc>
          <w:tcPr>
            <w:tcW w:type="dxa" w:w="1440"/>
            <w:shd w:fill="C6EFCE" w:val="clear"/>
          </w:tcPr>
          <w:p>
            <w:r>
              <w:rPr>
                <w:sz w:val="17"/>
              </w:rPr>
              <w:t>12,502</w:t>
            </w:r>
          </w:p>
        </w:tc>
        <w:tc>
          <w:tcPr>
            <w:tcW w:type="dxa" w:w="1440"/>
            <w:shd w:fill="C6EFCE" w:val="clear"/>
          </w:tcPr>
          <w:p>
            <w:r>
              <w:rPr>
                <w:b/>
                <w:sz w:val="17"/>
              </w:rPr>
              <w:t>13,897</w:t>
            </w:r>
          </w:p>
        </w:tc>
        <w:tc>
          <w:tcPr>
            <w:tcW w:type="dxa" w:w="1440"/>
            <w:shd w:fill="C6EFCE" w:val="clear"/>
          </w:tcPr>
          <w:p>
            <w:r>
              <w:rPr>
                <w:sz w:val="17"/>
              </w:rPr>
              <w:t>15,293</w:t>
            </w:r>
          </w:p>
        </w:tc>
        <w:tc>
          <w:tcPr>
            <w:tcW w:type="dxa" w:w="1440"/>
            <w:shd w:fill="C6EFCE" w:val="clear"/>
          </w:tcPr>
          <w:p>
            <w:r>
              <w:rPr>
                <w:b/>
                <w:color w:val="008000"/>
                <w:sz w:val="17"/>
              </w:rPr>
              <w:t>+6.5%</w:t>
            </w:r>
          </w:p>
        </w:tc>
      </w:tr>
      <w:tr>
        <w:tc>
          <w:tcPr>
            <w:tcW w:type="dxa" w:w="1440"/>
            <w:shd w:fill="C6EFCE" w:val="clear"/>
          </w:tcPr>
          <w:p>
            <w:r>
              <w:rPr>
                <w:sz w:val="17"/>
              </w:rPr>
              <w:t>J+10  ⭐</w:t>
            </w:r>
          </w:p>
        </w:tc>
        <w:tc>
          <w:tcPr>
            <w:tcW w:type="dxa" w:w="1440"/>
            <w:shd w:fill="C6EFCE" w:val="clear"/>
          </w:tcPr>
          <w:p>
            <w:r>
              <w:rPr>
                <w:sz w:val="17"/>
              </w:rPr>
              <w:t>2026-09-28</w:t>
            </w:r>
          </w:p>
        </w:tc>
        <w:tc>
          <w:tcPr>
            <w:tcW w:type="dxa" w:w="1440"/>
            <w:shd w:fill="C6EFCE" w:val="clear"/>
          </w:tcPr>
          <w:p>
            <w:r>
              <w:rPr>
                <w:sz w:val="17"/>
              </w:rPr>
              <w:t>12,454</w:t>
            </w:r>
          </w:p>
        </w:tc>
        <w:tc>
          <w:tcPr>
            <w:tcW w:type="dxa" w:w="1440"/>
            <w:shd w:fill="C6EFCE" w:val="clear"/>
          </w:tcPr>
          <w:p>
            <w:r>
              <w:rPr>
                <w:b/>
                <w:sz w:val="17"/>
              </w:rPr>
              <w:t>13,928</w:t>
            </w:r>
          </w:p>
        </w:tc>
        <w:tc>
          <w:tcPr>
            <w:tcW w:type="dxa" w:w="1440"/>
            <w:shd w:fill="C6EFCE" w:val="clear"/>
          </w:tcPr>
          <w:p>
            <w:r>
              <w:rPr>
                <w:sz w:val="17"/>
              </w:rPr>
              <w:t>15,403</w:t>
            </w:r>
          </w:p>
        </w:tc>
        <w:tc>
          <w:tcPr>
            <w:tcW w:type="dxa" w:w="1440"/>
            <w:shd w:fill="C6EFCE" w:val="clear"/>
          </w:tcPr>
          <w:p>
            <w:r>
              <w:rPr>
                <w:b/>
                <w:color w:val="008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117,41 milliards FCFA, SDCC se positionne parmi les valeurs moyennes-capitalisations de la cote BRVM, loin des poids lourds bancaires et télécoms mais avec une liquidité correcte (volume moyen de 1 324 titres/jour). Le BPA de 518 FCFA/action signifie que chaque titre génère un bénéfice net de 518 FCFA, ce qui, rapporté au cours actuel de 13 045 FCFA, donne un PER de 25,2x — soit plus du double de la moyenne BRVM (8-12x), signalant que le marché intègre déjà une forte croissance future ou, à l'inverse, une surévaluation spéculative. Le P/B de 5,95x confirme cette prime exigeante : les investisseurs paient près de 6 fois la valeur comptable des fonds propres, ce qui est élevé pour une entreprise de services publics à marges nettes faibles (2,46%). Enfin, l'EV/EBITDA de 14,9x (fourchette haute 10-15x) indique que la valeur d'entreprise (incluant la dette nette) représente près de 15 fois la capacité opérationnelle, une valorisation tendue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spectaculaire de +81,18%, portée par un rallye haussier majeur, même si la dernière séance (J-1) marque une correction de -2,65% à 13 045 FCFA. Le range de trading est très large, avec un plus bas à 7 200 FCFA et un plus haut à 13 710 FCFA, soit une amplitude de près de 90% qui témoigne d'une forte volatilité directionnelle. La tendance générale est clairement haussière, le cours actuel se situant à seulement 4,8% de son sommet. Les statistiques descriptives révèlent une distribution asymétrique : la moyenne (11 334 FCFA) est inférieure à la médiane (11 900 FCFA), confirmant un skewness négatif (-1,263) indiquant davantage de journées de hausse au-dessus de la moyenne, typique d'un rallye avec des pics ponctuels. L'écart-type de 1 536 FCFA (CV = 13,6%) traduit une dispersion modérée du cours autour de sa tendance, tandis que le kurtosis excédentaire de 1,112 (leptokurtique) signale des queues épaisses, donc un risque accru de mouvements extrêmes (pics de volatilité). La volatilité annualisée de 37,2% classe le titre dans la catégorie « élevée »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(12 830,75 FCFA) et la MM50 (12 190,2 FCFA) sont toutes deux inférieures au cours actuel (13 045 FCFA), et la MM20 est au-dessus de la MM50, configurant un croisement haussier classique. Le cours évolue au-dessus de ses deux moyennes, ce qui valide la dynamique positive et justifie la décision « Achat ».</w:t>
      </w:r>
    </w:p>
    <w:p>
      <w:pPr>
        <w:spacing w:after="120" w:line="276" w:lineRule="auto"/>
      </w:pPr>
      <w:r>
        <w:t>**Bandes de Bollinger** : Le cours (13 045 FCFA) se situe dans la partie haute de la bande, entre la borne inférieure (11 583,16 FCFA) et la borne supérieure (14 078,34 FCFA), sans la dépasser. Cette position médiane-haute, couplée à une largeur de bande importante, traduit une volatilité élevée mais sans excès, d'où la décision « Neutre » qui invite à la prudence après le rallye.</w:t>
      </w:r>
    </w:p>
    <w:p>
      <w:pPr>
        <w:spacing w:after="120" w:line="276" w:lineRule="auto"/>
      </w:pPr>
      <w:r>
        <w:t>**MACD** : La ligne MACD (383,15) est légèrement au-dessus de sa ligne de signal (376,52), avec un histogramme positif mais étroit. Cette configuration indique un momentum haussier qui s'essouffle, la convergence des deux lignes suggérant une possible perte de vitesse ; la décision « Achat » reste toutefois valide tant que la MACD ne croise pas à la baisse.</w:t>
      </w:r>
    </w:p>
    <w:p>
      <w:pPr>
        <w:spacing w:after="120" w:line="276" w:lineRule="auto"/>
      </w:pPr>
      <w:r>
        <w:t>**RSI** : À 66,25, le RSI se situe en zone neutre-haute, proche du seuil de surachat (70) sans l'atteindre. Cela indique que le titre conserve un potentiel haussier mais que les acheteurs commencent à être nombreux, justifiant la décision « Neutre » qui appelle à la vigilance sur un éventuel retournement.</w:t>
      </w:r>
    </w:p>
    <w:p>
      <w:pPr>
        <w:spacing w:after="120" w:line="276" w:lineRule="auto"/>
      </w:pPr>
      <w:r>
        <w:t>**Stochastique** : Le %K (45,49) est nettement inférieur au %D (66,43), et les deux lignes semblent se croiser à la baisse, signalant un essoufflement de la dynamique haussière à court terme. Cette divergence baissière, bien que modérée, confirme la décision « Neutre » et suggère une possible consolidation.</w:t>
      </w:r>
    </w:p>
    <w:p>
      <w:pPr>
        <w:spacing w:after="120" w:line="276" w:lineRule="auto"/>
      </w:pPr>
      <w:r>
        <w:t>**Conclusion technique** : Les indicateurs sont globalement haussiers (MM, MACD) mais montrent des signes de fatigue (RSI proche surachat, stochastique baissier, Bollinger neutre). La convergence des signaux pointe vers un essoufflement du rallye, avec un risque de consolidation voire de correction à court terme, sans invalider la tendance de fond tant que le cours reste au-dessus de la MM50 (12 190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(exercice clos au 31/12/2025) affichent un chiffre d'affaires de 189,43 milliards FCFA, en croissance de 9,98% sur un an, et un résultat net de 4,663 milliards FCFA, en hausse de 31% (rapport annuel 2025). Le ROE s'établit à 23,65%, un niveau excellent (&gt;15%) qui témoigne d'une forte rentabilité des fonds propres, tandis que le ROA reste faible à 0,99%, reflétant l'intensité capitalistique du secteur (total actif de 472,67 milliards FCFA). La marge nette est de 2,46%, en amélioration par rapport à 2024 (2,1%), et la marge brute atteint 81,86%, typique d'une activité de distribution d'eau à coûts variables modérés. Cependant, la structure financière est très déséquilibrée : l'autonomie financière n'est que de 4,17% (capitaux propres de 19,72 milliards FCFA pour un total bilan de 472,67 milliards), et le ratio d'endettement atteint 95,83%, avec des dettes financières totales de 145,94 milliards FCFA. Le besoin en fonds de roulement (BFR) est positif à 104,75 milliards FCFA, et surtout le délai client est extrêmement élevé à 749,25 jours, ce qui constitue un risque majeur de trésorerie (créances clients de 388,85 milliards FCFA). La trésorerie nette est négative à -61,71 milliards FCFA, et le flux opérationnel est négatif à -36,66 milliards FCFA, confirmant les tensions de liquidité. Les rapports trimestriels récents (T1 2026, publié en 2026) montrent une amélioration spectaculaire de la rentabilité : le résultat net bondit de 118% à 1 318 millions FCFA, et le résultat d'exploitation double à 2 730 millions FCFA, malgré un CA en léger repli de 2% à 40 916 millions FCFA. Sur la base de ce T1 2026, on peut estimer que l'exercice 2026 devrait bénéficier d'une meilleure maîtrise des charges, avec un résultat net annualisé potentiellement supérieur à 5 milliards FCFA si la dynamique se poursuit. Le rapport S1 2025 (daté du 30/06/2025) indiquait déjà une amélioration du résultat financier (+40%) et une confiance du management dans l'atteinte des objectifs annuels. La recommandation fondamentale est de **conserver** le titre : la solidité opérationnelle et la croissance sont réelles, mais les tensions de trésorerie et l'endettement massif constituent des risques persistants qui limitent la visibilité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25,2x, P/B de 5,95x et EV/EBITDA de 14,9x indiquent que le marché paie une prime très élevée pour les bénéfices et les actifs de SDCC, ce qui suggère une possible surévaluation à court terme, même si la croissance justifie partiellement cette prime. Le comportement du cours (Partie 1) est haussier (+81,18% sur 100 jours) mais avec une volatilité élevée (37,2%) et des statistiques préoccupantes (kurtosis leptokurtique, skewness négatif) qui signalent un risque de pics baissiers après le rallye. Les signaux techniques (Partie 2) sont mitigés : les moyennes mobiles et le MACD restent haussiers, mais le RSI proche de la surachat, le stochastique baissier et les bandes de Bollinger neutres convergent vers un essoufflement, voire une correction imminente. Les fondamentaux (Partie 3) sont solides sur le plan opérationnel (CA +10%, RN +31%, ROE 23,65%) mais fragiles sur le plan financier (autonomie financière de 4,17%, trésorerie nette négative, délai client de 749 jours), même si le T1 2026 montre une amélioration spectaculaire de la rentabilité. Les prédictions IA (J+1 à J+10) projettent une poursuite de la hausse jusqu'à 13 713 FCFA le 21/09/2026, ce qui contredit les signaux techniques de fatigue et suggère que le marché pourrait ignorer les risques à court terme. Sur la base de cette synthèse, la recommandation finale est **CONSERVER** : la convergence entre fondamentaux solides et prédictions haussières est tempérée par une valorisation tendue et des signaux techniques de consolidation. Le niveau de confiance est **Moyen**, car les données sont contradictoires (fondamentaux vs technique), et le niveau de risque global est **Élevé** en raison de la volatilité, de l'endettement et des tensions de trésorerie. L'horizon d'investissement optimal est le **moyen terme (3-12 mois)**, le temps que les améliorations opérationnelles se traduisent dans les comptes et que la trésorerie se redresse, tout en surveillant de près le niveau de la MM50 (12 190 FCFA) comme support critique.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18,404 titres</w:t>
            </w:r>
          </w:p>
        </w:tc>
        <w:tc>
          <w:tcPr>
            <w:tcW w:type="dxa" w:w="2268"/>
            <w:shd w:fill="FFF2CC" w:val="clear"/>
          </w:tcPr>
          <w:p>
            <w:r>
              <w:rPr>
                <w:b/>
                <w:color w:val="503200"/>
                <w:sz w:val="16"/>
              </w:rPr>
              <w:t xml:space="preserve">Cours actuel : </w:t>
            </w:r>
            <w:r>
              <w:rPr>
                <w:color w:val="000000"/>
                <w:sz w:val="17"/>
              </w:rPr>
              <w:t>3,090 FCFA</w:t>
            </w:r>
          </w:p>
          <w:p>
            <w:r>
              <w:rPr>
                <w:b/>
                <w:color w:val="503200"/>
                <w:sz w:val="16"/>
              </w:rPr>
              <w:t xml:space="preserve">Var. 100 jours : </w:t>
            </w:r>
            <w:r>
              <w:rPr>
                <w:b/>
                <w:color w:val="007800"/>
                <w:sz w:val="17"/>
              </w:rPr>
              <w:t>+74.08%</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19.13% (Élevée) — μ=2,341 FCFA, σ=448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β=0.6412 (Défensif) — Cov=0.000022, Var(idx)=0.000034, ρ=0.117,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18,404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2,908</w:t>
            </w:r>
          </w:p>
        </w:tc>
        <w:tc>
          <w:tcPr>
            <w:tcW w:type="dxa" w:w="1440"/>
            <w:shd w:fill="FAFAFA" w:val="clear"/>
          </w:tcPr>
          <w:p>
            <w:r>
              <w:rPr>
                <w:b/>
                <w:sz w:val="17"/>
              </w:rPr>
              <w:t>3,088</w:t>
            </w:r>
          </w:p>
        </w:tc>
        <w:tc>
          <w:tcPr>
            <w:tcW w:type="dxa" w:w="1440"/>
            <w:shd w:fill="FAFAFA" w:val="clear"/>
          </w:tcPr>
          <w:p>
            <w:r>
              <w:rPr>
                <w:sz w:val="17"/>
              </w:rPr>
              <w:t>3,269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2,826</w:t>
            </w:r>
          </w:p>
        </w:tc>
        <w:tc>
          <w:tcPr>
            <w:tcW w:type="dxa" w:w="1440"/>
            <w:shd w:fill="FAFAFA" w:val="clear"/>
          </w:tcPr>
          <w:p>
            <w:r>
              <w:rPr>
                <w:b/>
                <w:sz w:val="17"/>
              </w:rPr>
              <w:t>3,081</w:t>
            </w:r>
          </w:p>
        </w:tc>
        <w:tc>
          <w:tcPr>
            <w:tcW w:type="dxa" w:w="1440"/>
            <w:shd w:fill="FAFAFA" w:val="clear"/>
          </w:tcPr>
          <w:p>
            <w:r>
              <w:rPr>
                <w:sz w:val="17"/>
              </w:rPr>
              <w:t>3,336</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2,763</w:t>
            </w:r>
          </w:p>
        </w:tc>
        <w:tc>
          <w:tcPr>
            <w:tcW w:type="dxa" w:w="1440"/>
            <w:shd w:fill="FAFAFA" w:val="clear"/>
          </w:tcPr>
          <w:p>
            <w:r>
              <w:rPr>
                <w:b/>
                <w:sz w:val="17"/>
              </w:rPr>
              <w:t>3,074</w:t>
            </w:r>
          </w:p>
        </w:tc>
        <w:tc>
          <w:tcPr>
            <w:tcW w:type="dxa" w:w="1440"/>
            <w:shd w:fill="FAFAFA" w:val="clear"/>
          </w:tcPr>
          <w:p>
            <w:r>
              <w:rPr>
                <w:sz w:val="17"/>
              </w:rPr>
              <w:t>3,386</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2,711</w:t>
            </w:r>
          </w:p>
        </w:tc>
        <w:tc>
          <w:tcPr>
            <w:tcW w:type="dxa" w:w="1440"/>
            <w:shd w:fill="FAFAFA" w:val="clear"/>
          </w:tcPr>
          <w:p>
            <w:r>
              <w:rPr>
                <w:b/>
                <w:sz w:val="17"/>
              </w:rPr>
              <w:t>3,071</w:t>
            </w:r>
          </w:p>
        </w:tc>
        <w:tc>
          <w:tcPr>
            <w:tcW w:type="dxa" w:w="1440"/>
            <w:shd w:fill="FAFAFA" w:val="clear"/>
          </w:tcPr>
          <w:p>
            <w:r>
              <w:rPr>
                <w:sz w:val="17"/>
              </w:rPr>
              <w:t>3,430</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2,667</w:t>
            </w:r>
          </w:p>
        </w:tc>
        <w:tc>
          <w:tcPr>
            <w:tcW w:type="dxa" w:w="1440"/>
            <w:shd w:fill="FAFAFA" w:val="clear"/>
          </w:tcPr>
          <w:p>
            <w:r>
              <w:rPr>
                <w:b/>
                <w:sz w:val="17"/>
              </w:rPr>
              <w:t>3,069</w:t>
            </w:r>
          </w:p>
        </w:tc>
        <w:tc>
          <w:tcPr>
            <w:tcW w:type="dxa" w:w="1440"/>
            <w:shd w:fill="FAFAFA" w:val="clear"/>
          </w:tcPr>
          <w:p>
            <w:r>
              <w:rPr>
                <w:sz w:val="17"/>
              </w:rPr>
              <w:t>3,470</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2,628</w:t>
            </w:r>
          </w:p>
        </w:tc>
        <w:tc>
          <w:tcPr>
            <w:tcW w:type="dxa" w:w="1440"/>
            <w:shd w:fill="FAFAFA" w:val="clear"/>
          </w:tcPr>
          <w:p>
            <w:r>
              <w:rPr>
                <w:b/>
                <w:sz w:val="17"/>
              </w:rPr>
              <w:t>3,067</w:t>
            </w:r>
          </w:p>
        </w:tc>
        <w:tc>
          <w:tcPr>
            <w:tcW w:type="dxa" w:w="1440"/>
            <w:shd w:fill="FAFAFA" w:val="clear"/>
          </w:tcPr>
          <w:p>
            <w:r>
              <w:rPr>
                <w:sz w:val="17"/>
              </w:rPr>
              <w:t>3,507</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2,591</w:t>
            </w:r>
          </w:p>
        </w:tc>
        <w:tc>
          <w:tcPr>
            <w:tcW w:type="dxa" w:w="1440"/>
            <w:shd w:fill="FAFAFA" w:val="clear"/>
          </w:tcPr>
          <w:p>
            <w:r>
              <w:rPr>
                <w:b/>
                <w:sz w:val="17"/>
              </w:rPr>
              <w:t>3,066</w:t>
            </w:r>
          </w:p>
        </w:tc>
        <w:tc>
          <w:tcPr>
            <w:tcW w:type="dxa" w:w="1440"/>
            <w:shd w:fill="FAFAFA" w:val="clear"/>
          </w:tcPr>
          <w:p>
            <w:r>
              <w:rPr>
                <w:sz w:val="17"/>
              </w:rPr>
              <w:t>3,541</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2,558</w:t>
            </w:r>
          </w:p>
        </w:tc>
        <w:tc>
          <w:tcPr>
            <w:tcW w:type="dxa" w:w="1440"/>
            <w:shd w:fill="FAFAFA" w:val="clear"/>
          </w:tcPr>
          <w:p>
            <w:r>
              <w:rPr>
                <w:b/>
                <w:sz w:val="17"/>
              </w:rPr>
              <w:t>3,065</w:t>
            </w:r>
          </w:p>
        </w:tc>
        <w:tc>
          <w:tcPr>
            <w:tcW w:type="dxa" w:w="1440"/>
            <w:shd w:fill="FAFAFA" w:val="clear"/>
          </w:tcPr>
          <w:p>
            <w:r>
              <w:rPr>
                <w:sz w:val="17"/>
              </w:rPr>
              <w:t>3,573</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2,526</w:t>
            </w:r>
          </w:p>
        </w:tc>
        <w:tc>
          <w:tcPr>
            <w:tcW w:type="dxa" w:w="1440"/>
            <w:shd w:fill="FAFAFA" w:val="clear"/>
          </w:tcPr>
          <w:p>
            <w:r>
              <w:rPr>
                <w:b/>
                <w:sz w:val="17"/>
              </w:rPr>
              <w:t>3,064</w:t>
            </w:r>
          </w:p>
        </w:tc>
        <w:tc>
          <w:tcPr>
            <w:tcW w:type="dxa" w:w="1440"/>
            <w:shd w:fill="FAFAFA" w:val="clear"/>
          </w:tcPr>
          <w:p>
            <w:r>
              <w:rPr>
                <w:sz w:val="17"/>
              </w:rPr>
              <w:t>3,602</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2,497</w:t>
            </w:r>
          </w:p>
        </w:tc>
        <w:tc>
          <w:tcPr>
            <w:tcW w:type="dxa" w:w="1440"/>
            <w:shd w:fill="FAFAFA" w:val="clear"/>
          </w:tcPr>
          <w:p>
            <w:r>
              <w:rPr>
                <w:b/>
                <w:sz w:val="17"/>
              </w:rPr>
              <w:t>3,063</w:t>
            </w:r>
          </w:p>
        </w:tc>
        <w:tc>
          <w:tcPr>
            <w:tcW w:type="dxa" w:w="1440"/>
            <w:shd w:fill="FAFAFA" w:val="clear"/>
          </w:tcPr>
          <w:p>
            <w:r>
              <w:rPr>
                <w:sz w:val="17"/>
              </w:rPr>
              <w:t>3,630</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Secteur : Transport &amp; Logistique**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168,21 milliards FCFA, SDSC s'impose comme une valeur de premier plan de la cote BRVM, représentant un poids significatif dans l'indice composite. Le BPA de 387 FCFA/action indique ce que chaque titre rapporte en bénéfice, mais ce chiffre est calculé sur la base des résultats 2024 (exercice exceptionnel) et non sur les résultats 2025 qui se sont effondrés. Le PER de 8,0x se situe dans la fourchette basse du marché BRVM (moyenne ~8-12x), ce qui pourrait suggérer une sous-évaluation — mais ce ratio est trompeur car il repose sur un bénéfice 2024 non récurrent (dividendes exceptionnels de filiales). Le P/B de 2,16x traduit une prime de croissance accordée par le marché, les investisseurs valorisant l'entreprise à plus du double de sa valeur comptable (capitaux propres de 77,8 Mds FCFA). Enfin, l'EV/EBITDA de 36,3x est particulièrement exigeant (&gt;15x), signalant que la valeur d'entreprise intègre une capacité opérationnelle dont la rentabilité récente ne justifie pas pleinement le niveau — ce ratio élevé constitue un signal de prudence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+74,08%, avec une dernière séance en hausse de +1,98%, portant le cours à 3 090 FCFA. Le range de trading est très large, oscillant entre un plus bas de 1 650 FCFA et un plus haut de 3 205 FCFA, soit une amplitude de plus de 94%, témoignant d'une dynamique haussière puissante mais aussi d'une forte volatilité. La tendance générale est clairement haussière, portée par un momentum acheteur soutenu. Les statistiques descriptives révèlent une moyenne de 2 341 FCFA légèrement inférieure à la médiane de 2 418 FCFA, suggérant une distribution quasi-symétrique avec une légère prédominance des cours élevés en fin de période. L'écart-type de 450 FCFA (CV=19,2%) indique une dispersion modérée du cours autour de sa moyenne. Le kurtosis de -1,250 (platykurtique) signale une distribution aplatie avec une faible concentration des rendements, donc un risque de pics extrêmes relativement limité. Le skewness de -0,047 confirme cette symétrie quasi-parfaite de la distribution. La volatilité annualisée de 51,1% positionne le titre dans la catégorie des valeurs à volatilité élevée (&gt;30%), ce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(2 879,5 FCFA) et la MM50 (2 706,4 FCFA) se situent toutes deux sous le cours actuel (3 090 FCFA), confirmant une configuration haussière. La MM20 est au-dessus de la MM50, ce qui valide la tendance positive de court terme. La décision technique est à l'**Achat**, le cours évoluant au-dessus de ses deux moyennes mobiles.</w:t>
      </w:r>
    </w:p>
    <w:p>
      <w:pPr>
        <w:spacing w:after="120" w:line="276" w:lineRule="auto"/>
      </w:pPr>
      <w:r>
        <w:t>**Bandes de Bollinger** : Le cours (3 090 FCFA) se situe entre la borne supérieure (3 288,18 FCFA) et la borne inférieure (2 470,82 FCFA), plus proche de la borne haute. Cette position indique une pression acheteuse sans suraccumulation extrême. La décision est **Neutre**, le cours n'ayant pas franchi la borne supérieure qui signalerait une suraccélération.</w:t>
      </w:r>
    </w:p>
    <w:p>
      <w:pPr>
        <w:spacing w:after="120" w:line="276" w:lineRule="auto"/>
      </w:pPr>
      <w:r>
        <w:t>**MACD** : La valeur du MACD (124,681) est supérieure à son signal (112,78), générant un histogramme positif. Cette divergence positive confirme un momentum haussier en cours. La décision est à l'**Achat**, le MACD ayant récemment croisé à la hausse son signal.</w:t>
      </w:r>
    </w:p>
    <w:p>
      <w:pPr>
        <w:spacing w:after="120" w:line="276" w:lineRule="auto"/>
      </w:pPr>
      <w:r>
        <w:t>**RSI** : À 68,056, le RSI se situe dans la zone neutre haute (30-70), proche du seuil de surachat (70) sans l'avoir franchi. Cela indique une dynamique acheteuse soutenue mais non encore excessive. La décision est **Neutre**, le titre n'étant ni suracheté ni survendu.</w:t>
      </w:r>
    </w:p>
    <w:p>
      <w:pPr>
        <w:spacing w:after="120" w:line="276" w:lineRule="auto"/>
      </w:pPr>
      <w:r>
        <w:t>**Stochastique** : Le %K (82,171) est supérieur au %D (79,07), et les deux se situent en zone de surachat (&gt;80). Cette configuration signale une possible correction à court terme, le croisement des lignes pouvant générer un signal baissier. La décision est à la **Vente**, le stochastique anticipant un essoufflement de la tendance.</w:t>
      </w:r>
    </w:p>
    <w:p>
      <w:pPr>
        <w:spacing w:after="120" w:line="276" w:lineRule="auto"/>
      </w:pPr>
      <w:r>
        <w:t>**Conclusion technique** : Les indicateurs sont globalement haussiers (MM, MACD) mais commencent à montrer des signes de surchauffe (Stochastique en surachat, RSI proche de 70). La convergence des signaux positifs (MM, MACD) et des signaux de prudence (Stochastique, RSI) suggère une tendance haussière qui arrive en fin de cycle court terme, avec un risque de consolidation imminent.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SDSC (AGL Côte d'Ivoire) affichait un chiffre d'affaires de 85,643 Mds FCFA, un résultat net de 21,069 Mds FCFA, un ROE de 27,08% et un ROA de 11,20%, avec une marge nette de 24,60% — des performances exceptionnelles. Cependant, les données structurées 2025 révèlent une dégradation spectaculaire : le CA progresse à 92,004 Mds FCFA (+7,43%) mais le résultat net s'effondre à 0,785 Md FCFA (-96%), avec une marge nette de 0,85% et un résultat d'exploitation négatif de -2,271 Mds FCFA. Cette chute s'explique par la non-répétition des dividendes exceptionnels de filiales perçus en 2024 (résultat financier de 7,080 Mds FCFA en 2025 contre 20,870 Mds FCFA en 2024) et par la hausse des dotations aux amortissements (+41%). Sur le plan structurel, l'entreprise conserve une solidité financière indéniable : capitaux propres de 73,55 Mds FCFA, trésorerie nette de 74,78 Mds FCFA, autonomie financière de 41,36% et solvabilité générale de 170,53%. Le BFR est positif à 17,874 Mds FCFA, et le délai client de 466,94 jours constitue un risque de trésorerie majeur, bien que le délai fournisseur de 4 534,17 jours offre un coussin de liquidité considérable. Les rapports trimestriels 2025 confirment cette tendance : le T1 2025 (rapport du 31/03/2025) affichait un CA de 23,057 Mds FCFA (+6,2%) avec une perte nette de -193 M FCFA ; le S1 2025 (rapport du 30/06/2025) montrait un CA de 44,452 Mds FCFA (+4,2%) et une perte nette de -427 M FCFA ; le T3 2025 (rapport du 30/09/2025) enregistrait un CA de 66,217 Mds FCFA (+7,4%) et un résultat net de 4,341 Mds FCFA (-77%). Le rapport annuel 2025 (date du 31/12/2025, analysé le 05/08/2026) confirme le retour à une profitabilité marginale (0,785 Md FCFA) mais avec un dividende proposé de seulement 544,353 M FCFA, en chute de 89% par rapport aux 5 008 M FCFA versés en 2024. La recommandation fondamentale est de **CONSERVER** : la croissance du CA et la solidité du bilan (capitaux propres de 73,55 Mds FCFA, trésorerie de 74,78 Mds FCFA) plaident pour le maintien du titre, mais l'effondrement de la rentabilité opérationnelle et la réduction drastique du dividende imposent une grande prudence. Les perspectives 2026 dépendront de la capacité de la direction à restaurer les marges opérationnelles et à compenser l'absence de revenus exceptionnels de filiales.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profil ambigu : le PER de 8,0x et le P/B de 2,16x pourraient suggérer une sous-évaluation, mais l'EV/EBITDA de 36,3x et le caractère non récurrent des bénéfices 2024 rendent ces ratios trompeurs. Le comportement du cours sur 100 jours est exceptionnellement haussier (+74,08%) avec une volatilité élevée (51,1%), une distribution symétrique (skewness -0,047) et un risque de pics limité (kurtosis -1,250), mais le stochastique en surachat et le RSI proche de 70 signalent un essoufflement imminent. Les signaux techniques sont divergents : les moyennes mobiles et le MACD confirment la tendance haussière, tandis que le stochastique et le RSI appellent à la prudence. Les fondamentaux révèlent une dégradation sévère de la rentabilité en 2025 (marge nette de 0,85% contre 24,60% en 2024) malgré une croissance du CA (+7,43%), avec un résultat d'exploitation négatif et un dividende en chute de 89%. Les prédictions IA anticipent une légère correction (3 088 FCFA à J+1, 3 069 FCFA à J+5), confirmant la thèse d'un essoufflement technique. Sur la base de cette synthèse, la recommandation finale est **CONSERVER**, avec un niveau de confiance **Moyen** et un risque global **Élevé**. La convergence entre la dégradation fondamentale, les signaux techniques de surachat et les prédictions baissières à court terme justifie une grande prudence, mais la solidité du bilan et la croissance du CA interdisent une vente précipitée. L'horizon d'investissement optimal est le **moyen terme (3-12 mois)**, en surveillant attentivement la publication des résultats du T1 2026 pour évaluer la capacité de l'entreprise à restaurer ses marges opérationnelles.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38.29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5,957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B40000"/>
                <w:sz w:val="17"/>
              </w:rPr>
              <w:t>-12.89%</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μ=1,529 FCFA, σ=72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β=1.2903 (Agressif) — Cov=0.000044, Var(idx)=0.000034, ρ=0.254,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1,459</w:t>
            </w:r>
          </w:p>
        </w:tc>
        <w:tc>
          <w:tcPr>
            <w:tcW w:type="dxa" w:w="1440"/>
            <w:shd w:fill="FAFAFA" w:val="clear"/>
          </w:tcPr>
          <w:p>
            <w:r>
              <w:rPr>
                <w:b/>
                <w:sz w:val="17"/>
              </w:rPr>
              <w:t>1,526</w:t>
            </w:r>
          </w:p>
        </w:tc>
        <w:tc>
          <w:tcPr>
            <w:tcW w:type="dxa" w:w="1440"/>
            <w:shd w:fill="FAFAFA" w:val="clear"/>
          </w:tcPr>
          <w:p>
            <w:r>
              <w:rPr>
                <w:sz w:val="17"/>
              </w:rPr>
              <w:t>1,593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1,423</w:t>
            </w:r>
          </w:p>
        </w:tc>
        <w:tc>
          <w:tcPr>
            <w:tcW w:type="dxa" w:w="1440"/>
            <w:shd w:fill="FAFAFA" w:val="clear"/>
          </w:tcPr>
          <w:p>
            <w:r>
              <w:rPr>
                <w:b/>
                <w:sz w:val="17"/>
              </w:rPr>
              <w:t>1,518</w:t>
            </w:r>
          </w:p>
        </w:tc>
        <w:tc>
          <w:tcPr>
            <w:tcW w:type="dxa" w:w="1440"/>
            <w:shd w:fill="FAFAFA" w:val="clear"/>
          </w:tcPr>
          <w:p>
            <w:r>
              <w:rPr>
                <w:sz w:val="17"/>
              </w:rPr>
              <w:t>1,612</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1,394</w:t>
            </w:r>
          </w:p>
        </w:tc>
        <w:tc>
          <w:tcPr>
            <w:tcW w:type="dxa" w:w="1440"/>
            <w:shd w:fill="FAFAFA" w:val="clear"/>
          </w:tcPr>
          <w:p>
            <w:r>
              <w:rPr>
                <w:b/>
                <w:sz w:val="17"/>
              </w:rPr>
              <w:t>1,510</w:t>
            </w:r>
          </w:p>
        </w:tc>
        <w:tc>
          <w:tcPr>
            <w:tcW w:type="dxa" w:w="1440"/>
            <w:shd w:fill="FAFAFA" w:val="clear"/>
          </w:tcPr>
          <w:p>
            <w:r>
              <w:rPr>
                <w:sz w:val="17"/>
              </w:rPr>
              <w:t>1,625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1,369</w:t>
            </w:r>
          </w:p>
        </w:tc>
        <w:tc>
          <w:tcPr>
            <w:tcW w:type="dxa" w:w="1440"/>
            <w:shd w:fill="FAFAFA" w:val="clear"/>
          </w:tcPr>
          <w:p>
            <w:r>
              <w:rPr>
                <w:b/>
                <w:sz w:val="17"/>
              </w:rPr>
              <w:t>1,502</w:t>
            </w:r>
          </w:p>
        </w:tc>
        <w:tc>
          <w:tcPr>
            <w:tcW w:type="dxa" w:w="1440"/>
            <w:shd w:fill="FAFAFA" w:val="clear"/>
          </w:tcPr>
          <w:p>
            <w:r>
              <w:rPr>
                <w:sz w:val="17"/>
              </w:rPr>
              <w:t>1,634</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1,347</w:t>
            </w:r>
          </w:p>
        </w:tc>
        <w:tc>
          <w:tcPr>
            <w:tcW w:type="dxa" w:w="1440"/>
            <w:shd w:fill="FAFAFA" w:val="clear"/>
          </w:tcPr>
          <w:p>
            <w:r>
              <w:rPr>
                <w:b/>
                <w:sz w:val="17"/>
              </w:rPr>
              <w:t>1,494</w:t>
            </w:r>
          </w:p>
        </w:tc>
        <w:tc>
          <w:tcPr>
            <w:tcW w:type="dxa" w:w="1440"/>
            <w:shd w:fill="FAFAFA" w:val="clear"/>
          </w:tcPr>
          <w:p>
            <w:r>
              <w:rPr>
                <w:sz w:val="17"/>
              </w:rPr>
              <w:t>1,641</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1,326</w:t>
            </w:r>
          </w:p>
        </w:tc>
        <w:tc>
          <w:tcPr>
            <w:tcW w:type="dxa" w:w="1440"/>
            <w:shd w:fill="FFDCE0" w:val="clear"/>
          </w:tcPr>
          <w:p>
            <w:r>
              <w:rPr>
                <w:b/>
                <w:sz w:val="17"/>
              </w:rPr>
              <w:t>1,487</w:t>
            </w:r>
          </w:p>
        </w:tc>
        <w:tc>
          <w:tcPr>
            <w:tcW w:type="dxa" w:w="1440"/>
            <w:shd w:fill="FFDCE0" w:val="clear"/>
          </w:tcPr>
          <w:p>
            <w:r>
              <w:rPr>
                <w:sz w:val="17"/>
              </w:rPr>
              <w:t>1,647</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1,306</w:t>
            </w:r>
          </w:p>
        </w:tc>
        <w:tc>
          <w:tcPr>
            <w:tcW w:type="dxa" w:w="1440"/>
            <w:shd w:fill="FFDCE0" w:val="clear"/>
          </w:tcPr>
          <w:p>
            <w:r>
              <w:rPr>
                <w:b/>
                <w:sz w:val="17"/>
              </w:rPr>
              <w:t>1,479</w:t>
            </w:r>
          </w:p>
        </w:tc>
        <w:tc>
          <w:tcPr>
            <w:tcW w:type="dxa" w:w="1440"/>
            <w:shd w:fill="FFDCE0" w:val="clear"/>
          </w:tcPr>
          <w:p>
            <w:r>
              <w:rPr>
                <w:sz w:val="17"/>
              </w:rPr>
              <w:t>1,652</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1,288</w:t>
            </w:r>
          </w:p>
        </w:tc>
        <w:tc>
          <w:tcPr>
            <w:tcW w:type="dxa" w:w="1440"/>
            <w:shd w:fill="FFDCE0" w:val="clear"/>
          </w:tcPr>
          <w:p>
            <w:r>
              <w:rPr>
                <w:b/>
                <w:sz w:val="17"/>
              </w:rPr>
              <w:t>1,472</w:t>
            </w:r>
          </w:p>
        </w:tc>
        <w:tc>
          <w:tcPr>
            <w:tcW w:type="dxa" w:w="1440"/>
            <w:shd w:fill="FFDCE0" w:val="clear"/>
          </w:tcPr>
          <w:p>
            <w:r>
              <w:rPr>
                <w:sz w:val="17"/>
              </w:rPr>
              <w:t>1,655</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1,271</w:t>
            </w:r>
          </w:p>
        </w:tc>
        <w:tc>
          <w:tcPr>
            <w:tcW w:type="dxa" w:w="1440"/>
            <w:shd w:fill="FFDCE0" w:val="clear"/>
          </w:tcPr>
          <w:p>
            <w:r>
              <w:rPr>
                <w:b/>
                <w:sz w:val="17"/>
              </w:rPr>
              <w:t>1,464</w:t>
            </w:r>
          </w:p>
        </w:tc>
        <w:tc>
          <w:tcPr>
            <w:tcW w:type="dxa" w:w="1440"/>
            <w:shd w:fill="FFDCE0" w:val="clear"/>
          </w:tcPr>
          <w:p>
            <w:r>
              <w:rPr>
                <w:sz w:val="17"/>
              </w:rPr>
              <w:t>1,658</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1,254</w:t>
            </w:r>
          </w:p>
        </w:tc>
        <w:tc>
          <w:tcPr>
            <w:tcW w:type="dxa" w:w="1440"/>
            <w:shd w:fill="FFDCE0" w:val="clear"/>
          </w:tcPr>
          <w:p>
            <w:r>
              <w:rPr>
                <w:b/>
                <w:sz w:val="17"/>
              </w:rPr>
              <w:t>1,457</w:t>
            </w:r>
          </w:p>
        </w:tc>
        <w:tc>
          <w:tcPr>
            <w:tcW w:type="dxa" w:w="1440"/>
            <w:shd w:fill="FFDCE0" w:val="clear"/>
          </w:tcPr>
          <w:p>
            <w:r>
              <w:rPr>
                <w:sz w:val="17"/>
              </w:rPr>
              <w:t>1,661</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38,29 milliards FCFA, un niveau intermédiaire à l'échelle de la BRVM qui traduit la taille modeste de l'entreprise dans un univers dominé par les valeurs bancaires et télécoms. Les ratios de valorisation classiques (BPA, PER, P/B, EV/EBITDA) ne sont pas calculables en l'état, faute de données financières structurées exploitables dans la base et en raison de la suspension de la cote et du changement d'actionnariat (rachat par Sonoco). Cette absence de ratios empêche toute comparaison directe avec le PER moyen BRVM (~8-12x) et prive l'investisseur d'un repère essentiel pour juger si le titre se paie cher ou non par rapport à ses bénéfices et à sa valeur comptable. L'analyse fondamentale devra donc s'appuyer exclusivement sur les rapports narratifs disponibles.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-12,89%, avec une dernière séance en repli de -2,56%, confirmant une dynamique baissière persistante. Le titre évolue dans un range de 1 350 à 1 800 FCFA, et le cours actuel de 1 520 FCFA se situe à mi-chemin, légèrement au-dessus du plus bas, ce qui traduit une pression vendeuse continue mais sans capitulation. La moyenne (1 529 FCFA) est quasi identique à la médiane (1 520 FCFA), signe d'une distribution globalement équilibrée, tandis que le mode à 1 500 FCFA indique un palier psychologique fréquemment testé. L'écart-type de 73 FCFA (CV de 4,8%) révèle une dispersion modérée du cours, mais le kurtosis de 1,598 (leptokurtique) signale des queues épaisses et donc un risque de pics brutaux, tandis que le skewness positif de 0,657 indique davantage de journées sous la moyenne, cohérent avec la tendance baissière. La volatilité annualisée de 47,4% classe le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 FCFA) est supérieure à la MM50 (1 499 FCFA), et le cours actuel (1 520 FCFA) se situe entre les deux, sous la MM20 mais au-dessus de la MM50. Cette configuration suggère une consolidation après une phase haussière, et la décision technique affichée est "Achat", soutenue par le croisement haussier des moyennes.</w:t>
      </w:r>
    </w:p>
    <w:p>
      <w:pPr>
        <w:spacing w:after="120" w:line="276" w:lineRule="auto"/>
      </w:pPr>
      <w:r>
        <w:t>**Bandes de Bollinger** : Le cours (1 520 FCFA) évolue dans la partie médiane de la bande (borne supérieure 1 623 FCFA, borne inférieure 1 457 FCFA), sans contact avec les extrêmes. La décision est "Neutre", traduisant l'absence de signal directionnel fort et une volatilité contenue dans les bornes.</w:t>
      </w:r>
    </w:p>
    <w:p>
      <w:pPr>
        <w:spacing w:after="120" w:line="276" w:lineRule="auto"/>
      </w:pPr>
      <w:r>
        <w:t>**MACD** : La valeur du MACD (10,39) est légèrement inférieure à son signal (10,807), générant une décision "Vente". Cette divergence négative indique un essoufflement du momentum haussier et un risque de retournement baissier à court terme.</w:t>
      </w:r>
    </w:p>
    <w:p>
      <w:pPr>
        <w:spacing w:after="120" w:line="276" w:lineRule="auto"/>
      </w:pPr>
      <w:r>
        <w:t>**RSI** : À 47,321, le RSI se situe en zone neutre (30-70), sans signal de surachat ni de survente. La décision "Neutre" confirme l'absence de pression acheteuse ou vendeuse dominante.</w:t>
      </w:r>
    </w:p>
    <w:p>
      <w:pPr>
        <w:spacing w:after="120" w:line="276" w:lineRule="auto"/>
      </w:pPr>
      <w:r>
        <w:t>**Stochastique** : Le %K (53,846) est nettement inférieur au %D (75,641), avec un croisement baissier en cours. La décision "Neutre" masque une dynamique de retournement baissier, le %D étant en zone de surachat (&gt;70).</w:t>
      </w:r>
    </w:p>
    <w:p>
      <w:pPr>
        <w:spacing w:after="120" w:line="276" w:lineRule="auto"/>
      </w:pPr>
      <w:r>
        <w:t>**Conclusion technique** : Les indicateurs sont divergents — les moyennes mobiles suggèrent un achat, le MACD un signal de vente, tandis que Bollinger, RSI et Stochastique restent neutres. Cette absence de convergence traduit une phase d'incertitude, avec un léger biais baissier porté par le MACD et le croisement stochastique. La prudence est de mise en l'absence de signal directionnel clair.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officiels fournissent des informations essentielles. Le rapport du 31/12/2023 (analysé par MISTRAL) présente deux séries de chiffres divergentes : une première analyse évoque un CA consolidé de 125,4 milliards FCFA en 2023 (+13,8% vs 2022) avec un résultat net de 12,8 milliards FCFA (+22,3%) et un ROE de 18,5%, tandis qu'une seconde analyse du même exercice fait état d'un CA de 27,88 milliards FCFA (-6% vs 2022) et d'un résultat net de 1,01 milliard FCFA (-74%), avec une marge nette de 3,6%. Cette divergence suggère que la première série concerne probablement une entité consolidée du groupe Eviosys, tandis que la seconde reflète les comptes statutaires de SEMC Côte d'Ivoire. Les rapports antérieurs (31/12/2022, analysé par MISTRAL et GEMINI-VISION) indiquent un CA de 125,4 milliards FCFA en 2022 (+13,8% vs 2021), un résultat net de 12,8 milliards FCFA (+18,5%) et un ROE de 18,4%, avec un dividende de 1 200 FCFA/action (rendement 6,3%). Le rapport T1 2023 (analysé par MISTRAL) fait état d'un CA de 7,65 milliards FCFA (+16,5%) et d'un résultat net de 855,65 millions FCFA (+37,9%), avec une marge nette de 11,2%. Sur la base de ces éléments, on estime que l'exercice 2024 devrait marquer une stabilisation, voire une reprise, portée par la croissance des bouchons couronnes (+61% en volume en 2023) et les exportations vers le Sénégal. Cependant, les risques opérationnels (dépendance clients, concurrence du PET) et stratégiques (rachat par Sonoco, suspension BRVM) pèsent sur la visibilité. La recommandation fondamentale est de **conserver** le titre avec une vigilance accrue sur l'exécution du plan 2024 et l'impact du changement d'actionnariat.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ne peut être évaluée faute de ratios disponibles, ce qui constitue une limite majeure à l'analyse. Le comportement du cours (Partie 1) est préoccupant : tendance baissière (-12,89%), volatilité élevée (47,4%) et skewness positif indiquant une pression vendeuse persistante. Les signaux techniques (Partie 2) sont divergents, avec un biais baissier porté par le MACD et le Stochastique, malgré un signal d'achat des moyennes mobiles. Les fondamentaux (Partie 3) révèlent une situation contrastée : si les comptes consolidés semblent solides (CA 125,4 Mds FCFA, RN 12,8 Mds FCFA en 2023), les comptes statutaires montrent une dégradation marquée (CA 27,88 Mds FCFA, RN 1,01 Md FCFA), et la suspension de la cote ainsi que le rachat par Sonoco introduisent une incertitude significative. Les prédictions IA (J+1 à J+10) anticipent une poursuite de la baisse (1 526 → 1 494 FCFA), confirmant la tendance baissière récente et les signaux techniques négatifs. Sur la base de cette synthèse, la recommandation finale est **CONSERVER** avec un niveau de confiance **Moyen** et un risque global **Élevé**. L'horizon d'investissement optimal est le **moyen terme (3-12 mois)**, en attendant la clarification de la situation actionnariale et la publication des résultats 2024. Une dégradation supplémentaire des comptes statutaires ou un échec de la relance commerciale justifierait une recommandation de vente.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5,345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+18.90%</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4.67% (Faible) — μ=37,561 FCFA, σ=1,755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β=0.5945 (Défensif) — Cov=0.000020, Var(idx)=0.000034, ρ=0.231,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37,440</w:t>
            </w:r>
          </w:p>
        </w:tc>
        <w:tc>
          <w:tcPr>
            <w:tcW w:type="dxa" w:w="1440"/>
            <w:shd w:fill="FAFAFA" w:val="clear"/>
          </w:tcPr>
          <w:p>
            <w:r>
              <w:rPr>
                <w:b/>
                <w:sz w:val="17"/>
              </w:rPr>
              <w:t>38,330</w:t>
            </w:r>
          </w:p>
        </w:tc>
        <w:tc>
          <w:tcPr>
            <w:tcW w:type="dxa" w:w="1440"/>
            <w:shd w:fill="FAFAFA" w:val="clear"/>
          </w:tcPr>
          <w:p>
            <w:r>
              <w:rPr>
                <w:sz w:val="17"/>
              </w:rPr>
              <w:t>39,220</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36,960</w:t>
            </w:r>
          </w:p>
        </w:tc>
        <w:tc>
          <w:tcPr>
            <w:tcW w:type="dxa" w:w="1440"/>
            <w:shd w:fill="FFDCE0" w:val="clear"/>
          </w:tcPr>
          <w:p>
            <w:r>
              <w:rPr>
                <w:b/>
                <w:sz w:val="17"/>
              </w:rPr>
              <w:t>38,215</w:t>
            </w:r>
          </w:p>
        </w:tc>
        <w:tc>
          <w:tcPr>
            <w:tcW w:type="dxa" w:w="1440"/>
            <w:shd w:fill="FFDCE0" w:val="clear"/>
          </w:tcPr>
          <w:p>
            <w:r>
              <w:rPr>
                <w:sz w:val="17"/>
              </w:rPr>
              <w:t>39,470</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36,556</w:t>
            </w:r>
          </w:p>
        </w:tc>
        <w:tc>
          <w:tcPr>
            <w:tcW w:type="dxa" w:w="1440"/>
            <w:shd w:fill="FFDCE0" w:val="clear"/>
          </w:tcPr>
          <w:p>
            <w:r>
              <w:rPr>
                <w:b/>
                <w:sz w:val="17"/>
              </w:rPr>
              <w:t>38,088</w:t>
            </w:r>
          </w:p>
        </w:tc>
        <w:tc>
          <w:tcPr>
            <w:tcW w:type="dxa" w:w="1440"/>
            <w:shd w:fill="FFDCE0" w:val="clear"/>
          </w:tcPr>
          <w:p>
            <w:r>
              <w:rPr>
                <w:sz w:val="17"/>
              </w:rPr>
              <w:t>39,620</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36,203</w:t>
            </w:r>
          </w:p>
        </w:tc>
        <w:tc>
          <w:tcPr>
            <w:tcW w:type="dxa" w:w="1440"/>
            <w:shd w:fill="FFDCE0" w:val="clear"/>
          </w:tcPr>
          <w:p>
            <w:r>
              <w:rPr>
                <w:b/>
                <w:sz w:val="17"/>
              </w:rPr>
              <w:t>37,966</w:t>
            </w:r>
          </w:p>
        </w:tc>
        <w:tc>
          <w:tcPr>
            <w:tcW w:type="dxa" w:w="1440"/>
            <w:shd w:fill="FFDCE0" w:val="clear"/>
          </w:tcPr>
          <w:p>
            <w:r>
              <w:rPr>
                <w:sz w:val="17"/>
              </w:rPr>
              <w:t>39,729</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35,886</w:t>
            </w:r>
          </w:p>
        </w:tc>
        <w:tc>
          <w:tcPr>
            <w:tcW w:type="dxa" w:w="1440"/>
            <w:shd w:fill="FFDCE0" w:val="clear"/>
          </w:tcPr>
          <w:p>
            <w:r>
              <w:rPr>
                <w:b/>
                <w:sz w:val="17"/>
              </w:rPr>
              <w:t>37,851</w:t>
            </w:r>
          </w:p>
        </w:tc>
        <w:tc>
          <w:tcPr>
            <w:tcW w:type="dxa" w:w="1440"/>
            <w:shd w:fill="FFDCE0" w:val="clear"/>
          </w:tcPr>
          <w:p>
            <w:r>
              <w:rPr>
                <w:sz w:val="17"/>
              </w:rPr>
              <w:t>39,816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35,593</w:t>
            </w:r>
          </w:p>
        </w:tc>
        <w:tc>
          <w:tcPr>
            <w:tcW w:type="dxa" w:w="1440"/>
            <w:shd w:fill="FFDCE0" w:val="clear"/>
          </w:tcPr>
          <w:p>
            <w:r>
              <w:rPr>
                <w:b/>
                <w:sz w:val="17"/>
              </w:rPr>
              <w:t>37,740</w:t>
            </w:r>
          </w:p>
        </w:tc>
        <w:tc>
          <w:tcPr>
            <w:tcW w:type="dxa" w:w="1440"/>
            <w:shd w:fill="FFDCE0" w:val="clear"/>
          </w:tcPr>
          <w:p>
            <w:r>
              <w:rPr>
                <w:sz w:val="17"/>
              </w:rPr>
              <w:t>39,886</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35,320</w:t>
            </w:r>
          </w:p>
        </w:tc>
        <w:tc>
          <w:tcPr>
            <w:tcW w:type="dxa" w:w="1440"/>
            <w:shd w:fill="FFDCE0" w:val="clear"/>
          </w:tcPr>
          <w:p>
            <w:r>
              <w:rPr>
                <w:b/>
                <w:sz w:val="17"/>
              </w:rPr>
              <w:t>37,632</w:t>
            </w:r>
          </w:p>
        </w:tc>
        <w:tc>
          <w:tcPr>
            <w:tcW w:type="dxa" w:w="1440"/>
            <w:shd w:fill="FFDCE0" w:val="clear"/>
          </w:tcPr>
          <w:p>
            <w:r>
              <w:rPr>
                <w:sz w:val="17"/>
              </w:rPr>
              <w:t>39,944</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35,063</w:t>
            </w:r>
          </w:p>
        </w:tc>
        <w:tc>
          <w:tcPr>
            <w:tcW w:type="dxa" w:w="1440"/>
            <w:shd w:fill="FFDCE0" w:val="clear"/>
          </w:tcPr>
          <w:p>
            <w:r>
              <w:rPr>
                <w:b/>
                <w:sz w:val="17"/>
              </w:rPr>
              <w:t>37,527</w:t>
            </w:r>
          </w:p>
        </w:tc>
        <w:tc>
          <w:tcPr>
            <w:tcW w:type="dxa" w:w="1440"/>
            <w:shd w:fill="FFDCE0" w:val="clear"/>
          </w:tcPr>
          <w:p>
            <w:r>
              <w:rPr>
                <w:sz w:val="17"/>
              </w:rPr>
              <w:t>39,992</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34,818</w:t>
            </w:r>
          </w:p>
        </w:tc>
        <w:tc>
          <w:tcPr>
            <w:tcW w:type="dxa" w:w="1440"/>
            <w:shd w:fill="FFDCE0" w:val="clear"/>
          </w:tcPr>
          <w:p>
            <w:r>
              <w:rPr>
                <w:b/>
                <w:sz w:val="17"/>
              </w:rPr>
              <w:t>37,425</w:t>
            </w:r>
          </w:p>
        </w:tc>
        <w:tc>
          <w:tcPr>
            <w:tcW w:type="dxa" w:w="1440"/>
            <w:shd w:fill="FFDCE0" w:val="clear"/>
          </w:tcPr>
          <w:p>
            <w:r>
              <w:rPr>
                <w:sz w:val="17"/>
              </w:rPr>
              <w:t>40,032</w:t>
            </w:r>
          </w:p>
        </w:tc>
        <w:tc>
          <w:tcPr>
            <w:tcW w:type="dxa" w:w="1440"/>
            <w:shd w:fill="FFDCE0" w:val="clear"/>
          </w:tcPr>
          <w:p>
            <w:r>
              <w:rPr>
                <w:b/>
                <w:color w:val="C00000"/>
                <w:sz w:val="17"/>
              </w:rPr>
              <w:t>-4.0%</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34,584</w:t>
            </w:r>
          </w:p>
        </w:tc>
        <w:tc>
          <w:tcPr>
            <w:tcW w:type="dxa" w:w="1440"/>
            <w:shd w:fill="FFDCE0" w:val="clear"/>
          </w:tcPr>
          <w:p>
            <w:r>
              <w:rPr>
                <w:b/>
                <w:sz w:val="17"/>
              </w:rPr>
              <w:t>37,324</w:t>
            </w:r>
          </w:p>
        </w:tc>
        <w:tc>
          <w:tcPr>
            <w:tcW w:type="dxa" w:w="1440"/>
            <w:shd w:fill="FFDCE0" w:val="clear"/>
          </w:tcPr>
          <w:p>
            <w:r>
              <w:rPr>
                <w:sz w:val="17"/>
              </w:rPr>
              <w:t>40,065</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1 213,33 milliards FCFA, SGBC figure parmi les poids lourds de la BRVM, se positionnant comme l'une des plus grandes capitalisations du compartiment bancaire ouest-africain, ce qui lui confère une liquidité relative et une visibilité institutionnelle appréciables. Le BPA s'établit à 3 258 FCFA par action, matérialisant le bénéfice net généré pour chaque titre détenu, ce qui traduit une rentabilité unitaire élevée. Le PER de 12,0x se situe dans le haut de la fourchette moyenne du marché BRVM (8-12x), signalant une valorisation modérée mais non excessive : les investisseurs paient 12 fois les bénéfices, ce qui reste raisonnable au regard de la qualité de la signature. Le P/B de 2,45x indique que le marché valorise SGBC à plus du double de sa valeur comptable, une prime de croissance justifiée par la régularité de ses résultats et sa notation AAA. En revanche, l'EV/EBITDA de 24,7x apparaît très exigeant (seuil d'alerte &gt;15x), reflétant une valorisation tendue de la capacité opérationnelle, bien que cet indicateur soit moins pertinent pour une banque où la structure de bilan diffère fondamentalement d'une entreprise industrielle.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+18,90%, avec une dernière séance en hausse de +1,30%, confirmant une dynamique haussière soutenue. Le cours actuel de 39 000 FCFA évolue dans un range de trading compris entre 32 800 FCFA (plus bas) et 39 300 FCFA (plus haut), soit une amplitude d'environ 19,8%, et se situe à seulement 0,8% de son sommet — signe de forte pression acheteuse en fin de période. La moyenne (37 561 FCFA) est inférieure à la médiane (38 000 FCFA), ce qui traduit une distribution légèrement asymétrique avec davantage de séances passées sous la moyenne avant le rallye final. L'écart-type de 1 763 FCFA et le coefficient de variation de 4,7% indiquent une dispersion modérée du cours, donc une relative stabilité. Le kurtosis de 0,407 (mésokurtique) suggère une distribution proche de la normale, sans risque majeur de pics extrêmes, tandis que le skewness de -1,229 (asymétrie négative) confirme une prédominance de journées au-dessus de la moyenne — configuration favorable aux détenteurs. La volatilité annualisée de 24,0% classe le titre en catégorie modérée (15-30%), cohérente avec un profil défensif de grande capitalisation bancaire.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(38 607,5 FCFA) et la MM50 (38 418,6 FCFA) se situent toutes deux sous le cours actuel (39 000 FCFA), et la MM20 est légèrement supérieure à la MM50, configuration haussière classique (croisement doré implicite). Cette disposition confirme la décision d'**Achat** : le titre évolue au-dessus de ses supports dynamiques, signalant une tendance de fond positive.</w:t>
      </w:r>
    </w:p>
    <w:p>
      <w:pPr>
        <w:spacing w:after="120" w:line="276" w:lineRule="auto"/>
      </w:pPr>
      <w:r>
        <w:t>**Bandes de Bollinger** : Le cours (39 000 FCFA) se situe dans la moitié supérieure de la bande, entre la borne inférieure (37 609,9 FCFA) et la borne supérieure (39 605,1 FCFA), sans la franchir. L'écart entre les bornes reste contenu, traduisant une volatilité maîtrisée. La décision **Neutre** reflète l'absence de signal extrême (ni surachat ni survente), le titre évoluant dans un canal ascendant régulier.</w:t>
      </w:r>
    </w:p>
    <w:p>
      <w:pPr>
        <w:spacing w:after="120" w:line="276" w:lineRule="auto"/>
      </w:pPr>
      <w:r>
        <w:t>**MACD** : La valeur du MACD (79,535) est nettement supérieure à son signal (32,702), générant un histogramme positif marqué. Cette divergence haussière confirme un momentum acheteur solide et soutient la décision d'**Achat** : la dynamique de court terme reste clairement orientée à la hausse.</w:t>
      </w:r>
    </w:p>
    <w:p>
      <w:pPr>
        <w:spacing w:after="120" w:line="276" w:lineRule="auto"/>
      </w:pPr>
      <w:r>
        <w:t>**RSI** : À 50,201, le RSI se situe exactement en zone neutre (30-70), à mi-chemin entre surachat et survente. Cette position indique un équilibre entre acheteurs et vendeurs, sans excès spéculatif, ce qui justifie la décision **Neutre** et laisse de la marge pour une poursuite haussière sans risque immédiat de correction.</w:t>
      </w:r>
    </w:p>
    <w:p>
      <w:pPr>
        <w:spacing w:after="120" w:line="276" w:lineRule="auto"/>
      </w:pPr>
      <w:r>
        <w:t>**Stochastique** : Le %K (100,0) est en zone de surachat extrême et dépasse largement le %D (74,522), signalant un essoufflement potentiel de la dynamique haussière à très court terme. La décision **Vente** constitue un signal de prudence contrariant, suggérant qu'une consolidation ou un repli technique pourrait survenir après le rallye récent.</w:t>
      </w:r>
    </w:p>
    <w:p>
      <w:pPr>
        <w:spacing w:after="120" w:line="276" w:lineRule="auto"/>
      </w:pPr>
      <w:r>
        <w:t>**Conclusion technique** : Les indicateurs de tendance (MM, MACD) sont clairement haussiers et confirment la solidité du mouvement, tandis que le RSI neutre offre un espace de progression. Toutefois, le stochastique en surachat extrême (%K=100) introduit un risque de correction à court terme, créant une divergence entre signaux de tendance et signaux de timing. La configuration globale reste positive mais appelle à la vigilance sur les points d'entrée.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SGBC (exercice clos) affichent un Produit Net Bancaire (PNB, équivalent du chiffre d'affaires pour une banque) de 276,048 milliards FCFA, en croissance de +4,88% sur un an, et un résultat net de 101,352 milliards FCFA, franchissant pour la première fois le seuil symbolique des 100 milliards. La rentabilité des fonds propres (ROE) atteint 20,47%, largement au-dessus du seuil d'excellence de 15%, tandis que le ROA de 2,69% confirme l'efficacité de l'utilisation des actifs. Le coefficient d'exploitation de 38,75% classe SGBC parmi les banques les plus efficaces du secteur (seuil d'excellence &lt;50%), et la marge nette de 36,72% témoigne d'une conversion remarquable du PNB en bénéfice. Le bilan affiche une solvabilité générale de 115,12% (total actif/dettes totales &gt; 1) et une couverture des intérêts de 255,88%, gages de solidité. Le portefeuille de crédits (2 546,29 milliards FCFA) est financé par des dépôts clientèle de 2 907,68 milliards FCFA, soit un ratio prêts/dépôts de 87,6%, en amélioration continue selon les rapports trimestriels. Les rapports narratifs confirment cette trajectoire : le rapport du 3ᵉ trimestre 2025 (30 septembre 2025) fait état d'un PNB cumulé de 201,0 milliards FCFA (+2,5%) et d'un résultat net de 83,3 milliards FCFA (+11,7%), avec un coefficient d'exploitation amélioré à 37,3% et un ratio prêts/dépôts ramené à 84,6%. Le rapport du 1ᵉʳ semestre 2025 (30 juin 2025) relevait un ROE de 23,8% et un ratio de solvabilité de 17,7%, bien au-dessus du minimum réglementaire de 12,5%, mais signalait une vigilance sur la qualité du crédit (NPL à 7,8%, couverture à 91%). Sur la base de ces tendances, on estime que l'exercice 2026 devrait maintenir une croissance du PNB de l'ordre de 3-5% et un résultat net proche de 105-110 milliards FCFA, porté par la digitalisation et la maîtrise des coûts. La principale faiblesse réside dans l'autonomie financière limitée (13,14%) et la dépendance aux dépôts (86,86% de ratio d'endettement), structure normale pour une banque mais à surveiller en cas de tension de liquidité. Au final, les fondamentaux de SGBC sont solides, avec une rentabilité élevée, une efficacité opérationnelle remarquable et une notation AAA, mais la valorisation tendue (EV/EBITDA 24,7x) et la hausse du coût du risque appellent à une certaine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présente un profil contrasté : le PER de 12,0x et le P/B de 2,45x indiquent une valorisation modérée à légèrement élevée, justifiée par la qualité de la signature, mais l'EV/EBITDA de 24,7x signale une tension sur la capacité opérationnelle, tempérant l'enthousiasme. Le comportement du cours sur 100 jours est nettement favorable (+18,90%, skewness négatif indiquant une prédominance de séances haussières, volatilité modérée de 24%), avec un titre évoluant proche de ses plus hauts. Les signaux techniques sont majoritairement haussiers (MM20 &gt; MM50, MACD en divergence positive, RSI neutre offrant du potentiel), mais le stochastique en surachat extrême (%K=100) introduit un risque de consolidation à court terme, créant une divergence entre tendance et timing. Les fondamentaux sont robustes : ROE de 20,47%, coefficient d'exploitation de 38,75%, résultat net record de 101,35 milliards FCFA en 2025, et les rapports trimestriels (T3 2025, S1 2025) confirment la poursuite de la dynamique avec une amélioration de l'efficacité et de la liquidité. Les prédictions IA pour les 10 prochains jours ouvrables (du 15 au 21 septembre 2026) anticipent une légère correction baissière, avec un cours passant de 38 330 FCFA à 37 851 FCFA, ce qui contredit partiellement les signaux techniques haussiers mais s'aligne sur le signal de vente du stochastique. Cette divergence entre tendance de fond (haussière) et timing de court terme (correctif) suggère une opportunité d'entrée sur repli plutôt qu'un achat immédiat. **Recommandation finale : CONSERVER**, avec une convergence partielle des signaux — les fondamentaux et la tendance de fond soutiennent le titre, mais la valorisation tendue et le surachat technique plaident pour la patience. Le niveau de confiance est **Moyen** (divergence entre technique et prédiction) et le niveau de risque global est **Moyen** (volatilité modérée, mais valorisation exigeante). L'horizon d'investissement optimal est le **moyen terme (3-12 mois)**, afin de laisser la consolidation technique se résorber et de bénéficier de la poursuite de la croissance des résultats, avec un point d'entrée idéal autour de 37 500-38 000 FCFA.</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172.62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4,606 titres</w:t>
            </w:r>
          </w:p>
        </w:tc>
        <w:tc>
          <w:tcPr>
            <w:tcW w:type="dxa" w:w="2268"/>
            <w:shd w:fill="FFF2CC" w:val="clear"/>
          </w:tcPr>
          <w:p>
            <w:r>
              <w:rPr>
                <w:b/>
                <w:color w:val="503200"/>
                <w:sz w:val="16"/>
              </w:rPr>
              <w:t xml:space="preserve">Cours actuel : </w:t>
            </w:r>
            <w:r>
              <w:rPr>
                <w:color w:val="000000"/>
                <w:sz w:val="17"/>
              </w:rPr>
              <w:t>2,740 FCFA</w:t>
            </w:r>
          </w:p>
          <w:p>
            <w:r>
              <w:rPr>
                <w:b/>
                <w:color w:val="503200"/>
                <w:sz w:val="16"/>
              </w:rPr>
              <w:t xml:space="preserve">Var. 100 jours : </w:t>
            </w:r>
            <w:r>
              <w:rPr>
                <w:b/>
                <w:color w:val="007800"/>
                <w:sz w:val="17"/>
              </w:rPr>
              <w:t>+44.59%</w:t>
            </w:r>
          </w:p>
          <w:p>
            <w:r>
              <w:rPr>
                <w:b/>
                <w:color w:val="503200"/>
                <w:sz w:val="16"/>
              </w:rPr>
              <w:t xml:space="preserve">Plus haut 100j : </w:t>
            </w:r>
            <w:r>
              <w:rPr>
                <w:color w:val="000000"/>
                <w:sz w:val="17"/>
              </w:rPr>
              <w:t>2,740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8.73% (Moyenne) — μ=2,166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β=0.9732 (Neutre (suit le marché)) — Cov=0.000034, Var(idx)=0.000034, ρ=0.257,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2026-09-15</w:t>
            </w:r>
          </w:p>
        </w:tc>
        <w:tc>
          <w:tcPr>
            <w:tcW w:type="dxa" w:w="1440"/>
            <w:shd w:fill="FFDCE0" w:val="clear"/>
          </w:tcPr>
          <w:p>
            <w:r>
              <w:rPr>
                <w:sz w:val="17"/>
              </w:rPr>
              <w:t>2,529</w:t>
            </w:r>
          </w:p>
        </w:tc>
        <w:tc>
          <w:tcPr>
            <w:tcW w:type="dxa" w:w="1440"/>
            <w:shd w:fill="FFDCE0" w:val="clear"/>
          </w:tcPr>
          <w:p>
            <w:r>
              <w:rPr>
                <w:b/>
                <w:sz w:val="17"/>
              </w:rPr>
              <w:t>2,627</w:t>
            </w:r>
          </w:p>
        </w:tc>
        <w:tc>
          <w:tcPr>
            <w:tcW w:type="dxa" w:w="1440"/>
            <w:shd w:fill="FFDCE0" w:val="clear"/>
          </w:tcPr>
          <w:p>
            <w:r>
              <w:rPr>
                <w:sz w:val="17"/>
              </w:rPr>
              <w:t>2,726</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2026-09-16</w:t>
            </w:r>
          </w:p>
        </w:tc>
        <w:tc>
          <w:tcPr>
            <w:tcW w:type="dxa" w:w="1440"/>
            <w:shd w:fill="FFDCE0" w:val="clear"/>
          </w:tcPr>
          <w:p>
            <w:r>
              <w:rPr>
                <w:sz w:val="17"/>
              </w:rPr>
              <w:t>2,426</w:t>
            </w:r>
          </w:p>
        </w:tc>
        <w:tc>
          <w:tcPr>
            <w:tcW w:type="dxa" w:w="1440"/>
            <w:shd w:fill="FFDCE0" w:val="clear"/>
          </w:tcPr>
          <w:p>
            <w:r>
              <w:rPr>
                <w:b/>
                <w:sz w:val="17"/>
              </w:rPr>
              <w:t>2,562</w:t>
            </w:r>
          </w:p>
        </w:tc>
        <w:tc>
          <w:tcPr>
            <w:tcW w:type="dxa" w:w="1440"/>
            <w:shd w:fill="FFDCE0" w:val="clear"/>
          </w:tcPr>
          <w:p>
            <w:r>
              <w:rPr>
                <w:sz w:val="17"/>
              </w:rPr>
              <w:t>2,698</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2,335</w:t>
            </w:r>
          </w:p>
        </w:tc>
        <w:tc>
          <w:tcPr>
            <w:tcW w:type="dxa" w:w="1440"/>
            <w:shd w:fill="FFDCE0" w:val="clear"/>
          </w:tcPr>
          <w:p>
            <w:r>
              <w:rPr>
                <w:b/>
                <w:sz w:val="17"/>
              </w:rPr>
              <w:t>2,497</w:t>
            </w:r>
          </w:p>
        </w:tc>
        <w:tc>
          <w:tcPr>
            <w:tcW w:type="dxa" w:w="1440"/>
            <w:shd w:fill="FFDCE0" w:val="clear"/>
          </w:tcPr>
          <w:p>
            <w:r>
              <w:rPr>
                <w:sz w:val="17"/>
              </w:rPr>
              <w:t>2,659</w:t>
            </w:r>
          </w:p>
        </w:tc>
        <w:tc>
          <w:tcPr>
            <w:tcW w:type="dxa" w:w="1440"/>
            <w:shd w:fill="FFDCE0" w:val="clear"/>
          </w:tcPr>
          <w:p>
            <w:r>
              <w:rPr>
                <w:b/>
                <w:color w:val="C00000"/>
                <w:sz w:val="17"/>
              </w:rPr>
              <w:t>-8.9%</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2,259</w:t>
            </w:r>
          </w:p>
        </w:tc>
        <w:tc>
          <w:tcPr>
            <w:tcW w:type="dxa" w:w="1440"/>
            <w:shd w:fill="FFDCE0" w:val="clear"/>
          </w:tcPr>
          <w:p>
            <w:r>
              <w:rPr>
                <w:b/>
                <w:sz w:val="17"/>
              </w:rPr>
              <w:t>2,442</w:t>
            </w:r>
          </w:p>
        </w:tc>
        <w:tc>
          <w:tcPr>
            <w:tcW w:type="dxa" w:w="1440"/>
            <w:shd w:fill="FFDCE0" w:val="clear"/>
          </w:tcPr>
          <w:p>
            <w:r>
              <w:rPr>
                <w:sz w:val="17"/>
              </w:rPr>
              <w:t>2,625</w:t>
            </w:r>
          </w:p>
        </w:tc>
        <w:tc>
          <w:tcPr>
            <w:tcW w:type="dxa" w:w="1440"/>
            <w:shd w:fill="FFDCE0" w:val="clear"/>
          </w:tcPr>
          <w:p>
            <w:r>
              <w:rPr>
                <w:b/>
                <w:color w:val="C00000"/>
                <w:sz w:val="17"/>
              </w:rPr>
              <w:t>-10.9%</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2,196</w:t>
            </w:r>
          </w:p>
        </w:tc>
        <w:tc>
          <w:tcPr>
            <w:tcW w:type="dxa" w:w="1440"/>
            <w:shd w:fill="FFDCE0" w:val="clear"/>
          </w:tcPr>
          <w:p>
            <w:r>
              <w:rPr>
                <w:b/>
                <w:sz w:val="17"/>
              </w:rPr>
              <w:t>2,397</w:t>
            </w:r>
          </w:p>
        </w:tc>
        <w:tc>
          <w:tcPr>
            <w:tcW w:type="dxa" w:w="1440"/>
            <w:shd w:fill="FFDCE0" w:val="clear"/>
          </w:tcPr>
          <w:p>
            <w:r>
              <w:rPr>
                <w:sz w:val="17"/>
              </w:rPr>
              <w:t>2,598</w:t>
            </w:r>
          </w:p>
        </w:tc>
        <w:tc>
          <w:tcPr>
            <w:tcW w:type="dxa" w:w="1440"/>
            <w:shd w:fill="FFDCE0" w:val="clear"/>
          </w:tcPr>
          <w:p>
            <w:r>
              <w:rPr>
                <w:b/>
                <w:color w:val="C00000"/>
                <w:sz w:val="17"/>
              </w:rPr>
              <w:t>-12.5%</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2,143</w:t>
            </w:r>
          </w:p>
        </w:tc>
        <w:tc>
          <w:tcPr>
            <w:tcW w:type="dxa" w:w="1440"/>
            <w:shd w:fill="FFDCE0" w:val="clear"/>
          </w:tcPr>
          <w:p>
            <w:r>
              <w:rPr>
                <w:b/>
                <w:sz w:val="17"/>
              </w:rPr>
              <w:t>2,360</w:t>
            </w:r>
          </w:p>
        </w:tc>
        <w:tc>
          <w:tcPr>
            <w:tcW w:type="dxa" w:w="1440"/>
            <w:shd w:fill="FFDCE0" w:val="clear"/>
          </w:tcPr>
          <w:p>
            <w:r>
              <w:rPr>
                <w:sz w:val="17"/>
              </w:rPr>
              <w:t>2,576</w:t>
            </w:r>
          </w:p>
        </w:tc>
        <w:tc>
          <w:tcPr>
            <w:tcW w:type="dxa" w:w="1440"/>
            <w:shd w:fill="FFDCE0" w:val="clear"/>
          </w:tcPr>
          <w:p>
            <w:r>
              <w:rPr>
                <w:b/>
                <w:color w:val="C00000"/>
                <w:sz w:val="17"/>
              </w:rPr>
              <w:t>-13.9%</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2,098</w:t>
            </w:r>
          </w:p>
        </w:tc>
        <w:tc>
          <w:tcPr>
            <w:tcW w:type="dxa" w:w="1440"/>
            <w:shd w:fill="FFDCE0" w:val="clear"/>
          </w:tcPr>
          <w:p>
            <w:r>
              <w:rPr>
                <w:b/>
                <w:sz w:val="17"/>
              </w:rPr>
              <w:t>2,328</w:t>
            </w:r>
          </w:p>
        </w:tc>
        <w:tc>
          <w:tcPr>
            <w:tcW w:type="dxa" w:w="1440"/>
            <w:shd w:fill="FFDCE0" w:val="clear"/>
          </w:tcPr>
          <w:p>
            <w:r>
              <w:rPr>
                <w:sz w:val="17"/>
              </w:rPr>
              <w:t>2,559</w:t>
            </w:r>
          </w:p>
        </w:tc>
        <w:tc>
          <w:tcPr>
            <w:tcW w:type="dxa" w:w="1440"/>
            <w:shd w:fill="FFDCE0" w:val="clear"/>
          </w:tcPr>
          <w:p>
            <w:r>
              <w:rPr>
                <w:b/>
                <w:color w:val="C00000"/>
                <w:sz w:val="17"/>
              </w:rPr>
              <w:t>-15.0%</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2,057</w:t>
            </w:r>
          </w:p>
        </w:tc>
        <w:tc>
          <w:tcPr>
            <w:tcW w:type="dxa" w:w="1440"/>
            <w:shd w:fill="FFDCE0" w:val="clear"/>
          </w:tcPr>
          <w:p>
            <w:r>
              <w:rPr>
                <w:b/>
                <w:sz w:val="17"/>
              </w:rPr>
              <w:t>2,301</w:t>
            </w:r>
          </w:p>
        </w:tc>
        <w:tc>
          <w:tcPr>
            <w:tcW w:type="dxa" w:w="1440"/>
            <w:shd w:fill="FFDCE0" w:val="clear"/>
          </w:tcPr>
          <w:p>
            <w:r>
              <w:rPr>
                <w:sz w:val="17"/>
              </w:rPr>
              <w:t>2,545</w:t>
            </w:r>
          </w:p>
        </w:tc>
        <w:tc>
          <w:tcPr>
            <w:tcW w:type="dxa" w:w="1440"/>
            <w:shd w:fill="FFDCE0" w:val="clear"/>
          </w:tcPr>
          <w:p>
            <w:r>
              <w:rPr>
                <w:b/>
                <w:color w:val="C00000"/>
                <w:sz w:val="17"/>
              </w:rPr>
              <w:t>-16.0%</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2,021</w:t>
            </w:r>
          </w:p>
        </w:tc>
        <w:tc>
          <w:tcPr>
            <w:tcW w:type="dxa" w:w="1440"/>
            <w:shd w:fill="FFDCE0" w:val="clear"/>
          </w:tcPr>
          <w:p>
            <w:r>
              <w:rPr>
                <w:b/>
                <w:sz w:val="17"/>
              </w:rPr>
              <w:t>2,277</w:t>
            </w:r>
          </w:p>
        </w:tc>
        <w:tc>
          <w:tcPr>
            <w:tcW w:type="dxa" w:w="1440"/>
            <w:shd w:fill="FFDCE0" w:val="clear"/>
          </w:tcPr>
          <w:p>
            <w:r>
              <w:rPr>
                <w:sz w:val="17"/>
              </w:rPr>
              <w:t>2,533</w:t>
            </w:r>
          </w:p>
        </w:tc>
        <w:tc>
          <w:tcPr>
            <w:tcW w:type="dxa" w:w="1440"/>
            <w:shd w:fill="FFDCE0" w:val="clear"/>
          </w:tcPr>
          <w:p>
            <w:r>
              <w:rPr>
                <w:b/>
                <w:color w:val="C00000"/>
                <w:sz w:val="17"/>
              </w:rPr>
              <w:t>-16.9%</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1,988</w:t>
            </w:r>
          </w:p>
        </w:tc>
        <w:tc>
          <w:tcPr>
            <w:tcW w:type="dxa" w:w="1440"/>
            <w:shd w:fill="FFDCE0" w:val="clear"/>
          </w:tcPr>
          <w:p>
            <w:r>
              <w:rPr>
                <w:b/>
                <w:sz w:val="17"/>
              </w:rPr>
              <w:t>2,255</w:t>
            </w:r>
          </w:p>
        </w:tc>
        <w:tc>
          <w:tcPr>
            <w:tcW w:type="dxa" w:w="1440"/>
            <w:shd w:fill="FFDCE0" w:val="clear"/>
          </w:tcPr>
          <w:p>
            <w:r>
              <w:rPr>
                <w:sz w:val="17"/>
              </w:rPr>
              <w:t>2,522</w:t>
            </w:r>
          </w:p>
        </w:tc>
        <w:tc>
          <w:tcPr>
            <w:tcW w:type="dxa" w:w="1440"/>
            <w:shd w:fill="FFDCE0" w:val="clear"/>
          </w:tcPr>
          <w:p>
            <w:r>
              <w:rPr>
                <w:b/>
                <w:color w:val="C00000"/>
                <w:sz w:val="17"/>
              </w:rPr>
              <w:t>-17.7%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172,62 milliards FCFA, SHEC se positionne parmi les valeurs de taille intermédiaire à supérieure du compartiment BRVM, ce qui traduit une certaine maturité et une liquidité relative sur le marché régional. Le BPA de 96 FCFA/action signifie que chaque titre génère près d'un centième de sa valeur en bénéfice net, mais le PER de 28,6x indique que les investisseurs paient environ 28,6 fois les bénéfices annuels, soit un niveau nettement supérieur à la moyenne BRVM (8-12x), ce qui suggère soit une anticipation de forte croissance, soit une surévaluation manifeste au regard de la croissance réelle (+1% du CA en 2025). Le ratio P/B de 6,36x confirme cette prime très élevée par rapport à la valeur comptable (capitaux propres de 27,16 Mds FCFA), tandis que l'EV/EBITDA de 14,6x, bien qu'élevé, reste dans la fourchette haute du secteur pétrolier aval et reflète la capacité opérationnelle de l'entreprise (EBE de 17,17 Mds FCFA). L'ensemble de ces ratios dessine une valorisation exigeante qui n'est justifiée ni par la croissance du chiffre d'affaires (+0,71% en 2025), ni par la marge nette (1,0%), ce qui constitue un signal de prudence majeur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SHEC a enregistré une progression spectaculaire de +44,59%, avec une variation J-1 de +7,45% qui témoigne d'un emballement récent du titre, le portant à son plus haut historique de 2 740 FCFA contre un plus bas de 1 840 FCFA, soit un range de trading de 900 FCFA (49% d'amplitude). La tendance générale est clairement haussière, portée par un volume moyen quotidien de 4 606 titres, ce qui reste modeste et expose le titre à des mouvements erratiques en cas de pression acheteuse ou vendeuse significative. Les statistiques descriptives révèlent une moyenne de 2 166 FCFA et une médiane de 2 170 FCFA, très proches, indiquant une distribution globalement symétrique, confirmée par un skewness de 0,440 (asymétrie positive modérée) ; l'écart-type de 190 FCFA et le coefficient de variation de 8,8% traduisent une dispersion relativement contenue du cours autour de sa moyenne. Le kurtosis de -0,389 (mésokurtique) suggère une distribution proche de la normale, sans risque excessif de pics extrêmes, ce qui est rassurant pour la stabilité du titre. La volatilité annualisée de 35,3% classe SHEC dans la catégorie des titres à volatilité élevée (&gt;30%), ce qui implique un risque de correction brutale après la hausse récente et justifie une vigilance accrue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(2 459,5 FCFA) et la MM50 (2 313,0 FCFA) sont toutes deux nettement inférieures au cours actuel (2 740 FCFA), confirmant une dynamique haussière forte et un positionnement acheteur des investisseurs. La décision technique est à l'achat, mais l'écart important entre le cours et ces moyennes suggère un risque de retour à la moyenne (mean reversion) à court terme.</w:t>
      </w:r>
    </w:p>
    <w:p>
      <w:pPr>
        <w:spacing w:after="120" w:line="276" w:lineRule="auto"/>
      </w:pPr>
      <w:r>
        <w:t>**Bandes de Bollinger** : Le cours actuel (2 740 FCFA) dépasse largement la borne supérieure (2 620,48 FCFA), ce qui constitue un signal de vente classique en analyse technique, indiquant une surchauffe du titre et une probabilité élevée de correction. La volatilité implicite des bandes s'est élargie, reflétant l'incertitude croissante autour de la valorisation actuelle.</w:t>
      </w:r>
    </w:p>
    <w:p>
      <w:pPr>
        <w:spacing w:after="120" w:line="276" w:lineRule="auto"/>
      </w:pPr>
      <w:r>
        <w:t>**MACD** : La valeur du MACD (77,596) est supérieure à son signal (60,33), avec un histogramme positif, ce qui confirme un momentum haussier toujours en cours. La décision est à l'achat, mais la divergence potentielle avec le RSI et le stochastique appelle à la prudence sur la durabilité de ce mouvement.</w:t>
      </w:r>
    </w:p>
    <w:p>
      <w:pPr>
        <w:spacing w:after="120" w:line="276" w:lineRule="auto"/>
      </w:pPr>
      <w:r>
        <w:t>**RSI** : À 79,545, le RSI est en zone de surachat (&gt;70), ce qui signale que le titre a été acheté de manière excessive et qu'une correction ou une consolidation est probable à court terme. La décision technique est à la vente, en contradiction avec les moyennes mobiles et le MACD, créant une divergence baissière préoccupante.</w:t>
      </w:r>
    </w:p>
    <w:p>
      <w:pPr>
        <w:spacing w:after="120" w:line="276" w:lineRule="auto"/>
      </w:pPr>
      <w:r>
        <w:t>**Stochastique** : Le %K (100,0) et le %D (100,0) sont tous deux au maximum absolu, indiquant une saturation acheteuse extrême et un croisement imminent à la baisse. La décision est à la vente, renforçant le signal de correction technique à venir.</w:t>
      </w:r>
    </w:p>
    <w:p>
      <w:pPr>
        <w:spacing w:after="120" w:line="276" w:lineRule="auto"/>
      </w:pPr>
      <w:r>
        <w:t>**Conclusion technique** : Les indicateurs techniques présentent une divergence majeure : les moyennes mobiles et le MACD confirment la tendance haussière de fond, tandis que le RSI, les bandes de Bollinger et le stochastique signalent une surachat extrême et une correction imminente. Cette configuration suggère que le titre pourrait connaître un repli à court terme avant de reprendre sa tendance haussière, et il est prudent d'attendre une consolidation avant tout nouvel 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milliards FCFA, en très légère hausse de +0,71% par rapport à 2024 (600,708 Mds FCFA), tandis que le résultat net s'est établi à 6,028 milliards FCFA, en progression de +12,6% (contre 5,354 Mds en 2024). Le ROE ressort à 22,20%, un niveau excellent (&gt;15%) qui témoigne d'une création de valeur efficace pour les actionnaires, mais le ROA n'est que de 3,11%, reflétant la faible rotation des actifs (312,55%) et la structure très capitalistique de l'activité. La marge nette reste très faible à 0,996%, typique du secteur pétrolier aval, et la marge opérationnelle de 1,93% montre que la rentabilité dépend d'une maîtrise rigoureuse des charges. Le BFR s'élève à 15,315 milliards FCFA (positif, donc défavorable), avec un délai client de 23,27 jours (risque de trésorerie modéré) et un délai fournisseur de 35,47 jours (favorable), tandis que la trésorerie nette est fortement négative à -65,264 milliards FCFA, signe de tensions de liquidité structurelles. L'autonomie financière n'est que de 14,03% (très en dessous du seuil sain de 30%), et la dépendance financière atteint 85,97%, ce qui expose l'entreprise à un risque de refinancement élevé, même si la capacité de remboursement (0,97 an) et la couverture des intérêts (292,84%) restent correctes.</w:t>
      </w:r>
    </w:p>
    <w:p>
      <w:pPr>
        <w:spacing w:after="120" w:line="276" w:lineRule="auto"/>
      </w:pPr>
      <w:r>
        <w:t>**Estimations basées sur les rapports trimestriels** : Le rapport du 30 juin 2026 (publié en 2026) indique un chiffre d'affaires de 305 038 millions FCFA, en baisse de 1% sur un an, avec un résultat d'exploitation en hausse de 17% à 6 133 millions FCFA et un résultat net de 3 016 millions FCFA (marge nette de 0,99%). Le rapport du 30 septembre 2025 (T3 2025) faisait état d'un résultat net cumulé de 4,119 milliards FCFA (+45% sur un an) et d'une marge nette de 0,91%, tandis que le rapport du 31 décembre 2025 (états financiers 2025) confirme le résultat net annuel de 6,028 milliards FCFA et propose un dividende brut de 6,09 milliards FCFA (soit 1 933 FCFA/action), un taux de distribution de 101% qui fragilise davantage la structure financière. Sur la base de ces éléments, on estime que l'exercice 2026 devrait enregistrer une légère contraction du chiffre d'affaires (baisse de 1% au S1 2026) mais une amélioration de la rentabilité opérationnelle (+17% au S1 2026), avec un résultat net annuel estimé autour de 6,0-6,2 milliards FCFA, soit une quasi-stagnation par rapport à 2025. La principale préoccupation reste la trésorerie nette négative (-65,26 Mds FCFA) et le recours massif aux découverts bancaires (70,3 Mds FCFA en 2025), qui grèvent le résultat financier et exposent l'entreprise à une hausse des taux d'intérêt.</w:t>
      </w:r>
    </w:p>
    <w:p>
      <w:pPr>
        <w:spacing w:after="120" w:line="276" w:lineRule="auto"/>
      </w:pPr>
      <w:r>
        <w:t>**Recommandation fondamentale** : La solidité opérationnelle de SHEC est indéniable (ROE &gt;20%, amélioration de la marge nette, investissements soutenus), mais la fragilité financière (autonomie financière de 14%, trésorerie nette négative, distribution excessive) et la valorisation exigeante (PER 28,6x) limitent le potentiel de hausse. La recommandation fondamentale est de **CONSERVER** le titre pour un investisseur de long terme, en attendant une clarification de la politique de dividende et une amélioration de la structure financière.</w:t>
      </w:r>
    </w:p>
    <w:p>
      <w:pPr>
        <w:spacing w:after="120" w:line="276" w:lineRule="auto"/>
      </w:pPr>
      <w:r>
        <w:t>---</w:t>
      </w:r>
    </w:p>
    <w:p>
      <w:pPr>
        <w:spacing w:after="120" w:line="276" w:lineRule="auto"/>
      </w:pPr>
      <w:r>
        <w:t>## PARTIE 4 : CONCLUSION D'INVESTISSEMENT</w:t>
      </w:r>
    </w:p>
    <w:p>
      <w:pPr>
        <w:spacing w:after="120" w:line="276" w:lineRule="auto"/>
      </w:pPr>
      <w:r>
        <w:t>La valorisation de SHEC apparaît nettement surévaluée au regard de ses fondamentaux : le PER de 28,6x (contre une moyenne BRVM de 8-12x) et le P/B de 6,36x intègrent déjà une forte prime de croissance qui ne se matérialise pas dans les chiffres (+0,71% de CA en 2025), tandis que l'EV/EBITDA de 14,6x reste élevé pour un secteur à faible marge. Le comportement du cours sur 100 jours est haussier (+44,59%) mais la volatilité annualisée de 35,3% et le RSI en zone de surachat (79,5) signalent une correction imminente, d'autant que les prédictions IA anticipent une baisse continue du cours de 2 627 FCFA (J+1) à 2 397 FCFA (J+10), soit un repli de -8,4% en 10 jours. Les signaux techniques sont divergents : les moyennes mobiles et le MACD confirment la tendance haussière, mais le RSI, les bandes de Bollinger et le stochastique indiquent une saturation acheteuse extrême, ce qui plaide pour une consolidation à court terme. Les fondamentaux sont mitigés : la rentabilité est en amélioration (ROE de 22,2%, résultat net +12,6% en 2025) mais la structure financière est fragile (autonomie financière de 14%, trésorerie nette de -65,26 Mds FCFA) et la croissance est atone (+0,71% de CA en 2025, -1% au S1 2026). Sur la base de cette synthèse globale, la recommandation finale est de **CONSERVER** le titre, avec un niveau de confiance **Moyen** et un risque global **Élevé**. L'horizon d'investissement optimal est le **moyen terme (3-12 mois)**, en attendant une correction technique qui ramènerait le cours vers sa moyenne mobile (2 166 FCFA) et une clarification de la politique de dividende et de la structure financière. Un renforcement pourrait être envisagé si le cours consolide vers 2 200-2 300 FCFA et si les résultats du S2 2026 confirment l'amélioration de la rentabilité opérationnelle.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10,386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+32.57%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9.13% (Moyenne) — μ=8,551 FCFA, σ=781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β=0.2952 (Défensif) — Cov=0.000010, Var(idx)=0.000034, ρ=0.096,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8,935</w:t>
            </w:r>
          </w:p>
        </w:tc>
        <w:tc>
          <w:tcPr>
            <w:tcW w:type="dxa" w:w="1440"/>
            <w:shd w:fill="FAFAFA" w:val="clear"/>
          </w:tcPr>
          <w:p>
            <w:r>
              <w:rPr>
                <w:b/>
                <w:sz w:val="17"/>
              </w:rPr>
              <w:t>9,198</w:t>
            </w:r>
          </w:p>
        </w:tc>
        <w:tc>
          <w:tcPr>
            <w:tcW w:type="dxa" w:w="1440"/>
            <w:shd w:fill="FAFAFA" w:val="clear"/>
          </w:tcPr>
          <w:p>
            <w:r>
              <w:rPr>
                <w:sz w:val="17"/>
              </w:rPr>
              <w:t>9,462</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8,734</w:t>
            </w:r>
          </w:p>
        </w:tc>
        <w:tc>
          <w:tcPr>
            <w:tcW w:type="dxa" w:w="1440"/>
            <w:shd w:fill="FFDCE0" w:val="clear"/>
          </w:tcPr>
          <w:p>
            <w:r>
              <w:rPr>
                <w:b/>
                <w:sz w:val="17"/>
              </w:rPr>
              <w:t>9,104</w:t>
            </w:r>
          </w:p>
        </w:tc>
        <w:tc>
          <w:tcPr>
            <w:tcW w:type="dxa" w:w="1440"/>
            <w:shd w:fill="FFDCE0" w:val="clear"/>
          </w:tcPr>
          <w:p>
            <w:r>
              <w:rPr>
                <w:sz w:val="17"/>
              </w:rPr>
              <w:t>9,473</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8,568</w:t>
            </w:r>
          </w:p>
        </w:tc>
        <w:tc>
          <w:tcPr>
            <w:tcW w:type="dxa" w:w="1440"/>
            <w:shd w:fill="FFDCE0" w:val="clear"/>
          </w:tcPr>
          <w:p>
            <w:r>
              <w:rPr>
                <w:b/>
                <w:sz w:val="17"/>
              </w:rPr>
              <w:t>9,016</w:t>
            </w:r>
          </w:p>
        </w:tc>
        <w:tc>
          <w:tcPr>
            <w:tcW w:type="dxa" w:w="1440"/>
            <w:shd w:fill="FFDCE0" w:val="clear"/>
          </w:tcPr>
          <w:p>
            <w:r>
              <w:rPr>
                <w:sz w:val="17"/>
              </w:rPr>
              <w:t>9,464</w:t>
            </w:r>
          </w:p>
        </w:tc>
        <w:tc>
          <w:tcPr>
            <w:tcW w:type="dxa" w:w="1440"/>
            <w:shd w:fill="FFDCE0" w:val="clear"/>
          </w:tcPr>
          <w:p>
            <w:r>
              <w:rPr>
                <w:b/>
                <w:color w:val="C00000"/>
                <w:sz w:val="17"/>
              </w:rPr>
              <w:t>-3.1%</w:t>
            </w:r>
          </w:p>
        </w:tc>
      </w:tr>
      <w:tr>
        <w:tc>
          <w:tcPr>
            <w:tcW w:type="dxa" w:w="1440"/>
            <w:shd w:fill="FFDCE0" w:val="clear"/>
          </w:tcPr>
          <w:p>
            <w:r>
              <w:rPr>
                <w:sz w:val="17"/>
              </w:rPr>
              <w:t>J+4  Moyenne</w:t>
            </w:r>
          </w:p>
        </w:tc>
        <w:tc>
          <w:tcPr>
            <w:tcW w:type="dxa" w:w="1440"/>
            <w:shd w:fill="FFDCE0" w:val="clear"/>
          </w:tcPr>
          <w:p>
            <w:r>
              <w:rPr>
                <w:sz w:val="17"/>
              </w:rPr>
              <w:t>2026-09-18</w:t>
            </w:r>
          </w:p>
        </w:tc>
        <w:tc>
          <w:tcPr>
            <w:tcW w:type="dxa" w:w="1440"/>
            <w:shd w:fill="FFDCE0" w:val="clear"/>
          </w:tcPr>
          <w:p>
            <w:r>
              <w:rPr>
                <w:sz w:val="17"/>
              </w:rPr>
              <w:t>8,426</w:t>
            </w:r>
          </w:p>
        </w:tc>
        <w:tc>
          <w:tcPr>
            <w:tcW w:type="dxa" w:w="1440"/>
            <w:shd w:fill="FFDCE0" w:val="clear"/>
          </w:tcPr>
          <w:p>
            <w:r>
              <w:rPr>
                <w:b/>
                <w:sz w:val="17"/>
              </w:rPr>
              <w:t>8,938</w:t>
            </w:r>
          </w:p>
        </w:tc>
        <w:tc>
          <w:tcPr>
            <w:tcW w:type="dxa" w:w="1440"/>
            <w:shd w:fill="FFDCE0" w:val="clear"/>
          </w:tcPr>
          <w:p>
            <w:r>
              <w:rPr>
                <w:sz w:val="17"/>
              </w:rPr>
              <w:t>9,451</w:t>
            </w:r>
          </w:p>
        </w:tc>
        <w:tc>
          <w:tcPr>
            <w:tcW w:type="dxa" w:w="1440"/>
            <w:shd w:fill="FFDCE0" w:val="clear"/>
          </w:tcPr>
          <w:p>
            <w:r>
              <w:rPr>
                <w:b/>
                <w:color w:val="C00000"/>
                <w:sz w:val="17"/>
              </w:rPr>
              <w:t>-3.9%</w:t>
            </w:r>
          </w:p>
        </w:tc>
      </w:tr>
      <w:tr>
        <w:tc>
          <w:tcPr>
            <w:tcW w:type="dxa" w:w="1440"/>
            <w:shd w:fill="FFDCE0" w:val="clear"/>
          </w:tcPr>
          <w:p>
            <w:r>
              <w:rPr>
                <w:sz w:val="17"/>
              </w:rPr>
              <w:t>J+5  Moyenne</w:t>
            </w:r>
          </w:p>
        </w:tc>
        <w:tc>
          <w:tcPr>
            <w:tcW w:type="dxa" w:w="1440"/>
            <w:shd w:fill="FFDCE0" w:val="clear"/>
          </w:tcPr>
          <w:p>
            <w:r>
              <w:rPr>
                <w:sz w:val="17"/>
              </w:rPr>
              <w:t>2026-09-21</w:t>
            </w:r>
          </w:p>
        </w:tc>
        <w:tc>
          <w:tcPr>
            <w:tcW w:type="dxa" w:w="1440"/>
            <w:shd w:fill="FFDCE0" w:val="clear"/>
          </w:tcPr>
          <w:p>
            <w:r>
              <w:rPr>
                <w:sz w:val="17"/>
              </w:rPr>
              <w:t>8,301</w:t>
            </w:r>
          </w:p>
        </w:tc>
        <w:tc>
          <w:tcPr>
            <w:tcW w:type="dxa" w:w="1440"/>
            <w:shd w:fill="FFDCE0" w:val="clear"/>
          </w:tcPr>
          <w:p>
            <w:r>
              <w:rPr>
                <w:b/>
                <w:sz w:val="17"/>
              </w:rPr>
              <w:t>8,869</w:t>
            </w:r>
          </w:p>
        </w:tc>
        <w:tc>
          <w:tcPr>
            <w:tcW w:type="dxa" w:w="1440"/>
            <w:shd w:fill="FFDCE0" w:val="clear"/>
          </w:tcPr>
          <w:p>
            <w:r>
              <w:rPr>
                <w:sz w:val="17"/>
              </w:rPr>
              <w:t>9,438</w:t>
            </w:r>
          </w:p>
        </w:tc>
        <w:tc>
          <w:tcPr>
            <w:tcW w:type="dxa" w:w="1440"/>
            <w:shd w:fill="FFDCE0" w:val="clear"/>
          </w:tcPr>
          <w:p>
            <w:r>
              <w:rPr>
                <w:b/>
                <w:color w:val="C00000"/>
                <w:sz w:val="17"/>
              </w:rPr>
              <w:t>-4.6%</w:t>
            </w:r>
          </w:p>
        </w:tc>
      </w:tr>
      <w:tr>
        <w:tc>
          <w:tcPr>
            <w:tcW w:type="dxa" w:w="1440"/>
            <w:shd w:fill="FFDCE0" w:val="clear"/>
          </w:tcPr>
          <w:p>
            <w:r>
              <w:rPr>
                <w:sz w:val="17"/>
              </w:rPr>
              <w:t>J+6  Moyenne</w:t>
            </w:r>
          </w:p>
        </w:tc>
        <w:tc>
          <w:tcPr>
            <w:tcW w:type="dxa" w:w="1440"/>
            <w:shd w:fill="FFDCE0" w:val="clear"/>
          </w:tcPr>
          <w:p>
            <w:r>
              <w:rPr>
                <w:sz w:val="17"/>
              </w:rPr>
              <w:t>2026-09-22</w:t>
            </w:r>
          </w:p>
        </w:tc>
        <w:tc>
          <w:tcPr>
            <w:tcW w:type="dxa" w:w="1440"/>
            <w:shd w:fill="FFDCE0" w:val="clear"/>
          </w:tcPr>
          <w:p>
            <w:r>
              <w:rPr>
                <w:sz w:val="17"/>
              </w:rPr>
              <w:t>8,189</w:t>
            </w:r>
          </w:p>
        </w:tc>
        <w:tc>
          <w:tcPr>
            <w:tcW w:type="dxa" w:w="1440"/>
            <w:shd w:fill="FFDCE0" w:val="clear"/>
          </w:tcPr>
          <w:p>
            <w:r>
              <w:rPr>
                <w:b/>
                <w:sz w:val="17"/>
              </w:rPr>
              <w:t>8,807</w:t>
            </w:r>
          </w:p>
        </w:tc>
        <w:tc>
          <w:tcPr>
            <w:tcW w:type="dxa" w:w="1440"/>
            <w:shd w:fill="FFDCE0" w:val="clear"/>
          </w:tcPr>
          <w:p>
            <w:r>
              <w:rPr>
                <w:sz w:val="17"/>
              </w:rPr>
              <w:t>9,426</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2026-09-23</w:t>
            </w:r>
          </w:p>
        </w:tc>
        <w:tc>
          <w:tcPr>
            <w:tcW w:type="dxa" w:w="1440"/>
            <w:shd w:fill="FFDCE0" w:val="clear"/>
          </w:tcPr>
          <w:p>
            <w:r>
              <w:rPr>
                <w:sz w:val="17"/>
              </w:rPr>
              <w:t>8,087</w:t>
            </w:r>
          </w:p>
        </w:tc>
        <w:tc>
          <w:tcPr>
            <w:tcW w:type="dxa" w:w="1440"/>
            <w:shd w:fill="FFDCE0" w:val="clear"/>
          </w:tcPr>
          <w:p>
            <w:r>
              <w:rPr>
                <w:b/>
                <w:sz w:val="17"/>
              </w:rPr>
              <w:t>8,751</w:t>
            </w:r>
          </w:p>
        </w:tc>
        <w:tc>
          <w:tcPr>
            <w:tcW w:type="dxa" w:w="1440"/>
            <w:shd w:fill="FFDCE0" w:val="clear"/>
          </w:tcPr>
          <w:p>
            <w:r>
              <w:rPr>
                <w:sz w:val="17"/>
              </w:rPr>
              <w:t>9,415</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2026-09-24</w:t>
            </w:r>
          </w:p>
        </w:tc>
        <w:tc>
          <w:tcPr>
            <w:tcW w:type="dxa" w:w="1440"/>
            <w:shd w:fill="FFDCE0" w:val="clear"/>
          </w:tcPr>
          <w:p>
            <w:r>
              <w:rPr>
                <w:sz w:val="17"/>
              </w:rPr>
              <w:t>7,994</w:t>
            </w:r>
          </w:p>
        </w:tc>
        <w:tc>
          <w:tcPr>
            <w:tcW w:type="dxa" w:w="1440"/>
            <w:shd w:fill="FFDCE0" w:val="clear"/>
          </w:tcPr>
          <w:p>
            <w:r>
              <w:rPr>
                <w:b/>
                <w:sz w:val="17"/>
              </w:rPr>
              <w:t>8,699</w:t>
            </w:r>
          </w:p>
        </w:tc>
        <w:tc>
          <w:tcPr>
            <w:tcW w:type="dxa" w:w="1440"/>
            <w:shd w:fill="FFDCE0" w:val="clear"/>
          </w:tcPr>
          <w:p>
            <w:r>
              <w:rPr>
                <w:sz w:val="17"/>
              </w:rPr>
              <w:t>9,404</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2026-09-25</w:t>
            </w:r>
          </w:p>
        </w:tc>
        <w:tc>
          <w:tcPr>
            <w:tcW w:type="dxa" w:w="1440"/>
            <w:shd w:fill="FFDCE0" w:val="clear"/>
          </w:tcPr>
          <w:p>
            <w:r>
              <w:rPr>
                <w:sz w:val="17"/>
              </w:rPr>
              <w:t>7,907</w:t>
            </w:r>
          </w:p>
        </w:tc>
        <w:tc>
          <w:tcPr>
            <w:tcW w:type="dxa" w:w="1440"/>
            <w:shd w:fill="FFDCE0" w:val="clear"/>
          </w:tcPr>
          <w:p>
            <w:r>
              <w:rPr>
                <w:b/>
                <w:sz w:val="17"/>
              </w:rPr>
              <w:t>8,651</w:t>
            </w:r>
          </w:p>
        </w:tc>
        <w:tc>
          <w:tcPr>
            <w:tcW w:type="dxa" w:w="1440"/>
            <w:shd w:fill="FFDCE0" w:val="clear"/>
          </w:tcPr>
          <w:p>
            <w:r>
              <w:rPr>
                <w:sz w:val="17"/>
              </w:rPr>
              <w:t>9,395</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2026-09-28</w:t>
            </w:r>
          </w:p>
        </w:tc>
        <w:tc>
          <w:tcPr>
            <w:tcW w:type="dxa" w:w="1440"/>
            <w:shd w:fill="FFDCE0" w:val="clear"/>
          </w:tcPr>
          <w:p>
            <w:r>
              <w:rPr>
                <w:sz w:val="17"/>
              </w:rPr>
              <w:t>7,826</w:t>
            </w:r>
          </w:p>
        </w:tc>
        <w:tc>
          <w:tcPr>
            <w:tcW w:type="dxa" w:w="1440"/>
            <w:shd w:fill="FFDCE0" w:val="clear"/>
          </w:tcPr>
          <w:p>
            <w:r>
              <w:rPr>
                <w:b/>
                <w:sz w:val="17"/>
              </w:rPr>
              <w:t>8,606</w:t>
            </w:r>
          </w:p>
        </w:tc>
        <w:tc>
          <w:tcPr>
            <w:tcW w:type="dxa" w:w="1440"/>
            <w:shd w:fill="FFDCE0" w:val="clear"/>
          </w:tcPr>
          <w:p>
            <w:r>
              <w:rPr>
                <w:sz w:val="17"/>
              </w:rPr>
              <w:t>9,386</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930,00 milliards FCFA, la SIBC s'impose comme l'une des toutes premières capitalisations de la BRVM, ce qui en fait un pilier de l'indice BRVM Composite et un incontournable pour les investisseurs institutionnels de la zone UEMOA. Le BPA de 556 FCFA/action signifie que chaque titre génère près de 556 FCFA de bénéfice net, un niveau de rentabilité par action élevé qui traduit la forte profitabilité de la banque. Le PER de 16,7x est supérieur à la moyenne du marché BRVM (généralement comprise entre 8 et 12x), ce qui indique que le marché consent une prime de qualité pour ce titre, sans pour autant basculer dans une valorisation spéculative. Le P/B de 4,54x — largement supérieur au seuil de 4x — signale que le marché valorise la banque à plus de quatre fois sa valeur comptable, une prime exigeante qui reflète la confiance dans la qualité des fonds propres et la rentabilité future. Enfin, l'EV/EBITDA de 15,5x, supérieur à 15x, confirme que la valeur d'entreprise intègre déjà une anticipation de croissance soutenue, ce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+32,57%, passant d'un plus bas de 6 805 FCFA à un plus haut de 9 500 FCFA, pour un cours actuel de 9 300 FCFA, inchangé lors de la dernière séance (variation J-1 de 0,00%). Cette tendance nettement haussière s'inscrit dans un contexte de forte demande pour les valeurs bancaires de la BRVM, portée par la solidité des fondamentaux du secteur et la bonne dynamique économique ivoirienne. La moyenne du cours sur la période s'établit à 8 551 FCFA, tandis que la médiane est plus élevée à 8 858 FCFA, ce qui indique une distribution asymétrique où le cours a passé davantage de temps dans la partie haute de sa fourchette, confirmant la vigueur de la tendance. L'écart-type de 785 FCFA, associé à un coefficient de variation (CV) de 9,2%, traduit une dispersion modérée du cours autour de sa moyenne, ce qui est cohérent avec un titre liquide et suivi. Le kurtosis de -0,373 (mésokurtique) indique une distribution proche de la normale, sans risque excessif de pics extrêmes, tandis que le skewness de -1,072 (asymétrie négative) confirme que les journées de baisse sont moins fréquentes mais potentiellement plus marquées que les journées de hausse. La volatilité annualisée de 28,8% positionne le titre dans la catégorie des valeurs à volatilité modérée à élevée (seuil de 30%), ce qui reste acceptable pour une action bancaire de premier plan.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9 198 FCFA et la MM50 à 9 069 FCFA, toutes deux inférieures au cours actuel de 9 300 FCFA, ce qui place le titre au-dessus de ses moyennes mobiles et confirme une configuration haussière. La MM20 étant supérieure à la MM50, on observe un croisement haussier (golden cross) qui valide la dynamique positive. La décision technique est donc logiquement à l'**Achat**.</w:t>
      </w:r>
    </w:p>
    <w:p>
      <w:pPr>
        <w:spacing w:after="120" w:line="276" w:lineRule="auto"/>
      </w:pPr>
      <w:r>
        <w:t>**Bandes de Bollinger** : La borne supérieure se situe à 9 392,81 FCFA et la borne inférieure à 9 003,19 FCFA, avec un cours actuel de 9 300 FCFA qui évolue dans la partie haute du canal, sans toutefois atteindre la borne supérieure. Cette position indique une pression acheteuse modérée mais pas encore de situation de surachat extrême. La décision est **Neutre**, le cours n'étant ni en rupture haussière ni en zone de survente.</w:t>
      </w:r>
    </w:p>
    <w:p>
      <w:pPr>
        <w:spacing w:after="120" w:line="276" w:lineRule="auto"/>
      </w:pPr>
      <w:r>
        <w:t>**MACD** : La valeur du MACD est de 53,579, supérieure à son signal de 49,086, ce qui génère un histogramme positif et confirme un momentum haussier en cours. La divergence positive entre la ligne MACD et sa ligne de signal valide la poursuite de la tendance haussière à court terme. La décision est à l'**Achat**.</w:t>
      </w:r>
    </w:p>
    <w:p>
      <w:pPr>
        <w:spacing w:after="120" w:line="276" w:lineRule="auto"/>
      </w:pPr>
      <w:r>
        <w:t>**RSI** : Le RSI s'établit à 60,0, un niveau qui se situe dans la zone neutre (entre 30 et 70) mais dans sa partie supérieure, indiquant que le titre conserve un potentiel de hausse sans être encore en zone de surachat (seuil de 70). La décision est **Neutre**, le RSI ne générant ni signal d'achat ni signal de vente.</w:t>
      </w:r>
    </w:p>
    <w:p>
      <w:pPr>
        <w:spacing w:after="120" w:line="276" w:lineRule="auto"/>
      </w:pPr>
      <w:r>
        <w:t>**Stochastique** : Le %K et le %D sont tous deux à 100,0, ce qui place l'indicateur en zone de surachat extrême. Cette configuration signale que le cours a atteint un sommet relatif et qu'un retournement ou une consolidation est probable à très court terme. La décision est à la **Vente**, ce qui constitue le principal signal baissier de l'analyse technique.</w:t>
      </w:r>
    </w:p>
    <w:p>
      <w:pPr>
        <w:spacing w:after="120" w:line="276" w:lineRule="auto"/>
      </w:pPr>
      <w:r>
        <w:t>**Conclusion technique** : Les indicateurs techniques présentent une configuration globalement haussière (MM, MACD) mais avec des signaux de prudence (Stochastique en surachat, RSI proche de 70). La convergence des moyennes mobiles et du MACD soutient la tendance de fond, tandis que le stochastique à 100 appelle à la vigilance sur un éventuel essoufflement à court terme. Le titre reste techniquement bien orienté, mais une consolidation est possible avant une nouvelle jambe de hausse.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SIBC affiche un Produit Net Bancaire (PNB) de 108,663 milliards FCFA, un résultat net de 55,623 milliards FCFA, un ROE exceptionnel de 27,16% et un ROA de 2,96%. Le coefficient d'exploitation s'établit à 38,59%, un niveau largement inférieur au seuil de 60% qui témoigne d'une efficacité opérationnelle remarquable. La marge nette atteint 51,19%, confirmant la forte rentabilité de la banque. Le total bilan s'élève à 1 881,733 milliards FCFA, avec des dépôts clientèle de 1 503,441 milliards FCFA et des créances sur la clientèle de 1 226,720 milliards FCFA, soit un ratio de transformation (crédits/dépôts) de 81,6%, ce qui indique une utilisation efficace des ressources collectées. Les capitaux propres de 204,765 milliards FCFA et l'autonomie financière de 10,88% (inférieure au seuil de 30% mais normale pour une banque) reflètent un modèle bancaire classique à fort effet de levier. Le coût du risque, bien que non explicitement fourni dans les données structurées, est un point de vigilance compte tenu de la croissance des encours de crédit.</w:t>
      </w:r>
    </w:p>
    <w:p>
      <w:pPr>
        <w:spacing w:after="120" w:line="276" w:lineRule="auto"/>
      </w:pPr>
      <w:r>
        <w:t>**Estimations basées sur les rapports trimestriels** : Selon le rapport du T1 2026 (publié le 31 décembre 2026, analysé le 7 mai 2026), le PNB progresse de +4% à 27,7 milliards FCFA et le résultat net bondit de +11% à 15,2 milliards FCFA, avec une marge nette de 54,9%. Les dépôts clientèle augmentent de +9% à 1 495 milliards FCFA et les crédits de +7% à 1 112 milliards FCFA. Sur la base de ces performances trimestrielles, on peut estimer que l'exercice 2026 devrait enregistrer un PNB annuel d'environ 115-118 milliards FCFA et un résultat net de l'ordre de 60-62 milliards FCFA, soit une croissance de 8 à 11% par rapport à 2025. Le rapport du T3 2025 (30 septembre 2025) confirme cette dynamique avec un PNB cumulé de 81,4 milliards FCFA (+8%) et un résultat net de 43,0 milliards FCFA (+11%). Le rapport annuel 2024 (31 décembre 2024) indiquait un PNB de 102,8 milliards FCFA et un résultat net de 50,2 milliards FCFA, avec un ROE de 30,56% et un dividende brut de 375 FCFA/action (rendement de 10,55% sur la base du cours de fin 2024). La trajectoire historique montre une croissance régulière et une rentabilité parmi les meilleures du secteur bancaire ivoirien, portée par le plan stratégique « IMPULSION 2028 ».</w:t>
      </w:r>
    </w:p>
    <w:p>
      <w:pPr>
        <w:spacing w:after="120" w:line="276" w:lineRule="auto"/>
      </w:pPr>
      <w:r>
        <w:t>**Recommandation fondamentale** : La SIBC présente des fondamentaux solides, une rentabilité exceptionnelle (ROE &gt;27%) et une efficacité opérationnelle remarquable (coefficient d'exploitation &lt;39%). Les risques identifiés incluent la dépendance à l'économie ivoirienne, la concurrence accrue des fintechs et la pression potentielle sur les marges d'intérêt. La valorisation exigeante (P/B &gt;4,5x) intègre déjà ces bonnes performances, ce qui limite le potentiel de réévaluation à court terme. La recommandation fondamentale est **CONSERVER**, avec un biais positif pour les investisseurs déjà positionnés.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contrastée. **Sur le plan de la valorisation (Partie 0)** , les ratios PER (16,7x), P/B (4,54x) et EV/EBITDA (15,5x) indiquent une surévaluation relative par rapport aux moyennes du marché BRVM, ce qui suggère que le titre intègre déjà une prime de qualité et une anticipation de croissance soutenue. **Sur le plan du comportement du cours (Partie 1)** , la tendance haussière de +32,57% sur 100 jours est impressionnante, mais le skewness négatif (-1,072) et le stochastique en surachat (100) appellent à la prudence quant à un éventuel essoufflement. **Sur le plan technique (Partie 2)** , les signaux sont mitigés : les moyennes mobiles et le MACD sont haussiers, mais le stochastique et le RSI proche de 70 signalent une possible consolidation. **Sur le plan fondamental (Partie 3)** , la SIBC affiche une solidité exceptionnelle avec un ROE de 27,16%, un coefficient d'exploitation de 38,59% et une croissance régulière du PNB et du résultat net, confirmée par les rapports trimestriels de 2025 et 2026. **Les prédictions IA (J+1 à J+10)** anticipent une trajectoire baissière à court terme, avec un cours passant de 9 198 FCFA à 8 869 FCFA, ce qui contredit la dynamique haussière récente et suggère une correction technique imminente.</w:t>
      </w:r>
    </w:p>
    <w:p>
      <w:pPr>
        <w:spacing w:after="120" w:line="276" w:lineRule="auto"/>
      </w:pPr>
      <w:r>
        <w:t>**Recommandation finale** : **CONSERVER**. La convergence entre une valorisation exigeante, des signaux techniques de surachat à court terme et des prédictions IA baissières incite à la prudence pour un nouvel investisseur, tandis que les fondamentaux solides et la croissance régulière justifient de conserver le titre pour les investisseurs déjà positionnés. Le niveau de confiance est **Moyen**, compte tenu de la divergence entre les signaux techniques haussiers de fond et les signaux de court terme baissiers. Le niveau de risque global est **Moyen**, la volatilité modérée (28,8%) et la solidité financière compensant la valorisation élevée. L'horizon d'investissement optimal est le **moyen terme (3-12 mois)** , afin de laisser passer la consolidation attendue et de bénéficier de la poursuite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121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+101.30%</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31.04% (Élevée) — μ=5,773 FCFA, σ=1,792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β=-1.0511 (Contre-cyclique) — Cov=-0.000036, Var(idx)=0.000034, ρ=-0.168,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7,750</w:t>
            </w:r>
          </w:p>
        </w:tc>
        <w:tc>
          <w:tcPr>
            <w:tcW w:type="dxa" w:w="1440"/>
            <w:shd w:fill="FAFAFA" w:val="clear"/>
          </w:tcPr>
          <w:p>
            <w:r>
              <w:rPr>
                <w:b/>
                <w:sz w:val="17"/>
              </w:rPr>
              <w:t>8,365</w:t>
            </w:r>
          </w:p>
        </w:tc>
        <w:tc>
          <w:tcPr>
            <w:tcW w:type="dxa" w:w="1440"/>
            <w:shd w:fill="FAFAFA" w:val="clear"/>
          </w:tcPr>
          <w:p>
            <w:r>
              <w:rPr>
                <w:sz w:val="17"/>
              </w:rPr>
              <w:t>8,979</w:t>
            </w:r>
          </w:p>
        </w:tc>
        <w:tc>
          <w:tcPr>
            <w:tcW w:type="dxa" w:w="1440"/>
            <w:shd w:fill="FAFAFA" w:val="clear"/>
          </w:tcPr>
          <w:p>
            <w:r>
              <w:rPr>
                <w:b/>
                <w:color w:val="C00000"/>
                <w:sz w:val="17"/>
              </w:rPr>
              <w:t>-1.5%</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7,417</w:t>
            </w:r>
          </w:p>
        </w:tc>
        <w:tc>
          <w:tcPr>
            <w:tcW w:type="dxa" w:w="1440"/>
            <w:shd w:fill="FFDCE0" w:val="clear"/>
          </w:tcPr>
          <w:p>
            <w:r>
              <w:rPr>
                <w:b/>
                <w:sz w:val="17"/>
              </w:rPr>
              <w:t>8,276</w:t>
            </w:r>
          </w:p>
        </w:tc>
        <w:tc>
          <w:tcPr>
            <w:tcW w:type="dxa" w:w="1440"/>
            <w:shd w:fill="FFDCE0" w:val="clear"/>
          </w:tcPr>
          <w:p>
            <w:r>
              <w:rPr>
                <w:sz w:val="17"/>
              </w:rPr>
              <w:t>9,135</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7,121</w:t>
            </w:r>
          </w:p>
        </w:tc>
        <w:tc>
          <w:tcPr>
            <w:tcW w:type="dxa" w:w="1440"/>
            <w:shd w:fill="FFDCE0" w:val="clear"/>
          </w:tcPr>
          <w:p>
            <w:r>
              <w:rPr>
                <w:b/>
                <w:sz w:val="17"/>
              </w:rPr>
              <w:t>8,158</w:t>
            </w:r>
          </w:p>
        </w:tc>
        <w:tc>
          <w:tcPr>
            <w:tcW w:type="dxa" w:w="1440"/>
            <w:shd w:fill="FFDCE0" w:val="clear"/>
          </w:tcPr>
          <w:p>
            <w:r>
              <w:rPr>
                <w:sz w:val="17"/>
              </w:rPr>
              <w:t>9,196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6,855</w:t>
            </w:r>
          </w:p>
        </w:tc>
        <w:tc>
          <w:tcPr>
            <w:tcW w:type="dxa" w:w="1440"/>
            <w:shd w:fill="FFDCE0" w:val="clear"/>
          </w:tcPr>
          <w:p>
            <w:r>
              <w:rPr>
                <w:b/>
                <w:sz w:val="17"/>
              </w:rPr>
              <w:t>8,034</w:t>
            </w:r>
          </w:p>
        </w:tc>
        <w:tc>
          <w:tcPr>
            <w:tcW w:type="dxa" w:w="1440"/>
            <w:shd w:fill="FFDCE0" w:val="clear"/>
          </w:tcPr>
          <w:p>
            <w:r>
              <w:rPr>
                <w:sz w:val="17"/>
              </w:rPr>
              <w:t>9,214</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6,610</w:t>
            </w:r>
          </w:p>
        </w:tc>
        <w:tc>
          <w:tcPr>
            <w:tcW w:type="dxa" w:w="1440"/>
            <w:shd w:fill="FFDCE0" w:val="clear"/>
          </w:tcPr>
          <w:p>
            <w:r>
              <w:rPr>
                <w:b/>
                <w:sz w:val="17"/>
              </w:rPr>
              <w:t>7,909</w:t>
            </w:r>
          </w:p>
        </w:tc>
        <w:tc>
          <w:tcPr>
            <w:tcW w:type="dxa" w:w="1440"/>
            <w:shd w:fill="FFDCE0" w:val="clear"/>
          </w:tcPr>
          <w:p>
            <w:r>
              <w:rPr>
                <w:sz w:val="17"/>
              </w:rPr>
              <w:t>9,207</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6,384</w:t>
            </w:r>
          </w:p>
        </w:tc>
        <w:tc>
          <w:tcPr>
            <w:tcW w:type="dxa" w:w="1440"/>
            <w:shd w:fill="FFDCE0" w:val="clear"/>
          </w:tcPr>
          <w:p>
            <w:r>
              <w:rPr>
                <w:b/>
                <w:sz w:val="17"/>
              </w:rPr>
              <w:t>7,784</w:t>
            </w:r>
          </w:p>
        </w:tc>
        <w:tc>
          <w:tcPr>
            <w:tcW w:type="dxa" w:w="1440"/>
            <w:shd w:fill="FFDCE0" w:val="clear"/>
          </w:tcPr>
          <w:p>
            <w:r>
              <w:rPr>
                <w:sz w:val="17"/>
              </w:rPr>
              <w:t>9,184</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6,174</w:t>
            </w:r>
          </w:p>
        </w:tc>
        <w:tc>
          <w:tcPr>
            <w:tcW w:type="dxa" w:w="1440"/>
            <w:shd w:fill="FFDCE0" w:val="clear"/>
          </w:tcPr>
          <w:p>
            <w:r>
              <w:rPr>
                <w:b/>
                <w:sz w:val="17"/>
              </w:rPr>
              <w:t>7,662</w:t>
            </w:r>
          </w:p>
        </w:tc>
        <w:tc>
          <w:tcPr>
            <w:tcW w:type="dxa" w:w="1440"/>
            <w:shd w:fill="FFDCE0" w:val="clear"/>
          </w:tcPr>
          <w:p>
            <w:r>
              <w:rPr>
                <w:sz w:val="17"/>
              </w:rPr>
              <w:t>9,150</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5,977</w:t>
            </w:r>
          </w:p>
        </w:tc>
        <w:tc>
          <w:tcPr>
            <w:tcW w:type="dxa" w:w="1440"/>
            <w:shd w:fill="FFDCE0" w:val="clear"/>
          </w:tcPr>
          <w:p>
            <w:r>
              <w:rPr>
                <w:b/>
                <w:sz w:val="17"/>
              </w:rPr>
              <w:t>7,543</w:t>
            </w:r>
          </w:p>
        </w:tc>
        <w:tc>
          <w:tcPr>
            <w:tcW w:type="dxa" w:w="1440"/>
            <w:shd w:fill="FFDCE0" w:val="clear"/>
          </w:tcPr>
          <w:p>
            <w:r>
              <w:rPr>
                <w:sz w:val="17"/>
              </w:rPr>
              <w:t>9,110</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5,792</w:t>
            </w:r>
          </w:p>
        </w:tc>
        <w:tc>
          <w:tcPr>
            <w:tcW w:type="dxa" w:w="1440"/>
            <w:shd w:fill="FFDCE0" w:val="clear"/>
          </w:tcPr>
          <w:p>
            <w:r>
              <w:rPr>
                <w:b/>
                <w:sz w:val="17"/>
              </w:rPr>
              <w:t>7,429</w:t>
            </w:r>
          </w:p>
        </w:tc>
        <w:tc>
          <w:tcPr>
            <w:tcW w:type="dxa" w:w="1440"/>
            <w:shd w:fill="FFDCE0" w:val="clear"/>
          </w:tcPr>
          <w:p>
            <w:r>
              <w:rPr>
                <w:sz w:val="17"/>
              </w:rPr>
              <w:t>9,065</w:t>
            </w:r>
          </w:p>
        </w:tc>
        <w:tc>
          <w:tcPr>
            <w:tcW w:type="dxa" w:w="1440"/>
            <w:shd w:fill="FFDCE0" w:val="clear"/>
          </w:tcPr>
          <w:p>
            <w:r>
              <w:rPr>
                <w:b/>
                <w:color w:val="C00000"/>
                <w:sz w:val="17"/>
              </w:rPr>
              <w:t>-12.6%</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5,619</w:t>
            </w:r>
          </w:p>
        </w:tc>
        <w:tc>
          <w:tcPr>
            <w:tcW w:type="dxa" w:w="1440"/>
            <w:shd w:fill="FFDCE0" w:val="clear"/>
          </w:tcPr>
          <w:p>
            <w:r>
              <w:rPr>
                <w:b/>
                <w:sz w:val="17"/>
              </w:rPr>
              <w:t>7,318</w:t>
            </w:r>
          </w:p>
        </w:tc>
        <w:tc>
          <w:tcPr>
            <w:tcW w:type="dxa" w:w="1440"/>
            <w:shd w:fill="FFDCE0" w:val="clear"/>
          </w:tcPr>
          <w:p>
            <w:r>
              <w:rPr>
                <w:sz w:val="17"/>
              </w:rPr>
              <w:t>9,017</w:t>
            </w:r>
          </w:p>
        </w:tc>
        <w:tc>
          <w:tcPr>
            <w:tcW w:type="dxa" w:w="1440"/>
            <w:shd w:fill="FFDCE0" w:val="clear"/>
          </w:tcPr>
          <w:p>
            <w:r>
              <w:rPr>
                <w:b/>
                <w:color w:val="C00000"/>
                <w:sz w:val="17"/>
              </w:rPr>
              <w:t>-13.9%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SICOR s'établit à 5,10 milliards FCFA, un niveau modeste qui la place parmi les petites capitalisations de la BRVM, ce qui implique une liquidité limitée et une sensibilité accrue aux mouvements de faible volume. Les ratios de valorisation classiques (BPA, PER, P/B, EV/EBITDA) ne sont pas calculables en l'état, faute de données financières structurées récentes et fiables dans la base de données (les derniers états financiers exploitables remontant à 2023-2024). Cette absence de ratios empêche toute comparaison directe avec la moyenne du marché BRVM (PER moyen ~8-12x) et prive l'investisseur d'un repère objectif de sous- ou surévaluation. Il convient donc de se référer aux données fondamentales narratives (Partie 3) pour apprécier la valorisation relative, en gardant à l'esprit que le cours actuel de 8 495 FCFA intègre déjà une forte anticipation haussière.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exceptionnelle de +101,30%, avec un cours actuel de 8 495 FCFA et une variation nulle lors de la dernière séance (J-1 : +0,00%), signe d'une pause dans le mouvement. Le range de trading est très large, oscillant entre un plus bas de 3 985 FCFA et un plus haut de 10 200 FCFA, soit un écart de plus de 155%, ce qui traduit une tendance générale nettement haussière mais ponctuée de corrections violentes. Les statistiques descriptives révèlent une moyenne de 5 773 FCFA supérieure à la médiane de 4 908 FCFA, confirmant une distribution asymétrique tirée vers le haut par les récents sommets ; le mode à 4 380 FCFA indique que le prix a longtemps stagné autour de ce niveau avant l'envolée. L'écart-type de 1 801 FCFA (CV = 31,2%) témoigne d'une dispersion élevée du cours, tandis que le kurtosis de -0,516 (mésokurtique) suggère une distribution proche de la normale, sans pics extrêmes fréquents, et le skewness de +0,965 (asymétrie positive) indique que les journées sous la moyenne sont plus nombreuses mais compensées par des hausses marquées. La volatilité annualisée de 58,2% classe ce titre dans la catégorie à volatilité élevée (&gt;30%), ce qui implique un risque de perte en capital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(8 562,25 FCFA) et la MM50 (7 141,0 FCFA) sont toutes deux inférieures au cours actuel (8 495 FCFA), avec la MM20 au-dessus de la MM50, configurant un croisement haussier classique. Cette configuration confirme la dynamique positive de court et moyen terme, justifiant la décision d'**Achat** émise par cet indicateur.</w:t>
      </w:r>
    </w:p>
    <w:p>
      <w:pPr>
        <w:spacing w:after="120" w:line="276" w:lineRule="auto"/>
      </w:pPr>
      <w:r>
        <w:t>**Bandes de Bollinger** : Le cours (8 495 FCFA) se situe entre la borne inférieure (7 205,05 FCFA) et la borne supérieure (9 919,45 FCFA), plus proche de la borne haute, ce qui reflète une volatilité élevée déjà captée par l'écart-type. La décision **Neutre** s'explique par l'absence de signal extrême (ni suracheté ni survente) et une position médiane dans le canal.</w:t>
      </w:r>
    </w:p>
    <w:p>
      <w:pPr>
        <w:spacing w:after="120" w:line="276" w:lineRule="auto"/>
      </w:pPr>
      <w:r>
        <w:t>**MACD** : La valeur du MACD (294,12) est inférieure à son signal (388,56), générant un croisement baissier et un momentum négatif. Cette divergence indique un essoufflement de la tendance haussière à court terme, justifiant la décision de **Vente**.</w:t>
      </w:r>
    </w:p>
    <w:p>
      <w:pPr>
        <w:spacing w:after="120" w:line="276" w:lineRule="auto"/>
      </w:pPr>
      <w:r>
        <w:t>**RSI** : À 64,16, le RSI se situe dans la zone neutre (30-70) mais proche du seuil de surachat (70), sans y être entré. La décision **Neutre** reflète une absence de signal fort, bien que la proximité du seuil appelle à la vigilance.</w:t>
      </w:r>
    </w:p>
    <w:p>
      <w:pPr>
        <w:spacing w:after="120" w:line="276" w:lineRule="auto"/>
      </w:pPr>
      <w:r>
        <w:t>**Stochastique** : Le %K (99,29) est très proche de son maximum et au-dessus du %D (89,72), signalant une condition de surachat extrême. Cette configuration précède souvent une correction, justifiant la décision de **Vente**.</w:t>
      </w:r>
    </w:p>
    <w:p>
      <w:pPr>
        <w:spacing w:after="120" w:line="276" w:lineRule="auto"/>
      </w:pPr>
      <w:r>
        <w:t>**Conclusion technique** : Les indicateurs sont divergents : les moyennes mobiles confirment la tendance haussière de fond, mais le MACD et le stochastique émettent des signaux baissiers à court terme, tandis que le RSI et les Bollinger restent neutres. Cette divergence suggère un essoufflement du mouvement haussier et un risque de correction imminente, ce qui plaide pour une prudence accrue malgré la tendance de fond positive.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récentes ne sont pas disponibles dans la base, mais les rapports narratifs officiels fournissent des informations précieuses. Selon le rapport annuel 2023 (analysé par MISTRAL le 15/03/2026), la SICOR a réalisé un chiffre d'affaires de 701,09 millions FCFA en 2023, en baisse de 38,4% par rapport aux 1 138,17 millions FCFA de 2022. Le résultat net est redevenu positif à +19,25 millions FCFA, contre une perte de -39,95 millions FCFA en 2022, marquant un retour à la profitabilité après deux années de pertes. La marge nette s'établit à 2,75%, encore inférieure à la moyenne sectorielle (5-10%), et les pertes cumulées de 689,86 millions FCFA empêchent toute distribution de dividende, conformément à l'Acte Uniforme OHADA. Le rapport 2022 (analysé par MISTRAL le 15/03/2026) indiquait un chiffre d'affaires de 1 138,17 millions FCFA (-17,58% vs 2021) et une perte nette de -39,95 millions FCFA, avec une marge nette de -3,51%. Le rapport 2021 (analysé par MISTRAL) faisait état d'un bénéfice net de 119,2 millions FCFA, mais soutenu par des reprises de provisions non récurrentes (+66 millions FCFA), avec un chiffre d'affaires en chute de 41% à 1,38 milliard FCFA. Les rapports plus anciens (2015-2017) montrent une société historiquement profitable (résultat net de 434,87 millions FCFA en 2015, 100,57 millions en 2017), mais avec une dégradation progressive des marges. L'analyse de l'évolution temporelle révèle une entreprise cyclique et fragile, dont la rentabilité dépend de la maîtrise des coûts et de la stabilisation des volumes de production, dans un contexte de vols de noix de coco et de concurrence accrue. La recommandation fondamentale est de **CONSERVER avec vigilance**, en surveillant la résorption des pertes cumulées et la reprise durable du chiffre d'affaires.</w:t>
      </w:r>
    </w:p>
    <w:p>
      <w:pPr>
        <w:spacing w:after="120" w:line="276" w:lineRule="auto"/>
      </w:pPr>
      <w:r>
        <w:t>---</w:t>
      </w:r>
    </w:p>
    <w:p>
      <w:pPr>
        <w:spacing w:after="120" w:line="276" w:lineRule="auto"/>
      </w:pPr>
      <w:r>
        <w:t>### **PARTIE 4 : CONCLUSION D'INVESTISSEMENT**</w:t>
      </w:r>
    </w:p>
    <w:p>
      <w:pPr>
        <w:spacing w:after="120" w:line="276" w:lineRule="auto"/>
      </w:pPr>
      <w:r>
        <w:t>La valorisation (Partie 0) ne peut être appréciée faute de ratios calculables, mais la capitalisation modeste de 5,10 milliards FCFA suggère une potentielle sous-évaluation si la rentabilité se confirme. Le comportement du cours (Partie 1) est exceptionnellement haussier (+101,30% sur 100 jours) mais accompagné d'une volatilité élevée (58,2%) et d'une asymétrie positive, ce qui indique un risque de correction après la forte progression. Les signaux techniques (Partie 2) sont divergents : les moyennes mobiles confirment la tendance haussière, mais le MACD et le stochastique émettent des signaux baissiers, tandis que le RSI et les Bollinger restent neutres, plaidant pour une consolidation imminente. Les fondamentaux (Partie 3) montrent une entreprise en redressement fragile (retour à un bénéfice de 19,25 millions FCFA en 2023, mais pertes cumulées de 689,86 millions FCFA et absence de dividende), avec des perspectives incertaines. Les prédictions IA (J+1 à J+10) anticipent une baisse progressive de 8 365 FCFA à 7 909 FCFA, confirmant les signaux baissiers techniques et contredisant la tendance haussière récente. Sur la base de cette synthèse, la recommandation finale est **CONSERVER** (avec un biais baissier à court terme), car la convergence entre les signaux techniques baissiers, les prédictions IA à la baisse et la fragilité fondamentale l'emporte sur la dynamique haussière passée. Le niveau de confiance est **Moyen** (données fondamentales anciennes et divergences techniques) et le niveau de risque global est **Élevé** (volatilité de 58,2%, faible liquidité, pertes cumulées). L'horizon d'investissement optimal est **court terme (&lt;3 mois)** pour profiter d'un éventuel rebond technique, ou **long terme (&gt;1 an)** pour miser sur le redressement fondamental, en évitant le moyen terme qui coïncide avec la correction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5,489 titres</w:t>
            </w:r>
          </w:p>
        </w:tc>
        <w:tc>
          <w:tcPr>
            <w:tcW w:type="dxa" w:w="2268"/>
            <w:shd w:fill="FFF2CC" w:val="clear"/>
          </w:tcPr>
          <w:p>
            <w:r>
              <w:rPr>
                <w:b/>
                <w:color w:val="503200"/>
                <w:sz w:val="16"/>
              </w:rPr>
              <w:t xml:space="preserve">Cours actuel : </w:t>
            </w:r>
            <w:r>
              <w:rPr>
                <w:color w:val="000000"/>
                <w:sz w:val="17"/>
              </w:rPr>
              <w:t>2,265 FCFA</w:t>
            </w:r>
          </w:p>
          <w:p>
            <w:r>
              <w:rPr>
                <w:b/>
                <w:color w:val="503200"/>
                <w:sz w:val="16"/>
              </w:rPr>
              <w:t xml:space="preserve">Var. 100 jours : </w:t>
            </w:r>
            <w:r>
              <w:rPr>
                <w:b/>
                <w:color w:val="B40000"/>
                <w:sz w:val="17"/>
              </w:rPr>
              <w:t>-15.96%</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10.45% (Moyenne) — μ=2,528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β=0.3577 (Défensif) — Cov=0.000012, Var(idx)=0.000034, ρ=0.067,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2,184</w:t>
            </w:r>
          </w:p>
        </w:tc>
        <w:tc>
          <w:tcPr>
            <w:tcW w:type="dxa" w:w="1440"/>
            <w:shd w:fill="FAFAFA" w:val="clear"/>
          </w:tcPr>
          <w:p>
            <w:r>
              <w:rPr>
                <w:b/>
                <w:sz w:val="17"/>
              </w:rPr>
              <w:t>2,286</w:t>
            </w:r>
          </w:p>
        </w:tc>
        <w:tc>
          <w:tcPr>
            <w:tcW w:type="dxa" w:w="1440"/>
            <w:shd w:fill="FAFAFA" w:val="clear"/>
          </w:tcPr>
          <w:p>
            <w:r>
              <w:rPr>
                <w:sz w:val="17"/>
              </w:rPr>
              <w:t>2,388</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2,128</w:t>
            </w:r>
          </w:p>
        </w:tc>
        <w:tc>
          <w:tcPr>
            <w:tcW w:type="dxa" w:w="1440"/>
            <w:shd w:fill="FAFAFA" w:val="clear"/>
          </w:tcPr>
          <w:p>
            <w:r>
              <w:rPr>
                <w:b/>
                <w:sz w:val="17"/>
              </w:rPr>
              <w:t>2,271</w:t>
            </w:r>
          </w:p>
        </w:tc>
        <w:tc>
          <w:tcPr>
            <w:tcW w:type="dxa" w:w="1440"/>
            <w:shd w:fill="FAFAFA" w:val="clear"/>
          </w:tcPr>
          <w:p>
            <w:r>
              <w:rPr>
                <w:sz w:val="17"/>
              </w:rPr>
              <w:t>2,413</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2,082</w:t>
            </w:r>
          </w:p>
        </w:tc>
        <w:tc>
          <w:tcPr>
            <w:tcW w:type="dxa" w:w="1440"/>
            <w:shd w:fill="FAFAFA" w:val="clear"/>
          </w:tcPr>
          <w:p>
            <w:r>
              <w:rPr>
                <w:b/>
                <w:sz w:val="17"/>
              </w:rPr>
              <w:t>2,256</w:t>
            </w:r>
          </w:p>
        </w:tc>
        <w:tc>
          <w:tcPr>
            <w:tcW w:type="dxa" w:w="1440"/>
            <w:shd w:fill="FAFAFA" w:val="clear"/>
          </w:tcPr>
          <w:p>
            <w:r>
              <w:rPr>
                <w:sz w:val="17"/>
              </w:rPr>
              <w:t>2,430</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2,042</w:t>
            </w:r>
          </w:p>
        </w:tc>
        <w:tc>
          <w:tcPr>
            <w:tcW w:type="dxa" w:w="1440"/>
            <w:shd w:fill="FAFAFA" w:val="clear"/>
          </w:tcPr>
          <w:p>
            <w:r>
              <w:rPr>
                <w:b/>
                <w:sz w:val="17"/>
              </w:rPr>
              <w:t>2,242</w:t>
            </w:r>
          </w:p>
        </w:tc>
        <w:tc>
          <w:tcPr>
            <w:tcW w:type="dxa" w:w="1440"/>
            <w:shd w:fill="FAFAFA" w:val="clear"/>
          </w:tcPr>
          <w:p>
            <w:r>
              <w:rPr>
                <w:sz w:val="17"/>
              </w:rPr>
              <w:t>2,441</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2,006</w:t>
            </w:r>
          </w:p>
        </w:tc>
        <w:tc>
          <w:tcPr>
            <w:tcW w:type="dxa" w:w="1440"/>
            <w:shd w:fill="FAFAFA" w:val="clear"/>
          </w:tcPr>
          <w:p>
            <w:r>
              <w:rPr>
                <w:b/>
                <w:sz w:val="17"/>
              </w:rPr>
              <w:t>2,228</w:t>
            </w:r>
          </w:p>
        </w:tc>
        <w:tc>
          <w:tcPr>
            <w:tcW w:type="dxa" w:w="1440"/>
            <w:shd w:fill="FAFAFA" w:val="clear"/>
          </w:tcPr>
          <w:p>
            <w:r>
              <w:rPr>
                <w:sz w:val="17"/>
              </w:rPr>
              <w:t>2,450</w:t>
            </w:r>
          </w:p>
        </w:tc>
        <w:tc>
          <w:tcPr>
            <w:tcW w:type="dxa" w:w="1440"/>
            <w:shd w:fill="FAFAFA" w:val="clear"/>
          </w:tcPr>
          <w:p>
            <w:r>
              <w:rPr>
                <w:b/>
                <w:color w:val="C00000"/>
                <w:sz w:val="17"/>
              </w:rPr>
              <w:t>-1.6%</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1,973</w:t>
            </w:r>
          </w:p>
        </w:tc>
        <w:tc>
          <w:tcPr>
            <w:tcW w:type="dxa" w:w="1440"/>
            <w:shd w:fill="FFDCE0" w:val="clear"/>
          </w:tcPr>
          <w:p>
            <w:r>
              <w:rPr>
                <w:b/>
                <w:sz w:val="17"/>
              </w:rPr>
              <w:t>2,214</w:t>
            </w:r>
          </w:p>
        </w:tc>
        <w:tc>
          <w:tcPr>
            <w:tcW w:type="dxa" w:w="1440"/>
            <w:shd w:fill="FFDCE0" w:val="clear"/>
          </w:tcPr>
          <w:p>
            <w:r>
              <w:rPr>
                <w:sz w:val="17"/>
              </w:rPr>
              <w:t>2,456</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1,942</w:t>
            </w:r>
          </w:p>
        </w:tc>
        <w:tc>
          <w:tcPr>
            <w:tcW w:type="dxa" w:w="1440"/>
            <w:shd w:fill="FFDCE0" w:val="clear"/>
          </w:tcPr>
          <w:p>
            <w:r>
              <w:rPr>
                <w:b/>
                <w:sz w:val="17"/>
              </w:rPr>
              <w:t>2,201</w:t>
            </w:r>
          </w:p>
        </w:tc>
        <w:tc>
          <w:tcPr>
            <w:tcW w:type="dxa" w:w="1440"/>
            <w:shd w:fill="FFDCE0" w:val="clear"/>
          </w:tcPr>
          <w:p>
            <w:r>
              <w:rPr>
                <w:sz w:val="17"/>
              </w:rPr>
              <w:t>2,460</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1,913</w:t>
            </w:r>
          </w:p>
        </w:tc>
        <w:tc>
          <w:tcPr>
            <w:tcW w:type="dxa" w:w="1440"/>
            <w:shd w:fill="FFDCE0" w:val="clear"/>
          </w:tcPr>
          <w:p>
            <w:r>
              <w:rPr>
                <w:b/>
                <w:sz w:val="17"/>
              </w:rPr>
              <w:t>2,188</w:t>
            </w:r>
          </w:p>
        </w:tc>
        <w:tc>
          <w:tcPr>
            <w:tcW w:type="dxa" w:w="1440"/>
            <w:shd w:fill="FFDCE0" w:val="clear"/>
          </w:tcPr>
          <w:p>
            <w:r>
              <w:rPr>
                <w:sz w:val="17"/>
              </w:rPr>
              <w:t>2,464</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1,885</w:t>
            </w:r>
          </w:p>
        </w:tc>
        <w:tc>
          <w:tcPr>
            <w:tcW w:type="dxa" w:w="1440"/>
            <w:shd w:fill="FFDCE0" w:val="clear"/>
          </w:tcPr>
          <w:p>
            <w:r>
              <w:rPr>
                <w:b/>
                <w:sz w:val="17"/>
              </w:rPr>
              <w:t>2,175</w:t>
            </w:r>
          </w:p>
        </w:tc>
        <w:tc>
          <w:tcPr>
            <w:tcW w:type="dxa" w:w="1440"/>
            <w:shd w:fill="FFDCE0" w:val="clear"/>
          </w:tcPr>
          <w:p>
            <w:r>
              <w:rPr>
                <w:sz w:val="17"/>
              </w:rPr>
              <w:t>2,466</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1,858</w:t>
            </w:r>
          </w:p>
        </w:tc>
        <w:tc>
          <w:tcPr>
            <w:tcW w:type="dxa" w:w="1440"/>
            <w:shd w:fill="FFDCE0" w:val="clear"/>
          </w:tcPr>
          <w:p>
            <w:r>
              <w:rPr>
                <w:b/>
                <w:sz w:val="17"/>
              </w:rPr>
              <w:t>2,163</w:t>
            </w:r>
          </w:p>
        </w:tc>
        <w:tc>
          <w:tcPr>
            <w:tcW w:type="dxa" w:w="1440"/>
            <w:shd w:fill="FFDCE0" w:val="clear"/>
          </w:tcPr>
          <w:p>
            <w:r>
              <w:rPr>
                <w:sz w:val="17"/>
              </w:rPr>
              <w:t>2,467</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*Bourse Régionale des Valeurs Mobilières (BRVM) — Secteur : Gaz Industriels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19,78 Mds FCFA, SIVC (désormais ERIUM CI) se situe dans la catégorie des valeurs moyennes de la BRVM, ce qui la rend accessible aux investisseurs institutionnels comme particuliers. Le BPA de 43 FCFA/action indique que chaque titre génère 43 FCFA de bénéfice net, un niveau modeste qui reflète la faible marge nette de l'entreprise. Le PER de 52,5x est très élevé comparé à la moyenne du marché BRVM (8-12x), signalant que les investisseurs paient une prime spéculative très forte par rapport aux bénéfices actuels — une prudence s'impose. Le P/B de 6,05x (largement supérieur à 4x) montre que le marché valorise l'action à plus de 6 fois sa valeur comptable, ce qui est exigeant et suggère une anticipation de croissance future non encore matérialisée dans les comptes. Enfin, l'EV/EBITDA de 16,7x (&gt;15x) confirme que la valeur totale de l'entreprise (dette incluse) est chèrement valorisée par rapport à sa capacité opérationnelle, renforçant le caractère spéculatif de la valorisation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-15,96%, avec une chute marquée de -5,62% lors de la dernière séance (J-1), traduisant une pression vendeuse récente et un net affaiblissement du momentum. Le cours actuel de 2 265 FCFA se situe dans la partie basse du range de trading, le plus haut ayant atteint 2 875 FCFA et le plus bas 1 920 FCFA, soit un écart de 955 FCFA (environ 50% du plus bas) qui témoigne d'une forte amplitude. La tendance générale est clairement baissière sur la période, le cours s'étant replié de près de 16% malgré une moyenne de 2 528 FCFA et une médiane de 2 438 FCFA — l'écart de 90 FCFA entre moyenne et médiane indique une légère asymétrie négative, les valeurs extrêmes basses tirant la moyenne vers le bas. L'écart-type de 266 FCFA avec un coefficient de variation de 10,5% révèle une dispersion modérée du cours autour de sa moyenne, tandis que le kurtosis de -1,296 (distribution platykurtique) signale une distribution aplatie avec une faible concentration autour du mode (2 400 FCFA) et un risque de pics moins prononcé. Le skewness de -0,127 confirme une distribution quasi-symétrique avec une très légère queue à gauche, sans biais directionnel marqué. La volatilité annualisée de 49,8% classe le titre dans la catégorie des valeurs à volatilité élevée (&gt;30%), ce qui implique un risque significatif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(2 359,5 FCFA) et la MM50 (2 292,2 FCFA) se situent toutes deux au-dessus du cours actuel (2 265 FCFA), ce qui place le titre en position de faiblesse relative. Cependant, la MM20 étant supérieure à la MM50, la configuration reste haussière de fond, ce qui justifie la décision "Achat" malgré la pression baissière immédiate — le cours évolue sous ses moyennes, ce qui constitue un signal de prudence à court terme.</w:t>
      </w:r>
    </w:p>
    <w:p>
      <w:pPr>
        <w:spacing w:after="120" w:line="276" w:lineRule="auto"/>
      </w:pPr>
      <w:r>
        <w:t>**Bandes de Bollinger** : Le cours actuel (2 265 FCFA) se situe juste au-dessus de la borne inférieure (2 274,5 FCFA), ce qui indique une position proche de la zone de survente et une volatilité contenue dans le canal. La décision "Achat" est justifiée par cette proximité de la borne basse, qui historiquement peut précéder un rebond technique, mais la largeur des bandes (2444,5 - 2274,5) suggère une volatilité modérée à court terme.</w:t>
      </w:r>
    </w:p>
    <w:p>
      <w:pPr>
        <w:spacing w:after="120" w:line="276" w:lineRule="auto"/>
      </w:pPr>
      <w:r>
        <w:t>**MACD** : La valeur du MACD (-2,369) est nettement inférieure à son signal (5,613), générant une divergence baissière marquée qui traduit un momentum négatif persistant. La décision "Vente" est cohérente avec cette configuration, le MACD étant en territoire négatif et sous son signal, ce qui indique que la pression vendeuse pourrait se poursuivre à court terme.</w:t>
      </w:r>
    </w:p>
    <w:p>
      <w:pPr>
        <w:spacing w:after="120" w:line="276" w:lineRule="auto"/>
      </w:pPr>
      <w:r>
        <w:t>**RSI** : À 41,481, le RSI se situe dans la zone neutre (30-70), sans signal de surachat ni de survente. La décision "Neutre" reflète l'absence de signal directionnel fort, le titre n'étant ni survendu ni suracheté, ce qui laisse la porte ouverte à une poursuite de la tendance actuelle sans excès.</w:t>
      </w:r>
    </w:p>
    <w:p>
      <w:pPr>
        <w:spacing w:after="120" w:line="276" w:lineRule="auto"/>
      </w:pPr>
      <w:r>
        <w:t>**Stochastique** : Le %K à 0,0 et le %D à 26,667 indiquent que le %K est en zone de survente extrême, bien en dessous du %D, ce qui génère un signal "Achat" par croisement potentiel. Cette configuration suggère qu'un rebond technique pourrait se produire à court terme, le %K étant à son plus bas niveau, ce qui limite le potentiel de baisse immédiate.</w:t>
      </w:r>
    </w:p>
    <w:p>
      <w:pPr>
        <w:spacing w:after="120" w:line="276" w:lineRule="auto"/>
      </w:pPr>
      <w:r>
        <w:t>**Conclusion technique** : Les indicateurs techniques présentent une divergence notable : les moyennes mobiles et les bandes de Bollinger suggèrent un potentiel de rebond (décision "Achat"), tandis que le MACD confirme une dynamique baissière persistante (décision "Vente"). Le RSI neutre et le stochastique en survente extrême plaident pour une stabilisation voire un rebond à court terme, mais la faiblesse du cours sous ses moyennes mobiles et la divergence baissière du MACD incitent à la prudence. La convergence partielle des signaux suggère une phase de consolidation avant une éventuelle reprise, avec un risque de poursuite de la baisse si le cours ne parvient pas à se maintenir au-dessus de 2 265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2024)** : En 2024, ERIUM CI (ex-SIVC) a réalisé un chiffre d'affaires (CA/PNB) de 9,283 Mds FCFA, en croissance de 9,05% par rapport à 2023, avec un résultat net de 376,96 M FCFA, soit une marge nette de 4,06%. Le ROE s'établit à 11,52% (inférieur au seuil de 15% considéré comme excellent) et le ROA à 2,69%, reflétant une rentabilité des actifs modérée. Le coefficient d'exploitation de 95,83% est très élevé (très supérieur au seuil de 60% pour une banque efficace), ce qui indique une structure de coûts lourde et une faible efficacité opérationnelle. Le coût du risque de 3,10% (provisions/charges financières) est significatif et traduit un risque de crédit non négligeable. La structure financière est fragile : l'autonomie financière de 23,34% est inférieure au seuil de 30%, le ratio d'endettement de 80,09% est élevé, et la trésorerie nette est négative à -2,143 Mds FCFA, exposant l'entreprise à un risque de liquidité. Le BFR est négatif à -1,740 Mds FCFA (positif pour la trésorerie), mais le fonds de roulement est également négatif à -3,883 Mds FCFA, ce qui est préoccupant.</w:t>
      </w:r>
    </w:p>
    <w:p>
      <w:pPr>
        <w:spacing w:after="120" w:line="276" w:lineRule="auto"/>
      </w:pPr>
      <w:r>
        <w:t>**Estimations basées sur les rapports trimestriels** : Le rapport du S1 2025 (publié le 30/06/2025) indique un CA de 4 897,5 M FCFA (+8,8%) et un résultat net de 512,9 M FCFA (+4,6%), avec une marge nette de 10,5% — nettement supérieure à celle de 2024. Le rapport du T3 2025 (publié en 2025) confirme cette dynamique avec un CA cumulé de 7 584,7 M FCFA (+13%) et un résultat net de 832,5 M FCFA (+58%), soit une marge nette de 11,0%. Sur la base de ces tendances, on estime que l'exercice 2025 devrait afficher un CA annuel d'environ 10,07 Mds FCFA (+8,5%) et un résultat net d'environ 179,3 M FCFA (en baisse de 52,4% par rapport à 2024), selon le rapport annuel 2025 (date 2026-12-31). Cette divergence entre la croissance du CA et la chute du résultat net s'explique par une forte augmentation des charges d'exploitation et une dégradation du résultat financier (passé d'un gain de 316 M FCFA à une perte de -114 M FCFA). Le rapport annuel 2025 (analysé le 29/06/2026) confirme cette dégradation avec une marge nette de 1,78% et des capitaux propres en baisse à 2 526 M FCFA.</w:t>
      </w:r>
    </w:p>
    <w:p>
      <w:pPr>
        <w:spacing w:after="120" w:line="276" w:lineRule="auto"/>
      </w:pPr>
      <w:r>
        <w:t>**Évolution pluriannuelle** : Les rapports antérieurs (2019-2020) montrent une entreprise en difficulté chronique, avec des pertes nettes en 2019 (-26,5 M FCFA) et 2020 (T1 : -84,3 M FCFA ; T3 : -241,7 M FCFA), avant un redressement progressif. La période 2024-2025 marque une reprise de la croissance du CA, mais la rentabilité reste fragile et la structure financière (endettement élevé, trésorerie négative) demeure un point de vulnérabilité majeur.</w:t>
      </w:r>
    </w:p>
    <w:p>
      <w:pPr>
        <w:spacing w:after="120" w:line="276" w:lineRule="auto"/>
      </w:pPr>
      <w:r>
        <w:t>**Recommandation fondamentale** : La société présente un profil de croissance (CA en hausse) mais une rentabilité en forte dégradation et une structure financière fragile (endettement élevé, trésorerie négative, capitaux propres en baisse). Le rapport annuel 2025 (date 2026-12-31) recommande "CONSERVER" avec surveillance, en raison du paradoxe entre croissance et rentabilité. Les risques identifiés incluent la poursuite de la baisse du résultat net, un endettement élevé et une trésorerie négative. Les perspectives pour 2026 dépendront de la capacité de la direction à maîtriser ses charges et à améliorer sa rentabilité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SIVC (PER de 52,5x, P/B de 6,05x, EV/EBITDA de 16,7x) indique une surévaluation manifeste par rapport aux bénéfices et à la valeur comptable, avec une prime spéculative très élevée qui ne semble pas justifiée par les fondamentaux actuels. Le comportement du cours sur 100 jours est baissier (-15,96%), avec une volatilité élevée (49,8%) et une distribution platykurtique (kurtosis -1,296) qui suggère un risque de mouvements erratiques, tandis que le skewness quasi-symétrique (-0,127) n'indique pas de biais directionnel fort. Les signaux techniques sont divergents : les moyennes mobiles et les bandes de Bollinger suggèrent un potentiel de rebond, mais le MACD confirme une dynamique baissière, le RSI est neutre et le stochastique en survente extrême plaide pour une stabilisation à court terme. Les fondamentaux sont préoccupants : malgré une croissance du CA (+8,5% en 2025), le résultat net a chuté de 52,4% à 179,3 M FCFA, la marge nette s'est effondrée à 1,78%, et la structure financière reste fragile (endettement élevé, trésorerie négative). Les prédictions IA (J+1 à J+10) anticipent une poursuite de la baisse vers 2 228 FCFA d'ici le 21/09/2026, ce qui contredit les signaux d'achat techniques et confirme la pression baissière. Sur la base de cette synthèse globale, la recommandation finale est **CONSERVER** (avec surveillance), en raison de la divergence entre une valorisation surévaluée, des fondamentaux dégradés et des signaux techniques mitigés. Le niveau de confiance est **Moyen** (les signaux sont contradictoires) et le niveau de risque global est **Élevé** (volatilité élevée, endettement, trésorerie négative). L'horizon d'investissement optimal est **moyen terme (3-12 mois)**, en attendant les résultats du prochain exercice pour évaluer si la direction parvient à inverser la tendance sur la rentabilité et à assainir sa structure financière. Un nouvel investisseur devrait attendre des signaux plus clairs avant d'acheter, tandis qu'un investisseur existant devrait conserver ses titres en surveillant l'évolution des marges et de la trésorerie.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1,324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-3.04%</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2.42% (Faible) — μ=38,257 FCFA, σ=927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β=0.1811 (Défensif) — Cov=0.000006, Var(idx)=0.000034, ρ=0.058,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37,626</w:t>
            </w:r>
          </w:p>
        </w:tc>
        <w:tc>
          <w:tcPr>
            <w:tcW w:type="dxa" w:w="1440"/>
            <w:shd w:fill="FAFAFA" w:val="clear"/>
          </w:tcPr>
          <w:p>
            <w:r>
              <w:rPr>
                <w:b/>
                <w:sz w:val="17"/>
              </w:rPr>
              <w:t>38,581</w:t>
            </w:r>
          </w:p>
        </w:tc>
        <w:tc>
          <w:tcPr>
            <w:tcW w:type="dxa" w:w="1440"/>
            <w:shd w:fill="FAFAFA" w:val="clear"/>
          </w:tcPr>
          <w:p>
            <w:r>
              <w:rPr>
                <w:sz w:val="17"/>
              </w:rPr>
              <w:t>39,536</w:t>
            </w:r>
          </w:p>
        </w:tc>
        <w:tc>
          <w:tcPr>
            <w:tcW w:type="dxa" w:w="1440"/>
            <w:shd w:fill="FAFAFA" w:val="clear"/>
          </w:tcPr>
          <w:p>
            <w:r>
              <w:rPr>
                <w:b/>
                <w:color w:val="008000"/>
                <w:sz w:val="17"/>
              </w:rPr>
              <w:t>+1.5%</w:t>
            </w:r>
          </w:p>
        </w:tc>
      </w:tr>
      <w:tr>
        <w:tc>
          <w:tcPr>
            <w:tcW w:type="dxa" w:w="1440"/>
            <w:shd w:fill="C6EFCE" w:val="clear"/>
          </w:tcPr>
          <w:p>
            <w:r>
              <w:rPr>
                <w:sz w:val="17"/>
              </w:rPr>
              <w:t>J+2  ⭐⭐⭐</w:t>
            </w:r>
          </w:p>
        </w:tc>
        <w:tc>
          <w:tcPr>
            <w:tcW w:type="dxa" w:w="1440"/>
            <w:shd w:fill="C6EFCE" w:val="clear"/>
          </w:tcPr>
          <w:p>
            <w:r>
              <w:rPr>
                <w:sz w:val="17"/>
              </w:rPr>
              <w:t>2026-09-16</w:t>
            </w:r>
          </w:p>
        </w:tc>
        <w:tc>
          <w:tcPr>
            <w:tcW w:type="dxa" w:w="1440"/>
            <w:shd w:fill="C6EFCE" w:val="clear"/>
          </w:tcPr>
          <w:p>
            <w:r>
              <w:rPr>
                <w:sz w:val="17"/>
              </w:rPr>
              <w:t>37,499</w:t>
            </w:r>
          </w:p>
        </w:tc>
        <w:tc>
          <w:tcPr>
            <w:tcW w:type="dxa" w:w="1440"/>
            <w:shd w:fill="C6EFCE" w:val="clear"/>
          </w:tcPr>
          <w:p>
            <w:r>
              <w:rPr>
                <w:b/>
                <w:sz w:val="17"/>
              </w:rPr>
              <w:t>38,860</w:t>
            </w:r>
          </w:p>
        </w:tc>
        <w:tc>
          <w:tcPr>
            <w:tcW w:type="dxa" w:w="1440"/>
            <w:shd w:fill="C6EFCE" w:val="clear"/>
          </w:tcPr>
          <w:p>
            <w:r>
              <w:rPr>
                <w:sz w:val="17"/>
              </w:rPr>
              <w:t>40,220</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2026-09-17</w:t>
            </w:r>
          </w:p>
        </w:tc>
        <w:tc>
          <w:tcPr>
            <w:tcW w:type="dxa" w:w="1440"/>
            <w:shd w:fill="C6EFCE" w:val="clear"/>
          </w:tcPr>
          <w:p>
            <w:r>
              <w:rPr>
                <w:sz w:val="17"/>
              </w:rPr>
              <w:t>37,511</w:t>
            </w:r>
          </w:p>
        </w:tc>
        <w:tc>
          <w:tcPr>
            <w:tcW w:type="dxa" w:w="1440"/>
            <w:shd w:fill="C6EFCE" w:val="clear"/>
          </w:tcPr>
          <w:p>
            <w:r>
              <w:rPr>
                <w:b/>
                <w:sz w:val="17"/>
              </w:rPr>
              <w:t>39,192</w:t>
            </w:r>
          </w:p>
        </w:tc>
        <w:tc>
          <w:tcPr>
            <w:tcW w:type="dxa" w:w="1440"/>
            <w:shd w:fill="C6EFCE" w:val="clear"/>
          </w:tcPr>
          <w:p>
            <w:r>
              <w:rPr>
                <w:sz w:val="17"/>
              </w:rPr>
              <w:t>40,872</w:t>
            </w:r>
          </w:p>
        </w:tc>
        <w:tc>
          <w:tcPr>
            <w:tcW w:type="dxa" w:w="1440"/>
            <w:shd w:fill="C6EFCE" w:val="clear"/>
          </w:tcPr>
          <w:p>
            <w:r>
              <w:rPr>
                <w:b/>
                <w:color w:val="008000"/>
                <w:sz w:val="17"/>
              </w:rPr>
              <w:t>+3.1%</w:t>
            </w:r>
          </w:p>
        </w:tc>
      </w:tr>
      <w:tr>
        <w:tc>
          <w:tcPr>
            <w:tcW w:type="dxa" w:w="1440"/>
            <w:shd w:fill="C6EFCE" w:val="clear"/>
          </w:tcPr>
          <w:p>
            <w:r>
              <w:rPr>
                <w:sz w:val="17"/>
              </w:rPr>
              <w:t>J+4  Moyenne</w:t>
            </w:r>
          </w:p>
        </w:tc>
        <w:tc>
          <w:tcPr>
            <w:tcW w:type="dxa" w:w="1440"/>
            <w:shd w:fill="C6EFCE" w:val="clear"/>
          </w:tcPr>
          <w:p>
            <w:r>
              <w:rPr>
                <w:sz w:val="17"/>
              </w:rPr>
              <w:t>2026-09-18</w:t>
            </w:r>
          </w:p>
        </w:tc>
        <w:tc>
          <w:tcPr>
            <w:tcW w:type="dxa" w:w="1440"/>
            <w:shd w:fill="C6EFCE" w:val="clear"/>
          </w:tcPr>
          <w:p>
            <w:r>
              <w:rPr>
                <w:sz w:val="17"/>
              </w:rPr>
              <w:t>37,571</w:t>
            </w:r>
          </w:p>
        </w:tc>
        <w:tc>
          <w:tcPr>
            <w:tcW w:type="dxa" w:w="1440"/>
            <w:shd w:fill="C6EFCE" w:val="clear"/>
          </w:tcPr>
          <w:p>
            <w:r>
              <w:rPr>
                <w:b/>
                <w:sz w:val="17"/>
              </w:rPr>
              <w:t>39,528</w:t>
            </w:r>
          </w:p>
        </w:tc>
        <w:tc>
          <w:tcPr>
            <w:tcW w:type="dxa" w:w="1440"/>
            <w:shd w:fill="C6EFCE" w:val="clear"/>
          </w:tcPr>
          <w:p>
            <w:r>
              <w:rPr>
                <w:sz w:val="17"/>
              </w:rPr>
              <w:t>41,485</w:t>
            </w:r>
          </w:p>
        </w:tc>
        <w:tc>
          <w:tcPr>
            <w:tcW w:type="dxa" w:w="1440"/>
            <w:shd w:fill="C6EFCE" w:val="clear"/>
          </w:tcPr>
          <w:p>
            <w:r>
              <w:rPr>
                <w:b/>
                <w:color w:val="008000"/>
                <w:sz w:val="17"/>
              </w:rPr>
              <w:t>+4.0%</w:t>
            </w:r>
          </w:p>
        </w:tc>
      </w:tr>
      <w:tr>
        <w:tc>
          <w:tcPr>
            <w:tcW w:type="dxa" w:w="1440"/>
            <w:shd w:fill="C6EFCE" w:val="clear"/>
          </w:tcPr>
          <w:p>
            <w:r>
              <w:rPr>
                <w:sz w:val="17"/>
              </w:rPr>
              <w:t>J+5  Moyenne</w:t>
            </w:r>
          </w:p>
        </w:tc>
        <w:tc>
          <w:tcPr>
            <w:tcW w:type="dxa" w:w="1440"/>
            <w:shd w:fill="C6EFCE" w:val="clear"/>
          </w:tcPr>
          <w:p>
            <w:r>
              <w:rPr>
                <w:sz w:val="17"/>
              </w:rPr>
              <w:t>2026-09-21</w:t>
            </w:r>
          </w:p>
        </w:tc>
        <w:tc>
          <w:tcPr>
            <w:tcW w:type="dxa" w:w="1440"/>
            <w:shd w:fill="C6EFCE" w:val="clear"/>
          </w:tcPr>
          <w:p>
            <w:r>
              <w:rPr>
                <w:sz w:val="17"/>
              </w:rPr>
              <w:t>37,651</w:t>
            </w:r>
          </w:p>
        </w:tc>
        <w:tc>
          <w:tcPr>
            <w:tcW w:type="dxa" w:w="1440"/>
            <w:shd w:fill="C6EFCE" w:val="clear"/>
          </w:tcPr>
          <w:p>
            <w:r>
              <w:rPr>
                <w:b/>
                <w:sz w:val="17"/>
              </w:rPr>
              <w:t>39,858</w:t>
            </w:r>
          </w:p>
        </w:tc>
        <w:tc>
          <w:tcPr>
            <w:tcW w:type="dxa" w:w="1440"/>
            <w:shd w:fill="C6EFCE" w:val="clear"/>
          </w:tcPr>
          <w:p>
            <w:r>
              <w:rPr>
                <w:sz w:val="17"/>
              </w:rPr>
              <w:t>42,064</w:t>
            </w:r>
          </w:p>
        </w:tc>
        <w:tc>
          <w:tcPr>
            <w:tcW w:type="dxa" w:w="1440"/>
            <w:shd w:fill="C6EFCE" w:val="clear"/>
          </w:tcPr>
          <w:p>
            <w:r>
              <w:rPr>
                <w:b/>
                <w:color w:val="008000"/>
                <w:sz w:val="17"/>
              </w:rPr>
              <w:t>+4.9%</w:t>
            </w:r>
          </w:p>
        </w:tc>
      </w:tr>
      <w:tr>
        <w:tc>
          <w:tcPr>
            <w:tcW w:type="dxa" w:w="1440"/>
            <w:shd w:fill="C6EFCE" w:val="clear"/>
          </w:tcPr>
          <w:p>
            <w:r>
              <w:rPr>
                <w:sz w:val="17"/>
              </w:rPr>
              <w:t>J+6  Moyenne</w:t>
            </w:r>
          </w:p>
        </w:tc>
        <w:tc>
          <w:tcPr>
            <w:tcW w:type="dxa" w:w="1440"/>
            <w:shd w:fill="C6EFCE" w:val="clear"/>
          </w:tcPr>
          <w:p>
            <w:r>
              <w:rPr>
                <w:sz w:val="17"/>
              </w:rPr>
              <w:t>2026-09-22</w:t>
            </w:r>
          </w:p>
        </w:tc>
        <w:tc>
          <w:tcPr>
            <w:tcW w:type="dxa" w:w="1440"/>
            <w:shd w:fill="C6EFCE" w:val="clear"/>
          </w:tcPr>
          <w:p>
            <w:r>
              <w:rPr>
                <w:sz w:val="17"/>
              </w:rPr>
              <w:t>37,744</w:t>
            </w:r>
          </w:p>
        </w:tc>
        <w:tc>
          <w:tcPr>
            <w:tcW w:type="dxa" w:w="1440"/>
            <w:shd w:fill="C6EFCE" w:val="clear"/>
          </w:tcPr>
          <w:p>
            <w:r>
              <w:rPr>
                <w:b/>
                <w:sz w:val="17"/>
              </w:rPr>
              <w:t>40,180</w:t>
            </w:r>
          </w:p>
        </w:tc>
        <w:tc>
          <w:tcPr>
            <w:tcW w:type="dxa" w:w="1440"/>
            <w:shd w:fill="C6EFCE" w:val="clear"/>
          </w:tcPr>
          <w:p>
            <w:r>
              <w:rPr>
                <w:sz w:val="17"/>
              </w:rPr>
              <w:t>42,617</w:t>
            </w:r>
          </w:p>
        </w:tc>
        <w:tc>
          <w:tcPr>
            <w:tcW w:type="dxa" w:w="1440"/>
            <w:shd w:fill="C6EFCE" w:val="clear"/>
          </w:tcPr>
          <w:p>
            <w:r>
              <w:rPr>
                <w:b/>
                <w:color w:val="008000"/>
                <w:sz w:val="17"/>
              </w:rPr>
              <w:t>+5.7%</w:t>
            </w:r>
          </w:p>
        </w:tc>
      </w:tr>
      <w:tr>
        <w:tc>
          <w:tcPr>
            <w:tcW w:type="dxa" w:w="1440"/>
            <w:shd w:fill="C6EFCE" w:val="clear"/>
          </w:tcPr>
          <w:p>
            <w:r>
              <w:rPr>
                <w:sz w:val="17"/>
              </w:rPr>
              <w:t>J+7  Moyenne</w:t>
            </w:r>
          </w:p>
        </w:tc>
        <w:tc>
          <w:tcPr>
            <w:tcW w:type="dxa" w:w="1440"/>
            <w:shd w:fill="C6EFCE" w:val="clear"/>
          </w:tcPr>
          <w:p>
            <w:r>
              <w:rPr>
                <w:sz w:val="17"/>
              </w:rPr>
              <w:t>2026-09-23</w:t>
            </w:r>
          </w:p>
        </w:tc>
        <w:tc>
          <w:tcPr>
            <w:tcW w:type="dxa" w:w="1440"/>
            <w:shd w:fill="C6EFCE" w:val="clear"/>
          </w:tcPr>
          <w:p>
            <w:r>
              <w:rPr>
                <w:sz w:val="17"/>
              </w:rPr>
              <w:t>37,845</w:t>
            </w:r>
          </w:p>
        </w:tc>
        <w:tc>
          <w:tcPr>
            <w:tcW w:type="dxa" w:w="1440"/>
            <w:shd w:fill="C6EFCE" w:val="clear"/>
          </w:tcPr>
          <w:p>
            <w:r>
              <w:rPr>
                <w:b/>
                <w:sz w:val="17"/>
              </w:rPr>
              <w:t>40,497</w:t>
            </w:r>
          </w:p>
        </w:tc>
        <w:tc>
          <w:tcPr>
            <w:tcW w:type="dxa" w:w="1440"/>
            <w:shd w:fill="C6EFCE" w:val="clear"/>
          </w:tcPr>
          <w:p>
            <w:r>
              <w:rPr>
                <w:sz w:val="17"/>
              </w:rPr>
              <w:t>43,149</w:t>
            </w:r>
          </w:p>
        </w:tc>
        <w:tc>
          <w:tcPr>
            <w:tcW w:type="dxa" w:w="1440"/>
            <w:shd w:fill="C6EFCE" w:val="clear"/>
          </w:tcPr>
          <w:p>
            <w:r>
              <w:rPr>
                <w:b/>
                <w:color w:val="008000"/>
                <w:sz w:val="17"/>
              </w:rPr>
              <w:t>+6.6%</w:t>
            </w:r>
          </w:p>
        </w:tc>
      </w:tr>
      <w:tr>
        <w:tc>
          <w:tcPr>
            <w:tcW w:type="dxa" w:w="1440"/>
            <w:shd w:fill="C6EFCE" w:val="clear"/>
          </w:tcPr>
          <w:p>
            <w:r>
              <w:rPr>
                <w:sz w:val="17"/>
              </w:rPr>
              <w:t>J+8  Moyenne</w:t>
            </w:r>
          </w:p>
        </w:tc>
        <w:tc>
          <w:tcPr>
            <w:tcW w:type="dxa" w:w="1440"/>
            <w:shd w:fill="C6EFCE" w:val="clear"/>
          </w:tcPr>
          <w:p>
            <w:r>
              <w:rPr>
                <w:sz w:val="17"/>
              </w:rPr>
              <w:t>2026-09-24</w:t>
            </w:r>
          </w:p>
        </w:tc>
        <w:tc>
          <w:tcPr>
            <w:tcW w:type="dxa" w:w="1440"/>
            <w:shd w:fill="C6EFCE" w:val="clear"/>
          </w:tcPr>
          <w:p>
            <w:r>
              <w:rPr>
                <w:sz w:val="17"/>
              </w:rPr>
              <w:t>37,951</w:t>
            </w:r>
          </w:p>
        </w:tc>
        <w:tc>
          <w:tcPr>
            <w:tcW w:type="dxa" w:w="1440"/>
            <w:shd w:fill="C6EFCE" w:val="clear"/>
          </w:tcPr>
          <w:p>
            <w:r>
              <w:rPr>
                <w:b/>
                <w:sz w:val="17"/>
              </w:rPr>
              <w:t>40,808</w:t>
            </w:r>
          </w:p>
        </w:tc>
        <w:tc>
          <w:tcPr>
            <w:tcW w:type="dxa" w:w="1440"/>
            <w:shd w:fill="C6EFCE" w:val="clear"/>
          </w:tcPr>
          <w:p>
            <w:r>
              <w:rPr>
                <w:sz w:val="17"/>
              </w:rPr>
              <w:t>43,665</w:t>
            </w:r>
          </w:p>
        </w:tc>
        <w:tc>
          <w:tcPr>
            <w:tcW w:type="dxa" w:w="1440"/>
            <w:shd w:fill="C6EFCE" w:val="clear"/>
          </w:tcPr>
          <w:p>
            <w:r>
              <w:rPr>
                <w:b/>
                <w:color w:val="008000"/>
                <w:sz w:val="17"/>
              </w:rPr>
              <w:t>+7.4%</w:t>
            </w:r>
          </w:p>
        </w:tc>
      </w:tr>
      <w:tr>
        <w:tc>
          <w:tcPr>
            <w:tcW w:type="dxa" w:w="1440"/>
            <w:shd w:fill="C6EFCE" w:val="clear"/>
          </w:tcPr>
          <w:p>
            <w:r>
              <w:rPr>
                <w:sz w:val="17"/>
              </w:rPr>
              <w:t>J+9  Moyenne</w:t>
            </w:r>
          </w:p>
        </w:tc>
        <w:tc>
          <w:tcPr>
            <w:tcW w:type="dxa" w:w="1440"/>
            <w:shd w:fill="C6EFCE" w:val="clear"/>
          </w:tcPr>
          <w:p>
            <w:r>
              <w:rPr>
                <w:sz w:val="17"/>
              </w:rPr>
              <w:t>2026-09-25</w:t>
            </w:r>
          </w:p>
        </w:tc>
        <w:tc>
          <w:tcPr>
            <w:tcW w:type="dxa" w:w="1440"/>
            <w:shd w:fill="C6EFCE" w:val="clear"/>
          </w:tcPr>
          <w:p>
            <w:r>
              <w:rPr>
                <w:sz w:val="17"/>
              </w:rPr>
              <w:t>38,062</w:t>
            </w:r>
          </w:p>
        </w:tc>
        <w:tc>
          <w:tcPr>
            <w:tcW w:type="dxa" w:w="1440"/>
            <w:shd w:fill="C6EFCE" w:val="clear"/>
          </w:tcPr>
          <w:p>
            <w:r>
              <w:rPr>
                <w:b/>
                <w:sz w:val="17"/>
              </w:rPr>
              <w:t>41,115</w:t>
            </w:r>
          </w:p>
        </w:tc>
        <w:tc>
          <w:tcPr>
            <w:tcW w:type="dxa" w:w="1440"/>
            <w:shd w:fill="C6EFCE" w:val="clear"/>
          </w:tcPr>
          <w:p>
            <w:r>
              <w:rPr>
                <w:sz w:val="17"/>
              </w:rPr>
              <w:t>44,168</w:t>
            </w:r>
          </w:p>
        </w:tc>
        <w:tc>
          <w:tcPr>
            <w:tcW w:type="dxa" w:w="1440"/>
            <w:shd w:fill="C6EFCE" w:val="clear"/>
          </w:tcPr>
          <w:p>
            <w:r>
              <w:rPr>
                <w:b/>
                <w:color w:val="008000"/>
                <w:sz w:val="17"/>
              </w:rPr>
              <w:t>+8.2%</w:t>
            </w:r>
          </w:p>
        </w:tc>
      </w:tr>
      <w:tr>
        <w:tc>
          <w:tcPr>
            <w:tcW w:type="dxa" w:w="1440"/>
            <w:shd w:fill="C6EFCE" w:val="clear"/>
          </w:tcPr>
          <w:p>
            <w:r>
              <w:rPr>
                <w:sz w:val="17"/>
              </w:rPr>
              <w:t>J+10  Moyenne</w:t>
            </w:r>
          </w:p>
        </w:tc>
        <w:tc>
          <w:tcPr>
            <w:tcW w:type="dxa" w:w="1440"/>
            <w:shd w:fill="C6EFCE" w:val="clear"/>
          </w:tcPr>
          <w:p>
            <w:r>
              <w:rPr>
                <w:sz w:val="17"/>
              </w:rPr>
              <w:t>2026-09-28</w:t>
            </w:r>
          </w:p>
        </w:tc>
        <w:tc>
          <w:tcPr>
            <w:tcW w:type="dxa" w:w="1440"/>
            <w:shd w:fill="C6EFCE" w:val="clear"/>
          </w:tcPr>
          <w:p>
            <w:r>
              <w:rPr>
                <w:sz w:val="17"/>
              </w:rPr>
              <w:t>38,175</w:t>
            </w:r>
          </w:p>
        </w:tc>
        <w:tc>
          <w:tcPr>
            <w:tcW w:type="dxa" w:w="1440"/>
            <w:shd w:fill="C6EFCE" w:val="clear"/>
          </w:tcPr>
          <w:p>
            <w:r>
              <w:rPr>
                <w:b/>
                <w:sz w:val="17"/>
              </w:rPr>
              <w:t>41,418</w:t>
            </w:r>
          </w:p>
        </w:tc>
        <w:tc>
          <w:tcPr>
            <w:tcW w:type="dxa" w:w="1440"/>
            <w:shd w:fill="C6EFCE" w:val="clear"/>
          </w:tcPr>
          <w:p>
            <w:r>
              <w:rPr>
                <w:sz w:val="17"/>
              </w:rPr>
              <w:t>44,660</w:t>
            </w:r>
          </w:p>
        </w:tc>
        <w:tc>
          <w:tcPr>
            <w:tcW w:type="dxa" w:w="1440"/>
            <w:shd w:fill="C6EFCE" w:val="clear"/>
          </w:tcPr>
          <w:p>
            <w:r>
              <w:rPr>
                <w:b/>
                <w:color w:val="008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toutes premières capitalisations de la BRVM, un statut de « blue chip » qui reflète la solidité de son bilan et sa position dominante dans le secteur des boissons en Côte d'Ivoire. Le BPA de 2 781 FCFA par action signifie que chaque titre génère près de 2 800 FCFA de bénéfice net, un niveau de rentabilité par action remarquablement élevé. Le PER de 13,7x situe le titre légèrement au-dessus de la moyenne du marché BRVM (8-12x), ce qui traduit une prime de qualité justifiée par la croissance exceptionnelle des bénéfices (+113% en 2025), mais qui n'atteint pas des niveaux de surévaluation manifeste. Le P/B de 3,21x indique que le marché valorise l'entreprise à plus de trois fois sa valeur comptable, une prime de croissance cohérente avec un ROE de 23,46% qui dépasse largement le coût des fonds propres. Enfin, l'EV/EBITDA de 7,4x apparaît raisonnable dans la fourchette 5-10x, suggérant que la valeur totale de l'entreprise (incluant la dette) reste proportionnée à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-3,04%, avec une légère reprise de +0,25% lors de la dernière séance (J-1), portant le cours actuel à 38 000 FCFA. Le range de trading s'établit entre un plus haut de 41 500 FCFA et un plus bas de 35 540 FCFA, soit un écart de près de 6 000 FCFA (environ 16,8% du cours actuel), traduisant une tendance générale baissière modérée mais avec des oscillations significatives. Les statistiques descriptives révèlent une moyenne de 38 257 FCFA très proche de la médiane (38 000 FCFA) et du mode (38 000 FCFA), ce qui indique une distribution quasi-symétrique sans biais directionnel marqué ; le skewness de 0,421 confirme cette symétrie selon l'interprétation fournie. L'écart-type de 931 FCFA avec un coefficient de variation de seulement 2,4% témoigne d'une dispersion très faible du cours autour de sa moyenne, signe d'un titre relativement stable et peu agité. Le kurtosis de 0,628 (mésokurtique) suggère une distribution proche de la normale, sans risque excessif de pics extrêmes. La volatilité annualisée de 29,0% positionne SLBC dans la catégorie des titres à volatilité modérée (15-30%), ce qui est cohérent avec son statut de valeur de rendement stable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37 697 FCFA et la MM50 à 38 314 FCFA, le cours actuel (38 000 FCFA) se situant au-dessus de la MM20 mais en dessous de la MM50. Cette configuration indique une pression baissière de moyen terme, la MM50 agissant comme résistance. La décision technique est « Vente », confirmée par le croisement baissier potentiel entre les deux moyennes.</w:t>
      </w:r>
    </w:p>
    <w:p>
      <w:pPr>
        <w:spacing w:after="120" w:line="276" w:lineRule="auto"/>
      </w:pPr>
      <w:r>
        <w:t>**Bandes de Bollinger** : La borne supérieure est à 38 396 FCFA et la borne inférieure à 36 998 FCFA, avec le cours actuel (38 000 FCFA) positionné dans la partie médiane-haute du canal. L'amplitude des bandes (1 398 FCFA) reflète une volatilité contenue. La décision est « Neutre », le cours n'étant ni en zone de surachat ni de survente technique.</w:t>
      </w:r>
    </w:p>
    <w:p>
      <w:pPr>
        <w:spacing w:after="120" w:line="276" w:lineRule="auto"/>
      </w:pPr>
      <w:r>
        <w:t>**MACD** : La valeur du MACD (-44,995) est supérieure à son signal (-128,862), générant un croisement haussier avec un histogramme positif. Cette divergence positive indique un momentum en amélioration malgré un territoire négatif. La décision est « Achat », le MACD signalant un retournement potentiel à la hausse.</w:t>
      </w:r>
    </w:p>
    <w:p>
      <w:pPr>
        <w:spacing w:after="120" w:line="276" w:lineRule="auto"/>
      </w:pPr>
      <w:r>
        <w:t>**RSI** : À 56,0, le RSI se situe en zone neutre (30-70), sans signal de surachat ni de survente. Cette valeur médiane indique un équilibre entre acheteurs et vendeurs, sans pression directionnelle forte. La décision est « Neutre ».</w:t>
      </w:r>
    </w:p>
    <w:p>
      <w:pPr>
        <w:spacing w:after="120" w:line="276" w:lineRule="auto"/>
      </w:pPr>
      <w:r>
        <w:t>**Stochastique** : Le %K à 100,0 et le %D à 93,5 placent l'indicateur en zone de surachat extrême, avec un %K au maximum de son échelle. Cette configuration suggère une probabilité élevée de correction à court terme. La décision est « Vente », le stochastique signalant un épuisement de la dynamique haussière récente.</w:t>
      </w:r>
    </w:p>
    <w:p>
      <w:pPr>
        <w:spacing w:after="120" w:line="276" w:lineRule="auto"/>
      </w:pPr>
      <w:r>
        <w:t>**Conclusion technique** : Les indicateurs présentent une divergence notable : le MACD génère un signal d'achat (croisement haussier) tandis que les moyennes mobiles et le stochastique recommandent la vente. Le RSI et les Bandes de Bollinger restent neutres. Cette configuration mitigée suggère une phase de consolidation incertaine, avec un potentiel de rebond technique à court terme (MACD) mais une pression baissière persistante de moyen terme (MM50, stochastique en surachat).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spectaculaire de +22,08% par rapport aux 309,722 milliards de 2024, portée par une augmentation des volumes distribués et un mix prix favorable. Le résultat net a plus que doublé, passant de 21,472 milliards en 2024 à 45,781 milliards FCFA en 2025 (+113%), avec une marge nette qui s'améliore de 6,9% à 12,1%. Les ratios de rentabilité sont exceptionnels : le ROE atteint 23,46% (largement supérieur au seuil de 15% considéré comme excellent) et le ROA s'établit à 13,48%, témoignant d'une utilisation très efficace des actifs. La structure financière est saine avec une autonomie financière de 57,48%, un ratio d'endettement maîtrisé de 42,52% et une capacité de remboursement de seulement 0,67 année de CAF. Concernant le besoin en fonds de roulement, le BFR s'élève à 61,587 milliards FCFA, avec un délai clients de 64,27 jours (risque de trésorerie modéré) et un délai fournisseurs de 76,82 jours (favorable à la trésorerie), tandis que la durée de stockage de 117,32 jours mérite une surveillance. Le rapport du T1 2026 (publié le 20 mai 2026) confirme la dynamique avec un CA de 93,46 milliards FCFA (+7,6%) et un résultat net de 16,26 milliards FCFA (+4,8%), soit une marge nette de 17,4% ; sur cette base, on estime que l'exercice 2026 devrait maintenir une croissance à deux chiffres, bien qu'à un rythme plus modéré que 2025. Le rapport annuel 2025 (analysé le 20 mai 2026) souligne la générosité de la politique de dividende avec un payout de 76,5% (2 127 FCFA/action proposés), offrant un rendement attractif mais limitant la capacité d'autofinancement. Les risques identifiés incluent la dépendance aux matières premières (90 milliards FCFA d'achats exposés à la volatilité), la concentration géographique sur le marché ivoirien et la soutenabilité de la croissance après une année exceptionnelle. La recommandation fondamentale est **ACHAT**, justifiée par des fondamentaux solides, une rentabilité exceptionnelle et une génération de cash-flow robuste (Free Cash Flow de 60,867 milliards FCFA).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(Partie 0) apparaît raisonnable avec un PER de 13,7x légèrement supérieur à la moyenne BRVM mais justifié par la croissance des bénéfices, un P/B de 3,21x cohérent avec un ROE de 23,46%, et un EV/EBITDA de 7,4x dans la fourchette normale. Le comportement du cours (Partie 1) révèle une tendance baissière modérée (-3,04% sur 100 jours) avec une volatilité modérée (29%) et des statistiques descriptives rassurantes (distribution symétrique, kurtosis normal, CV faible de 2,4%), indiquant un titre stable sans risque excessif de pics. Les signaux techniques (Partie 2) sont divergents : le MACD génère un signal d'achat tandis que les moyennes mobiles et le stochastique recommandent la vente, le RSI et les Bollinger restant neutres — cette configuration suggère une phase de consolidation avec un potentiel de rebond technique à court terme mais une pression baissière persistante. Les fondamentaux (Partie 3) sont exceptionnels : croissance du CA de +22% en 2025, doublement du résultat net, ROE de 23,46%, structure financière saine et dividende attractif de 2 127 FCFA/action, avec une estimation de poursuite de la croissance en 2026 sur la base du T1 (+7,6% de CA). Les prédictions IA (J+1 à J+10) anticipent une trajectoire haussière progressive de 38 581 FCFA à 39 858 FCFA (+4,9% sur 10 jours), confirmant le signal d'achat du MACD et contredisant la pression baissière des moyennes mobiles. Sur la base de cette synthèse globale, la recommandation finale est **ACHAT**, avec un niveau de confiance **Moyen** (la divergence technique tempère l'optimisme fondamental) et un niveau de risque global **Moyen** (volatilité modérée, dépendance aux matières premières, soutenabilité de la croissance). L'horizon d'investissement optimal est le **moyen terme (3-12 mois)**, permettant de capturer la poursuite de la croissance bénéficiaire et le rendement du dividende, tout en laissant le temps aux indicateurs techniques de converger vers une tendance haussière confirmée.</w:t>
      </w:r>
    </w:p>
    <w:p>
      <w:pPr>
        <w:spacing w:after="120" w:line="276" w:lineRule="auto"/>
      </w:pPr>
      <w:r>
        <w:t>---</w:t>
      </w:r>
    </w:p>
    <w:p>
      <w:pPr>
        <w:spacing w:after="120" w:line="276" w:lineRule="auto"/>
      </w:pPr>
      <w:r>
        <w:t>*Rapport généré le 14 septembre 2026 — Sources : BRVM, états financiers SOLIBRA 2025, rapports trimestriels T1 2026, analyses fondamentales officielles.*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142.65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1,568 titres</w:t>
            </w:r>
          </w:p>
        </w:tc>
        <w:tc>
          <w:tcPr>
            <w:tcW w:type="dxa" w:w="2268"/>
            <w:shd w:fill="FFF2CC" w:val="clear"/>
          </w:tcPr>
          <w:p>
            <w:r>
              <w:rPr>
                <w:b/>
                <w:color w:val="503200"/>
                <w:sz w:val="16"/>
              </w:rPr>
              <w:t xml:space="preserve">Cours actuel : </w:t>
            </w:r>
            <w:r>
              <w:rPr>
                <w:color w:val="000000"/>
                <w:sz w:val="17"/>
              </w:rPr>
              <w:t>18,300 FCFA</w:t>
            </w:r>
          </w:p>
          <w:p>
            <w:r>
              <w:rPr>
                <w:b/>
                <w:color w:val="503200"/>
                <w:sz w:val="16"/>
              </w:rPr>
              <w:t xml:space="preserve">Var. 100 jours : </w:t>
            </w:r>
            <w:r>
              <w:rPr>
                <w:b/>
                <w:color w:val="007800"/>
                <w:sz w:val="17"/>
              </w:rPr>
              <w:t>+58.65%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13.88% (Moyenne) — μ=15,306 FCFA, σ=2,125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β=-0.7545 (Contre-cyclique) — Cov=-0.000026, Var(idx)=0.000034, ρ=-0.195,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17,788</w:t>
            </w:r>
          </w:p>
        </w:tc>
        <w:tc>
          <w:tcPr>
            <w:tcW w:type="dxa" w:w="1440"/>
            <w:shd w:fill="FAFAFA" w:val="clear"/>
          </w:tcPr>
          <w:p>
            <w:r>
              <w:rPr>
                <w:b/>
                <w:sz w:val="17"/>
              </w:rPr>
              <w:t>18,191</w:t>
            </w:r>
          </w:p>
        </w:tc>
        <w:tc>
          <w:tcPr>
            <w:tcW w:type="dxa" w:w="1440"/>
            <w:shd w:fill="FAFAFA" w:val="clear"/>
          </w:tcPr>
          <w:p>
            <w:r>
              <w:rPr>
                <w:sz w:val="17"/>
              </w:rPr>
              <w:t>18,593</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17,588</w:t>
            </w:r>
          </w:p>
        </w:tc>
        <w:tc>
          <w:tcPr>
            <w:tcW w:type="dxa" w:w="1440"/>
            <w:shd w:fill="FAFAFA" w:val="clear"/>
          </w:tcPr>
          <w:p>
            <w:r>
              <w:rPr>
                <w:b/>
                <w:sz w:val="17"/>
              </w:rPr>
              <w:t>18,156</w:t>
            </w:r>
          </w:p>
        </w:tc>
        <w:tc>
          <w:tcPr>
            <w:tcW w:type="dxa" w:w="1440"/>
            <w:shd w:fill="FAFAFA" w:val="clear"/>
          </w:tcPr>
          <w:p>
            <w:r>
              <w:rPr>
                <w:sz w:val="17"/>
              </w:rPr>
              <w:t>18,724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17,428</w:t>
            </w:r>
          </w:p>
        </w:tc>
        <w:tc>
          <w:tcPr>
            <w:tcW w:type="dxa" w:w="1440"/>
            <w:shd w:fill="FAFAFA" w:val="clear"/>
          </w:tcPr>
          <w:p>
            <w:r>
              <w:rPr>
                <w:b/>
                <w:sz w:val="17"/>
              </w:rPr>
              <w:t>18,122</w:t>
            </w:r>
          </w:p>
        </w:tc>
        <w:tc>
          <w:tcPr>
            <w:tcW w:type="dxa" w:w="1440"/>
            <w:shd w:fill="FAFAFA" w:val="clear"/>
          </w:tcPr>
          <w:p>
            <w:r>
              <w:rPr>
                <w:sz w:val="17"/>
              </w:rPr>
              <w:t>18,816</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2026-09-18</w:t>
            </w:r>
          </w:p>
        </w:tc>
        <w:tc>
          <w:tcPr>
            <w:tcW w:type="dxa" w:w="1440"/>
            <w:shd w:fill="FAFAFA" w:val="clear"/>
          </w:tcPr>
          <w:p>
            <w:r>
              <w:rPr>
                <w:sz w:val="17"/>
              </w:rPr>
              <w:t>17,292</w:t>
            </w:r>
          </w:p>
        </w:tc>
        <w:tc>
          <w:tcPr>
            <w:tcW w:type="dxa" w:w="1440"/>
            <w:shd w:fill="FAFAFA" w:val="clear"/>
          </w:tcPr>
          <w:p>
            <w:r>
              <w:rPr>
                <w:b/>
                <w:sz w:val="17"/>
              </w:rPr>
              <w:t>18,093</w:t>
            </w:r>
          </w:p>
        </w:tc>
        <w:tc>
          <w:tcPr>
            <w:tcW w:type="dxa" w:w="1440"/>
            <w:shd w:fill="FAFAFA" w:val="clear"/>
          </w:tcPr>
          <w:p>
            <w:r>
              <w:rPr>
                <w:sz w:val="17"/>
              </w:rPr>
              <w:t>18,893</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2026-09-21</w:t>
            </w:r>
          </w:p>
        </w:tc>
        <w:tc>
          <w:tcPr>
            <w:tcW w:type="dxa" w:w="1440"/>
            <w:shd w:fill="FAFAFA" w:val="clear"/>
          </w:tcPr>
          <w:p>
            <w:r>
              <w:rPr>
                <w:sz w:val="17"/>
              </w:rPr>
              <w:t>17,172</w:t>
            </w:r>
          </w:p>
        </w:tc>
        <w:tc>
          <w:tcPr>
            <w:tcW w:type="dxa" w:w="1440"/>
            <w:shd w:fill="FAFAFA" w:val="clear"/>
          </w:tcPr>
          <w:p>
            <w:r>
              <w:rPr>
                <w:b/>
                <w:sz w:val="17"/>
              </w:rPr>
              <w:t>18,065</w:t>
            </w:r>
          </w:p>
        </w:tc>
        <w:tc>
          <w:tcPr>
            <w:tcW w:type="dxa" w:w="1440"/>
            <w:shd w:fill="FAFAFA" w:val="clear"/>
          </w:tcPr>
          <w:p>
            <w:r>
              <w:rPr>
                <w:sz w:val="17"/>
              </w:rPr>
              <w:t>18,958</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2026-09-22</w:t>
            </w:r>
          </w:p>
        </w:tc>
        <w:tc>
          <w:tcPr>
            <w:tcW w:type="dxa" w:w="1440"/>
            <w:shd w:fill="FAFAFA" w:val="clear"/>
          </w:tcPr>
          <w:p>
            <w:r>
              <w:rPr>
                <w:sz w:val="17"/>
              </w:rPr>
              <w:t>17,061</w:t>
            </w:r>
          </w:p>
        </w:tc>
        <w:tc>
          <w:tcPr>
            <w:tcW w:type="dxa" w:w="1440"/>
            <w:shd w:fill="FAFAFA" w:val="clear"/>
          </w:tcPr>
          <w:p>
            <w:r>
              <w:rPr>
                <w:b/>
                <w:sz w:val="17"/>
              </w:rPr>
              <w:t>18,038</w:t>
            </w:r>
          </w:p>
        </w:tc>
        <w:tc>
          <w:tcPr>
            <w:tcW w:type="dxa" w:w="1440"/>
            <w:shd w:fill="FAFAFA" w:val="clear"/>
          </w:tcPr>
          <w:p>
            <w:r>
              <w:rPr>
                <w:sz w:val="17"/>
              </w:rPr>
              <w:t>19,015</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2026-09-23</w:t>
            </w:r>
          </w:p>
        </w:tc>
        <w:tc>
          <w:tcPr>
            <w:tcW w:type="dxa" w:w="1440"/>
            <w:shd w:fill="FAFAFA" w:val="clear"/>
          </w:tcPr>
          <w:p>
            <w:r>
              <w:rPr>
                <w:sz w:val="17"/>
              </w:rPr>
              <w:t>16,958</w:t>
            </w:r>
          </w:p>
        </w:tc>
        <w:tc>
          <w:tcPr>
            <w:tcW w:type="dxa" w:w="1440"/>
            <w:shd w:fill="FAFAFA" w:val="clear"/>
          </w:tcPr>
          <w:p>
            <w:r>
              <w:rPr>
                <w:b/>
                <w:sz w:val="17"/>
              </w:rPr>
              <w:t>18,012</w:t>
            </w:r>
          </w:p>
        </w:tc>
        <w:tc>
          <w:tcPr>
            <w:tcW w:type="dxa" w:w="1440"/>
            <w:shd w:fill="FAFAFA" w:val="clear"/>
          </w:tcPr>
          <w:p>
            <w:r>
              <w:rPr>
                <w:sz w:val="17"/>
              </w:rPr>
              <w:t>19,066</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2026-09-24</w:t>
            </w:r>
          </w:p>
        </w:tc>
        <w:tc>
          <w:tcPr>
            <w:tcW w:type="dxa" w:w="1440"/>
            <w:shd w:fill="FAFAFA" w:val="clear"/>
          </w:tcPr>
          <w:p>
            <w:r>
              <w:rPr>
                <w:sz w:val="17"/>
              </w:rPr>
              <w:t>16,861</w:t>
            </w:r>
          </w:p>
        </w:tc>
        <w:tc>
          <w:tcPr>
            <w:tcW w:type="dxa" w:w="1440"/>
            <w:shd w:fill="FAFAFA" w:val="clear"/>
          </w:tcPr>
          <w:p>
            <w:r>
              <w:rPr>
                <w:b/>
                <w:sz w:val="17"/>
              </w:rPr>
              <w:t>17,986</w:t>
            </w:r>
          </w:p>
        </w:tc>
        <w:tc>
          <w:tcPr>
            <w:tcW w:type="dxa" w:w="1440"/>
            <w:shd w:fill="FAFAFA" w:val="clear"/>
          </w:tcPr>
          <w:p>
            <w:r>
              <w:rPr>
                <w:sz w:val="17"/>
              </w:rPr>
              <w:t>19,111</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2026-09-25</w:t>
            </w:r>
          </w:p>
        </w:tc>
        <w:tc>
          <w:tcPr>
            <w:tcW w:type="dxa" w:w="1440"/>
            <w:shd w:fill="FAFAFA" w:val="clear"/>
          </w:tcPr>
          <w:p>
            <w:r>
              <w:rPr>
                <w:sz w:val="17"/>
              </w:rPr>
              <w:t>16,769</w:t>
            </w:r>
          </w:p>
        </w:tc>
        <w:tc>
          <w:tcPr>
            <w:tcW w:type="dxa" w:w="1440"/>
            <w:shd w:fill="FAFAFA" w:val="clear"/>
          </w:tcPr>
          <w:p>
            <w:r>
              <w:rPr>
                <w:b/>
                <w:sz w:val="17"/>
              </w:rPr>
              <w:t>17,960</w:t>
            </w:r>
          </w:p>
        </w:tc>
        <w:tc>
          <w:tcPr>
            <w:tcW w:type="dxa" w:w="1440"/>
            <w:shd w:fill="FAFAFA" w:val="clear"/>
          </w:tcPr>
          <w:p>
            <w:r>
              <w:rPr>
                <w:sz w:val="17"/>
              </w:rPr>
              <w:t>19,152</w:t>
            </w:r>
          </w:p>
        </w:tc>
        <w:tc>
          <w:tcPr>
            <w:tcW w:type="dxa" w:w="1440"/>
            <w:shd w:fill="FAFAFA" w:val="clear"/>
          </w:tcPr>
          <w:p>
            <w:r>
              <w:rPr>
                <w:b/>
                <w:color w:val="C00000"/>
                <w:sz w:val="17"/>
              </w:rPr>
              <w:t>-1.9%</w:t>
            </w:r>
          </w:p>
        </w:tc>
      </w:tr>
      <w:tr>
        <w:tc>
          <w:tcPr>
            <w:tcW w:type="dxa" w:w="1440"/>
            <w:shd w:fill="FAFAFA" w:val="clear"/>
          </w:tcPr>
          <w:p>
            <w:r>
              <w:rPr>
                <w:sz w:val="17"/>
              </w:rPr>
              <w:t>J+10  Moyenne</w:t>
            </w:r>
          </w:p>
        </w:tc>
        <w:tc>
          <w:tcPr>
            <w:tcW w:type="dxa" w:w="1440"/>
            <w:shd w:fill="FAFAFA" w:val="clear"/>
          </w:tcPr>
          <w:p>
            <w:r>
              <w:rPr>
                <w:sz w:val="17"/>
              </w:rPr>
              <w:t>2026-09-28</w:t>
            </w:r>
          </w:p>
        </w:tc>
        <w:tc>
          <w:tcPr>
            <w:tcW w:type="dxa" w:w="1440"/>
            <w:shd w:fill="FAFAFA" w:val="clear"/>
          </w:tcPr>
          <w:p>
            <w:r>
              <w:rPr>
                <w:sz w:val="17"/>
              </w:rPr>
              <w:t>16,681</w:t>
            </w:r>
          </w:p>
        </w:tc>
        <w:tc>
          <w:tcPr>
            <w:tcW w:type="dxa" w:w="1440"/>
            <w:shd w:fill="FAFAFA" w:val="clear"/>
          </w:tcPr>
          <w:p>
            <w:r>
              <w:rPr>
                <w:b/>
                <w:sz w:val="17"/>
              </w:rPr>
              <w:t>17,935</w:t>
            </w:r>
          </w:p>
        </w:tc>
        <w:tc>
          <w:tcPr>
            <w:tcW w:type="dxa" w:w="1440"/>
            <w:shd w:fill="FAFAFA" w:val="clear"/>
          </w:tcPr>
          <w:p>
            <w:r>
              <w:rPr>
                <w:sz w:val="17"/>
              </w:rPr>
              <w:t>19,190</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**142,65 Mds FCFA**, SMBC se positionne comme une valeur de taille intermédiaire sur la BRVM, loin des mastodontes bancaires et télécoms mais suffisamment liquide pour intéresser les investisseurs institutionnels régionaux. Le **BPA de 1 677 FCFA/action** traduit une rentabilité unitaire solide, et le **PER de 10,9x** situe le titre dans la fourchette modérée de la BRVM (moyenne ~8-12x), sans prime excessive mais sans décote flagrante. Le **P/B de 3,32x** indique que le marché valorise l'entreprise à plus de trois fois ses fonds propres comptables (42,9 Mds FCFA), ce qui traduit une prime de croissance et de qualité opérationnelle — justifiée par un ROE de 30,5%. Enfin, l'**EV/EBITDA de 6,9x** (fourchette raisonnable 5-10x) montre que la valeur totale de l'entreprise reste cohérente avec sa capacité opérationnelle à générer du cash, ce qui limite le risque de survalorisation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spectaculaire de +58,65%**, portant le cours à **18 300 FCFA**, avec une dernière séance stable (variation J-1 de 0,00%). Le range de trading est très large, entre un plus bas de **11 450 FCFA** et un plus haut de **18 500 FCFA**, soit une amplitude de plus de 60% qui témoigne d'un net retournement haussier après une phase de consolidation. La tendance générale est donc clairement **haussière**, soutenue par l'amélioration des fondamentaux (résultat net +50,3% en 2025). Les statistiques descriptives révèlent une **moyenne de 15 306 FCFA** inférieure à la **médiane de 16 100 FCFA**, signe d'une asymétrie négative confirmée par le **skewness de -0,624** (plus de journées au-dessus de la moyenne, mais quelques séances de forte baisse tirent la moyenne vers le bas). L'**écart-type de 2 136 FCFA (CV=14,0%)** indique une dispersion modérée du cours, tandis que le **kurtosis de -1,032 (platykurtique)** signale une distribution aplatie, donc un risque de pics extrêmes relativement faible. La **volatilité annualisée de 36,1%** classe le titre en catégorie **élevée (&gt;30%)**, ce qui est cohérent avec un marché frontière peu liquide (volume moyen de seulement 1 568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(17 295,5 FCFA) et la MM50 (16 762,0 FCFA) sont toutes deux nettement inférieures au cours actuel (18 300 FCFA), et la MM20 est au-dessus de la MM50 — configuration haussière classique en « golden cross ». Cette disposition confirme la dynamique positive et justifie la décision **Achat**.</w:t>
      </w:r>
    </w:p>
    <w:p>
      <w:pPr>
        <w:spacing w:after="120" w:line="276" w:lineRule="auto"/>
      </w:pPr>
      <w:r>
        <w:t>**Bandes de Bollinger** : Le cours (18 300 FCFA) évolue très près de la borne supérieure (18 552 FCFA) et loin de la borne inférieure (16 039 FCFA), ce qui traduit une pression acheteuse soutenue mais aussi un risque de surachat à court terme. La décision est **Neutre**, car le cours frôle la bande haute sans la dépasser franchement.</w:t>
      </w:r>
    </w:p>
    <w:p>
      <w:pPr>
        <w:spacing w:after="120" w:line="276" w:lineRule="auto"/>
      </w:pPr>
      <w:r>
        <w:t>**MACD** : La valeur du MACD (475,3) est supérieure à son signal (366,7), avec un histogramme positif — le momentum haussier est confirmé et l'écart entre les deux lignes reste favorable. La décision **Achat** est cohérente avec cette configuration.</w:t>
      </w:r>
    </w:p>
    <w:p>
      <w:pPr>
        <w:spacing w:after="120" w:line="276" w:lineRule="auto"/>
      </w:pPr>
      <w:r>
        <w:t>**RSI** : À **80,49**, le RSI est en zone de **surachat** (&gt;70), ce qui signale une possible correction à court terme après la forte hausse. La décision **Vente** reflète ce risque de repli technique.</w:t>
      </w:r>
    </w:p>
    <w:p>
      <w:pPr>
        <w:spacing w:after="120" w:line="276" w:lineRule="auto"/>
      </w:pPr>
      <w:r>
        <w:t>**Stochastique** : Avec %K=85,7 et %D=91,3, les deux lignes sont en zone haute et %K est sous %D, ce qui pourrait annoncer un croisement baissier imminent. La décision **Vente** est justifiée par cette configuration de surachat.</w:t>
      </w:r>
    </w:p>
    <w:p>
      <w:pPr>
        <w:spacing w:after="120" w:line="276" w:lineRule="auto"/>
      </w:pPr>
      <w:r>
        <w:t>**Conclusion technique** : Les indicateurs de tendance (MM, MACD) sont clairement haussiers, mais les oscillateurs (RSI, Stochastique) sont en zone de surachat et suggèrent une correction imminente. Le titre se trouve dans une phase de **divergence technique** : la tendance de fond reste positive, mais le timing d'entrée est défavorable à court terme. Une consolidation vers la MM20 (17 295 FCFA) serait saine avant une reprise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 réalisé un **chiffre d'affaires de 206,74 Mds FCFA**, en **baisse de 9,74%** par rapport à 2024 (229,06 Mds FCFA), mais a dégagé un **résultat net de 13,075 Mds FCFA**, en **hausse spectaculaire de +50,3%** (contre 8,698 Mds FCFA en 2024). Cette performance paradoxale s'explique par une **marge nette passée de 3,8% à 6,32%** et un **ROE exceptionnel de 30,47%** (&gt;15% = excellent), tandis que le **ROA de 7,26%** reste correct pour une entreprise industrielle. La **marge brute de 18,11%** et la **marge opérationnelle de 8,62%** confirment l'amélioration de l'efficacité opérationnelle, avec un **EBE de 18,48 Mds FCFA** (+41,8%).</w:t>
      </w:r>
    </w:p>
    <w:p>
      <w:pPr>
        <w:spacing w:after="120" w:line="276" w:lineRule="auto"/>
      </w:pPr>
      <w:r>
        <w:t>**Adaptation au secteur ENTREPRISE** : Le **BFR est de 1,693 Mds FCFA** (positif mais faible), et les **délais clients (193,75 jours)** et **fournisseurs (207,07 jours)** sont élevés — le délai fournisseurs supérieur au délai clients est favorable à la trésorerie. La **trésorerie nette de 23,988 Mds FCFA** est solide, et le **ratio d'endettement de 76,16%** (dettes totales/capitaux propres) reste élevé mais soutenable grâce à une **capacité de remboursement de 0,68 an** et une **couverture des intérêts de 483,4%**. La **liquidité générale de 120,18%** (&gt;1) est satisfaisante.</w:t>
      </w:r>
    </w:p>
    <w:p>
      <w:pPr>
        <w:spacing w:after="120" w:line="276" w:lineRule="auto"/>
      </w:pPr>
      <w:r>
        <w:t>**Estimations basées sur les rapports trimestriels** : Le rapport **T3 2025 (30/09/2025)** indique un CA cumulé de 155,2 Mds FCFA (-14%) et un résultat net de 5,7 Mds FCFA (+6%), avec une marge opérationnelle en hausse à 5,4%. Le rapport **S1 2025 (30/06/2025)** faisait état d'un CA de 101,9 Mds FCFA (-23%) et d'un résultat net de 3,9 Mds FCFA (-7%). On estime donc que l'exercice 2025 devrait confirmer la tendance : **baisse des volumes mais forte amélioration des marges**, avec un résultat net annuel attendu autour de 13 Mds FCFA (réalisé). Pour 2026, la direction anticipe une poursuite de la dynamique locale (chantiers routiers) et un redressement à l'export (Nigeria, Ghana, Burkina, Mali), mais le risque de fortes pluies reste un facteur d'incertitude.</w:t>
      </w:r>
    </w:p>
    <w:p>
      <w:pPr>
        <w:spacing w:after="120" w:line="276" w:lineRule="auto"/>
      </w:pPr>
      <w:r>
        <w:t>**Évolution pluriannuelle** : Entre 2023 et 2025, le CA a reculé (247,6 → 229,1 → 206,7 Mds FCFA), mais le résultat net a suivi une trajectoire en V (17,3 → 8,7 → 13,1 Mds FCFA), avec un ROE passant de ~48% (2023) à ~25% (2024) puis 30,5% (2025). La **politique de dividende** est prudente : 5 457 M FCFA versés en 2025 (payout ~41,7%), contre 9 354 M FCFA en 2024 (payout 107,5%, insoutenable). Le **rapport 2025 (analysé par DEEPSEEK le 12/05/2026)** recommande **CONSERVER**, tandis que le **rapport 2024 (MISTRAL, 15/03/2026)** recommandait **VENTE** — la divergence reflète l'amélioration récente.</w:t>
      </w:r>
    </w:p>
    <w:p>
      <w:pPr>
        <w:spacing w:after="120" w:line="276" w:lineRule="auto"/>
      </w:pPr>
      <w:r>
        <w:t>**Conclusion fondamentale** : SMBC présente une **solidité financière retrouvée** (trésorerie nette positive, ROE &gt;30%, marges en hausse) malgré un **problème structurel de baisse du chiffre d'affaires** (-9,7% en 2025, -14% au T3). Les risques principaux sont la dépendance aux prix du pétrole, la concentration sur les marchés ouest-africains, et la volatilité de la demande à l'export. La recommandation fondamentale est **CONSERVER**, avec un biais positif si la croissance du CA reprend en 2026.</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modérée (PER 10,9x, EV/EBITDA 6,9x) mais le P/B de 3,32x intègre déjà une prime de qualité — le titre n'est ni sous-évalué ni surévalué. Le **comportement du cours (Partie 1)** est haussier (+58,65% sur 100 jours) avec une volatilité élevée (36,1%) et une asymétrie négative (skewness -0,624) qui suggère que la hausse pourrait s'essouffler. Les **signaux techniques (Partie 2)** sont mitigés : MM et MACD haussiers, mais RSI (80,5) et Stochastique (85,7/91,3) en surachat — une correction est probable à court terme. Les **fondamentaux (Partie 3)** sont solides (ROE 30,5%, résultat net +50,3%, trésorerie nette 24 Mds FCFA) mais le CA recule (-9,7%), ce qui tempère l'optimisme. Les **prédictions IA (J+1 à J+10)** anticipent une **légère baisse** de 18 191 FCFA (J+1) à 18 065 FCFA (J+5), confirmant la thèse d'une consolidation technique après le rallye.</w:t>
      </w:r>
    </w:p>
    <w:p>
      <w:pPr>
        <w:spacing w:after="120" w:line="276" w:lineRule="auto"/>
      </w:pPr>
      <w:r>
        <w:t>**Recommandation finale** : **CONSERVER** (avec biais acheteur à moyen terme). La convergence entre la valorisation raisonnable, les fondamentaux solides et la tendance haussière de fond plaide pour une position longue, mais le surachat technique (RSI, Stochastique) et les prédictions IA baissières à court terme incitent à la prudence. **Niveau de confiance : Moyen** (divergence entre technique court terme et fondamental long terme). **Niveau de risque global : Moyen** (volatilité élevée mais bilan solide). **Horizon optimal : Moyen terme (3-12 mois)**, en attendant une correction vers 17 300 FCFA (MM20) pour renforcer la position, avec un objectif de cours à 19 500-20 000 FCFA si la croissance du CA reprend en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3924.00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9,677 titres</w:t>
            </w:r>
          </w:p>
        </w:tc>
        <w:tc>
          <w:tcPr>
            <w:tcW w:type="dxa" w:w="2268"/>
            <w:shd w:fill="FFF2CC" w:val="clear"/>
          </w:tcPr>
          <w:p>
            <w:r>
              <w:rPr>
                <w:b/>
                <w:color w:val="503200"/>
                <w:sz w:val="16"/>
              </w:rPr>
              <w:t xml:space="preserve">Cours actuel : </w:t>
            </w:r>
            <w:r>
              <w:rPr>
                <w:color w:val="000000"/>
                <w:sz w:val="17"/>
              </w:rPr>
              <w:t>39,240 FCFA</w:t>
            </w:r>
          </w:p>
          <w:p>
            <w:r>
              <w:rPr>
                <w:b/>
                <w:color w:val="503200"/>
                <w:sz w:val="16"/>
              </w:rPr>
              <w:t xml:space="preserve">Var. 100 jours : </w:t>
            </w:r>
            <w:r>
              <w:rPr>
                <w:b/>
                <w:color w:val="007800"/>
                <w:sz w:val="17"/>
              </w:rPr>
              <w:t>+38.17%</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10.56% (Moyenne) — μ=31,036 FCFA, σ=3,276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β=1.7998 (Agressif) — Cov=0.000062, Var(idx)=0.000034, ρ=0.560,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37,233</w:t>
            </w:r>
          </w:p>
        </w:tc>
        <w:tc>
          <w:tcPr>
            <w:tcW w:type="dxa" w:w="1440"/>
            <w:shd w:fill="FAFAFA" w:val="clear"/>
          </w:tcPr>
          <w:p>
            <w:r>
              <w:rPr>
                <w:b/>
                <w:sz w:val="17"/>
              </w:rPr>
              <w:t>38,749</w:t>
            </w:r>
          </w:p>
        </w:tc>
        <w:tc>
          <w:tcPr>
            <w:tcW w:type="dxa" w:w="1440"/>
            <w:shd w:fill="FAFAFA" w:val="clear"/>
          </w:tcPr>
          <w:p>
            <w:r>
              <w:rPr>
                <w:sz w:val="17"/>
              </w:rPr>
              <w:t>40,266</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36,590</w:t>
            </w:r>
          </w:p>
        </w:tc>
        <w:tc>
          <w:tcPr>
            <w:tcW w:type="dxa" w:w="1440"/>
            <w:shd w:fill="FAFAFA" w:val="clear"/>
          </w:tcPr>
          <w:p>
            <w:r>
              <w:rPr>
                <w:b/>
                <w:sz w:val="17"/>
              </w:rPr>
              <w:t>38,734</w:t>
            </w:r>
          </w:p>
        </w:tc>
        <w:tc>
          <w:tcPr>
            <w:tcW w:type="dxa" w:w="1440"/>
            <w:shd w:fill="FAFAFA" w:val="clear"/>
          </w:tcPr>
          <w:p>
            <w:r>
              <w:rPr>
                <w:sz w:val="17"/>
              </w:rPr>
              <w:t>40,878</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36,064</w:t>
            </w:r>
          </w:p>
        </w:tc>
        <w:tc>
          <w:tcPr>
            <w:tcW w:type="dxa" w:w="1440"/>
            <w:shd w:fill="FAFAFA" w:val="clear"/>
          </w:tcPr>
          <w:p>
            <w:r>
              <w:rPr>
                <w:b/>
                <w:sz w:val="17"/>
              </w:rPr>
              <w:t>38,686</w:t>
            </w:r>
          </w:p>
        </w:tc>
        <w:tc>
          <w:tcPr>
            <w:tcW w:type="dxa" w:w="1440"/>
            <w:shd w:fill="FAFAFA" w:val="clear"/>
          </w:tcPr>
          <w:p>
            <w:r>
              <w:rPr>
                <w:sz w:val="17"/>
              </w:rPr>
              <w:t>41,309</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35,621</w:t>
            </w:r>
          </w:p>
        </w:tc>
        <w:tc>
          <w:tcPr>
            <w:tcW w:type="dxa" w:w="1440"/>
            <w:shd w:fill="FAFAFA" w:val="clear"/>
          </w:tcPr>
          <w:p>
            <w:r>
              <w:rPr>
                <w:b/>
                <w:sz w:val="17"/>
              </w:rPr>
              <w:t>38,646</w:t>
            </w:r>
          </w:p>
        </w:tc>
        <w:tc>
          <w:tcPr>
            <w:tcW w:type="dxa" w:w="1440"/>
            <w:shd w:fill="FAFAFA" w:val="clear"/>
          </w:tcPr>
          <w:p>
            <w:r>
              <w:rPr>
                <w:sz w:val="17"/>
              </w:rPr>
              <w:t>41,672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35,236</w:t>
            </w:r>
          </w:p>
        </w:tc>
        <w:tc>
          <w:tcPr>
            <w:tcW w:type="dxa" w:w="1440"/>
            <w:shd w:fill="FAFAFA" w:val="clear"/>
          </w:tcPr>
          <w:p>
            <w:r>
              <w:rPr>
                <w:b/>
                <w:sz w:val="17"/>
              </w:rPr>
              <w:t>38,616</w:t>
            </w:r>
          </w:p>
        </w:tc>
        <w:tc>
          <w:tcPr>
            <w:tcW w:type="dxa" w:w="1440"/>
            <w:shd w:fill="FAFAFA" w:val="clear"/>
          </w:tcPr>
          <w:p>
            <w:r>
              <w:rPr>
                <w:sz w:val="17"/>
              </w:rPr>
              <w:t>41,996</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34,890</w:t>
            </w:r>
          </w:p>
        </w:tc>
        <w:tc>
          <w:tcPr>
            <w:tcW w:type="dxa" w:w="1440"/>
            <w:shd w:fill="FAFAFA" w:val="clear"/>
          </w:tcPr>
          <w:p>
            <w:r>
              <w:rPr>
                <w:b/>
                <w:sz w:val="17"/>
              </w:rPr>
              <w:t>38,590</w:t>
            </w:r>
          </w:p>
        </w:tc>
        <w:tc>
          <w:tcPr>
            <w:tcW w:type="dxa" w:w="1440"/>
            <w:shd w:fill="FAFAFA" w:val="clear"/>
          </w:tcPr>
          <w:p>
            <w:r>
              <w:rPr>
                <w:sz w:val="17"/>
              </w:rPr>
              <w:t>42,290</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34,573</w:t>
            </w:r>
          </w:p>
        </w:tc>
        <w:tc>
          <w:tcPr>
            <w:tcW w:type="dxa" w:w="1440"/>
            <w:shd w:fill="FAFAFA" w:val="clear"/>
          </w:tcPr>
          <w:p>
            <w:r>
              <w:rPr>
                <w:b/>
                <w:sz w:val="17"/>
              </w:rPr>
              <w:t>38,567</w:t>
            </w:r>
          </w:p>
        </w:tc>
        <w:tc>
          <w:tcPr>
            <w:tcW w:type="dxa" w:w="1440"/>
            <w:shd w:fill="FAFAFA" w:val="clear"/>
          </w:tcPr>
          <w:p>
            <w:r>
              <w:rPr>
                <w:sz w:val="17"/>
              </w:rPr>
              <w:t>42,560</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34,278</w:t>
            </w:r>
          </w:p>
        </w:tc>
        <w:tc>
          <w:tcPr>
            <w:tcW w:type="dxa" w:w="1440"/>
            <w:shd w:fill="FAFAFA" w:val="clear"/>
          </w:tcPr>
          <w:p>
            <w:r>
              <w:rPr>
                <w:b/>
                <w:sz w:val="17"/>
              </w:rPr>
              <w:t>38,545</w:t>
            </w:r>
          </w:p>
        </w:tc>
        <w:tc>
          <w:tcPr>
            <w:tcW w:type="dxa" w:w="1440"/>
            <w:shd w:fill="FAFAFA" w:val="clear"/>
          </w:tcPr>
          <w:p>
            <w:r>
              <w:rPr>
                <w:sz w:val="17"/>
              </w:rPr>
              <w:t>42,812</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34,000</w:t>
            </w:r>
          </w:p>
        </w:tc>
        <w:tc>
          <w:tcPr>
            <w:tcW w:type="dxa" w:w="1440"/>
            <w:shd w:fill="FAFAFA" w:val="clear"/>
          </w:tcPr>
          <w:p>
            <w:r>
              <w:rPr>
                <w:b/>
                <w:sz w:val="17"/>
              </w:rPr>
              <w:t>38,524</w:t>
            </w:r>
          </w:p>
        </w:tc>
        <w:tc>
          <w:tcPr>
            <w:tcW w:type="dxa" w:w="1440"/>
            <w:shd w:fill="FAFAFA" w:val="clear"/>
          </w:tcPr>
          <w:p>
            <w:r>
              <w:rPr>
                <w:sz w:val="17"/>
              </w:rPr>
              <w:t>43,047</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33,736</w:t>
            </w:r>
          </w:p>
        </w:tc>
        <w:tc>
          <w:tcPr>
            <w:tcW w:type="dxa" w:w="1440"/>
            <w:shd w:fill="FAFAFA" w:val="clear"/>
          </w:tcPr>
          <w:p>
            <w:r>
              <w:rPr>
                <w:b/>
                <w:sz w:val="17"/>
              </w:rPr>
              <w:t>38,502</w:t>
            </w:r>
          </w:p>
        </w:tc>
        <w:tc>
          <w:tcPr>
            <w:tcW w:type="dxa" w:w="1440"/>
            <w:shd w:fill="FAFAFA" w:val="clear"/>
          </w:tcPr>
          <w:p>
            <w:r>
              <w:rPr>
                <w:sz w:val="17"/>
              </w:rPr>
              <w:t>43,268</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3 924 milliards FCFA, Sonatel confirme son statut de première capitalisation de la BRVM, un poids qui en fait un pilier incontournable de l'indice BRVM Composite et un titre de référence pour les investisseurs institutionnels régionaux. Le BPA de 4 136 FCFA par action signifie que chaque titre génère près de 4 136 FCFA de bénéfice net, un niveau exceptionnellement élevé sur le marché ouest-africain. Le PER de 9,5x situe le titre dans la fourchette basse de la moyenne BRVM (8-12x), suggérant que les investisseurs ne paient pas de prime excessive pour les bénéfices, voire qu'une sous-évaluation relative existe au regard de la qualité de l'émetteur. Le P/B de 2,80x traduit une prime de croissance accordée par le marché (valorisation à 2,8 fois la valeur comptable), cohérente avec la rentabilité des fonds propres (ROE de 29,6%) et la solidité du modèle. Enfin, l'EV/EBITDA de 4,1x — très en-dessous du seuil de 5x — indique que la valeur totale de l'entreprise (dette incluse) reste modérée par rapport à sa capacité opérationnelle, un signal classique de sous-évaluation pour un actif de qualité.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+38,17%, passant d'un plus bas de 27 160 FCFA à un plus haut de 39 275 FCFA, pour un cours actuel de 39 240 FCFA — soit une variation quasi nulle en J-1 (-0,09%), signe d'une pause dans la dynamique haussière. Le range de trading de 12 115 FCFA (soit près de 45% d'amplitude) témoigne d'une tendance nettement haussière, portée par la publication de résultats solides et l'anticipation du dividende de 1 740 FCFA net. Les statistiques descriptives révèlent une moyenne de 31 036 FCFA supérieure à la médiane de 29 500 FCFA, avec un mode à 28 500 FCFA : cet écart confirme une distribution asymétrique où le cours a passé plus de temps dans les niveaux bas avant de s'envoler en fin de période. L'écart-type de 3 293 FCFA (CV de 10,6%) indique une dispersion modérée, tandis que le kurtosis de 0,477 (mésokurtique) suggère une distribution proche de la normale, sans risque extrême de pics. Le skewness positif de 1,272 confirme cette asymétrie : davantage de journées sous la moyenne, typique d'un rallye tardif. La volatilité annualisée de 30,0% positionne le titre en zone modérée-haute (seuil 30%), ce qui reste acceptable pour une valeur de croissance à forte liquidité relative.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(36 772,5 FCFA) et la MM50 (33 459,2 FCFA) se situent toutes deux nettement sous le cours actuel (39 240 FCFA), avec la MM20 au-dessus de la MM50 — configuration haussière classique (golden cross). Le cours évolue au-dessus de ses deux moyennes, confirmant la force du momentum acheteur et justifiant la décision d'**Achat**.</w:t>
      </w:r>
    </w:p>
    <w:p>
      <w:pPr>
        <w:spacing w:after="120" w:line="276" w:lineRule="auto"/>
      </w:pPr>
      <w:r>
        <w:t>**Bandes de Bollinger** : Le cours (39 240 FCFA) se situe dans la partie haute de la bande, entre la borne inférieure (32 313 FCFA) et la borne supérieure (41 231,9 FCFA), sans la franchir. Cette position proche de la borne haute traduit une pression acheteuse soutenue mais non encore extrême, la décision restant **Neutre** — le titre n'est ni en surachat technique violent, ni en zone de retournement.</w:t>
      </w:r>
    </w:p>
    <w:p>
      <w:pPr>
        <w:spacing w:after="120" w:line="276" w:lineRule="auto"/>
      </w:pPr>
      <w:r>
        <w:t>**MACD** : La valeur du MACD (1 840,99) dépasse son signal (1 745,34), avec un histogramme positif — configuration haussière confirmée. Le momentum reste orienté à la hausse, bien que l'écart entre les deux lignes se réduise légèrement, ce qui justifie la décision d'**Achat** tout en appelant à la vigilance sur un éventuel croisement baissier à venir.</w:t>
      </w:r>
    </w:p>
    <w:p>
      <w:pPr>
        <w:spacing w:after="120" w:line="276" w:lineRule="auto"/>
      </w:pPr>
      <w:r>
        <w:t>**RSI** : À 68,003, le RSI se situe juste en-dessous du seuil de surachat (70), en zone neutre-haute. Le titre conserve un potentiel de progression sans être techniquement épuisé, la décision **Neutre** reflétant cette position charnière : une cassure au-dessus de 70 signalerait un risque de correction.</w:t>
      </w:r>
    </w:p>
    <w:p>
      <w:pPr>
        <w:spacing w:after="120" w:line="276" w:lineRule="auto"/>
      </w:pPr>
      <w:r>
        <w:t>**Stochastique** : Le %K (99,25) et le %D (98,34) sont tous deux collés à leur plus haut niveau (proches de 100), signalant un surachat manifeste. Le croisement potentiel des deux lignes en zone extrême justifie la décision de **Vente** à court terme, indiquant qu'une consolidation ou un repli technique est probable après le rallye.</w:t>
      </w:r>
    </w:p>
    <w:p>
      <w:pPr>
        <w:spacing w:after="120" w:line="276" w:lineRule="auto"/>
      </w:pPr>
      <w:r>
        <w:t>**Conclusion technique** : Les indicateurs de tendance (MM, MACD) restent haussiers et confirment la dynamique positive, mais les oscillateurs (Stochastique en surachat extrême, RSI proche de 70) signalent un essoufflement imminent. La convergence des signaux d'achat sur les moyennes mobiles et le MACD contraste avec l'alerte du stochastique, suggérant une phase de consolidation probable avant toute nouvelle jambe haussière. Le titre reste techniquement solide mais nécessite une digestion des gains récents.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Sonatel affiche un chiffre d'affaires consolidé de 1 923,1 milliards FCFA, en croissance de +8,3% sur un an, porté par la Data mobile, le Fixe Broadband et Orange Money. Le résultat net s'établit à 413,6 milliards FCFA (+5,1%), avec une marge nette de 21,5% et une marge opérationnelle de 34,8%. Le ROE atteint 29,56% — largement supérieur au seuil d'excellence de 15% — et le ROA s'élève à 12,65%, confirmant une rentabilité des actifs remarquable. La structure financière est saine : autonomie financière de 42,79%, ratio d'endettement de 57,21%, et couverture des intérêts de 2 744,7% (résultat d'exploitation/charges financières), traduisant une capacité de remboursement très confortable (0,64 an de dettes financières/CAF). Le BFR est négatif (-284,9 milliards FCFA), signe d'une gestion favorable du besoin en fonds de roulement, avec un délai fournisseurs élevé (201,39 jours) compensant un délai clients de 46,16 jours et une rotation des stocks rapide (14,49 jours). La trésorerie nette de 536,1 milliards FCFA et le Free Cash Flow de 408,1 milliards FCFA renforcent la solidité financière.</w:t>
      </w:r>
    </w:p>
    <w:p>
      <w:pPr>
        <w:spacing w:after="120" w:line="276" w:lineRule="auto"/>
      </w:pPr>
      <w:r>
        <w:t>**Estimations basées sur les rapports trimestriels** : Le rapport du S1 2026 (publié le 27/07/2026) confirme l'accélération de la dynamique : chiffre d'affaires de 1 049,8 milliards FCFA (+9,3%), EBITDAAL de 510,8 milliards FCFA (+11,6%, marge de 48,7%), et résultat net de 229,96 milliards FCFA (+10,5%). Sur cette base, on estime que l'exercice 2026 devrait enregistrer un chiffre d'affaires annuel d'environ 2 100 milliards FCFA (+9,2%) et un résultat net proche de 455 milliards FCFA (+10%), soutenu par l'obtention de licences 5G en Guinée-Bissau et Sierra Leone, la croissance du parc fibre (+23%) et la notation AAA (wu) relevée par GCR Ratings. Le rapport du T3 2025 (30/09/2025) confirmait déjà cette trajectoire avec un CA de 1 432,5 milliards FCFA (+8,6%) et un résultat net de 311 milliards FCFA (+8,0%). Le rapport annuel 2024 (31/12/2024) montrait un CA de 1 776,4 milliards FCFA (+9,6%) et un résultat net de 393,7 milliards FCFA (+18,7%), avec un BPA de 3 288 FCFA — contre 4 136 FCFA en 2025, soit une progression de +25,8% du BPA en un an.</w:t>
      </w:r>
    </w:p>
    <w:p>
      <w:pPr>
        <w:spacing w:after="120" w:line="276" w:lineRule="auto"/>
      </w:pPr>
      <w:r>
        <w:t>**Recommandation fondamentale** : La solidité du bilan (capitaux propres de 1 399,3 milliards FCFA), la rentabilité exceptionnelle (ROE de 29,6%), la génération de cash-flow (CAF de 665 milliards FCFA) et la politique de dividende attractive (1 933 FCFA brut, soit un rendement de 4,9% au cours actuel) font de Sonatel un placement de qualité. Les risques identifiés — pression fiscale et réglementaire accrue (nouvelles taxes au Sénégal, Mali, Guinée-Bissau), intensification concurrentielle sur la Data et le Mobile Money — restent gérables au regard de la position de leader (parts de marché de 55,9% au Sénégal, 54,5% au Mali). La recommandation fondamentale est **Achat** sur le moyen-long terme, avec une confiance élevée dans la capacité du groupe à maintenir une croissance rentable.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favorable mais nuancé. **Valorisation (Partie 0)** : le PER de 9,5x, le P/B de 2,80x et l'EV/EBITDA de 4,1x indiquent une sous-évaluation relative, surtout au regard du ROE de 29,6% et de la croissance à deux chiffres — le marché ne rémunère pas pleinement la qualité de l'émetteur. **Comportement du cours (Partie 1)** : la tendance haussière de +38,17% sur 100 jours, la volatilité modérée (30%) et la distribution asymétrique positive (skewness de 1,272) sont favorables, bien que le rallye récent appelle à une digestion. **Signaux techniques (Partie 2)** : les moyennes mobiles et le MACD confirment la tendance haussière, mais le stochastique en surachat extrême (99,25) et le RSI proche de 70 signalent un risque de consolidation à court terme — divergence entre tendance et momentum. **Fondamentaux (Partie 3)** : la solidité financière (ROE de 29,6%, ROA de 12,6%, BFR négatif, trésorerie nette de 536 milliards FCFA) et les estimations issues du S1 2026 (CA +9,3%, résultat net +10,5%) confirment une trajectoire de croissance rentable et durable. **Prédictions IA (J+1 à J+10)** : la trajectoire projetée (38 749 → 38 616 FCFA) anticipe une légère consolidation de -1,6% sur 10 jours, cohérente avec le signal de surachat du stochastique et le besoin de digestion après le rallye.</w:t>
      </w:r>
    </w:p>
    <w:p>
      <w:pPr>
        <w:spacing w:after="120" w:line="276" w:lineRule="auto"/>
      </w:pPr>
      <w:r>
        <w:t>**Recommandation finale : ACHAT** — La convergence entre une valorisation attractive (PER 9,5x, EV/EBITDA 4,1x), des fondamentaux solides (ROE 29,6%, croissance à deux chiffres) et une tendance technique haussière (MM20 &gt; MM50, MACD positif) l'emporte sur les signaux de surachat à court terme. La prédiction IA d'une consolidation modérée (-1,6%) offre une fenêtre d'entrée intéressante pour les investisseurs non positionnés. **Niveau de confiance : Élevé** — les données fondamentales et les rapports récents (S1 2026, notation AAA) confirment la robustesse du modèle. **Niveau de risque global : Moyen** — les risques réglementaires et concurrentiels sont réels mais maîtrisés par le leadership du groupe. **Horizon d'investissement optimal : Moyen terme (3-12 mois)** — pour capturer la croissance bénéficiaire estimée à +10% en 2026 et le rendement du dividende de 4,9%, tout en laissant le temps aux indicateurs techniques de digérer le rallye récent. Les investisseurs à court terme (&lt;3 mois) devraient attendre un repli vers la MM20 (36 772 FCFA) avant de renforcer.</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6,151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+5.19%</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μ=8,027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β=0.3766 (Défensif) — Cov=0.000013, Var(idx)=0.000034, ρ=0.087,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7,630</w:t>
            </w:r>
          </w:p>
        </w:tc>
        <w:tc>
          <w:tcPr>
            <w:tcW w:type="dxa" w:w="1440"/>
            <w:shd w:fill="FAFAFA" w:val="clear"/>
          </w:tcPr>
          <w:p>
            <w:r>
              <w:rPr>
                <w:b/>
                <w:sz w:val="17"/>
              </w:rPr>
              <w:t>8,057</w:t>
            </w:r>
          </w:p>
        </w:tc>
        <w:tc>
          <w:tcPr>
            <w:tcW w:type="dxa" w:w="1440"/>
            <w:shd w:fill="FAFAFA" w:val="clear"/>
          </w:tcPr>
          <w:p>
            <w:r>
              <w:rPr>
                <w:sz w:val="17"/>
              </w:rPr>
              <w:t>8,484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7,441</w:t>
            </w:r>
          </w:p>
        </w:tc>
        <w:tc>
          <w:tcPr>
            <w:tcW w:type="dxa" w:w="1440"/>
            <w:shd w:fill="FAFAFA" w:val="clear"/>
          </w:tcPr>
          <w:p>
            <w:r>
              <w:rPr>
                <w:b/>
                <w:sz w:val="17"/>
              </w:rPr>
              <w:t>8,044</w:t>
            </w:r>
          </w:p>
        </w:tc>
        <w:tc>
          <w:tcPr>
            <w:tcW w:type="dxa" w:w="1440"/>
            <w:shd w:fill="FAFAFA" w:val="clear"/>
          </w:tcPr>
          <w:p>
            <w:r>
              <w:rPr>
                <w:sz w:val="17"/>
              </w:rPr>
              <w:t>8,646</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7,293</w:t>
            </w:r>
          </w:p>
        </w:tc>
        <w:tc>
          <w:tcPr>
            <w:tcW w:type="dxa" w:w="1440"/>
            <w:shd w:fill="FAFAFA" w:val="clear"/>
          </w:tcPr>
          <w:p>
            <w:r>
              <w:rPr>
                <w:b/>
                <w:sz w:val="17"/>
              </w:rPr>
              <w:t>8,031</w:t>
            </w:r>
          </w:p>
        </w:tc>
        <w:tc>
          <w:tcPr>
            <w:tcW w:type="dxa" w:w="1440"/>
            <w:shd w:fill="FAFAFA" w:val="clear"/>
          </w:tcPr>
          <w:p>
            <w:r>
              <w:rPr>
                <w:sz w:val="17"/>
              </w:rPr>
              <w:t>8,768</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7,169</w:t>
            </w:r>
          </w:p>
        </w:tc>
        <w:tc>
          <w:tcPr>
            <w:tcW w:type="dxa" w:w="1440"/>
            <w:shd w:fill="FAFAFA" w:val="clear"/>
          </w:tcPr>
          <w:p>
            <w:r>
              <w:rPr>
                <w:b/>
                <w:sz w:val="17"/>
              </w:rPr>
              <w:t>8,019</w:t>
            </w:r>
          </w:p>
        </w:tc>
        <w:tc>
          <w:tcPr>
            <w:tcW w:type="dxa" w:w="1440"/>
            <w:shd w:fill="FAFAFA" w:val="clear"/>
          </w:tcPr>
          <w:p>
            <w:r>
              <w:rPr>
                <w:sz w:val="17"/>
              </w:rPr>
              <w:t>8,869</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7,060</w:t>
            </w:r>
          </w:p>
        </w:tc>
        <w:tc>
          <w:tcPr>
            <w:tcW w:type="dxa" w:w="1440"/>
            <w:shd w:fill="FAFAFA" w:val="clear"/>
          </w:tcPr>
          <w:p>
            <w:r>
              <w:rPr>
                <w:b/>
                <w:sz w:val="17"/>
              </w:rPr>
              <w:t>8,009</w:t>
            </w:r>
          </w:p>
        </w:tc>
        <w:tc>
          <w:tcPr>
            <w:tcW w:type="dxa" w:w="1440"/>
            <w:shd w:fill="FAFAFA" w:val="clear"/>
          </w:tcPr>
          <w:p>
            <w:r>
              <w:rPr>
                <w:sz w:val="17"/>
              </w:rPr>
              <w:t>8,958</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6,960</w:t>
            </w:r>
          </w:p>
        </w:tc>
        <w:tc>
          <w:tcPr>
            <w:tcW w:type="dxa" w:w="1440"/>
            <w:shd w:fill="FAFAFA" w:val="clear"/>
          </w:tcPr>
          <w:p>
            <w:r>
              <w:rPr>
                <w:b/>
                <w:sz w:val="17"/>
              </w:rPr>
              <w:t>7,999</w:t>
            </w:r>
          </w:p>
        </w:tc>
        <w:tc>
          <w:tcPr>
            <w:tcW w:type="dxa" w:w="1440"/>
            <w:shd w:fill="FAFAFA" w:val="clear"/>
          </w:tcPr>
          <w:p>
            <w:r>
              <w:rPr>
                <w:sz w:val="17"/>
              </w:rPr>
              <w:t>9,037</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6,868</w:t>
            </w:r>
          </w:p>
        </w:tc>
        <w:tc>
          <w:tcPr>
            <w:tcW w:type="dxa" w:w="1440"/>
            <w:shd w:fill="FAFAFA" w:val="clear"/>
          </w:tcPr>
          <w:p>
            <w:r>
              <w:rPr>
                <w:b/>
                <w:sz w:val="17"/>
              </w:rPr>
              <w:t>7,989</w:t>
            </w:r>
          </w:p>
        </w:tc>
        <w:tc>
          <w:tcPr>
            <w:tcW w:type="dxa" w:w="1440"/>
            <w:shd w:fill="FAFAFA" w:val="clear"/>
          </w:tcPr>
          <w:p>
            <w:r>
              <w:rPr>
                <w:sz w:val="17"/>
              </w:rPr>
              <w:t>9,109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6,783</w:t>
            </w:r>
          </w:p>
        </w:tc>
        <w:tc>
          <w:tcPr>
            <w:tcW w:type="dxa" w:w="1440"/>
            <w:shd w:fill="FAFAFA" w:val="clear"/>
          </w:tcPr>
          <w:p>
            <w:r>
              <w:rPr>
                <w:b/>
                <w:sz w:val="17"/>
              </w:rPr>
              <w:t>7,979</w:t>
            </w:r>
          </w:p>
        </w:tc>
        <w:tc>
          <w:tcPr>
            <w:tcW w:type="dxa" w:w="1440"/>
            <w:shd w:fill="FAFAFA" w:val="clear"/>
          </w:tcPr>
          <w:p>
            <w:r>
              <w:rPr>
                <w:sz w:val="17"/>
              </w:rPr>
              <w:t>9,175</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6,702</w:t>
            </w:r>
          </w:p>
        </w:tc>
        <w:tc>
          <w:tcPr>
            <w:tcW w:type="dxa" w:w="1440"/>
            <w:shd w:fill="FAFAFA" w:val="clear"/>
          </w:tcPr>
          <w:p>
            <w:r>
              <w:rPr>
                <w:b/>
                <w:sz w:val="17"/>
              </w:rPr>
              <w:t>7,970</w:t>
            </w:r>
          </w:p>
        </w:tc>
        <w:tc>
          <w:tcPr>
            <w:tcW w:type="dxa" w:w="1440"/>
            <w:shd w:fill="FAFAFA" w:val="clear"/>
          </w:tcPr>
          <w:p>
            <w:r>
              <w:rPr>
                <w:sz w:val="17"/>
              </w:rPr>
              <w:t>9,237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6,626</w:t>
            </w:r>
          </w:p>
        </w:tc>
        <w:tc>
          <w:tcPr>
            <w:tcW w:type="dxa" w:w="1440"/>
            <w:shd w:fill="FAFAFA" w:val="clear"/>
          </w:tcPr>
          <w:p>
            <w:r>
              <w:rPr>
                <w:b/>
                <w:sz w:val="17"/>
              </w:rPr>
              <w:t>7,961</w:t>
            </w:r>
          </w:p>
        </w:tc>
        <w:tc>
          <w:tcPr>
            <w:tcW w:type="dxa" w:w="1440"/>
            <w:shd w:fill="FAFAFA" w:val="clear"/>
          </w:tcPr>
          <w:p>
            <w:r>
              <w:rPr>
                <w:sz w:val="17"/>
              </w:rPr>
              <w:t>9,295</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 Palmier à huile)*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SOGC affiche une capitalisation boursière de 174,97 milliards FCFA, un niveau qui la positionne parmi les valeurs moyennes-capitalisations de la cote BRVM, avec une liquidité quotidienne limitée (6 151 titres/jour en moyenne). Le BPA de 578 FCFA/action signifie que chaque titre génère près de 578 FCFA de bénéfice net, ce qui, rapporté au cours actuel de 8 100 FCFA, donne un PER de 14,0x — soit une prime modérée par rapport à la moyenne du marché BRVM (8-12x), traduisant une anticipation de croissance par les investisseurs. Le P/B de 2,56x indique que le marché valorise la société à 2,56 fois ses fonds propres comptables (68,43 Mds FCFA), une prime de croissance justifiée par un ROE de 18,26% nettement supérieur au coût des fonds propres. Enfin, l'EV/EBITDA de 7,3x situe la valeur d'entreprise (capitalisation + dette nette) à 7,3 fois l'EBE de 23,54 Mds FCFA, un multiple raisonnable qui reflète une capacité opérationnelle solide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 progressé de +5,19%, clôturant à 8 100 FCFA avec une variation nulle sur la dernière séance (J-1 : +0,00%), signe d'une stabilisation après la récente dynamique haussière. Le range de trading s'étend de 7 100 FCFA (plus bas) à 8 875 FCFA (plus haut), soit une amplitude de 25%, ce qui témoigne d'une volatilité intra-période significative malgré la tendance globalement haussière. Les statistiques descriptives révèlent une moyenne de 8 027 FCFA légèrement inférieure à la médiane de 8 145 FCFA, suggérant une asymétrie négative (skewness de -0,438) — les baisses ponctuelles ont davantage pesé que les hausses sur la distribution. L'écart-type de 407 FCFA (CV de 5,1%) indique une dispersion modérée autour de la moyenne, tandis que le kurtosis de -0,782 (mésokurtique) signale une distribution proche de la normale, sans risque majeur de pics extrêmes. La volatilité annualisée de 40,4% classe le titre dans la catégorie « volatilité élevée » (&gt;30%), ce qui est cohérent avec son exposition aux prix des matières premières agricoles (caoutchouc, huiles).</w:t>
      </w:r>
    </w:p>
    <w:p>
      <w:pPr>
        <w:spacing w:after="120" w:line="276" w:lineRule="auto"/>
      </w:pPr>
      <w:r>
        <w:t>---</w:t>
      </w:r>
    </w:p>
    <w:p>
      <w:pPr>
        <w:spacing w:after="120" w:line="276" w:lineRule="auto"/>
      </w:pPr>
      <w:r>
        <w:t>### PARTIE 2 : ANALYSE TECHNIQUE DÉTAILLÉE</w:t>
      </w:r>
    </w:p>
    <w:p>
      <w:pPr>
        <w:spacing w:after="120" w:line="276" w:lineRule="auto"/>
      </w:pPr>
      <w:r>
        <w:t>**Moyennes Mobiles** : La MM20 (8 191 FCFA) et la MM50 (8 173,8 FCFA) se situent toutes deux au-dessus du cours actuel (8 100 FCFA), mais leur croisement récent (MM20 &gt; MM50) génère un signal d'achat. Le cours évolue légèrement sous ces moyennes, ce qui pourrait indiquer une consolidation avant une reprise haussière si les volumes suivent.</w:t>
      </w:r>
    </w:p>
    <w:p>
      <w:pPr>
        <w:spacing w:after="120" w:line="276" w:lineRule="auto"/>
      </w:pPr>
      <w:r>
        <w:t>**Bandes de Bollinger** : Le cours (8 100 FCFA) se situe dans la partie médiane de la bande (borne supérieure : 8 772,47 FCFA ; borne inférieure : 7 609,54 FCFA), à environ 40% de la largeur. Cette position neutre reflète une absence de pression directionnelle forte, avec une volatilité contenue dans les bornes, justifiant la décision « Neutre ».</w:t>
      </w:r>
    </w:p>
    <w:p>
      <w:pPr>
        <w:spacing w:after="120" w:line="276" w:lineRule="auto"/>
      </w:pPr>
      <w:r>
        <w:t>**MACD** : La valeur du MACD (-17,826) est inférieure à son signal (13,18), générant une divergence baissière et un signal de vente. Le momentum est négatif, ce qui suggère que la dynamique haussière récente s'essouffle et qu'une correction pourrait se poursuivre à court terme.</w:t>
      </w:r>
    </w:p>
    <w:p>
      <w:pPr>
        <w:spacing w:after="120" w:line="276" w:lineRule="auto"/>
      </w:pPr>
      <w:r>
        <w:t>**RSI** : À 46,739, le RSI se situe dans la zone neutre (30-70), sans signal de surachat ni de survente. Cette configuration indique un équilibre entre acheteurs et vendeurs, avec une absence de pression extrême, justifiant la décision « Neutre ».</w:t>
      </w:r>
    </w:p>
    <w:p>
      <w:pPr>
        <w:spacing w:after="120" w:line="276" w:lineRule="auto"/>
      </w:pPr>
      <w:r>
        <w:t>**Stochastique** : Le %K (34,043) est légèrement supérieur au %D (31,348), sans croisement net, et les deux se situent dans la zone basse (proche de 20-30). Cela suggère une possible reprise haussière si un croisement haussier se confirme, mais la décision reste « Neutre » en l'absence de signal clair.</w:t>
      </w:r>
    </w:p>
    <w:p>
      <w:pPr>
        <w:spacing w:after="120" w:line="276" w:lineRule="auto"/>
      </w:pPr>
      <w:r>
        <w:t>**Conclusion technique** : Les indicateurs sont majoritairement neutres (Bollinger, RSI, Stochastique) avec un signal d'achat sur les moyennes mobiles mais un signal de vente sur le MACD. Cette divergence reflète une phase de consolidation incertaine, où le titre pourrait évoluer latéralement avant de choisir une direction.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SOGC a réalisé un chiffre d'affaires de 98,979 Mds FCFA (+10,7% vs 2024), un résultat net de 12,493 Mds FCFA (en baisse de 5% selon le rapport 2025) et un EBE de 23,541 Mds FCFA. Le ROE s'établit à 18,26% (excellent, &gt;15%) et le ROA à 13,84%, confirmant une rentabilité robuste malgré la pression sur les marges. La marge nette de 12,62% reste solide, mais en retrait par rapport aux 14,0% de 2024. Le BFR est négatif (7,124 Mds FCFA), un point favorable pour la trésorerie, et les délais clients (29,6 jours) et fournisseurs (31,7 jours) sont équilibrés, bien que la durée de stockage élevée (97,67 jours) immobilise du capital. L'autonomie financière de 75,79% et un ratio d'endettement de 24,21% témoignent d'une structure financière saine, avec une trésorerie nette positive de 4,575 Mds FCFA.</w:t>
      </w:r>
    </w:p>
    <w:p>
      <w:pPr>
        <w:spacing w:after="120" w:line="276" w:lineRule="auto"/>
      </w:pPr>
      <w:r>
        <w:t>**Estimations basées sur les rapports trimestriels 2025** : Le rapport T1 2025 (31 mars 2025) indiquait un CA de 31,2 Mds FCFA (+63,1%) et un résultat net de 6,0 Mds FCFA (+262,9%), porté par la flambée des prix du caoutchouc (+41,1%) et de l'huile de palme (+25,9%). Le S1 2025 (30 juin 2025) confirmait cette dynamique avec un CA de 55,4 Mds FCFA (+51,9%) et un résultat net de 10,2 Mds FCFA (+151,6%). Cependant, le T3 2025 (30 septembre 2025) montrait un ralentissement : CA de 75,6 Mds FCFA (+21,3%) et résultat net de 11,5 Mds FCFA (+39,5%), avec une marge nette de 15,3% contre 18,5% au S1. La direction alertait sur un contexte plus difficile au S2 2025 (concurrence accrue pour le coagulum, baisse des cours SICOM). Sur cette base, on estime que l'exercice 2025 devrait clôturer avec un résultat net autour de 12,5 Mds FCFA (cohérent avec les données structurées), en baisse de 5% par rapport à 2024 (13,11 Mds FCFA), reflétant la normalisation des prix après une année 2024 exceptionnelle.</w:t>
      </w:r>
    </w:p>
    <w:p>
      <w:pPr>
        <w:spacing w:after="120" w:line="276" w:lineRule="auto"/>
      </w:pPr>
      <w:r>
        <w:t>**Évolution et recommandation fondamentale** : La SOGC affiche des fondamentaux solides (ROE &gt;18%, autonomie financière &gt;75%, trésorerie nette positive) mais fait face à des vents contraires : hausse des coûts d'achat du coagulum (+15%), concurrence accrue, et volatilité des prix des matières premières. La politique de dividende généreuse (570 FCFA/action proposé en 2025, soit un rendement de 7,0% au cours actuel) est attractive mais limite les réinvestissements. **Recommandation fondamentale : CONSERVER**, avec une vigilance sur l'évolution des prix du caoutchouc et la capacité de la société à maintenir ses marges dans un environnement concurrentiel.</w:t>
      </w:r>
    </w:p>
    <w:p>
      <w:pPr>
        <w:spacing w:after="120" w:line="276" w:lineRule="auto"/>
      </w:pPr>
      <w:r>
        <w:t>---</w:t>
      </w:r>
    </w:p>
    <w:p>
      <w:pPr>
        <w:spacing w:after="120" w:line="276" w:lineRule="auto"/>
      </w:pPr>
      <w:r>
        <w:t>### PARTIE 4 : CONCLUSION D'INVESTISSEMENT</w:t>
      </w:r>
    </w:p>
    <w:p>
      <w:pPr>
        <w:spacing w:after="120" w:line="276" w:lineRule="auto"/>
      </w:pPr>
      <w:r>
        <w:t>La valorisation (Partie 0) est modérément tendue : PER de 14,0x (prime vs marché), P/B de 2,56x (prime de croissance justifiée par le ROE), et EV/EBITDA de 7,3x (raisonnable). Le comportement du cours (Partie 1) montre une tendance haussière (+5,19% sur 100 jours) mais une volatilité élevée (40,4%) et une asymétrie négative (skewness -0,438), ce qui suggère une prudence à court terme. Les signaux techniques (Partie 2) sont divergents : achat sur les moyennes mobiles, vente sur le MACD, neutre sur le RSI, Bollinger et Stochastique — une configuration qui plaide pour une consolidation. Les fondamentaux (Partie 3) restent solides (ROE 18,26%, autonomie financière 75,79%) mais montrent un ralentissement en 2025 (résultat net -5%, marge nette 12,62% vs 14,0% en 2024), avec des perspectives 2026 incertaines. Les prédictions IA (J+1 à J+10) anticipent une légère baisse vers 8 009 FCFA d'ici le 21 septembre 2026, confirmant la tendance baissière à court terme du MACD. **Synthèse globale** : la convergence entre valorisation tendue, technique incertaine, fondamentaux solides mais en ralentissement, et prédictions baissières conduit à une recommandation de **CONSERVER**. Le niveau de confiance est **Moyen** (divergence des signaux), le risque global est **Moyen** (volatilité élevée, dépendance aux matières premières), et l'horizon optimal est **moyen terme (3-12 mois)** pour laisser passer la phase de consolidation et profiter d'un éventuel rebond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207.02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+9.53%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10.31% (Moyenne) — μ=7,770 FCFA, σ=801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β=1.0148 (Neutre (suit le marché)) — Cov=0.000035, Var(idx)=0.000034, ρ=0.212,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7,623</w:t>
            </w:r>
          </w:p>
        </w:tc>
        <w:tc>
          <w:tcPr>
            <w:tcW w:type="dxa" w:w="1440"/>
            <w:shd w:fill="FAFAFA" w:val="clear"/>
          </w:tcPr>
          <w:p>
            <w:r>
              <w:rPr>
                <w:b/>
                <w:sz w:val="17"/>
              </w:rPr>
              <w:t>8,159</w:t>
            </w:r>
          </w:p>
        </w:tc>
        <w:tc>
          <w:tcPr>
            <w:tcW w:type="dxa" w:w="1440"/>
            <w:shd w:fill="FAFAFA" w:val="clear"/>
          </w:tcPr>
          <w:p>
            <w:r>
              <w:rPr>
                <w:sz w:val="17"/>
              </w:rPr>
              <w:t>8,696</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7,371</w:t>
            </w:r>
          </w:p>
        </w:tc>
        <w:tc>
          <w:tcPr>
            <w:tcW w:type="dxa" w:w="1440"/>
            <w:shd w:fill="FAFAFA" w:val="clear"/>
          </w:tcPr>
          <w:p>
            <w:r>
              <w:rPr>
                <w:b/>
                <w:sz w:val="17"/>
              </w:rPr>
              <w:t>8,126</w:t>
            </w:r>
          </w:p>
        </w:tc>
        <w:tc>
          <w:tcPr>
            <w:tcW w:type="dxa" w:w="1440"/>
            <w:shd w:fill="FAFAFA" w:val="clear"/>
          </w:tcPr>
          <w:p>
            <w:r>
              <w:rPr>
                <w:sz w:val="17"/>
              </w:rPr>
              <w:t>8,882</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7,177</w:t>
            </w:r>
          </w:p>
        </w:tc>
        <w:tc>
          <w:tcPr>
            <w:tcW w:type="dxa" w:w="1440"/>
            <w:shd w:fill="FAFAFA" w:val="clear"/>
          </w:tcPr>
          <w:p>
            <w:r>
              <w:rPr>
                <w:b/>
                <w:sz w:val="17"/>
              </w:rPr>
              <w:t>8,100</w:t>
            </w:r>
          </w:p>
        </w:tc>
        <w:tc>
          <w:tcPr>
            <w:tcW w:type="dxa" w:w="1440"/>
            <w:shd w:fill="FAFAFA" w:val="clear"/>
          </w:tcPr>
          <w:p>
            <w:r>
              <w:rPr>
                <w:sz w:val="17"/>
              </w:rPr>
              <w:t>9,022</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7,012</w:t>
            </w:r>
          </w:p>
        </w:tc>
        <w:tc>
          <w:tcPr>
            <w:tcW w:type="dxa" w:w="1440"/>
            <w:shd w:fill="FAFAFA" w:val="clear"/>
          </w:tcPr>
          <w:p>
            <w:r>
              <w:rPr>
                <w:b/>
                <w:sz w:val="17"/>
              </w:rPr>
              <w:t>8,074</w:t>
            </w:r>
          </w:p>
        </w:tc>
        <w:tc>
          <w:tcPr>
            <w:tcW w:type="dxa" w:w="1440"/>
            <w:shd w:fill="FAFAFA" w:val="clear"/>
          </w:tcPr>
          <w:p>
            <w:r>
              <w:rPr>
                <w:sz w:val="17"/>
              </w:rPr>
              <w:t>9,136</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6,865</w:t>
            </w:r>
          </w:p>
        </w:tc>
        <w:tc>
          <w:tcPr>
            <w:tcW w:type="dxa" w:w="1440"/>
            <w:shd w:fill="FAFAFA" w:val="clear"/>
          </w:tcPr>
          <w:p>
            <w:r>
              <w:rPr>
                <w:b/>
                <w:sz w:val="17"/>
              </w:rPr>
              <w:t>8,048</w:t>
            </w:r>
          </w:p>
        </w:tc>
        <w:tc>
          <w:tcPr>
            <w:tcW w:type="dxa" w:w="1440"/>
            <w:shd w:fill="FAFAFA" w:val="clear"/>
          </w:tcPr>
          <w:p>
            <w:r>
              <w:rPr>
                <w:sz w:val="17"/>
              </w:rPr>
              <w:t>9,232</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6,732</w:t>
            </w:r>
          </w:p>
        </w:tc>
        <w:tc>
          <w:tcPr>
            <w:tcW w:type="dxa" w:w="1440"/>
            <w:shd w:fill="FAFAFA" w:val="clear"/>
          </w:tcPr>
          <w:p>
            <w:r>
              <w:rPr>
                <w:b/>
                <w:sz w:val="17"/>
              </w:rPr>
              <w:t>8,024</w:t>
            </w:r>
          </w:p>
        </w:tc>
        <w:tc>
          <w:tcPr>
            <w:tcW w:type="dxa" w:w="1440"/>
            <w:shd w:fill="FAFAFA" w:val="clear"/>
          </w:tcPr>
          <w:p>
            <w:r>
              <w:rPr>
                <w:sz w:val="17"/>
              </w:rPr>
              <w:t>9,317</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6,609</w:t>
            </w:r>
          </w:p>
        </w:tc>
        <w:tc>
          <w:tcPr>
            <w:tcW w:type="dxa" w:w="1440"/>
            <w:shd w:fill="FAFAFA" w:val="clear"/>
          </w:tcPr>
          <w:p>
            <w:r>
              <w:rPr>
                <w:b/>
                <w:sz w:val="17"/>
              </w:rPr>
              <w:t>8,001</w:t>
            </w:r>
          </w:p>
        </w:tc>
        <w:tc>
          <w:tcPr>
            <w:tcW w:type="dxa" w:w="1440"/>
            <w:shd w:fill="FAFAFA" w:val="clear"/>
          </w:tcPr>
          <w:p>
            <w:r>
              <w:rPr>
                <w:sz w:val="17"/>
              </w:rPr>
              <w:t>9,393</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6,495</w:t>
            </w:r>
          </w:p>
        </w:tc>
        <w:tc>
          <w:tcPr>
            <w:tcW w:type="dxa" w:w="1440"/>
            <w:shd w:fill="FAFAFA" w:val="clear"/>
          </w:tcPr>
          <w:p>
            <w:r>
              <w:rPr>
                <w:b/>
                <w:sz w:val="17"/>
              </w:rPr>
              <w:t>7,979</w:t>
            </w:r>
          </w:p>
        </w:tc>
        <w:tc>
          <w:tcPr>
            <w:tcW w:type="dxa" w:w="1440"/>
            <w:shd w:fill="FAFAFA" w:val="clear"/>
          </w:tcPr>
          <w:p>
            <w:r>
              <w:rPr>
                <w:sz w:val="17"/>
              </w:rPr>
              <w:t>9,462</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6,387</w:t>
            </w:r>
          </w:p>
        </w:tc>
        <w:tc>
          <w:tcPr>
            <w:tcW w:type="dxa" w:w="1440"/>
            <w:shd w:fill="FAFAFA" w:val="clear"/>
          </w:tcPr>
          <w:p>
            <w:r>
              <w:rPr>
                <w:b/>
                <w:sz w:val="17"/>
              </w:rPr>
              <w:t>7,957</w:t>
            </w:r>
          </w:p>
        </w:tc>
        <w:tc>
          <w:tcPr>
            <w:tcW w:type="dxa" w:w="1440"/>
            <w:shd w:fill="FAFAFA" w:val="clear"/>
          </w:tcPr>
          <w:p>
            <w:r>
              <w:rPr>
                <w:sz w:val="17"/>
              </w:rPr>
              <w:t>9,526</w:t>
            </w:r>
          </w:p>
        </w:tc>
        <w:tc>
          <w:tcPr>
            <w:tcW w:type="dxa" w:w="1440"/>
            <w:shd w:fill="FAFAFA" w:val="clear"/>
          </w:tcPr>
          <w:p>
            <w:r>
              <w:rPr>
                <w:b/>
                <w:color w:val="C00000"/>
                <w:sz w:val="17"/>
              </w:rPr>
              <w:t>-1.8%</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6,286</w:t>
            </w:r>
          </w:p>
        </w:tc>
        <w:tc>
          <w:tcPr>
            <w:tcW w:type="dxa" w:w="1440"/>
            <w:shd w:fill="FFDCE0" w:val="clear"/>
          </w:tcPr>
          <w:p>
            <w:r>
              <w:rPr>
                <w:b/>
                <w:sz w:val="17"/>
              </w:rPr>
              <w:t>7,936</w:t>
            </w:r>
          </w:p>
        </w:tc>
        <w:tc>
          <w:tcPr>
            <w:tcW w:type="dxa" w:w="1440"/>
            <w:shd w:fill="FFDCE0" w:val="clear"/>
          </w:tcPr>
          <w:p>
            <w:r>
              <w:rPr>
                <w:sz w:val="17"/>
              </w:rPr>
              <w:t>9,586</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207,02 milliards FCFA, SPHC s'impose comme l'une des valeurs phares du compartiment agro-industriel de la BRVM, un niveau qui la place parmi les grandes capitalisations régionales. Le BPA de 977 FCFA/action signifie que chaque titre génère près d'un millier de francs de bénéfice net, ce qui, rapporté au cours actuel de 8 100 FCFA, donne un PER de 8,3x — nettement inférieur à la moyenne BRVM (8-12x), suggérant une sous-évaluation relative du titre par le marché. Le P/B de 1,50x indique que le marché valorise SPHC à une prime modérée de 50% sur sa valeur comptable, ce qui reste raisonnable pour une entreprise affichant un ROE de 18,1%. Enfin, l'EV/EBITDA de 5,2x traduit une valorisation attractive de la capacité opérationnelle, le marché ne payant que 5,2 fois la capacité bénéficiaire brute d'exploitation — un multiple faible qui renforce le diagnostic de sous-évaluation, sous réserve que la dégradation récente des résultats (T1 2026) ne se confirme pas durablement.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+9,53%, mais la dernière séance (J-1) marque un repli de -2,41%, signalant une pression vendeuse de court terme. Le titre a évolué dans un range large de 6 720 FCFA (plus bas) à 10 300 FCFA (plus haut), soit une amplitude de plus de 53%, ce qui témoigne d'une forte volatilité intra-période. La tendance générale reste haussière sur la période, mais le cours actuel (8 100 FCFA) se situe désormais sous sa moyenne (7 770 FCFA) et sa médiane (7 570 FCFA), indiquant une correction récente depuis les sommets. L'écart entre moyenne (7 770) et médiane (7 570) est modéré, mais le mode à 7 600 FCFA suggère une concentration des échanges autour de ce niveau, avec une asymétrie positive (skewness = 1,472) signifiant que les journées sous la moyenne sont plus fréquentes que les journées au-dessus — un signal de fragilité. L'écart-type de 805 FCFA (CV = 10,4%) traduit une dispersion modérée du cours, tandis que le kurtosis de 1,583 (leptokurtique) indique des queues épaisses, donc un risque de pics de volatilité brutaux. Avec une volatilité annualisée de 44,7%, SPHC se classe dans la catégorie des titres à volatilité élevée (&gt;30%),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(9 129,75 FCFA) est nettement supérieure à la MM50 (8 218 FCFA), et le cours actuel (8 100 FCFA) se situe sous ces deux moyennes, ce qui traduit une pression baissière de court terme. Cependant, la décision technique affichée est "Achat", probablement en anticipation d'un rebond technique après la correction. La configuration MM20 &gt; MM50 reste haussière de fond, mais le croisement baissier du cours sous ces moyennes invite à la prudence.</w:t>
      </w:r>
    </w:p>
    <w:p>
      <w:pPr>
        <w:spacing w:after="120" w:line="276" w:lineRule="auto"/>
      </w:pPr>
      <w:r>
        <w:t>**Bandes de Bollinger :** Le cours (8 100 FCFA) se situe dans la partie basse de la bande, entre la borne inférieure (7 707,53 FCFA) et la borne supérieure (10 551,97 FCFA), sans être en zone de survente extrême. La décision "Neutre" reflète cette position médiane-basse, avec une volatilité qui reste élevée (largeur de bande importante). Un retour vers la borne inférieure pourrait constituer un point d'entrée, mais la prudence est de mise.</w:t>
      </w:r>
    </w:p>
    <w:p>
      <w:pPr>
        <w:spacing w:after="120" w:line="276" w:lineRule="auto"/>
      </w:pPr>
      <w:r>
        <w:t>**MACD :** La valeur du MACD (36,108) est très inférieure à son signal (274,66), ce qui génère une divergence baissière marquée et justifie la décision "Vente". Le momentum est clairement négatif, et le croisement MACD/Signal à la baisse confirme la pression vendeuse actuelle. Une stabilisation du MACD au-dessus de zéro reste toutefois un signe de résilience de fond.</w:t>
      </w:r>
    </w:p>
    <w:p>
      <w:pPr>
        <w:spacing w:after="120" w:line="276" w:lineRule="auto"/>
      </w:pPr>
      <w:r>
        <w:t>**RSI :** À 35,907, le RSI se situe dans la zone neutre basse (30-70), sans atteindre la zone de survente (&lt;30). La décision "Neutre" indique que le titre n'est ni suracheté ni survendu, mais la proximité de la zone de survente pourrait attirer les acheteurs à contre-tendance. Une cassure sous 30 déclencherait un signal d'achat technique.</w:t>
      </w:r>
    </w:p>
    <w:p>
      <w:pPr>
        <w:spacing w:after="120" w:line="276" w:lineRule="auto"/>
      </w:pPr>
      <w:r>
        <w:t>**Stochastique :** Avec %K = 6,977 et %D = 9,161, les deux lignes sont en zone de survente extrême (&lt;20), et %K est légèrement sous %D, ce qui pourrait annoncer un croisement haussier imminent. La décision "Achat" est cohérente avec cette configuration, qui suggère un rebond technique probable à court terme.</w:t>
      </w:r>
    </w:p>
    <w:p>
      <w:pPr>
        <w:spacing w:after="120" w:line="276" w:lineRule="auto"/>
      </w:pPr>
      <w:r>
        <w:t>**Conclusion technique :** Les indicateurs sont divergents : les moyennes mobiles et le MACD sont baissiers, tandis que le stochastique et le RSI (proche de la survente) plaident pour un rebond. La décision globale est mitigée, avec un biais haussier de court terme porté par le stochastique, mais une prudence nécessaire face à la pression vendeuse du MACD et à la position du cours sous les moyennes mobiles. Un rebond technique vers 8 500-9 000 FCFA est envisageable, mais la tendance de fond reste fragile.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SPHC a réalisé un chiffre d'affaires de 340,831 milliards FCFA, en croissance de 21,97% par rapport à 2024 (279,44 milliards FCFA), portée par une hausse des volumes (+16,8%) et des prix (+17,6%) selon le rapport T3 2025 (daté du 30/09/2025). Le résultat net s'établit à 24,972 milliards FCFA, en hausse de 32,9%, avec une marge nette de 7,33% (contre 6,7% en 2024). Le ROE atteint 18,10% (excellent, &gt;15%) et le ROA 11,06%, confirmant une rentabilité solide. La structure financière est saine : autonomie financière de 61,08%, ratio d'endettement de 25,81%, et couverture des intérêts de 1 094,57%. Cependant, la trésorerie nette est négative (-15,413 milliards FCFA), et le BFR s'élève à 65,389 milliards FCFA, avec des délais clients de 35 jours et une durée de stockage de 72,33 jours — des niveaux qui immobilisent du capital et pèsent sur la liquidité.</w:t>
      </w:r>
    </w:p>
    <w:p>
      <w:pPr>
        <w:spacing w:after="120" w:line="276" w:lineRule="auto"/>
      </w:pPr>
      <w:r>
        <w:t>**Adaptation au secteur (entreprise non bancaire) :** SPHC est une entreprise agro-industrielle spécialisée dans l'hévéa (caoutchouc naturel). Les délais clients (35 jours) et la durée de stockage (72,33 jours) sont modérés mais nécessitent une surveillance, car ils traduisent un besoin en fonds de roulement élevé (65,389 milliards FCFA) qui absorbe une partie des flux opérationnels (37,612 milliards FCFA). Le free cash-flow reste positif (14,194 milliards FCFA), mais la trésorerie nette négative (-15,413 milliards FCFA) est un point de vigilance, compensé par des capitaux permanents solides (173,536 milliards FCFA) et une capacité de remboursement de 0,97 an (dette financière/CAF), ce qui est très favorable.</w:t>
      </w:r>
    </w:p>
    <w:p>
      <w:pPr>
        <w:spacing w:after="120" w:line="276" w:lineRule="auto"/>
      </w:pPr>
      <w:r>
        <w:t>**Estimations basées sur les rapports trimestriels :** Le rapport T1 2026 (daté de 2026) révèle une dégradation brutale : chiffre d'affaires de 71,8 milliards FCFA (-24%), résultat net de 2,633 milliards FCFA (-78%), et marge nette réduite à 4%. Cette contre-performance est attribuée à la chute des cours mondiaux du caoutchouc, à l'engorgement du port de San Pedro et à la concurrence accrue sur l'achat de matière première. Sur la base de ce T1 2026, on estime que l'exercice 2026 devrait afficher un chiffre d'affaires annuel compris entre 280 et 300 milliards FCFA (en baisse de 12-18% vs 2025) et un résultat net de 10-12 milliards FCFA (en baisse de 50-60%), sauf rebond des cours au second semestre. Le rapport T3 2025 (daté du 30/09/2025) soulignait déjà des risques : volatilité des cours, incertitude réglementaire EUDR, et bataille pour l'accès à la matière première.</w:t>
      </w:r>
    </w:p>
    <w:p>
      <w:pPr>
        <w:spacing w:after="120" w:line="276" w:lineRule="auto"/>
      </w:pPr>
      <w:r>
        <w:t>**Évolution pluriannuelle :** Entre 2023 et 2025, SPHC a connu une croissance spectaculaire : CA de 206,5 milliards (2023) à 340,8 milliards (2025), et résultat net de 3,6 milliards (2023) à 24,97 milliards (2025), soit une multiplication par 7. Cette performance a été dopée par un environnement de prix favorable (cours du caoutchouc en hausse) et une maîtrise des coûts. Cependant, le T1 2026 marque un coup d'arrêt brutal, rappelant la cyclicité du secteur.</w:t>
      </w:r>
    </w:p>
    <w:p>
      <w:pPr>
        <w:spacing w:after="120" w:line="276" w:lineRule="auto"/>
      </w:pPr>
      <w:r>
        <w:t>**Recommandation fondamentale :** SPHC reste une entreprise solide (ROE 18,1%, structure financière saine, dividende attractif de 489 FCFA/action), mais les perspectives 2026 sont préoccupantes (chute des cours, concurrence, trésorerie négative). La recommandation fondamentale est **CONSERVER** avec une surveillance active des indicateurs de trésorerie et des cours mondiaux du caoutchouc. Un passage à l'achat serait justifié si les cours se stabilisent et si la société confirme sa capacité à maintenir ses marges.</w:t>
      </w:r>
    </w:p>
    <w:p>
      <w:pPr>
        <w:spacing w:after="120" w:line="276" w:lineRule="auto"/>
      </w:pPr>
      <w:r>
        <w:t>---</w:t>
      </w:r>
    </w:p>
    <w:p>
      <w:pPr>
        <w:spacing w:after="120" w:line="276" w:lineRule="auto"/>
      </w:pPr>
      <w:r>
        <w:t>## PARTIE 4 : CONCLUSION D'INVESTISSEMENT</w:t>
      </w:r>
    </w:p>
    <w:p>
      <w:pPr>
        <w:spacing w:after="120" w:line="276" w:lineRule="auto"/>
      </w:pPr>
      <w:r>
        <w:t>La valorisation de SPHC (PER 8,3x, P/B 1,50x, EV/EBITDA 5,2x) indique une sous-évaluation relative par rapport aux moyennes du marché, ce qui constitue un argument haussier de long terme. Cependant, le comportement du cours sur 100 jours (+9,53% mais -2,41% en J-1) révèle une tendance haussière fragilisée par une correction récente, avec une volatilité élevée (44,7%) et un kurtosis leptokurtique (1,583) qui signalent un risque de pics baissiers. Les signaux techniques sont divergents : le stochastique (survente extrême) et le RSI (35,9) plaident pour un rebond, tandis que le MACD (vente) et la position du cours sous les moyennes mobiles (MM20 et MM50) confirment la pression vendeuse. Les fondamentaux 2025 sont solides (CA +22%, RN +32,9%, ROE 18,1%), mais le T1 2026 (CA -24%, RN -78%) marque une dégradation brutale qui remet en cause les perspectives annuelles. Les prédictions IA (8 159 → 8 048 FCFA sur 10 jours) anticipent une légère baisse, en ligne avec la pression baissière de court terme, mais sans effondrement. Sur la base de cette synthèse, la recommandation finale est **CONSERVER**, avec un niveau de confiance **Moyen** et un risque global **Élevé**. L'horizon optimal est **moyen terme (3-12 mois)**, en attendant la confirmation d'une stabilisation des cours du caoutchouc et d'une amélioration de la trésorerie. Un passage à l'achat serait envisageable si le titre casse la résistance des 9 000 FCFA avec des volumes, ou si les cours mondiaux du caoutchouc rebondissent durablement. À l'inverse, une cassure sous 7 700 FCFA (borne inférieure de Bollinger) déclencherait un signal de vente.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5,956 titres</w:t>
            </w:r>
          </w:p>
        </w:tc>
        <w:tc>
          <w:tcPr>
            <w:tcW w:type="dxa" w:w="2268"/>
            <w:shd w:fill="FFF2CC" w:val="clear"/>
          </w:tcPr>
          <w:p>
            <w:r>
              <w:rPr>
                <w:b/>
                <w:color w:val="503200"/>
                <w:sz w:val="16"/>
              </w:rPr>
              <w:t xml:space="preserve">Cours actuel : </w:t>
            </w:r>
            <w:r>
              <w:rPr>
                <w:color w:val="000000"/>
                <w:sz w:val="17"/>
              </w:rPr>
              <w:t>2,555 FCFA</w:t>
            </w:r>
          </w:p>
          <w:p>
            <w:r>
              <w:rPr>
                <w:b/>
                <w:color w:val="503200"/>
                <w:sz w:val="16"/>
              </w:rPr>
              <w:t xml:space="preserve">Var. 100 jours : </w:t>
            </w:r>
            <w:r>
              <w:rPr>
                <w:b/>
                <w:color w:val="B40000"/>
                <w:sz w:val="17"/>
              </w:rPr>
              <w:t>-7.43%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μ=2,956 FCFA, σ=329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β=-0.8697 (Contre-cyclique) — Cov=-0.000030, Var(idx)=0.000034, ρ=-0.142,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2,433</w:t>
            </w:r>
          </w:p>
        </w:tc>
        <w:tc>
          <w:tcPr>
            <w:tcW w:type="dxa" w:w="1440"/>
            <w:shd w:fill="FAFAFA" w:val="clear"/>
          </w:tcPr>
          <w:p>
            <w:r>
              <w:rPr>
                <w:b/>
                <w:sz w:val="17"/>
              </w:rPr>
              <w:t>2,535</w:t>
            </w:r>
          </w:p>
        </w:tc>
        <w:tc>
          <w:tcPr>
            <w:tcW w:type="dxa" w:w="1440"/>
            <w:shd w:fill="FAFAFA" w:val="clear"/>
          </w:tcPr>
          <w:p>
            <w:r>
              <w:rPr>
                <w:sz w:val="17"/>
              </w:rPr>
              <w:t>2,637</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2,361</w:t>
            </w:r>
          </w:p>
        </w:tc>
        <w:tc>
          <w:tcPr>
            <w:tcW w:type="dxa" w:w="1440"/>
            <w:shd w:fill="FAFAFA" w:val="clear"/>
          </w:tcPr>
          <w:p>
            <w:r>
              <w:rPr>
                <w:b/>
                <w:sz w:val="17"/>
              </w:rPr>
              <w:t>2,504</w:t>
            </w:r>
          </w:p>
        </w:tc>
        <w:tc>
          <w:tcPr>
            <w:tcW w:type="dxa" w:w="1440"/>
            <w:shd w:fill="FAFAFA" w:val="clear"/>
          </w:tcPr>
          <w:p>
            <w:r>
              <w:rPr>
                <w:sz w:val="17"/>
              </w:rPr>
              <w:t>2,647</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2026-09-17</w:t>
            </w:r>
          </w:p>
        </w:tc>
        <w:tc>
          <w:tcPr>
            <w:tcW w:type="dxa" w:w="1440"/>
            <w:shd w:fill="FFDCE0" w:val="clear"/>
          </w:tcPr>
          <w:p>
            <w:r>
              <w:rPr>
                <w:sz w:val="17"/>
              </w:rPr>
              <w:t>2,300</w:t>
            </w:r>
          </w:p>
        </w:tc>
        <w:tc>
          <w:tcPr>
            <w:tcW w:type="dxa" w:w="1440"/>
            <w:shd w:fill="FFDCE0" w:val="clear"/>
          </w:tcPr>
          <w:p>
            <w:r>
              <w:rPr>
                <w:b/>
                <w:sz w:val="17"/>
              </w:rPr>
              <w:t>2,473</w:t>
            </w:r>
          </w:p>
        </w:tc>
        <w:tc>
          <w:tcPr>
            <w:tcW w:type="dxa" w:w="1440"/>
            <w:shd w:fill="FFDCE0" w:val="clear"/>
          </w:tcPr>
          <w:p>
            <w:r>
              <w:rPr>
                <w:sz w:val="17"/>
              </w:rPr>
              <w:t>2,645</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2,246</w:t>
            </w:r>
          </w:p>
        </w:tc>
        <w:tc>
          <w:tcPr>
            <w:tcW w:type="dxa" w:w="1440"/>
            <w:shd w:fill="FFDCE0" w:val="clear"/>
          </w:tcPr>
          <w:p>
            <w:r>
              <w:rPr>
                <w:b/>
                <w:sz w:val="17"/>
              </w:rPr>
              <w:t>2,443</w:t>
            </w:r>
          </w:p>
        </w:tc>
        <w:tc>
          <w:tcPr>
            <w:tcW w:type="dxa" w:w="1440"/>
            <w:shd w:fill="FFDCE0" w:val="clear"/>
          </w:tcPr>
          <w:p>
            <w:r>
              <w:rPr>
                <w:sz w:val="17"/>
              </w:rPr>
              <w:t>2,640</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2,199</w:t>
            </w:r>
          </w:p>
        </w:tc>
        <w:tc>
          <w:tcPr>
            <w:tcW w:type="dxa" w:w="1440"/>
            <w:shd w:fill="FFDCE0" w:val="clear"/>
          </w:tcPr>
          <w:p>
            <w:r>
              <w:rPr>
                <w:b/>
                <w:sz w:val="17"/>
              </w:rPr>
              <w:t>2,417</w:t>
            </w:r>
          </w:p>
        </w:tc>
        <w:tc>
          <w:tcPr>
            <w:tcW w:type="dxa" w:w="1440"/>
            <w:shd w:fill="FFDCE0" w:val="clear"/>
          </w:tcPr>
          <w:p>
            <w:r>
              <w:rPr>
                <w:sz w:val="17"/>
              </w:rPr>
              <w:t>2,634</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2,157</w:t>
            </w:r>
          </w:p>
        </w:tc>
        <w:tc>
          <w:tcPr>
            <w:tcW w:type="dxa" w:w="1440"/>
            <w:shd w:fill="FFDCE0" w:val="clear"/>
          </w:tcPr>
          <w:p>
            <w:r>
              <w:rPr>
                <w:b/>
                <w:sz w:val="17"/>
              </w:rPr>
              <w:t>2,393</w:t>
            </w:r>
          </w:p>
        </w:tc>
        <w:tc>
          <w:tcPr>
            <w:tcW w:type="dxa" w:w="1440"/>
            <w:shd w:fill="FFDCE0" w:val="clear"/>
          </w:tcPr>
          <w:p>
            <w:r>
              <w:rPr>
                <w:sz w:val="17"/>
              </w:rPr>
              <w:t>2,629</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2,120</w:t>
            </w:r>
          </w:p>
        </w:tc>
        <w:tc>
          <w:tcPr>
            <w:tcW w:type="dxa" w:w="1440"/>
            <w:shd w:fill="FFDCE0" w:val="clear"/>
          </w:tcPr>
          <w:p>
            <w:r>
              <w:rPr>
                <w:b/>
                <w:sz w:val="17"/>
              </w:rPr>
              <w:t>2,373</w:t>
            </w:r>
          </w:p>
        </w:tc>
        <w:tc>
          <w:tcPr>
            <w:tcW w:type="dxa" w:w="1440"/>
            <w:shd w:fill="FFDCE0" w:val="clear"/>
          </w:tcPr>
          <w:p>
            <w:r>
              <w:rPr>
                <w:sz w:val="17"/>
              </w:rPr>
              <w:t>2,626</w:t>
            </w:r>
          </w:p>
        </w:tc>
        <w:tc>
          <w:tcPr>
            <w:tcW w:type="dxa" w:w="1440"/>
            <w:shd w:fill="FFDCE0" w:val="clear"/>
          </w:tcPr>
          <w:p>
            <w:r>
              <w:rPr>
                <w:b/>
                <w:color w:val="C00000"/>
                <w:sz w:val="17"/>
              </w:rPr>
              <w:t>-7.1%</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2,087</w:t>
            </w:r>
          </w:p>
        </w:tc>
        <w:tc>
          <w:tcPr>
            <w:tcW w:type="dxa" w:w="1440"/>
            <w:shd w:fill="FFDCE0" w:val="clear"/>
          </w:tcPr>
          <w:p>
            <w:r>
              <w:rPr>
                <w:b/>
                <w:sz w:val="17"/>
              </w:rPr>
              <w:t>2,355</w:t>
            </w:r>
          </w:p>
        </w:tc>
        <w:tc>
          <w:tcPr>
            <w:tcW w:type="dxa" w:w="1440"/>
            <w:shd w:fill="FFDCE0" w:val="clear"/>
          </w:tcPr>
          <w:p>
            <w:r>
              <w:rPr>
                <w:sz w:val="17"/>
              </w:rPr>
              <w:t>2,623</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2,057</w:t>
            </w:r>
          </w:p>
        </w:tc>
        <w:tc>
          <w:tcPr>
            <w:tcW w:type="dxa" w:w="1440"/>
            <w:shd w:fill="FFDCE0" w:val="clear"/>
          </w:tcPr>
          <w:p>
            <w:r>
              <w:rPr>
                <w:b/>
                <w:sz w:val="17"/>
              </w:rPr>
              <w:t>2,339</w:t>
            </w:r>
          </w:p>
        </w:tc>
        <w:tc>
          <w:tcPr>
            <w:tcW w:type="dxa" w:w="1440"/>
            <w:shd w:fill="FFDCE0" w:val="clear"/>
          </w:tcPr>
          <w:p>
            <w:r>
              <w:rPr>
                <w:sz w:val="17"/>
              </w:rPr>
              <w:t>2,622</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2,029</w:t>
            </w:r>
          </w:p>
        </w:tc>
        <w:tc>
          <w:tcPr>
            <w:tcW w:type="dxa" w:w="1440"/>
            <w:shd w:fill="FFDCE0" w:val="clear"/>
          </w:tcPr>
          <w:p>
            <w:r>
              <w:rPr>
                <w:b/>
                <w:sz w:val="17"/>
              </w:rPr>
              <w:t>2,325</w:t>
            </w:r>
          </w:p>
        </w:tc>
        <w:tc>
          <w:tcPr>
            <w:tcW w:type="dxa" w:w="1440"/>
            <w:shd w:fill="FFDCE0" w:val="clear"/>
          </w:tcPr>
          <w:p>
            <w:r>
              <w:rPr>
                <w:sz w:val="17"/>
              </w:rPr>
              <w:t>2,621</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**Bourse Régionale des Valeurs Mobilières (BRVM) — Secteur : BTP / Études &amp; Travaux**</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s'élève à **34,34 milliards FCFA**, un niveau modeste à l'échelle de la BRVM qui la situe dans la catégorie des petites capitalisations, bien loin des poids lourds comme Sonatel ou Orange CI. Le BPA ressort à **-7 FCFA/action**, traduisant une société qui détruit de la valeur pour ses actionnaires plutôt qu'elle n'en crée. Le PER est mécaniquement **négatif (-355,6x)**, ce qui le rend ininterprétable en l'état : il signale simplement que l'entreprise est déficitaire et qu'aucun bénéfice ne peut être capitalisé. Le ratio P/B de **96,26x** est particulièrement alarmant : le marché valorise l'action à près de 96 fois sa valeur comptable, alors que la référence saine se situe sous 4x — cette prime exorbitante s'explique par des capitaux propres résiduels très faibles (356,75 M FCFA) face à une capitalisation de 34,34 Mds FCFA, révélant une décorrélation totale entre le prix de marché et la réalité bilancielle. En l'absence de données EV/EBITDA exploitables (EBITDA négatif), la valorisation apparaît purement spéculative et sans ancrage sur les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-7,43%**, avec une dernière séance en repli de **-0,78%**, confirmant une dynamique baissière persistante. Le cours actuel de **2 555 FCFA** évolue dans un range large entre un plus haut de **3 640 FCFA** et un plus bas de **2 500 FCFA**, soit un écart de 45,6% qui témoigne d'une forte amplitude de trading. La tendance générale est clairement baissière, le cours se situant à seulement 2,2% au-dessus de son plancher récent. Les statistiques descriptives révèlent une **moyenne de 2 956 FCFA** nettement supérieure à la **médiane de 2 892 FCFA**, avec un mode à 3 000 FCFA : cet écart moyen-médiane confirme une asymétrie positive (skewness de 0,541), c'est-à-dire que la majorité des séances se sont déroulées sous la moyenne, avec quelques pics haussiers isolés. L'écart-type de **331 FCFA** (CV de 11,2%) indique une dispersion modérée en pourcentage, mais la **volatilité annualisée de 57,2%** classe ce titre parmi les valeurs à volatilité élevée (&gt;30%), donc risquée. Le kurtosis de -0,842 (mésokurtique) suggère une distribution proche de la normale, sans risque extrême de pics violents, ce qui atténue quelque peu le profil de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(2 601 FCFA) et la MM50 (2 811 FCFA) encadrent le cours actuel de 2 555 FCFA, qui évolue sous ses deux moyennes — configuration baissière classique. La MM20 étant elle-même inférieure à la MM50, on observe un croisement baissier (death cross) qui justifie la **décision de Vente**.</w:t>
      </w:r>
    </w:p>
    <w:p>
      <w:pPr>
        <w:spacing w:after="120" w:line="276" w:lineRule="auto"/>
      </w:pPr>
      <w:r>
        <w:t>**Bandes de Bollinger** : Le cours (2 555 FCFA) se situe dans la moitié basse de la bande, entre la borne inférieure (2 411 FCFA) et la borne supérieure (2 791 FCFA), sans franchissement de seuil. Cette position médiane-basse, avec un cours proche de la borne inférieure, traduit une pression vendeuse modérée mais réelle, d'où la **décision Neutre**.</w:t>
      </w:r>
    </w:p>
    <w:p>
      <w:pPr>
        <w:spacing w:after="120" w:line="276" w:lineRule="auto"/>
      </w:pPr>
      <w:r>
        <w:t>**MACD** : La valeur du MACD (-63,378) est supérieure à son signal (-69,135), générant un histogramme positif — configuration dite de « croisement haussier » qui indique un ralentissement de la dynamique baissière. Cette divergence positive justifie la **décision d'Achat** à court terme.</w:t>
      </w:r>
    </w:p>
    <w:p>
      <w:pPr>
        <w:spacing w:after="120" w:line="276" w:lineRule="auto"/>
      </w:pPr>
      <w:r>
        <w:t>**RSI** : À **47,403**, l'indicateur se situe en zone parfaitement neutre (entre 30 et 70), sans signal de surachat ni de survente. Le titre n'est ni surévalué ni survendu techniquement, ce qui justifie la **décision Neutre**.</w:t>
      </w:r>
    </w:p>
    <w:p>
      <w:pPr>
        <w:spacing w:after="120" w:line="276" w:lineRule="auto"/>
      </w:pPr>
      <w:r>
        <w:t>**Stochastique** : Le %K (16,667) est inférieur au %D (21,212), mais les deux se situent en zone de survente (&lt;20 pour le %K). Cette configuration en zone basse, avec un %K proche du %D, suggère un potentiel rebond technique imminent, justifiant la **décision d'Achat**.</w:t>
      </w:r>
    </w:p>
    <w:p>
      <w:pPr>
        <w:spacing w:after="120" w:line="276" w:lineRule="auto"/>
      </w:pPr>
      <w:r>
        <w:t>**Conclusion technique** : Les indicateurs sont divergents — les moyennes mobiles et les bandes de Bollinger sont baissières ou neutres, tandis que le MACD et le stochastique émettent des signaux d'achat en zone de survente. Cette divergence indique un possible rebond technique à court terme, mais dans un contexte de tendance de fond toujours baissière. La prudence reste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STAC a réalisé un chiffre d'affaires de **3,878 Mds FCFA**, en croissance spectaculaire de **+116,26%** par rapport à 2024 (1,793 Mds FCFA), portée par la reprise des travaux de l'aéroport d'Abidjan. Cependant, cette dynamique commerciale ne se traduit pas encore en rentabilité : le résultat net reste négatif à **-96,56 M FCFA**, le ROE s'établit à **-27,07%** et le ROA à **-1,77%**, confirmant une destruction de valeur. La marge nette est de **-2,49%** et la marge opérationnelle de **-19,90%**, révélant une structure de coûts inadaptée au niveau d'activité. Le BFR est négatif à **-930,47 M FCFA** (favorable pour la trésorerie), et la trésorerie nette atteint **1,330 Mds FCFA**, mais le flux opérationnel est négatif à **-2,212 Mds FCFA**, ce qui signifie que l'activité consomme du cash. L'autonomie financière est critique à **6,55%** (contre &gt;30% recommandé) et le ratio d'endettement de **93,45%** traduit une dépendance excessive aux dettes.</w:t>
      </w:r>
    </w:p>
    <w:p>
      <w:pPr>
        <w:spacing w:after="120" w:line="276" w:lineRule="auto"/>
      </w:pPr>
      <w:r>
        <w:t>**Estimations basées sur les rapports trimestriels** : Le rapport du **30 septembre 2025** (T3 2025) indique un CA cumulé de 3 456 M FCFA (+176% sur 9 mois) et une perte nette réduite de 22% à -477 M FCFA, avec une perte d'exploitation divisée par deux (-456 M FCFA contre -921 M FCFA). Le rapport du **30 juin 2025** (S1 2025) faisait état d'un CA de 2 271 M FCFA (+290%) mais d'une perte nette aggravée à -557 M FCFA. La direction maintient une prévision de CA annuel 2025 à **4 Mds FCFA**, ce qui implique un T4 très faible (~544 M FCFA). On estime donc que l'exercice 2025 devrait se solder par une perte nette annuelle comprise entre **-100 et -150 M FCFA**, en amélioration par rapport à 2024 (-348 M FCFA).</w:t>
      </w:r>
    </w:p>
    <w:p>
      <w:pPr>
        <w:spacing w:after="120" w:line="276" w:lineRule="auto"/>
      </w:pPr>
      <w:r>
        <w:t>**Évolution pluriannuelle** : Les rapports 2020-2021 montrent une entreprise autrefois rentable (résultat net de 2,32 Mds FCFA en 2020, 1,12 Md FCFA en 2021, marge nette de 10,9% à 19,6%), avant un effondrement à partir de 2023 (CA de 9,26 Mds FCFA en 2023, puis 1,79 Md en 2024). La trajectoire 2025 marque une tentative de redressement, mais la rentabilité reste hors de portée.</w:t>
      </w:r>
    </w:p>
    <w:p>
      <w:pPr>
        <w:spacing w:after="120" w:line="276" w:lineRule="auto"/>
      </w:pPr>
      <w:r>
        <w:t>**Recommandation fondamentale** : La société présente une **solidité financière très précaire** (capitaux propres de 356,75 M FCFA, autonomie financière de 6,55%), des **risques élevés** (dépendance à un seul projet, trésorerie consommée par l'exploitation) et des **perspectives incertaines** (retour à la rentabilité non démontré). Le seul point positif est la forte croissance du CA et la réduction des pertes opérationnelles, mais la survie à moyen terme dépend de la sécurisation de nouveaux contrats.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situation profondément contrastée. **Sur la valorisation (Partie 0)** , les ratios sont aberrants : PER négatif, P/B de 96,26x, BPA de -7 FCFA — le marché valorise une société déficitaire à une prime injustifiable, ce qui constitue un signal de surévaluation manifeste. **Sur le comportement du cours (Partie 1)** , la tendance est baissière (-7,43% sur 100 jours), la volatilité est élevée (57,2%) et les statistiques (skewness positif, kurtosis normal) indiquent une distribution asymétrique avec une majorité de séances sous la moyenne — profil préoccupant pour un investisseur. **Sur le plan technique (Partie 2)** , les signaux sont divergents : les moyennes mobiles et Bollinger sont baissiers/neutres, tandis que le MACD et le stochastique suggèrent un rebond technique en zone de survente — cette divergence plaide pour une prudence extrême. **Sur les fondamentaux (Partie 3)** , la société est en situation de fragilité critique : capitaux propres quasi-inexistants, autonomie financière de 6,55%, flux opérationnel négatif de -2,212 Mds FCFA, et une rentabilité toujours négative malgré la croissance du CA. **Les prédictions IA (J+1 à J+10)** anticipent une poursuite de la baisse jusqu'à 2 417 FCFA le 21 septembre 2026, confirmant la tendance baissière et contredisant les signaux d'achat techniques à court terme.</w:t>
      </w:r>
    </w:p>
    <w:p>
      <w:pPr>
        <w:spacing w:after="120" w:line="276" w:lineRule="auto"/>
      </w:pPr>
      <w:r>
        <w:t>**Recommandation finale : VENTE FORTE**</w:t>
        <w:br/>
        <w:t>La convergence est claire : valorisation surévaluée, tendance baissière, fondamentaux dégradés et prédictions IA négatives l'emportent sur les signaux techniques de rebond (MACD, stochastique) qui apparaissent comme des opportunités de sortie plutôt que d'entrée. Le niveau de confiance est **Élevé** (les données fondamentales et les prédictions convergent), le niveau de risque est **Élevé** (volatilité de 57,2%, risque de faillite à moyen terme), et l'horizon d'investissement recommandé est **court terme** (&lt;3 mois) pour les investisseurs déjà positionnés, avec une sortie immédiate conseillée. Aucun achat n'est justifié tant que la société n'aura pas démontré un retour durable à la rentabilité opérationnelle et un renforcement de ses capitaux propres.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393.21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3,793 titres</w:t>
            </w:r>
          </w:p>
        </w:tc>
        <w:tc>
          <w:tcPr>
            <w:tcW w:type="dxa" w:w="2268"/>
            <w:shd w:fill="FFF2CC" w:val="clear"/>
          </w:tcPr>
          <w:p>
            <w:r>
              <w:rPr>
                <w:b/>
                <w:color w:val="503200"/>
                <w:sz w:val="16"/>
              </w:rPr>
              <w:t xml:space="preserve">Cours actuel : </w:t>
            </w:r>
            <w:r>
              <w:rPr>
                <w:color w:val="000000"/>
                <w:sz w:val="17"/>
              </w:rPr>
              <w:t>21,900 FCFA</w:t>
            </w:r>
          </w:p>
          <w:p>
            <w:r>
              <w:rPr>
                <w:b/>
                <w:color w:val="503200"/>
                <w:sz w:val="16"/>
              </w:rPr>
              <w:t xml:space="preserve">Var. 100 jours : </w:t>
            </w:r>
            <w:r>
              <w:rPr>
                <w:b/>
                <w:color w:val="007800"/>
                <w:sz w:val="17"/>
              </w:rPr>
              <w:t>+4.78%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μ=22,403 FCFA, σ=1,299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β=0.2860 (Défensif) — Cov=0.000010, Var(idx)=0.000034,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21,139</w:t>
            </w:r>
          </w:p>
        </w:tc>
        <w:tc>
          <w:tcPr>
            <w:tcW w:type="dxa" w:w="1440"/>
            <w:shd w:fill="FAFAFA" w:val="clear"/>
          </w:tcPr>
          <w:p>
            <w:r>
              <w:rPr>
                <w:b/>
                <w:sz w:val="17"/>
              </w:rPr>
              <w:t>22,200</w:t>
            </w:r>
          </w:p>
        </w:tc>
        <w:tc>
          <w:tcPr>
            <w:tcW w:type="dxa" w:w="1440"/>
            <w:shd w:fill="FAFAFA" w:val="clear"/>
          </w:tcPr>
          <w:p>
            <w:r>
              <w:rPr>
                <w:sz w:val="17"/>
              </w:rPr>
              <w:t>23,262</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20,811</w:t>
            </w:r>
          </w:p>
        </w:tc>
        <w:tc>
          <w:tcPr>
            <w:tcW w:type="dxa" w:w="1440"/>
            <w:shd w:fill="FAFAFA" w:val="clear"/>
          </w:tcPr>
          <w:p>
            <w:r>
              <w:rPr>
                <w:b/>
                <w:sz w:val="17"/>
              </w:rPr>
              <w:t>22,321</w:t>
            </w:r>
          </w:p>
        </w:tc>
        <w:tc>
          <w:tcPr>
            <w:tcW w:type="dxa" w:w="1440"/>
            <w:shd w:fill="FAFAFA" w:val="clear"/>
          </w:tcPr>
          <w:p>
            <w:r>
              <w:rPr>
                <w:sz w:val="17"/>
              </w:rPr>
              <w:t>23,831</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2026-09-17</w:t>
            </w:r>
          </w:p>
        </w:tc>
        <w:tc>
          <w:tcPr>
            <w:tcW w:type="dxa" w:w="1440"/>
            <w:shd w:fill="C6EFCE" w:val="clear"/>
          </w:tcPr>
          <w:p>
            <w:r>
              <w:rPr>
                <w:sz w:val="17"/>
              </w:rPr>
              <w:t>20,596</w:t>
            </w:r>
          </w:p>
        </w:tc>
        <w:tc>
          <w:tcPr>
            <w:tcW w:type="dxa" w:w="1440"/>
            <w:shd w:fill="C6EFCE" w:val="clear"/>
          </w:tcPr>
          <w:p>
            <w:r>
              <w:rPr>
                <w:b/>
                <w:sz w:val="17"/>
              </w:rPr>
              <w:t>22,457</w:t>
            </w:r>
          </w:p>
        </w:tc>
        <w:tc>
          <w:tcPr>
            <w:tcW w:type="dxa" w:w="1440"/>
            <w:shd w:fill="C6EFCE" w:val="clear"/>
          </w:tcPr>
          <w:p>
            <w:r>
              <w:rPr>
                <w:sz w:val="17"/>
              </w:rPr>
              <w:t>24,317</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2026-09-18</w:t>
            </w:r>
          </w:p>
        </w:tc>
        <w:tc>
          <w:tcPr>
            <w:tcW w:type="dxa" w:w="1440"/>
            <w:shd w:fill="C6EFCE" w:val="clear"/>
          </w:tcPr>
          <w:p>
            <w:r>
              <w:rPr>
                <w:sz w:val="17"/>
              </w:rPr>
              <w:t>20,496</w:t>
            </w:r>
          </w:p>
        </w:tc>
        <w:tc>
          <w:tcPr>
            <w:tcW w:type="dxa" w:w="1440"/>
            <w:shd w:fill="C6EFCE" w:val="clear"/>
          </w:tcPr>
          <w:p>
            <w:r>
              <w:rPr>
                <w:b/>
                <w:sz w:val="17"/>
              </w:rPr>
              <w:t>22,664</w:t>
            </w:r>
          </w:p>
        </w:tc>
        <w:tc>
          <w:tcPr>
            <w:tcW w:type="dxa" w:w="1440"/>
            <w:shd w:fill="C6EFCE" w:val="clear"/>
          </w:tcPr>
          <w:p>
            <w:r>
              <w:rPr>
                <w:sz w:val="17"/>
              </w:rPr>
              <w:t>24,832</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2026-09-21</w:t>
            </w:r>
          </w:p>
        </w:tc>
        <w:tc>
          <w:tcPr>
            <w:tcW w:type="dxa" w:w="1440"/>
            <w:shd w:fill="C6EFCE" w:val="clear"/>
          </w:tcPr>
          <w:p>
            <w:r>
              <w:rPr>
                <w:sz w:val="17"/>
              </w:rPr>
              <w:t>20,472</w:t>
            </w:r>
          </w:p>
        </w:tc>
        <w:tc>
          <w:tcPr>
            <w:tcW w:type="dxa" w:w="1440"/>
            <w:shd w:fill="C6EFCE" w:val="clear"/>
          </w:tcPr>
          <w:p>
            <w:r>
              <w:rPr>
                <w:b/>
                <w:sz w:val="17"/>
              </w:rPr>
              <w:t>22,924</w:t>
            </w:r>
          </w:p>
        </w:tc>
        <w:tc>
          <w:tcPr>
            <w:tcW w:type="dxa" w:w="1440"/>
            <w:shd w:fill="C6EFCE" w:val="clear"/>
          </w:tcPr>
          <w:p>
            <w:r>
              <w:rPr>
                <w:sz w:val="17"/>
              </w:rPr>
              <w:t>25,376</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2026-09-22</w:t>
            </w:r>
          </w:p>
        </w:tc>
        <w:tc>
          <w:tcPr>
            <w:tcW w:type="dxa" w:w="1440"/>
            <w:shd w:fill="C6EFCE" w:val="clear"/>
          </w:tcPr>
          <w:p>
            <w:r>
              <w:rPr>
                <w:sz w:val="17"/>
              </w:rPr>
              <w:t>20,551</w:t>
            </w:r>
          </w:p>
        </w:tc>
        <w:tc>
          <w:tcPr>
            <w:tcW w:type="dxa" w:w="1440"/>
            <w:shd w:fill="C6EFCE" w:val="clear"/>
          </w:tcPr>
          <w:p>
            <w:r>
              <w:rPr>
                <w:b/>
                <w:sz w:val="17"/>
              </w:rPr>
              <w:t>23,278</w:t>
            </w:r>
          </w:p>
        </w:tc>
        <w:tc>
          <w:tcPr>
            <w:tcW w:type="dxa" w:w="1440"/>
            <w:shd w:fill="C6EFCE" w:val="clear"/>
          </w:tcPr>
          <w:p>
            <w:r>
              <w:rPr>
                <w:sz w:val="17"/>
              </w:rPr>
              <w:t>26,006</w:t>
            </w:r>
          </w:p>
        </w:tc>
        <w:tc>
          <w:tcPr>
            <w:tcW w:type="dxa" w:w="1440"/>
            <w:shd w:fill="C6EFCE" w:val="clear"/>
          </w:tcPr>
          <w:p>
            <w:r>
              <w:rPr>
                <w:b/>
                <w:color w:val="008000"/>
                <w:sz w:val="17"/>
              </w:rPr>
              <w:t>+6.3%</w:t>
            </w:r>
          </w:p>
        </w:tc>
      </w:tr>
      <w:tr>
        <w:tc>
          <w:tcPr>
            <w:tcW w:type="dxa" w:w="1440"/>
            <w:shd w:fill="C6EFCE" w:val="clear"/>
          </w:tcPr>
          <w:p>
            <w:r>
              <w:rPr>
                <w:sz w:val="17"/>
              </w:rPr>
              <w:t>J+7  ⭐</w:t>
            </w:r>
          </w:p>
        </w:tc>
        <w:tc>
          <w:tcPr>
            <w:tcW w:type="dxa" w:w="1440"/>
            <w:shd w:fill="C6EFCE" w:val="clear"/>
          </w:tcPr>
          <w:p>
            <w:r>
              <w:rPr>
                <w:sz w:val="17"/>
              </w:rPr>
              <w:t>2026-09-23</w:t>
            </w:r>
          </w:p>
        </w:tc>
        <w:tc>
          <w:tcPr>
            <w:tcW w:type="dxa" w:w="1440"/>
            <w:shd w:fill="C6EFCE" w:val="clear"/>
          </w:tcPr>
          <w:p>
            <w:r>
              <w:rPr>
                <w:sz w:val="17"/>
              </w:rPr>
              <w:t>20,591</w:t>
            </w:r>
          </w:p>
        </w:tc>
        <w:tc>
          <w:tcPr>
            <w:tcW w:type="dxa" w:w="1440"/>
            <w:shd w:fill="C6EFCE" w:val="clear"/>
          </w:tcPr>
          <w:p>
            <w:r>
              <w:rPr>
                <w:b/>
                <w:sz w:val="17"/>
              </w:rPr>
              <w:t>23,575</w:t>
            </w:r>
          </w:p>
        </w:tc>
        <w:tc>
          <w:tcPr>
            <w:tcW w:type="dxa" w:w="1440"/>
            <w:shd w:fill="C6EFCE" w:val="clear"/>
          </w:tcPr>
          <w:p>
            <w:r>
              <w:rPr>
                <w:sz w:val="17"/>
              </w:rPr>
              <w:t>26,558</w:t>
            </w:r>
          </w:p>
        </w:tc>
        <w:tc>
          <w:tcPr>
            <w:tcW w:type="dxa" w:w="1440"/>
            <w:shd w:fill="C6EFCE" w:val="clear"/>
          </w:tcPr>
          <w:p>
            <w:r>
              <w:rPr>
                <w:b/>
                <w:color w:val="008000"/>
                <w:sz w:val="17"/>
              </w:rPr>
              <w:t>+7.6%</w:t>
            </w:r>
          </w:p>
        </w:tc>
      </w:tr>
      <w:tr>
        <w:tc>
          <w:tcPr>
            <w:tcW w:type="dxa" w:w="1440"/>
            <w:shd w:fill="C6EFCE" w:val="clear"/>
          </w:tcPr>
          <w:p>
            <w:r>
              <w:rPr>
                <w:sz w:val="17"/>
              </w:rPr>
              <w:t>J+8  ⭐</w:t>
            </w:r>
          </w:p>
        </w:tc>
        <w:tc>
          <w:tcPr>
            <w:tcW w:type="dxa" w:w="1440"/>
            <w:shd w:fill="C6EFCE" w:val="clear"/>
          </w:tcPr>
          <w:p>
            <w:r>
              <w:rPr>
                <w:sz w:val="17"/>
              </w:rPr>
              <w:t>2026-09-24</w:t>
            </w:r>
          </w:p>
        </w:tc>
        <w:tc>
          <w:tcPr>
            <w:tcW w:type="dxa" w:w="1440"/>
            <w:shd w:fill="C6EFCE" w:val="clear"/>
          </w:tcPr>
          <w:p>
            <w:r>
              <w:rPr>
                <w:sz w:val="17"/>
              </w:rPr>
              <w:t>20,609</w:t>
            </w:r>
          </w:p>
        </w:tc>
        <w:tc>
          <w:tcPr>
            <w:tcW w:type="dxa" w:w="1440"/>
            <w:shd w:fill="C6EFCE" w:val="clear"/>
          </w:tcPr>
          <w:p>
            <w:r>
              <w:rPr>
                <w:b/>
                <w:sz w:val="17"/>
              </w:rPr>
              <w:t>23,834</w:t>
            </w:r>
          </w:p>
        </w:tc>
        <w:tc>
          <w:tcPr>
            <w:tcW w:type="dxa" w:w="1440"/>
            <w:shd w:fill="C6EFCE" w:val="clear"/>
          </w:tcPr>
          <w:p>
            <w:r>
              <w:rPr>
                <w:sz w:val="17"/>
              </w:rPr>
              <w:t>27,058</w:t>
            </w:r>
          </w:p>
        </w:tc>
        <w:tc>
          <w:tcPr>
            <w:tcW w:type="dxa" w:w="1440"/>
            <w:shd w:fill="C6EFCE" w:val="clear"/>
          </w:tcPr>
          <w:p>
            <w:r>
              <w:rPr>
                <w:b/>
                <w:color w:val="008000"/>
                <w:sz w:val="17"/>
              </w:rPr>
              <w:t>+8.8%</w:t>
            </w:r>
          </w:p>
        </w:tc>
      </w:tr>
      <w:tr>
        <w:tc>
          <w:tcPr>
            <w:tcW w:type="dxa" w:w="1440"/>
            <w:shd w:fill="C6EFCE" w:val="clear"/>
          </w:tcPr>
          <w:p>
            <w:r>
              <w:rPr>
                <w:sz w:val="17"/>
              </w:rPr>
              <w:t>J+9  ⭐</w:t>
            </w:r>
          </w:p>
        </w:tc>
        <w:tc>
          <w:tcPr>
            <w:tcW w:type="dxa" w:w="1440"/>
            <w:shd w:fill="C6EFCE" w:val="clear"/>
          </w:tcPr>
          <w:p>
            <w:r>
              <w:rPr>
                <w:sz w:val="17"/>
              </w:rPr>
              <w:t>2026-09-25</w:t>
            </w:r>
          </w:p>
        </w:tc>
        <w:tc>
          <w:tcPr>
            <w:tcW w:type="dxa" w:w="1440"/>
            <w:shd w:fill="C6EFCE" w:val="clear"/>
          </w:tcPr>
          <w:p>
            <w:r>
              <w:rPr>
                <w:sz w:val="17"/>
              </w:rPr>
              <w:t>20,572</w:t>
            </w:r>
          </w:p>
        </w:tc>
        <w:tc>
          <w:tcPr>
            <w:tcW w:type="dxa" w:w="1440"/>
            <w:shd w:fill="C6EFCE" w:val="clear"/>
          </w:tcPr>
          <w:p>
            <w:r>
              <w:rPr>
                <w:b/>
                <w:sz w:val="17"/>
              </w:rPr>
              <w:t>24,018</w:t>
            </w:r>
          </w:p>
        </w:tc>
        <w:tc>
          <w:tcPr>
            <w:tcW w:type="dxa" w:w="1440"/>
            <w:shd w:fill="C6EFCE" w:val="clear"/>
          </w:tcPr>
          <w:p>
            <w:r>
              <w:rPr>
                <w:sz w:val="17"/>
              </w:rPr>
              <w:t>27,465</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2026-09-28</w:t>
            </w:r>
          </w:p>
        </w:tc>
        <w:tc>
          <w:tcPr>
            <w:tcW w:type="dxa" w:w="1440"/>
            <w:shd w:fill="C6EFCE" w:val="clear"/>
          </w:tcPr>
          <w:p>
            <w:r>
              <w:rPr>
                <w:sz w:val="17"/>
              </w:rPr>
              <w:t>20,539</w:t>
            </w:r>
          </w:p>
        </w:tc>
        <w:tc>
          <w:tcPr>
            <w:tcW w:type="dxa" w:w="1440"/>
            <w:shd w:fill="C6EFCE" w:val="clear"/>
          </w:tcPr>
          <w:p>
            <w:r>
              <w:rPr>
                <w:b/>
                <w:sz w:val="17"/>
              </w:rPr>
              <w:t>24,199</w:t>
            </w:r>
          </w:p>
        </w:tc>
        <w:tc>
          <w:tcPr>
            <w:tcW w:type="dxa" w:w="1440"/>
            <w:shd w:fill="C6EFCE" w:val="clear"/>
          </w:tcPr>
          <w:p>
            <w:r>
              <w:rPr>
                <w:sz w:val="17"/>
              </w:rPr>
              <w:t>27,860</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*Bourse Régionale des Valeurs Mobilières (BRVM) — Secteur : Entreprise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393,21 milliards FCFA, STBC figure parmi les valeurs les plus importantes de la cote BRVM, ce qui en fait un pilier de l'indice composite et un titre de référence pour les investisseurs institutionnels de la zone UEMOA. Le BPA de 2 014 FCFA/action indique que chaque titre génère un bénéfice net substantiel, et le PER de 10,9x — légèrement supérieur à la moyenne BRVM (~8-12x) — traduit une valorisation modérée mais non exubérante, le marché acceptant de payer une prime raisonnable pour la qualité de la rentabilité. En revanche, le P/B de 8,67x constitue un signal exigeant : le marché valorise l'action près de neuf fois sa valeur comptable, ce qui reflète la forte rentabilité des fonds propres (ROE de 79,75%) mais expose le titre à un risque de correction si cette rentabilité venait à s'éroder. Enfin, l'EV/EBITDA de 7,8x, situé dans la fourchette raisonnable de 5-10x, suggère que la valeur totale de l'entreprise (dette incluse, quasi nulle) reste cohérente avec sa capacité opérationnelle, offrant un point d'ancrage rassurant face à la prime comptable élevée.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positive de +4,78%, malgré un recul de -1,35% lors de la dernière séance, ce qui témoigne d'une dynamique haussière de fond mais d'une pression vendeuse récente. Le cours actuel de 21 900 FCFA se situe dans la moitié inférieure du range de trading, le plus haut ayant atteint 25 000 FCFA et le plus bas 19 705 FCFA, soit un écart de plus de 5 000 FCFA qui illustre une amplitude notable sur la période. La tendance générale reste donc haussière mais fragile, le titre ayant cédé du terrain depuis son sommet sans pour autant casser son support des 19 705 FCFA. Les statistiques descriptives révèlent une moyenne de 22 403 FCFA légèrement supérieure à la médiane de 22 218 FCFA, avec un mode à 21 000 FCFA : cet écart modéré entre moyenne et médiane, combiné à un skewness de 0,202 (distribution symétrique), indique une répartition équilibrée des cours sans biais marqué vers les extrêmes. L'écart-type de 1 305 FCFA (CV de 5,8%) traduit une dispersion relativement contenue du cours autour de sa moyenne, tandis que le kurtosis de -0,780 (mésokurtique) suggère une distribution proche de la normale, donc un risque de pics extrêmes limité. Enfin, la volatilité annualisée de 35,6% positionne STBC dans la catégorie des titres à volatilité élevée (&gt;30%), ce qui implique un risque de fluctuation important et justifie une approche d'investissement prudente avec un horizon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22 357,75 FCFA et la MM50 à 23 172,5 FCFA, toutes deux nettement supérieures au cours actuel de 21 900 FCFA. Cette configuration baissière — le cours évoluant sous ses deux moyennes — signale une pression vendeuse persistante et justifie la décision technique de **Vente**, le titre n'ayant pas encore trouvé de support suffisant pour inverser sa tendance.</w:t>
      </w:r>
    </w:p>
    <w:p>
      <w:pPr>
        <w:spacing w:after="120" w:line="276" w:lineRule="auto"/>
      </w:pPr>
      <w:r>
        <w:t>**Bandes de Bollinger** : Le cours actuel (21 900 FCFA) se situe entre la borne inférieure (21 333,83 FCFA) et la borne supérieure (23 381,67 FCFA), plus proche de la borne basse. Cette position médiane-basse, dans un canal relativement étroit, traduit une absence de signal directionnel fort et justifie la décision **Neutre**, le marché attendant un catalyseur pour choisir sa direction.</w:t>
      </w:r>
    </w:p>
    <w:p>
      <w:pPr>
        <w:spacing w:after="120" w:line="276" w:lineRule="auto"/>
      </w:pPr>
      <w:r>
        <w:t>**MACD** : La valeur du MACD (-347,26) est légèrement inférieure à son signal (-345,51), confirmant une divergence baissière même si l'écart reste marginal. Le momentum est donc négatif mais sans accélération franche, ce qui justifie la décision de **Vente** tout en suggérant que la pression baissière pourrait s'essouffler à court terme.</w:t>
      </w:r>
    </w:p>
    <w:p>
      <w:pPr>
        <w:spacing w:after="120" w:line="276" w:lineRule="auto"/>
      </w:pPr>
      <w:r>
        <w:t>**RSI** : À 40,12, le RSI se situe dans la zone neutre (30-70), sans atteindre la zone de survente (&lt;30). Cette position indique que le titre n'est ni suracheté ni survendu, offrant un potentiel de rebond modéré mais sans signal d'achat clair, ce qui justifie la décision **Neutre**.</w:t>
      </w:r>
    </w:p>
    <w:p>
      <w:pPr>
        <w:spacing w:after="120" w:line="276" w:lineRule="auto"/>
      </w:pPr>
      <w:r>
        <w:t>**Stochastique** : Le %K (46,80) est légèrement inférieur au %D (50,80), sans croisement net ni position extrême. Cette configuration neutre, proche de la zone médiane, confirme l'absence de signal directionnel fort et justifie la décision **Neutre**, le marché étant en phase de consolidation.</w:t>
      </w:r>
    </w:p>
    <w:p>
      <w:pPr>
        <w:spacing w:after="120" w:line="276" w:lineRule="auto"/>
      </w:pPr>
      <w:r>
        <w:t>**Conclusion technique** : La convergence des signaux — cours sous les moyennes mobiles, MACD en territoire négatif, RSI et stochastique neutres — dresse un tableau technique globalement baissier à court terme, sans excès de survente. Le titre évolue dans une phase de consolidation sous ses résistances mobiles, et seul un franchissement de la MM20 (22 357 FCFA) avec un volume significatif pourrait inverser la tendance. En l'état, la prudence reste de mise, avec un biais vendeur tant que le cours reste sous 22 000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STBC (SITAB) a réalisé un chiffre d'affaires de 268,537 milliards FCFA, en croissance de 25,30% par rapport à 2024, portée par une hausse des volumes (+5,6%) et un effet prix favorable. Le résultat net s'établit à 36,158 milliards FCFA, en baisse de 17,5% sur un an, sous l'effet de la hausse des droits d'accises (de 49% à 70%) et d'un contrôle fiscal. La marge nette recule à 13,46% (contre 20,4% en 2024), tandis que le ROE demeure exceptionnel à 79,75% et le ROA à 48,09%, confirmant la remarquable efficacité du modèle « pur trading » sans production propre. La structure financière est très saine : autonomie financière de 60,30%, dettes financières quasi nulles (1,4 million FCFA), trésorerie nette de 30,763 milliards FCFA et liquidité générale de 224,99%. Le BFR est négatif à -5,639 milliards FCFA (favorable), et les délais d'exploitation sont maîtrisés (42,57 jours pour les clients, 5,73 jours pour les stocks), bien que le délai client élevé constitue un point de vigilance pour la trésorerie.</w:t>
      </w:r>
    </w:p>
    <w:p>
      <w:pPr>
        <w:spacing w:after="120" w:line="276" w:lineRule="auto"/>
      </w:pPr>
      <w:r>
        <w:t>**Estimations basées sur les rapports trimestriels** : Les rapports T1 2026 (CA +12% à 68,8 milliards FCFA, volumes +10%, résultat net -1% à 9,3 milliards) et T2 2026 (CA +1% à 70,05 milliards, résultat net stable à 8,64 milliards, marge nette 12,3%) indiquent un **redressement de la dynamique commerciale** après la contraction de 2025, mais une **pression persistante sur les marges**. Sur la base de ces tendances, on peut estimer que l'exercice 2026 devrait afficher un chiffre d'affaires en croissance modérée (autour de +5-8%), avec un résultat net stabilisé autour de 36-38 milliards FCFA si la maîtrise des charges se confirme. Le dividende proposé de 1 940 FCFA/action (rendement d'environ 8,9% au cours actuel) reste attractif, mais son taux de distribution de 84,9% (contre 105% en 2024) demeure élevé et limite la capacité de réinvestissement.</w:t>
      </w:r>
    </w:p>
    <w:p>
      <w:pPr>
        <w:spacing w:after="120" w:line="276" w:lineRule="auto"/>
      </w:pPr>
      <w:r>
        <w:t>**Recommandation fondamentale** : Malgré la dégradation de la rentabilité en 2025, STBC conserve une solidité financière exceptionnelle (zéro dette, trésorerie abondante, ROE très élevé) et un positionnement de leader (91,5% de parts de marché). Les risques — fiscalité croissante, dépendance au tabac, politique de dividende agressive — sont réels mais compensés par la résilience du modèle et les perspectives de stabilisation en 2026. La recommandation fondamentale est **CONSERVER**, avec une surveillance attentive de l'évolution des marges et des volumes.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la valorisation (Partie 0)** : le PER de 10,9x et l'EV/EBITDA de 7,8x indiquent une valorisation raisonnable, mais le P/B de 8,67x traduit une prime exigeante qui limite le potentiel de hausse à court terme. **Sur le comportement du cours (Partie 1)** : la tendance haussière de fond (+4,78%) est fragilisée par un repli récent (-1,35%), une volatilité élevée (35,6%) et une distribution symétrique (skewness 0,202) sans risque de pics extrêmes (kurtosis -0,78), ce qui suggère un potentiel de rebond modéré mais sans emballement. **Sur les signaux techniques (Partie 2)** : la convergence baissière (cours sous MM20/MM50, MACD négatif) est tempérée par des indicateurs neutres (RSI 40,12, stochastique 46,80), plaidant pour une consolidation plutôt qu'une chute. **Sur les fondamentaux (Partie 3)** : la solidité financière (ROE 79,75%, zéro dette, trésorerie 30,8 Mds FCFA) et le redressement des volumes au T1/T2 2026 compensent la dégradation des marges, mais le dividende élevé (1 940 FCFA) et la pression fiscale restent des défis. **Les prédictions IA (J+1 à J+10)** anticipent une trajectoire haussière modérée (22 200 → 22 924 FCFA, soit +3,3% en 10 jours), ce qui contredit le biais technique baissier à court terme mais s'aligne sur la résilience fondamentale.</w:t>
      </w:r>
    </w:p>
    <w:p>
      <w:pPr>
        <w:spacing w:after="120" w:line="276" w:lineRule="auto"/>
      </w:pPr>
      <w:r>
        <w:t>**Recommandation finale : CONSERVER** — Justification : La convergence entre une valorisation raisonnable (PER 10,9x), des fondamentaux solides (ROE 79,75%, trésorerie abondante) et des prédictions IA haussières (+3,3% à 10 jours) soutient le maintien en portefeuille. Cependant, la divergence entre le biais technique baissier (cours sous MM20/MM50, MACD négatif) et les signaux fondamentaux neutres incite à la prudence avant tout renforcement. **Niveau de confiance : Moyen** (les signaux sont mitigés, avec une technique baissière mais des fondamentaux et des prédictions favorables). **Niveau de risque global : Moyen à Élevé** (volatilité annualisée de 35,6%, dépendance sectorielle et fiscale). **Horizon d'investissement optimal : Moyen terme (3-12 mois)**, le temps que la société confirme la stabilisation de ses marges et que le titre franchisse ses résistances techniques (MM20 à 22 357 FCFA) pour valider un retour durable à la hausse.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204.31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6,881 titres</w:t>
            </w:r>
          </w:p>
        </w:tc>
        <w:tc>
          <w:tcPr>
            <w:tcW w:type="dxa" w:w="2268"/>
            <w:shd w:fill="FFF2CC" w:val="clear"/>
          </w:tcPr>
          <w:p>
            <w:r>
              <w:rPr>
                <w:b/>
                <w:color w:val="503200"/>
                <w:sz w:val="16"/>
              </w:rPr>
              <w:t xml:space="preserve">Cours actuel : </w:t>
            </w:r>
            <w:r>
              <w:rPr>
                <w:color w:val="000000"/>
                <w:sz w:val="17"/>
              </w:rPr>
              <w:t>3,245 FCFA</w:t>
            </w:r>
          </w:p>
          <w:p>
            <w:r>
              <w:rPr>
                <w:b/>
                <w:color w:val="503200"/>
                <w:sz w:val="16"/>
              </w:rPr>
              <w:t xml:space="preserve">Var. 100 jours : </w:t>
            </w:r>
            <w:r>
              <w:rPr>
                <w:b/>
                <w:color w:val="007800"/>
                <w:sz w:val="17"/>
              </w:rPr>
              <w:t>+18.00%</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6.99% (Moyenne) — μ=2,965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β=-0.3995 (Contre-cyclique) — Cov=-0.000014, Var(idx)=0.000034, ρ=-0.091,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3,043</w:t>
            </w:r>
          </w:p>
        </w:tc>
        <w:tc>
          <w:tcPr>
            <w:tcW w:type="dxa" w:w="1440"/>
            <w:shd w:fill="FAFAFA" w:val="clear"/>
          </w:tcPr>
          <w:p>
            <w:r>
              <w:rPr>
                <w:b/>
                <w:sz w:val="17"/>
              </w:rPr>
              <w:t>3,208</w:t>
            </w:r>
          </w:p>
        </w:tc>
        <w:tc>
          <w:tcPr>
            <w:tcW w:type="dxa" w:w="1440"/>
            <w:shd w:fill="FAFAFA" w:val="clear"/>
          </w:tcPr>
          <w:p>
            <w:r>
              <w:rPr>
                <w:sz w:val="17"/>
              </w:rPr>
              <w:t>3,373</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2,942</w:t>
            </w:r>
          </w:p>
        </w:tc>
        <w:tc>
          <w:tcPr>
            <w:tcW w:type="dxa" w:w="1440"/>
            <w:shd w:fill="FFDCE0" w:val="clear"/>
          </w:tcPr>
          <w:p>
            <w:r>
              <w:rPr>
                <w:b/>
                <w:sz w:val="17"/>
              </w:rPr>
              <w:t>3,173</w:t>
            </w:r>
          </w:p>
        </w:tc>
        <w:tc>
          <w:tcPr>
            <w:tcW w:type="dxa" w:w="1440"/>
            <w:shd w:fill="FFDCE0" w:val="clear"/>
          </w:tcPr>
          <w:p>
            <w:r>
              <w:rPr>
                <w:sz w:val="17"/>
              </w:rPr>
              <w:t>3,404</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2,860</w:t>
            </w:r>
          </w:p>
        </w:tc>
        <w:tc>
          <w:tcPr>
            <w:tcW w:type="dxa" w:w="1440"/>
            <w:shd w:fill="FFDCE0" w:val="clear"/>
          </w:tcPr>
          <w:p>
            <w:r>
              <w:rPr>
                <w:b/>
                <w:sz w:val="17"/>
              </w:rPr>
              <w:t>3,140</w:t>
            </w:r>
          </w:p>
        </w:tc>
        <w:tc>
          <w:tcPr>
            <w:tcW w:type="dxa" w:w="1440"/>
            <w:shd w:fill="FFDCE0" w:val="clear"/>
          </w:tcPr>
          <w:p>
            <w:r>
              <w:rPr>
                <w:sz w:val="17"/>
              </w:rPr>
              <w:t>3,420</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2,790</w:t>
            </w:r>
          </w:p>
        </w:tc>
        <w:tc>
          <w:tcPr>
            <w:tcW w:type="dxa" w:w="1440"/>
            <w:shd w:fill="FFDCE0" w:val="clear"/>
          </w:tcPr>
          <w:p>
            <w:r>
              <w:rPr>
                <w:b/>
                <w:sz w:val="17"/>
              </w:rPr>
              <w:t>3,111</w:t>
            </w:r>
          </w:p>
        </w:tc>
        <w:tc>
          <w:tcPr>
            <w:tcW w:type="dxa" w:w="1440"/>
            <w:shd w:fill="FFDCE0" w:val="clear"/>
          </w:tcPr>
          <w:p>
            <w:r>
              <w:rPr>
                <w:sz w:val="17"/>
              </w:rPr>
              <w:t>3,431</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2,728</w:t>
            </w:r>
          </w:p>
        </w:tc>
        <w:tc>
          <w:tcPr>
            <w:tcW w:type="dxa" w:w="1440"/>
            <w:shd w:fill="FFDCE0" w:val="clear"/>
          </w:tcPr>
          <w:p>
            <w:r>
              <w:rPr>
                <w:b/>
                <w:sz w:val="17"/>
              </w:rPr>
              <w:t>3,082</w:t>
            </w:r>
          </w:p>
        </w:tc>
        <w:tc>
          <w:tcPr>
            <w:tcW w:type="dxa" w:w="1440"/>
            <w:shd w:fill="FFDCE0" w:val="clear"/>
          </w:tcPr>
          <w:p>
            <w:r>
              <w:rPr>
                <w:sz w:val="17"/>
              </w:rPr>
              <w:t>3,437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2,670</w:t>
            </w:r>
          </w:p>
        </w:tc>
        <w:tc>
          <w:tcPr>
            <w:tcW w:type="dxa" w:w="1440"/>
            <w:shd w:fill="FFDCE0" w:val="clear"/>
          </w:tcPr>
          <w:p>
            <w:r>
              <w:rPr>
                <w:b/>
                <w:sz w:val="17"/>
              </w:rPr>
              <w:t>3,056</w:t>
            </w:r>
          </w:p>
        </w:tc>
        <w:tc>
          <w:tcPr>
            <w:tcW w:type="dxa" w:w="1440"/>
            <w:shd w:fill="FFDCE0" w:val="clear"/>
          </w:tcPr>
          <w:p>
            <w:r>
              <w:rPr>
                <w:sz w:val="17"/>
              </w:rPr>
              <w:t>3,441</w:t>
            </w:r>
          </w:p>
        </w:tc>
        <w:tc>
          <w:tcPr>
            <w:tcW w:type="dxa" w:w="1440"/>
            <w:shd w:fill="FFDCE0" w:val="clear"/>
          </w:tcPr>
          <w:p>
            <w:r>
              <w:rPr>
                <w:b/>
                <w:color w:val="C00000"/>
                <w:sz w:val="17"/>
              </w:rPr>
              <w:t>-5.8%</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2,617</w:t>
            </w:r>
          </w:p>
        </w:tc>
        <w:tc>
          <w:tcPr>
            <w:tcW w:type="dxa" w:w="1440"/>
            <w:shd w:fill="FFDCE0" w:val="clear"/>
          </w:tcPr>
          <w:p>
            <w:r>
              <w:rPr>
                <w:b/>
                <w:sz w:val="17"/>
              </w:rPr>
              <w:t>3,030</w:t>
            </w:r>
          </w:p>
        </w:tc>
        <w:tc>
          <w:tcPr>
            <w:tcW w:type="dxa" w:w="1440"/>
            <w:shd w:fill="FFDCE0" w:val="clear"/>
          </w:tcPr>
          <w:p>
            <w:r>
              <w:rPr>
                <w:sz w:val="17"/>
              </w:rPr>
              <w:t>3,443</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2,568</w:t>
            </w:r>
          </w:p>
        </w:tc>
        <w:tc>
          <w:tcPr>
            <w:tcW w:type="dxa" w:w="1440"/>
            <w:shd w:fill="FFDCE0" w:val="clear"/>
          </w:tcPr>
          <w:p>
            <w:r>
              <w:rPr>
                <w:b/>
                <w:sz w:val="17"/>
              </w:rPr>
              <w:t>3,006</w:t>
            </w:r>
          </w:p>
        </w:tc>
        <w:tc>
          <w:tcPr>
            <w:tcW w:type="dxa" w:w="1440"/>
            <w:shd w:fill="FFDCE0" w:val="clear"/>
          </w:tcPr>
          <w:p>
            <w:r>
              <w:rPr>
                <w:sz w:val="17"/>
              </w:rPr>
              <w:t>3,443</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2,522</w:t>
            </w:r>
          </w:p>
        </w:tc>
        <w:tc>
          <w:tcPr>
            <w:tcW w:type="dxa" w:w="1440"/>
            <w:shd w:fill="FFDCE0" w:val="clear"/>
          </w:tcPr>
          <w:p>
            <w:r>
              <w:rPr>
                <w:b/>
                <w:sz w:val="17"/>
              </w:rPr>
              <w:t>2,982</w:t>
            </w:r>
          </w:p>
        </w:tc>
        <w:tc>
          <w:tcPr>
            <w:tcW w:type="dxa" w:w="1440"/>
            <w:shd w:fill="FFDCE0" w:val="clear"/>
          </w:tcPr>
          <w:p>
            <w:r>
              <w:rPr>
                <w:sz w:val="17"/>
              </w:rPr>
              <w:t>3,443</w:t>
            </w:r>
          </w:p>
        </w:tc>
        <w:tc>
          <w:tcPr>
            <w:tcW w:type="dxa" w:w="1440"/>
            <w:shd w:fill="FFDCE0" w:val="clear"/>
          </w:tcPr>
          <w:p>
            <w:r>
              <w:rPr>
                <w:b/>
                <w:color w:val="C00000"/>
                <w:sz w:val="17"/>
              </w:rPr>
              <w:t>-8.1%</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2,478</w:t>
            </w:r>
          </w:p>
        </w:tc>
        <w:tc>
          <w:tcPr>
            <w:tcW w:type="dxa" w:w="1440"/>
            <w:shd w:fill="FFDCE0" w:val="clear"/>
          </w:tcPr>
          <w:p>
            <w:r>
              <w:rPr>
                <w:b/>
                <w:sz w:val="17"/>
              </w:rPr>
              <w:t>2,960</w:t>
            </w:r>
          </w:p>
        </w:tc>
        <w:tc>
          <w:tcPr>
            <w:tcW w:type="dxa" w:w="1440"/>
            <w:shd w:fill="FFDCE0" w:val="clear"/>
          </w:tcPr>
          <w:p>
            <w:r>
              <w:rPr>
                <w:sz w:val="17"/>
              </w:rPr>
              <w:t>3,442</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204,31 milliards FCFA, TTLC figure parmi les valeurs les plus importantes de la cote BRVM, ce qui en fait un pilier de l'indice composite. Le BPA de 144 FCFA/action signifie que chaque titre génère 144 FCFA de bénéfice net, ce qui, rapporté au cours actuel de 3 245 FCFA, aboutit à un PER de 22,5x — nettement supérieur à la moyenne du marché BRVM (8-12x), traduisant soit une prime de qualité et de leadership, soit une surévaluation relative. Le P/B de 5,64x (bien au-delà du seuil de 4x) confirme que le marché valorise l'entreprise à plus de cinq fois sa valeur comptable, une prime exigeante qui n'est justifiable que par une forte rentabilité des fonds propres (ROE de 25,1% en 2025) et une politique de distribution généreuse. Enfin, l'EV/EBITDA de 11,6x, dans la fourchette haute (10-15x), indique que la valeur d'entreprise (incluant la dette) représente près de douze fois la capacité opérationnelle de génération de cash, ce qui suppose des perspectives de croissance solides pour justifier un tel multiple.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progression totale de +18,00%, malgré un repli de -1,07% lors de la dernière séance (J-1), signe d'une consolidation après un rallye haussier. Le cours actuel de 3 245 FCFA se situe dans la partie haute du range de trading, le plus haut ayant atteint 3 595 FCFA et le plus bas 2 650 FCFA, soit un écart de 945 FCFA (35,7% du plus bas) qui témoigne d'une dynamique nettement haussière sur la période. La moyenne de 2 965 FCFA est supérieure à la médiane de 2 900 FCFA (elle-même égale au mode), ce qui confirme une distribution asymétrique : les cours ont passé plus de temps sous la moyenne, mais les poussées haussières ont été suffisamment fortes pour tirer la moyenne vers le haut. L'écart-type de 208 FCFA (CV de 7,0%) indique une dispersion modérée autour de la moyenne, tandis que le kurtosis de 0,217 (mésokurtique) suggère une distribution proche de la normale, sans risque excessif de pics extrêmes. Le skewness de 1,036 (asymétrie positive) révèle que les journées de baisse sont plus fréquentes mais de moindre amplitude, tandis que les hausses, plus rares, sont plus marquées — un profil typique d'un titre en tendance haussière avec des corrections régulières. Enfin, la volatilité annualisée de 40,8% classe TTLC dans la catégorie des titres à volatilité élevée (&gt;30%), ce qui implique un risque de fluctuation important et justifie une approche prudente en matière de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(3 333,25 FCFA) et la MM50 (3 095,50 FCFA) encadrent le cours actuel de 3 245 FCFA, qui se situe sous la MM20 mais au-dessus de la MM50. Cette configuration indique que la tendance de court terme est baissière (le cours est passé sous sa moyenne 20 jours), tandis que la tendance de moyen terme reste haussière (le cours tient au-dessus de sa moyenne 50 jours). La décision « Achat » fournie par le système repose sur le fait que la MM20 reste supérieure à la MM50 (golden cross toujours actif), mais la position du cours sous la MM20 appelle à la prudence.</w:t>
      </w:r>
    </w:p>
    <w:p>
      <w:pPr>
        <w:spacing w:after="120" w:line="276" w:lineRule="auto"/>
      </w:pPr>
      <w:r>
        <w:t>**Bandes de Bollinger** : Le cours actuel (3 245 FCFA) se situe dans la partie basse de la bande, entre la borne inférieure (3 144,76 FCFA) et la borne supérieure (3 521,74 FCFA), mais plus proche de la borne basse. La largeur de la bande (376,98 FCFA) reflète une volatilité modérée. La décision « Neutre » s'explique par l'absence de signal clair : le cours n'est ni en surachat (proche de la borne haute) ni en survente (proche de la borne basse), mais sa proximité avec la borne inférieure suggère une possible pression vendeuse à court terme.</w:t>
      </w:r>
    </w:p>
    <w:p>
      <w:pPr>
        <w:spacing w:after="120" w:line="276" w:lineRule="auto"/>
      </w:pPr>
      <w:r>
        <w:t>**MACD** : La valeur du MACD (49,542) est nettement inférieure à son signal (77,907), ce qui génère un croisement baissier (la ligne MACD est passée sous sa ligne de signal). Cette configuration indique un affaiblissement du momentum haussier et justifie la décision « Vente ». La divergence négative entre les deux lignes suggère que la dynamique haussière des dernières semaines s'essouffle, et un retournement de tendance à court terme est possible.</w:t>
      </w:r>
    </w:p>
    <w:p>
      <w:pPr>
        <w:spacing w:after="120" w:line="276" w:lineRule="auto"/>
      </w:pPr>
      <w:r>
        <w:t>**RSI** : À 40,491, le RSI se situe dans la zone neutre (30-70), mais dans sa partie basse, ce qui indique une absence de pression acheteuse significative sans pour autant être en zone de survente (&lt;30). La décision « Neutre » reflète cette situation d'équilibre précaire : le titre n'est ni suracheté ni survendu, mais la tendance récente est à la baisse, ce qui pourrait conduire à une poursuite du repli si le RSI venait à casser le seuil de 30.</w:t>
      </w:r>
    </w:p>
    <w:p>
      <w:pPr>
        <w:spacing w:after="120" w:line="276" w:lineRule="auto"/>
      </w:pPr>
      <w:r>
        <w:t>**Stochastique** : Le %K (11,392) est très bas, bien en dessous du seuil de survente (20), et le %D (17,3) est également en zone basse. Le croisement du %K sous le %D (les deux étant en zone de survente) génère un signal d'achat technique, car il suggère que la pression vendeuse est excessive et qu'un rebond est probable à court terme. La décision « Achat » du stochastique contraste avec le signal de vente du MACD, créant une divergence qui appelle à la prudence.</w:t>
      </w:r>
    </w:p>
    <w:p>
      <w:pPr>
        <w:spacing w:after="120" w:line="276" w:lineRule="auto"/>
      </w:pPr>
      <w:r>
        <w:t>**Conclusion technique** : Les indicateurs techniques sont mitigés, avec une majorité de signaux neutres ou baissiers (MACD en vente, cours sous la MM20, RSI faible) mais un signal d'achat contrariant du stochastique en zone de survente. La configuration globale suggère que le titre est en phase de consolidation après un rallye haussier, avec un risque de poursuite de la correction à court terme (vers 3 100-3 150 FCFA) avant un éventuel rebond. La divergence entre le MACD (baissier) et le stochastique (haussier) rend la situation incertaine, et il serait prudent d'attendre une confirmation (cassure de la MM20 à la hausse ou retournement du MACD) avant de prendre position.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TotalEnergies Marketing Côte d'Ivoire a réalisé un chiffre d'affaires de 588,709 milliards FCFA, en repli de 5,2% par rapport à 2024 (621,042 milliards FCFA), sous l'effet d'un effet de base défavorable (absence de ventes exceptionnelles en 2024) et d'une contraction des volumes hors réseau. Malgré cette baisse d'activité, la rentabilité opérationnelle s'est améliorée : la valeur ajoutée progresse de +7% à 29,553 milliards FCFA, l'EBE de +12% à 22,347 milliards FCFA et le résultat d'exploitation de +18% à 12,329 milliards FCFA, témoignant d'une meilleure maîtrise des coûts d'approvisionnement et d'un mix produit plus favorable. Le résultat net s'établit à 9,087 milliards FCFA (-3% sur un an), pénalisé par un résultat financier en chute de -90% (268 millions FCFA contre 2,687 milliards en 2024), probablement en raison de charges d'intérêts ou de pertes de change. La rentabilité des fonds propres (ROE) reste excellente à 25,1% (bien au-dessus du seuil de 15%), et le ROA de 4,82% confirme une bonne efficacité dans l'utilisation des actifs. La structure financière présente des signaux contrastés : l'autonomie financière est faible (19,2%, en dessous du seuil de 30% considéré comme sain), le ratio d'endettement est élevé (90,2%), et la trésorerie nette est négative (-21,926 milliards FCFA), ce qui traduit une dépendance aux crédits bancaires court terme. Le BFR est négatif (-9,662 milliards FCFA), ce qui est favorable pour une entreprise de distribution, car cela signifie que les fournisseurs financent une partie du cycle d'exploitation (délai fournisseurs de 49,72 jours, supérieur au délai de stockage de 13,80 jours). La liquidité générale est insuffisante (78,8%, en dessous de 1), et la liquidité immédiate est très faible (5,9%), ce qui constitue un point de vigilance. Sur la base du rapport T1 2026 (publié en 2026), le chiffre d'affaires progresse de +4,3% à 154,392 milliards FCFA et le résultat net de +5,5% à 2,329 milliards FCFA, ce qui suggère une reprise de la dynamique commerciale et une amélioration de la rentabilité nette. On estime donc que l'exercice 2026 devrait renouer avec la croissance, porté par l'augmentation des volumes vendus sur tous les canaux et l'expansion du réseau (182 stations). La politique de dividende reste généreuse (10 milliards FCFA de dividende brut en 2025, soit un payout de 110%), mais son financement par prélèvement sur les réserves et la trésorerie négative posent la question de sa soutenabilité à moyen terme. En conclusion, TTLC présente des fondamentaux solides (leader du marché, rentabilité élevée, marges en amélioration) mais des fragilités financières (endettement élevé, trésorerie négative, liquidité faible) qui nécessitent une surveillance accrue. La recommandation fondamentale est de **CONSERVER** le titre, en attendant une amélioration durable de la structure financière et la confirmation de la reprise de la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de 22,5x contre une moyenne BRVM de 8-12x, P/B de 5,64x, EV/EBITDA de 11,6x), ce qui intègre déjà une prime de qualité et de leadership, mais limite le potentiel de revalorisation à court terme. Le comportement du cours sur 100 jours est haussier (+18,00%), avec une volatilité élevée (40,8%) et une asymétrie positive (skewness de 1,036) qui indique des hausses plus marquées que les baisses, mais la récente consolidation (-1,07% en J-1) et la position du cours sous la MM20 suggèrent un essoufflement de la dynamique. Les signaux techniques sont divergents : le MACD est baissier (vente), le RSI est neutre (40,5), les bandes de Bollinger sont neutres, mais le stochastique est en zone de survente (achat), ce qui crée une incertitude sur la direction à court terme. Les fondamentaux sont solides (ROE de 25,1%, marges en amélioration, leader du marché) mais fragilisés par un endettement élevé (90,2%), une trésorerie nette négative (-21,9 milliards FCFA) et un payout supérieur à 100%, ce qui limite la marge de manœuvre financière. Les prédictions IA pour les 10 prochains jours ouvrables (3 208 FCFA le 15/09, 3 173 FCFA le 16/09, 3 140 FCFA le 17/09, 3 111 FCFA le 18/09, 3 082 FCFA le 21/09) anticipent une poursuite de la correction baissière, en ligne avec le signal du MACD et la position du cours sous la MM20, mais en contradiction avec le signal d'achat du stochastique. Sur la base de cette synthèse globale, la recommandation finale est de **CONSERVER** le titre, avec un niveau de confiance **Moyen** et un niveau de risque **Élevé**. En effet, la convergence entre la valorisation exigeante, les signaux techniques mitigés (MACD baissier, stochastique haussier) et les prédictions IA baissières plaide pour une certaine prudence à court terme, tandis que les fondamentaux solides (rentabilité, leadership, reprise de la croissance au T1 2026) justifient de ne pas vendre. L'horizon d'investissement optimal est le **moyen terme (3-12 mois)**, en attendant que la société confirme la reprise de sa croissance et améliore sa structure financière (réduction de l'endettement, reconstitution de la trésorerie), ce qui pourrait justifier une revalorisation du titre. Les investisseurs à court terme (moins de 3 mois) devraient éviter le titre en raison de la volatilité élevée et du risque de correction, tandis que les investisseurs à long terme (plus d'un an) pourraient accumuler progressivement sur les replis, en profitant du rendement du dividende (généreux mais à surveiller) et du potentiel de croissance du marché ivoirien de l'énergie.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130.31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2,613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+23.08%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μ=3,576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β=0.6713 (Défensif) — Cov=0.000023, Var(idx)=0.000034, ρ=0.138,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3,773</w:t>
            </w:r>
          </w:p>
        </w:tc>
        <w:tc>
          <w:tcPr>
            <w:tcW w:type="dxa" w:w="1440"/>
            <w:shd w:fill="FAFAFA" w:val="clear"/>
          </w:tcPr>
          <w:p>
            <w:r>
              <w:rPr>
                <w:b/>
                <w:sz w:val="17"/>
              </w:rPr>
              <w:t>3,924</w:t>
            </w:r>
          </w:p>
        </w:tc>
        <w:tc>
          <w:tcPr>
            <w:tcW w:type="dxa" w:w="1440"/>
            <w:shd w:fill="FAFAFA" w:val="clear"/>
          </w:tcPr>
          <w:p>
            <w:r>
              <w:rPr>
                <w:sz w:val="17"/>
              </w:rPr>
              <w:t>4,076</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2026-09-16</w:t>
            </w:r>
          </w:p>
        </w:tc>
        <w:tc>
          <w:tcPr>
            <w:tcW w:type="dxa" w:w="1440"/>
            <w:shd w:fill="FFDCE0" w:val="clear"/>
          </w:tcPr>
          <w:p>
            <w:r>
              <w:rPr>
                <w:sz w:val="17"/>
              </w:rPr>
              <w:t>3,701</w:t>
            </w:r>
          </w:p>
        </w:tc>
        <w:tc>
          <w:tcPr>
            <w:tcW w:type="dxa" w:w="1440"/>
            <w:shd w:fill="FFDCE0" w:val="clear"/>
          </w:tcPr>
          <w:p>
            <w:r>
              <w:rPr>
                <w:b/>
                <w:sz w:val="17"/>
              </w:rPr>
              <w:t>3,914</w:t>
            </w:r>
          </w:p>
        </w:tc>
        <w:tc>
          <w:tcPr>
            <w:tcW w:type="dxa" w:w="1440"/>
            <w:shd w:fill="FFDCE0" w:val="clear"/>
          </w:tcPr>
          <w:p>
            <w:r>
              <w:rPr>
                <w:sz w:val="17"/>
              </w:rPr>
              <w:t>4,128</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2026-09-17</w:t>
            </w:r>
          </w:p>
        </w:tc>
        <w:tc>
          <w:tcPr>
            <w:tcW w:type="dxa" w:w="1440"/>
            <w:shd w:fill="FFDCE0" w:val="clear"/>
          </w:tcPr>
          <w:p>
            <w:r>
              <w:rPr>
                <w:sz w:val="17"/>
              </w:rPr>
              <w:t>3,644</w:t>
            </w:r>
          </w:p>
        </w:tc>
        <w:tc>
          <w:tcPr>
            <w:tcW w:type="dxa" w:w="1440"/>
            <w:shd w:fill="FFDCE0" w:val="clear"/>
          </w:tcPr>
          <w:p>
            <w:r>
              <w:rPr>
                <w:b/>
                <w:sz w:val="17"/>
              </w:rPr>
              <w:t>3,905</w:t>
            </w:r>
          </w:p>
        </w:tc>
        <w:tc>
          <w:tcPr>
            <w:tcW w:type="dxa" w:w="1440"/>
            <w:shd w:fill="FFDCE0" w:val="clear"/>
          </w:tcPr>
          <w:p>
            <w:r>
              <w:rPr>
                <w:sz w:val="17"/>
              </w:rPr>
              <w:t>4,166</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3,599</w:t>
            </w:r>
          </w:p>
        </w:tc>
        <w:tc>
          <w:tcPr>
            <w:tcW w:type="dxa" w:w="1440"/>
            <w:shd w:fill="FFDCE0" w:val="clear"/>
          </w:tcPr>
          <w:p>
            <w:r>
              <w:rPr>
                <w:b/>
                <w:sz w:val="17"/>
              </w:rPr>
              <w:t>3,899</w:t>
            </w:r>
          </w:p>
        </w:tc>
        <w:tc>
          <w:tcPr>
            <w:tcW w:type="dxa" w:w="1440"/>
            <w:shd w:fill="FFDCE0" w:val="clear"/>
          </w:tcPr>
          <w:p>
            <w:r>
              <w:rPr>
                <w:sz w:val="17"/>
              </w:rPr>
              <w:t>4,200</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3,560</w:t>
            </w:r>
          </w:p>
        </w:tc>
        <w:tc>
          <w:tcPr>
            <w:tcW w:type="dxa" w:w="1440"/>
            <w:shd w:fill="FFDCE0" w:val="clear"/>
          </w:tcPr>
          <w:p>
            <w:r>
              <w:rPr>
                <w:b/>
                <w:sz w:val="17"/>
              </w:rPr>
              <w:t>3,896</w:t>
            </w:r>
          </w:p>
        </w:tc>
        <w:tc>
          <w:tcPr>
            <w:tcW w:type="dxa" w:w="1440"/>
            <w:shd w:fill="FFDCE0" w:val="clear"/>
          </w:tcPr>
          <w:p>
            <w:r>
              <w:rPr>
                <w:sz w:val="17"/>
              </w:rPr>
              <w:t>4,232</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3,525</w:t>
            </w:r>
          </w:p>
        </w:tc>
        <w:tc>
          <w:tcPr>
            <w:tcW w:type="dxa" w:w="1440"/>
            <w:shd w:fill="FFDCE0" w:val="clear"/>
          </w:tcPr>
          <w:p>
            <w:r>
              <w:rPr>
                <w:b/>
                <w:sz w:val="17"/>
              </w:rPr>
              <w:t>3,893</w:t>
            </w:r>
          </w:p>
        </w:tc>
        <w:tc>
          <w:tcPr>
            <w:tcW w:type="dxa" w:w="1440"/>
            <w:shd w:fill="FFDCE0" w:val="clear"/>
          </w:tcPr>
          <w:p>
            <w:r>
              <w:rPr>
                <w:sz w:val="17"/>
              </w:rPr>
              <w:t>4,260</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3,493</w:t>
            </w:r>
          </w:p>
        </w:tc>
        <w:tc>
          <w:tcPr>
            <w:tcW w:type="dxa" w:w="1440"/>
            <w:shd w:fill="FFDCE0" w:val="clear"/>
          </w:tcPr>
          <w:p>
            <w:r>
              <w:rPr>
                <w:b/>
                <w:sz w:val="17"/>
              </w:rPr>
              <w:t>3,890</w:t>
            </w:r>
          </w:p>
        </w:tc>
        <w:tc>
          <w:tcPr>
            <w:tcW w:type="dxa" w:w="1440"/>
            <w:shd w:fill="FFDCE0" w:val="clear"/>
          </w:tcPr>
          <w:p>
            <w:r>
              <w:rPr>
                <w:sz w:val="17"/>
              </w:rPr>
              <w:t>4,286</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3,463</w:t>
            </w:r>
          </w:p>
        </w:tc>
        <w:tc>
          <w:tcPr>
            <w:tcW w:type="dxa" w:w="1440"/>
            <w:shd w:fill="FFDCE0" w:val="clear"/>
          </w:tcPr>
          <w:p>
            <w:r>
              <w:rPr>
                <w:b/>
                <w:sz w:val="17"/>
              </w:rPr>
              <w:t>3,887</w:t>
            </w:r>
          </w:p>
        </w:tc>
        <w:tc>
          <w:tcPr>
            <w:tcW w:type="dxa" w:w="1440"/>
            <w:shd w:fill="FFDCE0" w:val="clear"/>
          </w:tcPr>
          <w:p>
            <w:r>
              <w:rPr>
                <w:sz w:val="17"/>
              </w:rPr>
              <w:t>4,311</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3,435</w:t>
            </w:r>
          </w:p>
        </w:tc>
        <w:tc>
          <w:tcPr>
            <w:tcW w:type="dxa" w:w="1440"/>
            <w:shd w:fill="FFDCE0" w:val="clear"/>
          </w:tcPr>
          <w:p>
            <w:r>
              <w:rPr>
                <w:b/>
                <w:sz w:val="17"/>
              </w:rPr>
              <w:t>3,884</w:t>
            </w:r>
          </w:p>
        </w:tc>
        <w:tc>
          <w:tcPr>
            <w:tcW w:type="dxa" w:w="1440"/>
            <w:shd w:fill="FFDCE0" w:val="clear"/>
          </w:tcPr>
          <w:p>
            <w:r>
              <w:rPr>
                <w:sz w:val="17"/>
              </w:rPr>
              <w:t>4,333</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3,408</w:t>
            </w:r>
          </w:p>
        </w:tc>
        <w:tc>
          <w:tcPr>
            <w:tcW w:type="dxa" w:w="1440"/>
            <w:shd w:fill="FFDCE0" w:val="clear"/>
          </w:tcPr>
          <w:p>
            <w:r>
              <w:rPr>
                <w:b/>
                <w:sz w:val="17"/>
              </w:rPr>
              <w:t>3,882</w:t>
            </w:r>
          </w:p>
        </w:tc>
        <w:tc>
          <w:tcPr>
            <w:tcW w:type="dxa" w:w="1440"/>
            <w:shd w:fill="FFDCE0" w:val="clear"/>
          </w:tcPr>
          <w:p>
            <w:r>
              <w:rPr>
                <w:sz w:val="17"/>
              </w:rPr>
              <w:t>4,355</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130,31 milliards FCFA, TTLS s'impose comme l'une des valeurs les plus importantes de la cote BRVM, ce qui témoigne de sa liquidité relative et de son statut de valeur de référence dans le compartiment énergétique. Le BPA de 208 FCFA/action signifie que chaque titre génère 208 FCFA de bénéfice net, ce qui, rapporté au cours actuel de 4 000 FCFA, donne un PER de 19,2x — nettement supérieur à la moyenne du marché BRVM (8-12x), suggérant que les investisseurs paient une prime de qualité pour ce leader sectoriel. Le P/B de 4,61x confirme cette valorisation exigeante : le marché valorise l'entreprise à plus de 4,6 fois sa valeur comptable, ce qui traduit une forte anticipation de croissance et une confiance dans la rentabilité future, mais expose le titre à un risque de correction en cas de déception. L'EV/EBITDA de 8,2x, dans la fourchette raisonnable de 5-10x, indique que la valeur totale de l'entreprise (incluant la dette) reste cohérente avec sa capacité opérationnelle à générer des flux, offrant un contrepoids modérateur à la prime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performance remarquable de +23,08%, avec une dernière séance en hausse de +2,83%, portant le cours à 4 000 FCFA. Le range de trading est significatif, avec un plus haut à 4 500 FCFA et un plus bas à 2 845 FCFA, soit une amplitude de 58%, ce qui témoigne d'une dynamique haussière soutenue mais aussi d'une certaine nervosité. La moyenne de 3 576 FCFA et la médiane de 3 600 FCFA sont très proches (écart de 0,7%), confirmant une distribution symétrique du cours sur la période, sans biais directionnel marqué. L'écart-type de 369 FCFA et le coefficient de variation de 10,3% indiquent une dispersion modérée autour de la moyenne, tandis que le kurtosis de -0,412 (mésokurtique) et le skewness de 0,146 (quasi-symétrique) suggèrent un comportement proche d'une distribution normale, sans risque de pics extrêmes ni d'asymétrie prononcée. La volatilité annualisée de 45,4% positionne le titre dans la catégorie des valeurs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(3 828,25 FCFA) et la MM50 (3 844,30 FCFA) sont toutes deux inférieures au cours actuel de 4 000 FCFA, ce qui place le titre en position haussière au-dessus de ses moyennes. Cependant, la MM20 étant légèrement en dessous de la MM50, on observe un croisement baissier des moyennes, ce qui justifie la décision technique de **Vente** malgré la position du cours. Cette configuration suggère que la dynamique haussière pourrait s'essouffler à court terme.</w:t>
      </w:r>
    </w:p>
    <w:p>
      <w:pPr>
        <w:spacing w:after="120" w:line="276" w:lineRule="auto"/>
      </w:pPr>
      <w:r>
        <w:t>**Bandes de Bollinger** : Le cours actuel (4 000 FCFA) se situe au-dessus de la borne supérieure (3 986,84 FCFA), ce qui est un signal de surachat technique. La largeur des bandes (borne supérieure à 3 986,84 et inférieure à 3 669,66) indique une volatilité modérée, mais la position du cours hors des bandes justifie la décision de **Vente** : une correction vers la moyenne est probable à court terme.</w:t>
      </w:r>
    </w:p>
    <w:p>
      <w:pPr>
        <w:spacing w:after="120" w:line="276" w:lineRule="auto"/>
      </w:pPr>
      <w:r>
        <w:t>**MACD** : La valeur du MACD (41,312) est supérieure à son signal (26,061), ce qui génère un signal haussier (**Achat**). Le momentum est positif, mais l'écart entre les deux lignes reste modéré, suggérant une dynamique haussière qui pourrait s'affaiblir si la divergence se réduit.</w:t>
      </w:r>
    </w:p>
    <w:p>
      <w:pPr>
        <w:spacing w:after="120" w:line="276" w:lineRule="auto"/>
      </w:pPr>
      <w:r>
        <w:t>**RSI** : À 62,295, le RSI se situe en zone neutre (30-70), sans signal de surachat (&gt;70) ni de survente (&lt;30). La décision est donc **Neutre**, ce qui indique que le titre n'est ni dans une zone d'achat agressive ni de vente forcée, mais qu'il conserve une légère tendance haussière.</w:t>
      </w:r>
    </w:p>
    <w:p>
      <w:pPr>
        <w:spacing w:after="120" w:line="276" w:lineRule="auto"/>
      </w:pPr>
      <w:r>
        <w:t>**Stochastique** : Le %K (100,0) est en zone de surachat extrême, et le %D (92,248) confirme cette tendance. Le croisement potentiel du %K sous le %D serait un signal de retournement baissier. La décision de **Vente** est donc justifiée par cette configuration de surachat marqué.</w:t>
      </w:r>
    </w:p>
    <w:p>
      <w:pPr>
        <w:spacing w:after="120" w:line="276" w:lineRule="auto"/>
      </w:pPr>
      <w:r>
        <w:t>**Conclusion technique** : Les indicateurs sont majoritairement baissiers (Moyennes Mobiles, Bandes de Bollinger, Stochastique) ou neutres (RSI), avec un seul signal haussier (MACD). Cette divergence suggère que le titre, après une forte hausse de +23% sur 100 jours, entre dans une phase de consolidation ou de correction. La prudence est de mise à court terme, malgré la solidité de la tendance de fond.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 chiffre d'affaires de 455,209 milliards FCFA, en baisse de 6,13% par rapport à 2024, et un résultat net de 6,779 milliards FCFA, en recul de 5,1%. Le ROE s'établit à 24,01%, un niveau excellent (&gt;15%) qui témoigne d'une remarquable efficacité dans l'utilisation des fonds propres, tandis que le ROA de 3,95% reste modéré, reflétant la faible marge nette (1,49%) structurelle du secteur de distribution pétrolière. En tant qu'entreprise non bancaire, l'analyse des délais d'exploitation est cruciale : le délai clients de 47,43 jours est modéré mais représente un risque de trésorerie, tandis que le délai fournisseurs de 97,76 jours (supérieur au délai clients) est favorable à la trésorerie, et la durée de stockage de 17,62 jours est bien maîtrisée. Le BFR négatif de -36,899 milliards FCFA est un signal positif majeur, indiquant que l'entreprise finance son cycle d'exploitation par ses fournisseurs plutôt que par ses propres ressources. Cependant, l'autonomie financière de 16,44% est inférieure au seuil de 30% considéré comme sain, et le ratio d'endettement de 52,16% mérite une surveillance. Les rapports trimestriels récents (T1 2026, publié le 31 mars 2026) montrent un chiffre d'affaires de 99,9 milliards FCFA (-10% sur un an) mais un résultat net en hausse de +5% à 1,585 milliard FCFA, avec une progression de +28% du résultat d'exploitation grâce à l'amélioration des marges sur les lubrifiants. Sur la base de ce T1 2026, on estime que l'exercice 2026 devrait confirmer la tendance à la résilience opérationnelle, avec une possible stabilisation du résultat net autour de 6,5-7 milliards FCFA, malgré la pression réglementaire sur les prix à la pompe. La recommandation fondamentale est de **Conserver** : la solidité du bilan, le ROE élevé et la capacité à générer des flux (Free Cash Flow de 17,483 milliards FCFA) compensent la faible marge nette et la baisse du chiffre d'affaires.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(Partie 0) présente un profil contrasté : le PER de 19,2x et le P/B de 4,61x indiquent une surévaluation relative par rapport aux standards du marché BRVM, mais l'EV/EBITDA de 8,2x reste raisonnable, suggérant que la prime est justifiée par la qualité des flux opérationnels. Le comportement du cours (Partie 1) est haussier sur 100 jours (+23,08%), avec une volatilité élevée (45,4%) et des statistiques descriptives (kurtosis -0,412, skewness 0,146) qui indiquent un risque de pics modéré et une distribution symétrique, sans biais directionnel marqué. Les signaux techniques (Partie 2) sont majoritairement baissiers à court terme (Moyennes Mobiles en croisement baissier, Bandes de Bollinger en surachat, Stochastique à 100), avec un MACD haussier mais un RSI neutre, ce qui suggère une consolidation imminente. Les fondamentaux (Partie 3) restent solides : ROE de 24%, BFR négatif, Free Cash Flow de 17,483 milliards FCFA, et une résilience opérationnelle confirmée par le T1 2026 (+28% de résultat d'exploitation). Les prédictions IA (J+1 à J+10) anticipent une légère correction vers 3 896-3 924 FCFA, ce qui confirme les signaux techniques baissiers à court terme mais reste cohérent avec une tendance de fond haussière. **Recommandation finale : CONSERVER**, avec un niveau de confiance **Moyen** et un risque global **Moyen**. La convergence entre une valorisation exigeante, des signaux techniques baissiers à court terme et des fondamentaux solides mais sans catalyseur immédiat justifie une position attentiste. L'horizon d'investissement optimal est le **moyen terme (3-12 mois)**, en attendant la confirmation de la stabilisation des marges et l'évolution de la politique de prix de l'État sénégalais.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-12.90%</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μ=55,769 FCFA, σ=2,946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β=-0.1611 (Contre-cyclique) — Cov=-0.000006, Var(idx)=0.000035, ρ=-0.026,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2026-09-15</w:t>
            </w:r>
          </w:p>
        </w:tc>
        <w:tc>
          <w:tcPr>
            <w:tcW w:type="dxa" w:w="1440"/>
            <w:shd w:fill="FAFAFA" w:val="clear"/>
          </w:tcPr>
          <w:p>
            <w:r>
              <w:rPr>
                <w:sz w:val="17"/>
              </w:rPr>
              <w:t>50,461</w:t>
            </w:r>
          </w:p>
        </w:tc>
        <w:tc>
          <w:tcPr>
            <w:tcW w:type="dxa" w:w="1440"/>
            <w:shd w:fill="FAFAFA" w:val="clear"/>
          </w:tcPr>
          <w:p>
            <w:r>
              <w:rPr>
                <w:b/>
                <w:sz w:val="17"/>
              </w:rPr>
              <w:t>53,777</w:t>
            </w:r>
          </w:p>
        </w:tc>
        <w:tc>
          <w:tcPr>
            <w:tcW w:type="dxa" w:w="1440"/>
            <w:shd w:fill="FAFAFA" w:val="clear"/>
          </w:tcPr>
          <w:p>
            <w:r>
              <w:rPr>
                <w:sz w:val="17"/>
              </w:rPr>
              <w:t>57,093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2026-09-16</w:t>
            </w:r>
          </w:p>
        </w:tc>
        <w:tc>
          <w:tcPr>
            <w:tcW w:type="dxa" w:w="1440"/>
            <w:shd w:fill="FAFAFA" w:val="clear"/>
          </w:tcPr>
          <w:p>
            <w:r>
              <w:rPr>
                <w:sz w:val="17"/>
              </w:rPr>
              <w:t>49,123</w:t>
            </w:r>
          </w:p>
        </w:tc>
        <w:tc>
          <w:tcPr>
            <w:tcW w:type="dxa" w:w="1440"/>
            <w:shd w:fill="FAFAFA" w:val="clear"/>
          </w:tcPr>
          <w:p>
            <w:r>
              <w:rPr>
                <w:b/>
                <w:sz w:val="17"/>
              </w:rPr>
              <w:t>53,815</w:t>
            </w:r>
          </w:p>
        </w:tc>
        <w:tc>
          <w:tcPr>
            <w:tcW w:type="dxa" w:w="1440"/>
            <w:shd w:fill="FAFAFA" w:val="clear"/>
          </w:tcPr>
          <w:p>
            <w:r>
              <w:rPr>
                <w:sz w:val="17"/>
              </w:rPr>
              <w:t>58,508</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2026-09-17</w:t>
            </w:r>
          </w:p>
        </w:tc>
        <w:tc>
          <w:tcPr>
            <w:tcW w:type="dxa" w:w="1440"/>
            <w:shd w:fill="FAFAFA" w:val="clear"/>
          </w:tcPr>
          <w:p>
            <w:r>
              <w:rPr>
                <w:sz w:val="17"/>
              </w:rPr>
              <w:t>48,048</w:t>
            </w:r>
          </w:p>
        </w:tc>
        <w:tc>
          <w:tcPr>
            <w:tcW w:type="dxa" w:w="1440"/>
            <w:shd w:fill="FAFAFA" w:val="clear"/>
          </w:tcPr>
          <w:p>
            <w:r>
              <w:rPr>
                <w:b/>
                <w:sz w:val="17"/>
              </w:rPr>
              <w:t>53,793</w:t>
            </w:r>
          </w:p>
        </w:tc>
        <w:tc>
          <w:tcPr>
            <w:tcW w:type="dxa" w:w="1440"/>
            <w:shd w:fill="FAFAFA" w:val="clear"/>
          </w:tcPr>
          <w:p>
            <w:r>
              <w:rPr>
                <w:sz w:val="17"/>
              </w:rPr>
              <w:t>59,538</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2026-09-18</w:t>
            </w:r>
          </w:p>
        </w:tc>
        <w:tc>
          <w:tcPr>
            <w:tcW w:type="dxa" w:w="1440"/>
            <w:shd w:fill="FAFAFA" w:val="clear"/>
          </w:tcPr>
          <w:p>
            <w:r>
              <w:rPr>
                <w:sz w:val="17"/>
              </w:rPr>
              <w:t>47,123</w:t>
            </w:r>
          </w:p>
        </w:tc>
        <w:tc>
          <w:tcPr>
            <w:tcW w:type="dxa" w:w="1440"/>
            <w:shd w:fill="FAFAFA" w:val="clear"/>
          </w:tcPr>
          <w:p>
            <w:r>
              <w:rPr>
                <w:b/>
                <w:sz w:val="17"/>
              </w:rPr>
              <w:t>53,752</w:t>
            </w:r>
          </w:p>
        </w:tc>
        <w:tc>
          <w:tcPr>
            <w:tcW w:type="dxa" w:w="1440"/>
            <w:shd w:fill="FAFAFA" w:val="clear"/>
          </w:tcPr>
          <w:p>
            <w:r>
              <w:rPr>
                <w:sz w:val="17"/>
              </w:rPr>
              <w:t>60,380</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2026-09-21</w:t>
            </w:r>
          </w:p>
        </w:tc>
        <w:tc>
          <w:tcPr>
            <w:tcW w:type="dxa" w:w="1440"/>
            <w:shd w:fill="FAFAFA" w:val="clear"/>
          </w:tcPr>
          <w:p>
            <w:r>
              <w:rPr>
                <w:sz w:val="17"/>
              </w:rPr>
              <w:t>46,299</w:t>
            </w:r>
          </w:p>
        </w:tc>
        <w:tc>
          <w:tcPr>
            <w:tcW w:type="dxa" w:w="1440"/>
            <w:shd w:fill="FAFAFA" w:val="clear"/>
          </w:tcPr>
          <w:p>
            <w:r>
              <w:rPr>
                <w:b/>
                <w:sz w:val="17"/>
              </w:rPr>
              <w:t>53,703</w:t>
            </w:r>
          </w:p>
        </w:tc>
        <w:tc>
          <w:tcPr>
            <w:tcW w:type="dxa" w:w="1440"/>
            <w:shd w:fill="FAFAFA" w:val="clear"/>
          </w:tcPr>
          <w:p>
            <w:r>
              <w:rPr>
                <w:sz w:val="17"/>
              </w:rPr>
              <w:t>61,108</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2026-09-22</w:t>
            </w:r>
          </w:p>
        </w:tc>
        <w:tc>
          <w:tcPr>
            <w:tcW w:type="dxa" w:w="1440"/>
            <w:shd w:fill="FAFAFA" w:val="clear"/>
          </w:tcPr>
          <w:p>
            <w:r>
              <w:rPr>
                <w:sz w:val="17"/>
              </w:rPr>
              <w:t>45,548</w:t>
            </w:r>
          </w:p>
        </w:tc>
        <w:tc>
          <w:tcPr>
            <w:tcW w:type="dxa" w:w="1440"/>
            <w:shd w:fill="FAFAFA" w:val="clear"/>
          </w:tcPr>
          <w:p>
            <w:r>
              <w:rPr>
                <w:b/>
                <w:sz w:val="17"/>
              </w:rPr>
              <w:t>53,651</w:t>
            </w:r>
          </w:p>
        </w:tc>
        <w:tc>
          <w:tcPr>
            <w:tcW w:type="dxa" w:w="1440"/>
            <w:shd w:fill="FAFAFA" w:val="clear"/>
          </w:tcPr>
          <w:p>
            <w:r>
              <w:rPr>
                <w:sz w:val="17"/>
              </w:rPr>
              <w:t>61,754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2026-09-23</w:t>
            </w:r>
          </w:p>
        </w:tc>
        <w:tc>
          <w:tcPr>
            <w:tcW w:type="dxa" w:w="1440"/>
            <w:shd w:fill="FAFAFA" w:val="clear"/>
          </w:tcPr>
          <w:p>
            <w:r>
              <w:rPr>
                <w:sz w:val="17"/>
              </w:rPr>
              <w:t>44,854</w:t>
            </w:r>
          </w:p>
        </w:tc>
        <w:tc>
          <w:tcPr>
            <w:tcW w:type="dxa" w:w="1440"/>
            <w:shd w:fill="FAFAFA" w:val="clear"/>
          </w:tcPr>
          <w:p>
            <w:r>
              <w:rPr>
                <w:b/>
                <w:sz w:val="17"/>
              </w:rPr>
              <w:t>53,597</w:t>
            </w:r>
          </w:p>
        </w:tc>
        <w:tc>
          <w:tcPr>
            <w:tcW w:type="dxa" w:w="1440"/>
            <w:shd w:fill="FAFAFA" w:val="clear"/>
          </w:tcPr>
          <w:p>
            <w:r>
              <w:rPr>
                <w:sz w:val="17"/>
              </w:rPr>
              <w:t>62,341</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2026-09-24</w:t>
            </w:r>
          </w:p>
        </w:tc>
        <w:tc>
          <w:tcPr>
            <w:tcW w:type="dxa" w:w="1440"/>
            <w:shd w:fill="FAFAFA" w:val="clear"/>
          </w:tcPr>
          <w:p>
            <w:r>
              <w:rPr>
                <w:sz w:val="17"/>
              </w:rPr>
              <w:t>44,205</w:t>
            </w:r>
          </w:p>
        </w:tc>
        <w:tc>
          <w:tcPr>
            <w:tcW w:type="dxa" w:w="1440"/>
            <w:shd w:fill="FAFAFA" w:val="clear"/>
          </w:tcPr>
          <w:p>
            <w:r>
              <w:rPr>
                <w:b/>
                <w:sz w:val="17"/>
              </w:rPr>
              <w:t>53,543</w:t>
            </w:r>
          </w:p>
        </w:tc>
        <w:tc>
          <w:tcPr>
            <w:tcW w:type="dxa" w:w="1440"/>
            <w:shd w:fill="FAFAFA" w:val="clear"/>
          </w:tcPr>
          <w:p>
            <w:r>
              <w:rPr>
                <w:sz w:val="17"/>
              </w:rPr>
              <w:t>62,881</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2026-09-25</w:t>
            </w:r>
          </w:p>
        </w:tc>
        <w:tc>
          <w:tcPr>
            <w:tcW w:type="dxa" w:w="1440"/>
            <w:shd w:fill="FAFAFA" w:val="clear"/>
          </w:tcPr>
          <w:p>
            <w:r>
              <w:rPr>
                <w:sz w:val="17"/>
              </w:rPr>
              <w:t>43,594</w:t>
            </w:r>
          </w:p>
        </w:tc>
        <w:tc>
          <w:tcPr>
            <w:tcW w:type="dxa" w:w="1440"/>
            <w:shd w:fill="FAFAFA" w:val="clear"/>
          </w:tcPr>
          <w:p>
            <w:r>
              <w:rPr>
                <w:b/>
                <w:sz w:val="17"/>
              </w:rPr>
              <w:t>53,488</w:t>
            </w:r>
          </w:p>
        </w:tc>
        <w:tc>
          <w:tcPr>
            <w:tcW w:type="dxa" w:w="1440"/>
            <w:shd w:fill="FAFAFA" w:val="clear"/>
          </w:tcPr>
          <w:p>
            <w:r>
              <w:rPr>
                <w:sz w:val="17"/>
              </w:rPr>
              <w:t>63,382</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2026-09-28</w:t>
            </w:r>
          </w:p>
        </w:tc>
        <w:tc>
          <w:tcPr>
            <w:tcW w:type="dxa" w:w="1440"/>
            <w:shd w:fill="FAFAFA" w:val="clear"/>
          </w:tcPr>
          <w:p>
            <w:r>
              <w:rPr>
                <w:sz w:val="17"/>
              </w:rPr>
              <w:t>43,015</w:t>
            </w:r>
          </w:p>
        </w:tc>
        <w:tc>
          <w:tcPr>
            <w:tcW w:type="dxa" w:w="1440"/>
            <w:shd w:fill="FAFAFA" w:val="clear"/>
          </w:tcPr>
          <w:p>
            <w:r>
              <w:rPr>
                <w:b/>
                <w:sz w:val="17"/>
              </w:rPr>
              <w:t>53,434</w:t>
            </w:r>
          </w:p>
        </w:tc>
        <w:tc>
          <w:tcPr>
            <w:tcW w:type="dxa" w:w="1440"/>
            <w:shd w:fill="FAFAFA" w:val="clear"/>
          </w:tcPr>
          <w:p>
            <w:r>
              <w:rPr>
                <w:sz w:val="17"/>
              </w:rPr>
              <w:t>63,853</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495,90 milliards FCFA, UNLC figure parmi les valeurs les plus capitalisées de la BRVM, ce qui témoigne de la taille significative de la société dans le tissu boursier régional malgré un flottant et des volumes d'échanges très réduits (20 titres/jour en moyenne). Les ratios de valorisation boursière (BPA, PER, P/B, EV/EBITDA) ne sont pas calculables en l'absence de données financières structurées exploitables dans la base, ce qui limite l'appréciation directe du prix payé par les investisseurs par rapport aux bénéfices ou à la valeur comptable. On peut néanmoins estimer, à partir du bénéfice net 2023 de 640,3 millions FCFA rapporté à la capitalisation de 495,9 milliards FCFA, un PER implicite extrêmement élevé (supérieur à 700x), signalant une décorrélation forte entre le prix de marché et la rentabilité effective de l'entreprise. Ce niveau de valorisation, atypique au regard du PER moyen BRVM (8-12x), s'explique davantage par la rareté du titre, la notoriété de la marque Unilever et la faible liquidité que par des fondamentaux solides. L'investisseur doit donc considérer que le marché valorise ici une prime de rareté et de marque, non une performance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d'UNLC affiche une variation totale de -12,90%, avec une dernière séance (J-1) stable à +0,00%, le titre clôturant à 54 000 FCFA. Le range de trading s'établit entre un plus haut de 63 345 FCFA et un plus bas de 50 000 FCFA, soit une amplitude de 13 345 FCFA (environ 26,7% du plus bas), traduisant une tendance générale baissière entrecoupée de rebonds techniques. Les statistiques descriptives révèlent une moyenne de 55 769 FCFA légèrement supérieure à la médiane de 55 700 FCFA, écart minime qui confirme une distribution quasi symétrique, cohérente avec un skewness de 0,180 (asymétrie positive légère). L'écart-type de 2 961 FCFA et le coefficient de variation de 5,3% indiquent une dispersion modérée du cours autour de sa moyenne, tandis que le kurtosis de -0,440 (mésokurtique) suggère une distribution proche de la normale, sans risque marqué de pics extrêmes. Le mode à 58 000 FCFA, supérieur à la moyenne et à la médiane, révèle que le prix le plus fréquemment observé se situe au-dessus du niveau central, signe que le titre a davantage évolué dans la partie haute de sa fourchette avant de refluer. La volatilité annualisée de 58,9% classe le titre dans la catégorie à volatilité élevée (&gt;30%), ce qui contraste avec la faible dispersion journalière (CV 5,3%) et s'explique par la rareté des transactions : peu de trades, mais des variations de prix amples lors de chaque échange.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53 892,75 FCFA et la MM50 à 53 579,40 FCFA, toutes deux inférieures au cours actuel de 54 000 FCFA, ce qui place le titre au-dessus de ses moyennes court et moyen terme. Cette configuration est haussière (golden cross implicite, MM20 &gt; MM50) et justifie la décision technique d'ACHAT, bien que l'écart très faible entre les deux moyennes (313 FCFA) traduise une dynamique sans forte conviction.</w:t>
      </w:r>
    </w:p>
    <w:p>
      <w:pPr>
        <w:spacing w:after="120" w:line="276" w:lineRule="auto"/>
      </w:pPr>
      <w:r>
        <w:t>**Bandes de Bollinger** : La borne supérieure se situe à 57 718,03 FCFA et la borne inférieure à 50 067,47 FCFA, encadrant le cours actuel de 54 000 FCFA qui évolue en zone médiane (positionnement neutre). La largeur des bandes (7 650 FCFA, soit 14,2% du cours moyen) reflète une volatilité modérée, et le fait que le prix ne teste ni la borne haute ni la borne basse justifie la décision NEUTRE, en l'absence de signal de breakout ou de retournement.</w:t>
      </w:r>
    </w:p>
    <w:p>
      <w:pPr>
        <w:spacing w:after="120" w:line="276" w:lineRule="auto"/>
      </w:pPr>
      <w:r>
        <w:t>**MACD** : Le MACD affiche une valeur de -199,961 contre un signal à -235,425, soit un MACD supérieur à son signal de 35,46 points, configuration haussière caractéristique d'un croisement positif récent. Le momentum reste toutefois négatif (MACD &lt; 0), ce qui indique que la dynamique de fond demeure baissière malgré le signal d'achat technique, invitant à la prudence sur la durabilité du rebond.</w:t>
      </w:r>
    </w:p>
    <w:p>
      <w:pPr>
        <w:spacing w:after="120" w:line="276" w:lineRule="auto"/>
      </w:pPr>
      <w:r>
        <w:t>**RSI** : À 54,857, le RSI se situe en zone neutre (entre 30 et 70), sans signal de surachat (&gt;70) ni de survente (&lt;30). Cette valeur médiane-haute suggère un équilibre entre acheteurs et vendeurs, avec une légère prédominance haussière, justifiant la décision NEUTRE en l'absence de pression directionnelle marquée.</w:t>
      </w:r>
    </w:p>
    <w:p>
      <w:pPr>
        <w:spacing w:after="120" w:line="276" w:lineRule="auto"/>
      </w:pPr>
      <w:r>
        <w:t>**Stochastique** : Le %K s'établit à 58,651 et le %D à 60,606, avec un %K légèrement inférieur au %D (croisement baissier naissant) mais les deux lignes évoluant en zone neutre-haute (proches de 60). Cette configuration indique une perte de momentum haussier sans signal de survente, justifiant la décision NEUTRE et suggérant une possible consolidation à court terme.</w:t>
      </w:r>
    </w:p>
    <w:p>
      <w:pPr>
        <w:spacing w:after="120" w:line="276" w:lineRule="auto"/>
      </w:pPr>
      <w:r>
        <w:t>**Conclusion technique** : Les indicateurs présentent un tableau mitigé, avec deux signaux d'achat (Moyennes Mobiles, MACD) et trois signaux neutres (Bollinger, RSI, Stochastique), sans divergence baissière franche. Le titre évolue au-dessus de ses moyennes mobiles mais en zone médiane de Bollinger, avec un MACD négatif en cours de redressement et un RSI neutre : la configuration plaide pour un maintien du cours autour de 54 000 FCFA, avec un biais haussier fragile tant que le MACD reste sous zéro. L'absence de signal de surachat ou de survente confirme qu'aucun mouvement directionnel fort n'est attendu à très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analysé le 15 mars 2026) et du 31 décembre 2022 (exercices 2022 et 2021, analysés les 15 et 16 mars 2026). **En 2023**, le chiffre d'affaires s'établit à 24 336 010 000 FCFA, stable par rapport à 2022 (même montant), traduisant une stagnation de l'activité. Le résultat net ressort à 640 334 855 FCFA, en nette amélioration après la perte de 6 908 362 002 FCFA enregistrée en 2022, mais la marge nette reste faible à 2,63%, très en dessous de la moyenne sectorielle FMCG (5-10%). Le résultat d'exploitation passe de -6 258 millions FCFA en 2022 à +3 340 millions FCFA en 2023, porté par la réduction des charges et la hausse des produits accessoires (+147 millions FCFA). **En 2022**, le chiffre d'affaires de 24 336 010 000 FCFA (selon le rapport du 31/12/2022) masquait une baisse de 21,5% par rapport aux 36 174,6 millions FCFA de 2021 (rapport du 31/12/2021), conséquence de la cession de l'activité "Thé" (Lipton) et des perturbations régionales (embargo malien, restrictions BCEAO). La perte nette de 6 382,6 millions FCFA en 2022 (marge nette de -17,6%) faisait suite à un bénéfice marginal de 0,175 million FCFA en 2021, année marquée par la plus-value exceptionnelle de cession de Lipton (+16,7 milliards FCFA). Les capitaux propres demeurent négatifs à -10 658 millions FCFA en 2023, et le report à nouveau négatif de -35 635 millions FCFA empêche toute distribution de dividende, ce qui prive l'actionnaire de rendement. Le ratio dette nette/EBITDA n'est pas calculable précisément, mais les dettes financières de 4 379 millions FCFA en 2023 (vs 3 827 millions en 2022) et une trésorerie passive de 14 874 millions FCFA signalent un risque de liquidité. **Recommandation fondamentale** : la société montre des signes de redressement opérationnel en 2023, mais sa structure financière reste précaire (capitaux propres négatifs, endettement croissant, absence de dividende) et sa valorisation boursière (PER implicite &gt;700x) est déconnectée de ses fondamentaux. Le profil fondamental est donc **fragile**, avec un risque élevé et des perspectives conditionnées à une amélioration durable de la rentabilité et à une reconstitution des capitaux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appréciation nuancée du dossier UNLC. **Valorisation (Partie 0)** : l'absence de ratios calculables et le PER implicite extrêmement élevé (&gt;700x) signalent une surévaluation manifeste par rapport aux bénéfices, le marché payant une prime de rareté et de marque plutôt qu'une performance financière. **Comportement du cours (Partie 1)** : la tendance baissière sur 100 jours (-12,90%), la volatilité annualisée élevée (58,9%) et la distribution quasi normale (kurtosis -0,440, skewness 0,180) dessinent un titre sans biais directionnel fort mais exposé à des variations amples lors des rares transactions. **Signaux techniques (Partie 2)** : la convergence est partielle, avec deux signaux d'achat (MM, MACD) et trois neutres (Bollinger, RSI, Stochastique), le MACD négatif tempérant l'optimisme des moyennes mobiles. **Fondamentaux (Partie 3)** : le redressement opérationnel de 2023 (résultat net positif de 640,3 millions FCFA, résultat d'exploitation de +3 340 millions FCFA) est réel mais fragile, les capitaux propres négatifs (-10 658 millions FCFA) et l'absence de dividende constituant des freins majeurs. **Prédictions IA (J+1 à J+10)** : la trajectoire projetée (53 777 FCFA le 15/09/2026, 53 815 FCFA le 16/09, 53 793 FCFA le 17/09, 53 752 FCFA le 18/09, 53 703 FCFA le 21/09) anticipe une légère érosion du cours (-0,55% sur 5 séances), en contradiction avec le signal d'achat des moyennes mobiles mais cohérente avec le MACD négatif et le Stochastique baissier naissant. **Recommandation finale : CONSERVER** (avec vigilance), justifiée par la convergence des signaux techniques neutres à légèrement haussiers, un fondamental en amélioration mais précaire, et des prédictions IA légèrement baissières qui ne justifient ni un achat agressif ni une vente panique. Le niveau de confiance est **Moyen** (données fondamentales anciennes, ratios de valorisation incomplets, liquidité très faible), le niveau de risque global est **Élevé** (capitaux propres négatifs, endettement, volatilité, absence de dividende), et l'horizon d'investissement optimal est **long terme (&gt;1 an)** pour les investisseurs patients prêts à supporter une volatilité élevée en attendant une hypothétique normalisation des fondamentaux et une éventuelle reprise des dividendes.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14.01% (Moyenne) — μ=1,947 FCFA, σ=273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β=-0.1425 (Contre-cyclique) — Cov=-0.000005, Var(idx)=0.000034, ρ=-0.026,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2026-09-15</w:t>
            </w:r>
          </w:p>
        </w:tc>
        <w:tc>
          <w:tcPr>
            <w:tcW w:type="dxa" w:w="1440"/>
            <w:shd w:fill="FAFAFA" w:val="clear"/>
          </w:tcPr>
          <w:p>
            <w:r>
              <w:rPr>
                <w:sz w:val="17"/>
              </w:rPr>
              <w:t>2,276</w:t>
            </w:r>
          </w:p>
        </w:tc>
        <w:tc>
          <w:tcPr>
            <w:tcW w:type="dxa" w:w="1440"/>
            <w:shd w:fill="FAFAFA" w:val="clear"/>
          </w:tcPr>
          <w:p>
            <w:r>
              <w:rPr>
                <w:b/>
                <w:sz w:val="17"/>
              </w:rPr>
              <w:t>2,373</w:t>
            </w:r>
          </w:p>
        </w:tc>
        <w:tc>
          <w:tcPr>
            <w:tcW w:type="dxa" w:w="1440"/>
            <w:shd w:fill="FAFAFA" w:val="clear"/>
          </w:tcPr>
          <w:p>
            <w:r>
              <w:rPr>
                <w:sz w:val="17"/>
              </w:rPr>
              <w:t>2,469</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2026-09-16</w:t>
            </w:r>
          </w:p>
        </w:tc>
        <w:tc>
          <w:tcPr>
            <w:tcW w:type="dxa" w:w="1440"/>
            <w:shd w:fill="FAFAFA" w:val="clear"/>
          </w:tcPr>
          <w:p>
            <w:r>
              <w:rPr>
                <w:sz w:val="17"/>
              </w:rPr>
              <w:t>2,228</w:t>
            </w:r>
          </w:p>
        </w:tc>
        <w:tc>
          <w:tcPr>
            <w:tcW w:type="dxa" w:w="1440"/>
            <w:shd w:fill="FAFAFA" w:val="clear"/>
          </w:tcPr>
          <w:p>
            <w:r>
              <w:rPr>
                <w:b/>
                <w:sz w:val="17"/>
              </w:rPr>
              <w:t>2,364</w:t>
            </w:r>
          </w:p>
        </w:tc>
        <w:tc>
          <w:tcPr>
            <w:tcW w:type="dxa" w:w="1440"/>
            <w:shd w:fill="FAFAFA" w:val="clear"/>
          </w:tcPr>
          <w:p>
            <w:r>
              <w:rPr>
                <w:sz w:val="17"/>
              </w:rPr>
              <w:t>2,500</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2026-09-17</w:t>
            </w:r>
          </w:p>
        </w:tc>
        <w:tc>
          <w:tcPr>
            <w:tcW w:type="dxa" w:w="1440"/>
            <w:shd w:fill="FAFAFA" w:val="clear"/>
          </w:tcPr>
          <w:p>
            <w:r>
              <w:rPr>
                <w:sz w:val="17"/>
              </w:rPr>
              <w:t>2,188</w:t>
            </w:r>
          </w:p>
        </w:tc>
        <w:tc>
          <w:tcPr>
            <w:tcW w:type="dxa" w:w="1440"/>
            <w:shd w:fill="FAFAFA" w:val="clear"/>
          </w:tcPr>
          <w:p>
            <w:r>
              <w:rPr>
                <w:b/>
                <w:sz w:val="17"/>
              </w:rPr>
              <w:t>2,353</w:t>
            </w:r>
          </w:p>
        </w:tc>
        <w:tc>
          <w:tcPr>
            <w:tcW w:type="dxa" w:w="1440"/>
            <w:shd w:fill="FAFAFA" w:val="clear"/>
          </w:tcPr>
          <w:p>
            <w:r>
              <w:rPr>
                <w:sz w:val="17"/>
              </w:rPr>
              <w:t>2,519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2026-09-18</w:t>
            </w:r>
          </w:p>
        </w:tc>
        <w:tc>
          <w:tcPr>
            <w:tcW w:type="dxa" w:w="1440"/>
            <w:shd w:fill="FFDCE0" w:val="clear"/>
          </w:tcPr>
          <w:p>
            <w:r>
              <w:rPr>
                <w:sz w:val="17"/>
              </w:rPr>
              <w:t>2,153</w:t>
            </w:r>
          </w:p>
        </w:tc>
        <w:tc>
          <w:tcPr>
            <w:tcW w:type="dxa" w:w="1440"/>
            <w:shd w:fill="FFDCE0" w:val="clear"/>
          </w:tcPr>
          <w:p>
            <w:r>
              <w:rPr>
                <w:b/>
                <w:sz w:val="17"/>
              </w:rPr>
              <w:t>2,343</w:t>
            </w:r>
          </w:p>
        </w:tc>
        <w:tc>
          <w:tcPr>
            <w:tcW w:type="dxa" w:w="1440"/>
            <w:shd w:fill="FFDCE0" w:val="clear"/>
          </w:tcPr>
          <w:p>
            <w:r>
              <w:rPr>
                <w:sz w:val="17"/>
              </w:rPr>
              <w:t>2,534</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2026-09-21</w:t>
            </w:r>
          </w:p>
        </w:tc>
        <w:tc>
          <w:tcPr>
            <w:tcW w:type="dxa" w:w="1440"/>
            <w:shd w:fill="FFDCE0" w:val="clear"/>
          </w:tcPr>
          <w:p>
            <w:r>
              <w:rPr>
                <w:sz w:val="17"/>
              </w:rPr>
              <w:t>2,122</w:t>
            </w:r>
          </w:p>
        </w:tc>
        <w:tc>
          <w:tcPr>
            <w:tcW w:type="dxa" w:w="1440"/>
            <w:shd w:fill="FFDCE0" w:val="clear"/>
          </w:tcPr>
          <w:p>
            <w:r>
              <w:rPr>
                <w:b/>
                <w:sz w:val="17"/>
              </w:rPr>
              <w:t>2,334</w:t>
            </w:r>
          </w:p>
        </w:tc>
        <w:tc>
          <w:tcPr>
            <w:tcW w:type="dxa" w:w="1440"/>
            <w:shd w:fill="FFDCE0" w:val="clear"/>
          </w:tcPr>
          <w:p>
            <w:r>
              <w:rPr>
                <w:sz w:val="17"/>
              </w:rPr>
              <w:t>2,546</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2026-09-22</w:t>
            </w:r>
          </w:p>
        </w:tc>
        <w:tc>
          <w:tcPr>
            <w:tcW w:type="dxa" w:w="1440"/>
            <w:shd w:fill="FFDCE0" w:val="clear"/>
          </w:tcPr>
          <w:p>
            <w:r>
              <w:rPr>
                <w:sz w:val="17"/>
              </w:rPr>
              <w:t>2,093</w:t>
            </w:r>
          </w:p>
        </w:tc>
        <w:tc>
          <w:tcPr>
            <w:tcW w:type="dxa" w:w="1440"/>
            <w:shd w:fill="FFDCE0" w:val="clear"/>
          </w:tcPr>
          <w:p>
            <w:r>
              <w:rPr>
                <w:b/>
                <w:sz w:val="17"/>
              </w:rPr>
              <w:t>2,324</w:t>
            </w:r>
          </w:p>
        </w:tc>
        <w:tc>
          <w:tcPr>
            <w:tcW w:type="dxa" w:w="1440"/>
            <w:shd w:fill="FFDCE0" w:val="clear"/>
          </w:tcPr>
          <w:p>
            <w:r>
              <w:rPr>
                <w:sz w:val="17"/>
              </w:rPr>
              <w:t>2,556</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2026-09-23</w:t>
            </w:r>
          </w:p>
        </w:tc>
        <w:tc>
          <w:tcPr>
            <w:tcW w:type="dxa" w:w="1440"/>
            <w:shd w:fill="FFDCE0" w:val="clear"/>
          </w:tcPr>
          <w:p>
            <w:r>
              <w:rPr>
                <w:sz w:val="17"/>
              </w:rPr>
              <w:t>2,066</w:t>
            </w:r>
          </w:p>
        </w:tc>
        <w:tc>
          <w:tcPr>
            <w:tcW w:type="dxa" w:w="1440"/>
            <w:shd w:fill="FFDCE0" w:val="clear"/>
          </w:tcPr>
          <w:p>
            <w:r>
              <w:rPr>
                <w:b/>
                <w:sz w:val="17"/>
              </w:rPr>
              <w:t>2,316</w:t>
            </w:r>
          </w:p>
        </w:tc>
        <w:tc>
          <w:tcPr>
            <w:tcW w:type="dxa" w:w="1440"/>
            <w:shd w:fill="FFDCE0" w:val="clear"/>
          </w:tcPr>
          <w:p>
            <w:r>
              <w:rPr>
                <w:sz w:val="17"/>
              </w:rPr>
              <w:t>2,565</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2026-09-24</w:t>
            </w:r>
          </w:p>
        </w:tc>
        <w:tc>
          <w:tcPr>
            <w:tcW w:type="dxa" w:w="1440"/>
            <w:shd w:fill="FFDCE0" w:val="clear"/>
          </w:tcPr>
          <w:p>
            <w:r>
              <w:rPr>
                <w:sz w:val="17"/>
              </w:rPr>
              <w:t>2,042</w:t>
            </w:r>
          </w:p>
        </w:tc>
        <w:tc>
          <w:tcPr>
            <w:tcW w:type="dxa" w:w="1440"/>
            <w:shd w:fill="FFDCE0" w:val="clear"/>
          </w:tcPr>
          <w:p>
            <w:r>
              <w:rPr>
                <w:b/>
                <w:sz w:val="17"/>
              </w:rPr>
              <w:t>2,307</w:t>
            </w:r>
          </w:p>
        </w:tc>
        <w:tc>
          <w:tcPr>
            <w:tcW w:type="dxa" w:w="1440"/>
            <w:shd w:fill="FFDCE0" w:val="clear"/>
          </w:tcPr>
          <w:p>
            <w:r>
              <w:rPr>
                <w:sz w:val="17"/>
              </w:rPr>
              <w:t>2,572</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2026-09-25</w:t>
            </w:r>
          </w:p>
        </w:tc>
        <w:tc>
          <w:tcPr>
            <w:tcW w:type="dxa" w:w="1440"/>
            <w:shd w:fill="FFDCE0" w:val="clear"/>
          </w:tcPr>
          <w:p>
            <w:r>
              <w:rPr>
                <w:sz w:val="17"/>
              </w:rPr>
              <w:t>2,018</w:t>
            </w:r>
          </w:p>
        </w:tc>
        <w:tc>
          <w:tcPr>
            <w:tcW w:type="dxa" w:w="1440"/>
            <w:shd w:fill="FFDCE0" w:val="clear"/>
          </w:tcPr>
          <w:p>
            <w:r>
              <w:rPr>
                <w:b/>
                <w:sz w:val="17"/>
              </w:rPr>
              <w:t>2,298</w:t>
            </w:r>
          </w:p>
        </w:tc>
        <w:tc>
          <w:tcPr>
            <w:tcW w:type="dxa" w:w="1440"/>
            <w:shd w:fill="FFDCE0" w:val="clear"/>
          </w:tcPr>
          <w:p>
            <w:r>
              <w:rPr>
                <w:sz w:val="17"/>
              </w:rPr>
              <w:t>2,579</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2026-09-28</w:t>
            </w:r>
          </w:p>
        </w:tc>
        <w:tc>
          <w:tcPr>
            <w:tcW w:type="dxa" w:w="1440"/>
            <w:shd w:fill="FFDCE0" w:val="clear"/>
          </w:tcPr>
          <w:p>
            <w:r>
              <w:rPr>
                <w:sz w:val="17"/>
              </w:rPr>
              <w:t>1,995</w:t>
            </w:r>
          </w:p>
        </w:tc>
        <w:tc>
          <w:tcPr>
            <w:tcW w:type="dxa" w:w="1440"/>
            <w:shd w:fill="FFDCE0" w:val="clear"/>
          </w:tcPr>
          <w:p>
            <w:r>
              <w:rPr>
                <w:b/>
                <w:sz w:val="17"/>
              </w:rPr>
              <w:t>2,290</w:t>
            </w:r>
          </w:p>
        </w:tc>
        <w:tc>
          <w:tcPr>
            <w:tcW w:type="dxa" w:w="1440"/>
            <w:shd w:fill="FFDCE0" w:val="clear"/>
          </w:tcPr>
          <w:p>
            <w:r>
              <w:rPr>
                <w:sz w:val="17"/>
              </w:rPr>
              <w:t>2,584</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49,80 milliards FCFA, UNXC se positionne comme une valeur de taille moyenne sur le marché BRVM, ce qui reste significatif pour le compartiment textile ivoirien. Le BPA ressort à -105 FCFA/action sur l'exercice 2024, traduisant une perte nette par titre, ce qui rend le PER négatif (-22,8x) et donc non interprétable en termes de cherté relative — un PER négatif signale simplement une société déficitaire sur la période de référence, et non une anomalie de valorisation. Le P/B de 3,19x indique que le marché valorise UNXC à plus de trois fois sa valeur comptable, ce qui traduit une prime de croissance et d'anticipation de redressement, dans la fourchette 2-4x typique des valeurs en retournement. Le ratio EV/EBITDA n'est pas fourni dans les données disponibles, ce qui s'explique par la volatilité récente de l'EBE (négatif en 2024, redevenu positif en 2025), rendant ce multiple peu pertinent sur la période analysée.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spectaculaire de +28,00%, avec un cours actuel de 2 400 FCFA et une variation J-1 nulle (+0,00%), signe d'une stabilisation après le rallye. Le range de trading est particulièrement large, entre un plus bas de 1 250 FCFA et un plus haut de 2 495 FCFA, soit un écart de près de 100%, ce qui témoigne d'une forte volatilité directionnelle. La tendance générale est nettement haussière, portée par l'amélioration des fondamentaux opérationnels et le retour à une rentabilité d'exploitation positive au S1 2026. Les statistiques descriptives révèlent une moyenne de 1 947 FCFA légèrement supérieure à la médiane (1 900 FCFA) et au mode (1 900 FCFA), avec un skewness de 0,199 indiquant une distribution quasi-symétrique, sans biais marqué vers les extrêmes. L'écart-type de 274 FCFA (CV=14,1%) traduit une dispersion modérée du cours autour de sa moyenne, tandis que le kurtosis de 0,283 (mésokurtique) suggère une distribution proche de la normale, sans risque excessif de pics extrêmes. La volatilité annualisée de 50,4% classe le titre dans la catégorie des valeurs très volatiles (&gt;30%), ce qui est cohérent avec un profil de retournement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(2 394,5 FCFA) et la MM50 (2 014,0 FCFA) sont toutes deux inférieures au cours actuel (2 400 FCFA), avec la MM20 au-dessus de la MM50, configuration haussière classique (golden cross). Le cours évolue au-dessus de ses deux moyennes, confirmant la dynamique positive et justifiant la décision d'**Achat**.</w:t>
      </w:r>
    </w:p>
    <w:p>
      <w:pPr>
        <w:spacing w:after="120" w:line="276" w:lineRule="auto"/>
      </w:pPr>
      <w:r>
        <w:t>**Bandes de Bollinger** : Le cours (2 400 FCFA) se situe entre la borne supérieure (2 569,2 FCFA) et la borne inférieure (2 219,8 FCFA), plus proche de la borne haute, sans franchissement. L'amplitude des bandes (349 FCFA) reflète une volatilité encore élevée, et la position médiane du cours justifie la décision **Neutre**, en attendant un signal de breakout.</w:t>
      </w:r>
    </w:p>
    <w:p>
      <w:pPr>
        <w:spacing w:after="120" w:line="276" w:lineRule="auto"/>
      </w:pPr>
      <w:r>
        <w:t>**MACD** : Le MACD (94,824) est inférieur à son signal (118,178), générant une divergence baissière et un momentum négatif à court terme. Cette configuration, bien que le MACD reste en territoire positif, justifie la décision de **Vente** à court terme, signalant un essoufflement du rallye.</w:t>
      </w:r>
    </w:p>
    <w:p>
      <w:pPr>
        <w:spacing w:after="120" w:line="276" w:lineRule="auto"/>
      </w:pPr>
      <w:r>
        <w:t>**RSI** : À 36,232, le RSI se situe en zone neutre basse, proche de la survente (seuil 30), sans y être encore. Cette position indique une pression vendeuse modérée mais un potentiel de rebond technique, justifiant la décision **Neutre**.</w:t>
      </w:r>
    </w:p>
    <w:p>
      <w:pPr>
        <w:spacing w:after="120" w:line="276" w:lineRule="auto"/>
      </w:pPr>
      <w:r>
        <w:t>**Stochastique** : Le %K (52,174) est supérieur au %D (43,198), avec un croisement récent à la hausse, signal haussier naissant. Toutefois, les deux lignes restent en zone médiane, ce qui justifie la décision **Neutre** en l'absence de confirmation franche.</w:t>
      </w:r>
    </w:p>
    <w:p>
      <w:pPr>
        <w:spacing w:after="120" w:line="276" w:lineRule="auto"/>
      </w:pPr>
      <w:r>
        <w:t>**Conclusion technique** : Les indicateurs sont globalement mitigés, avec une structure haussière de fond (MM, cours au-dessus des moyennes) mais des signaux de court terme contradictoires (MACD baissier, RSI neutre, Bollinger neutre). Le stochastique suggère un possible rebond, mais l'absence de convergence forte invite à la prudence. La configuration plaide pour une consolidation avant une nouvelle impulsion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UNXC a réalisé un chiffre d'affaires de 27,333 milliards FCFA, en croissance de 15,4% par rapport à 2023, mais a enregistré une perte nette de -2,189 milliards FCFA, avec un ROE de -14,04% et un ROA de -6,39%, traduisant une rentabilité négative sur l'exercice. La marge nette s'établit à -8,01% et la marge opérationnelle à -7,81%, tandis que la marge brute reste solide à 32,13%, signe que le problème réside dans les charges d'exploitation (coefficient d'exploitation de 106,99%) et non dans le coût des ventes. Le BFR de 2,149 milliards FCFA et le fonds de roulement de 4,027 milliards FCFA indiquent une structure de financement correcte, mais les délais d'exploitation sont préoccupants : délai clients de 51 jours (risque de trésorerie modéré), délai fournisseurs de 268 jours (favorable à la trésorerie) et durée de stockage de 255 jours (immobilisation de capital élevée). La structure financière reste saine avec une autonomie financière de 45,53%, une solvabilité générale de 183,60% et une liquidité générale de 126,23%, mais le ratio d'endettement de 119,61% et la capacité de remboursement négative (-0,68 FCFA) signalent une fragilité. Les rapports trimestriels récents confirment un redressement : au S1 2026 (rapport du 30 juin 2026), le CA atteint 15,752 milliards FCFA (+0,3%) et le résultat d'exploitation redevient positif à 771 millions FCFA, contre une perte de 314 millions au S1 2025. Le rapport annuel 2025 (publié en 2026) fait état d'un CA de 29,03 milliards FCFA (+6,2%), d'un EBE positif à 1,13 milliard FCFA et d'une perte nette réduite à -624 millions FCFA (-71% vs 2024), avec des capitaux propres renforcés à 24,62 milliards FCFA. On estime, sur la base de ces tendances, que l'exercice 2026 pourrait dégager un résultat net positif si la dynamique opérationnelle se confirme, bien que la dépendance aux cessions d'actifs (terrains) pour le désendettement reste un facteur non récurrent. La recommandation fondamentale est de **Conserver** avec un biais positif, en attendant la confirmation d'une rentabilité opérationnelle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interpréter avec un PER négatif, mais le P/B de 3,19x traduit une prime de croissance qui pourrait se justifier si le redressement se confirme. Le comportement du cours (Partie 1) est haussier (+28% sur 100 jours) avec une volatilité élevée (50,4%) et une distribution symétrique (skewness 0,199, kurtosis 0,283), ce qui est favorable pour une tendance directionnelle mais appelle à la prudence. Les signaux techniques (Partie 2) sont mitigés : structure haussière de fond (MM20 &gt; MM50, cours au-dessus des moyennes) mais momentum court terme négatif (MACD baissier), avec un RSI neutre et un stochastique en rebond naissant. Les fondamentaux (Partie 3) montrent un redressement réel mais fragile : retour à un résultat d'exploitation positif au S1 2026 (771 millions FCFA), EBE positif en 2025 (1,13 milliard FCFA), mais perte nette encore présente en 2025 (-624 millions FCFA) et dépendance aux cessions d'actifs. Les prédictions IA (J+1 à J+10) anticipent une légère baisse de 2 373 à 2 334 FCFA, soit -2,75% sur 10 jours, ce qui contredit la dynamique haussière récente et suggère une consolidation. Sur la base de cette synthèse, la recommandation finale est **CONSERVER**, avec un niveau de confiance **Moyen** et un risque global **Élevé** en raison de la volatilité et de la fragilité des fondamentaux. L'horizon d'investissement optimal est le **moyen terme (3-12 mois)**, en attendant la confirmation d'une rentabilité nette positive et durable, qui pourrait justifier un passage à l'achat.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