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07/08/2026 à 06:05</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45 ACHAT  |  2 NEUTRE  |  0 VENTE  (sur 47 sociétés)</w:t>
      </w:r>
    </w:p>
    <w:p>
      <w:pPr>
        <w:spacing w:before="20" w:after="20"/>
        <w:ind w:left="360" w:right="360"/>
        <w:shd w:val="clear" w:color="auto" w:fill="EBF5FB"/>
      </w:pPr>
      <w:r>
        <w:rPr>
          <w:b/>
          <w:sz w:val="19"/>
        </w:rPr>
        <w:t xml:space="preserve">Top opportunité :  </w:t>
      </w:r>
      <w:r>
        <w:rPr>
          <w:color w:val="008000"/>
          <w:sz w:val="19"/>
        </w:rPr>
        <w:t>TTLS  (score 78/100)</w:t>
      </w:r>
    </w:p>
    <w:p>
      <w:pPr>
        <w:spacing w:before="20" w:after="20"/>
        <w:ind w:left="360" w:right="360"/>
        <w:shd w:val="clear" w:color="auto" w:fill="EBF5FB"/>
      </w:pPr>
      <w:r>
        <w:rPr>
          <w:b/>
          <w:sz w:val="19"/>
        </w:rPr>
        <w:t xml:space="preserve">Secteur surperformant :  </w:t>
      </w:r>
      <w:r>
        <w:rPr>
          <w:color w:val="008000"/>
          <w:sz w:val="19"/>
        </w:rPr>
        <w:t>SERVICES PUBLICS  (+52.7%)</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18 sociétés — vérifier avant d'investir</w:t>
      </w:r>
    </w:p>
    <w:p>
      <w:pPr>
        <w:spacing w:before="20" w:after="20"/>
        <w:ind w:left="360" w:right="360"/>
        <w:shd w:val="clear" w:color="auto" w:fill="EBF5FB"/>
      </w:pPr>
      <w:r>
        <w:rPr>
          <w:b/>
          <w:sz w:val="19"/>
        </w:rPr>
        <w:t xml:space="preserve">⚠️ Liquidité réduite :  </w:t>
      </w:r>
      <w:r>
        <w:rPr>
          <w:color w:val="C00000"/>
          <w:sz w:val="19"/>
        </w:rPr>
        <w:t>9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485.48 points </w:t>
      </w:r>
      <w:r>
        <w:rPr>
          <w:color w:val="008000"/>
        </w:rPr>
        <w:t>(+0.66%)</w:t>
      </w:r>
      <w:r>
        <w:t xml:space="preserve"> sur la séance. </w:t>
      </w:r>
      <w:r>
        <w:t>La capitalisation globale du marché atteint 18 702,115 milliards FCFA.</w:t>
      </w:r>
    </w:p>
    <w:p/>
    <w:p>
      <w:pPr>
        <w:pStyle w:val="Heading3"/>
      </w:pPr>
      <w:r>
        <w:t>📊 Évolution de l'indice BRVM Composite (100 derniers jours)</w:t>
      </w:r>
    </w:p>
    <w:p>
      <w:r>
        <w:rPr>
          <w:b/>
        </w:rPr>
        <w:t xml:space="preserve">BRVM Composite — </w:t>
      </w:r>
      <w:r>
        <w:t xml:space="preserve">Sur les 100 derniers jours de cotation (2026-03-10 au 2026-08-06), l'indice BRVM Composite a évolué de </w:t>
      </w:r>
      <w:r>
        <w:rPr>
          <w:b/>
          <w:color w:val="008000"/>
        </w:rPr>
        <w:t>+16.57%</w:t>
      </w:r>
      <w:r>
        <w:t>, passant de 416.46 pts à 485.48 pts. Le plus haut atteint est 485.89 pts et le plus bas 397.33 pts. Sur l'ensemble de la période, la moyenne de l'indice s'établit à 433.28 pts, la médiane à 424.18 pts et le mode à 403.36 pts</w:t>
      </w:r>
      <w:r>
        <w:t xml:space="preserve"> — l'écart entre moyenne et médiane (9.11 pts) révèle une distribution asymétrique (asymétrie positive — plus de jours sous la moyenne). </w:t>
      </w:r>
      <w:r>
        <w:t xml:space="preserve">L'écart-type de 29.83 pts (CV=6.9%) traduit une faible dispersion des cotations. Le kurtosis de -1.21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+16.47%</w:t>
      </w:r>
      <w:r>
        <w:t xml:space="preserve"> sur la période, passant de 16 057,128 Mds FCFA à 18 702,115 Mds FCFA. Le pic de capitalisation observé est de 18 718,133 Mds FCFA et le plancher de 15 319,235 Mds FCFA. La moyenne de la capitalisation sur la période s'établit à 16 698,368 Mds FCFA, la médiane à 16 351,593 Mds FCFA et le mode à 15 319,235 Mds FCFA</w:t>
      </w:r>
      <w:r>
        <w:t xml:space="preserve"> — l'écart moyenne/médiane (346,775 Mds) signale une distribution asymétrie positive. </w:t>
      </w:r>
      <w:r>
        <w:t>L'écart-type de 1 143,923 Mds FCFA (CV=6.9%) reflète une faible variabilité de la valorisation du marché. Le kurtosis de -1.20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ABJC - ABJC - SERVAIR ABIDJAN CI</w:t>
      </w:r>
      <w:r>
        <w:t xml:space="preserve"> | Prix: 3010 FCFA | </w:t>
      </w:r>
      <w:r>
        <w:rPr>
          <w:b/>
          <w:color w:val="008000"/>
        </w:rPr>
        <w:t>ACHAT</w:t>
      </w:r>
      <w:r>
        <w:t xml:space="preserve"> | Confiance: Faible | Risque: Moyen</w:t>
      </w:r>
    </w:p>
    <w:p>
      <w:pPr>
        <w:pStyle w:val="ListNumber"/>
      </w:pPr>
      <w:r>
        <w:rPr>
          <w:b/>
        </w:rPr>
        <w:t>BICB - BIIC BN - Banque internationale pour le commerce du benin</w:t>
      </w:r>
      <w:r>
        <w:t xml:space="preserve"> | Prix: 7595 FCFA | </w:t>
      </w:r>
      <w:r>
        <w:rPr>
          <w:b/>
          <w:color w:val="008000"/>
        </w:rPr>
        <w:t>ACHAT</w:t>
      </w:r>
      <w:r>
        <w:t xml:space="preserve"> | Confiance: Moyen | Risque: Faible</w:t>
      </w:r>
    </w:p>
    <w:p>
      <w:pPr>
        <w:pStyle w:val="ListNumber"/>
      </w:pPr>
      <w:r>
        <w:rPr>
          <w:b/>
        </w:rPr>
        <w:t>BICC - BICI CI - Banque internationale pour le commerce et l'industrie de la Côte d'Ivoire</w:t>
      </w:r>
      <w:r>
        <w:t xml:space="preserve"> | Prix: 29100 FCFA | </w:t>
      </w:r>
      <w:r>
        <w:rPr>
          <w:b/>
          <w:color w:val="008000"/>
        </w:rPr>
        <w:t>ACHAT</w:t>
      </w:r>
      <w:r>
        <w:t xml:space="preserve"> | Confiance: Faible | Risque: Moyen</w:t>
      </w:r>
    </w:p>
    <w:p>
      <w:pPr>
        <w:pStyle w:val="ListNumber"/>
      </w:pPr>
      <w:r>
        <w:rPr>
          <w:b/>
        </w:rPr>
        <w:t>BNBC - BNBC - BERNABE CI</w:t>
      </w:r>
      <w:r>
        <w:t xml:space="preserve"> | Prix: 1900 FCFA | </w:t>
      </w:r>
      <w:r>
        <w:rPr>
          <w:b/>
          <w:color w:val="008000"/>
        </w:rPr>
        <w:t>ACHAT</w:t>
      </w:r>
      <w:r>
        <w:t xml:space="preserve"> | Confiance: Moyen | Risque: Moyen</w:t>
      </w:r>
    </w:p>
    <w:p>
      <w:pPr>
        <w:pStyle w:val="ListNumber"/>
      </w:pPr>
      <w:r>
        <w:rPr>
          <w:b/>
        </w:rPr>
        <w:t>BOAB - BANK OF AFRICA BENIN</w:t>
      </w:r>
      <w:r>
        <w:t xml:space="preserve"> | Prix: 8710 FCFA | </w:t>
      </w:r>
      <w:r>
        <w:rPr>
          <w:b/>
          <w:color w:val="008000"/>
        </w:rPr>
        <w:t>ACHAT</w:t>
      </w:r>
      <w:r>
        <w:t xml:space="preserve"> | Confiance: Faible | Risque: Moyen</w:t>
      </w:r>
    </w:p>
    <w:p>
      <w:pPr>
        <w:pStyle w:val="ListNumber"/>
      </w:pPr>
      <w:r>
        <w:rPr>
          <w:b/>
        </w:rPr>
        <w:t>BOABF - BANK OF AFRICA BURKINA FASO</w:t>
      </w:r>
      <w:r>
        <w:t xml:space="preserve"> | Prix: 7230 FCFA | </w:t>
      </w:r>
      <w:r>
        <w:rPr>
          <w:b/>
          <w:color w:val="008000"/>
        </w:rPr>
        <w:t>ACHAT</w:t>
      </w:r>
      <w:r>
        <w:t xml:space="preserve"> | Confiance: Faible | Risque: Faible</w:t>
      </w:r>
    </w:p>
    <w:p>
      <w:pPr>
        <w:pStyle w:val="ListNumber"/>
      </w:pPr>
      <w:r>
        <w:rPr>
          <w:b/>
        </w:rPr>
        <w:t>BOAC - BANK OF AFRICA COTE D'IVOIRE</w:t>
      </w:r>
      <w:r>
        <w:t xml:space="preserve"> | Prix: 11600 FCFA | </w:t>
      </w:r>
      <w:r>
        <w:rPr>
          <w:b/>
          <w:color w:val="008000"/>
        </w:rPr>
        <w:t>ACHAT</w:t>
      </w:r>
      <w:r>
        <w:t xml:space="preserve"> | Confiance: Moyen | Risque: Faible</w:t>
      </w:r>
    </w:p>
    <w:p>
      <w:pPr>
        <w:pStyle w:val="ListNumber"/>
      </w:pPr>
      <w:r>
        <w:rPr>
          <w:b/>
        </w:rPr>
        <w:t>BOAM - BANK OF AFRICA MALI</w:t>
      </w:r>
      <w:r>
        <w:t xml:space="preserve"> | Prix: 5590 FCFA | </w:t>
      </w:r>
      <w:r>
        <w:rPr>
          <w:b/>
          <w:color w:val="008000"/>
        </w:rPr>
        <w:t>ACHAT</w:t>
      </w:r>
      <w:r>
        <w:t xml:space="preserve"> | Confiance: Moyen | Risque: Faible</w:t>
      </w:r>
    </w:p>
    <w:p>
      <w:pPr>
        <w:pStyle w:val="ListNumber"/>
      </w:pPr>
      <w:r>
        <w:rPr>
          <w:b/>
        </w:rPr>
        <w:t>BOAN - BANK OF AFRICA NIGER</w:t>
      </w:r>
      <w:r>
        <w:t xml:space="preserve"> | Prix: 5200 FCFA | </w:t>
      </w:r>
      <w:r>
        <w:rPr>
          <w:b/>
          <w:color w:val="008000"/>
        </w:rPr>
        <w:t>ACHAT</w:t>
      </w:r>
      <w:r>
        <w:t xml:space="preserve"> | Confiance: Moyen | Risque: Moyen</w:t>
      </w:r>
    </w:p>
    <w:p>
      <w:pPr>
        <w:pStyle w:val="ListNumber"/>
      </w:pPr>
      <w:r>
        <w:rPr>
          <w:b/>
        </w:rPr>
        <w:t>BOAS - BANK OF AFRICA SENEGAL</w:t>
      </w:r>
      <w:r>
        <w:t xml:space="preserve"> | Prix: 7710 FCFA | </w:t>
      </w:r>
      <w:r>
        <w:rPr>
          <w:b/>
          <w:color w:val="008000"/>
        </w:rPr>
        <w:t>ACHAT</w:t>
      </w:r>
      <w:r>
        <w:t xml:space="preserve"> | Confiance: Moyen | Risque: Faible</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CBIBF - CBIBF - CORIS BANK INTERNATIONAL BURKINA FASO</w:t>
      </w:r>
      <w:r>
        <w:t xml:space="preserve"> | Prix: 28305 FCFA | </w:t>
      </w:r>
      <w:r>
        <w:rPr>
          <w:b/>
          <w:color w:val="C00000"/>
        </w:rPr>
        <w:t>CONSERVER ⚠️</w:t>
      </w:r>
      <w:r>
        <w:t xml:space="preserve"> | Confiance: Moyen | Risque: Moyen</w:t>
      </w:r>
    </w:p>
    <w:p>
      <w:pPr>
        <w:pStyle w:val="ListNumber"/>
      </w:pPr>
      <w:r>
        <w:rPr>
          <w:b/>
        </w:rPr>
        <w:t>SGBC - SGBC - SOCIETE GENERALE COTE D'IVOIRE</w:t>
      </w:r>
      <w:r>
        <w:t xml:space="preserve"> | Prix: 38000 FCFA | </w:t>
      </w:r>
      <w:r>
        <w:rPr>
          <w:b/>
          <w:color w:val="C00000"/>
        </w:rPr>
        <w:t>CONSERVER</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52.74%</w:t>
      </w:r>
      <w:r>
        <w:t xml:space="preserve">  |  </w:t>
      </w:r>
      <w:r>
        <w:rPr>
          <w:b/>
        </w:rPr>
        <w:t xml:space="preserve">vs BRVM Composite: </w:t>
      </w:r>
      <w:r>
        <w:rPr>
          <w:b/>
          <w:color w:val="008000"/>
        </w:rPr>
        <w:t>+36.16%  🟢 Surperformance</w:t>
      </w:r>
      <w:r>
        <w:br/>
      </w:r>
      <w:r>
        <w:rPr>
          <w:b/>
        </w:rPr>
        <w:t xml:space="preserve">Sentiment général: </w:t>
      </w:r>
      <w:r>
        <w:t xml:space="preserve">ACHAT  |  </w:t>
      </w:r>
      <w:r>
        <w:rPr>
          <w:b/>
        </w:rPr>
        <w:t xml:space="preserve">Risque moyen: </w:t>
      </w:r>
      <w:r>
        <w:t xml:space="preserve">Moyen  |  </w:t>
      </w:r>
      <w:r>
        <w:rPr>
          <w:b/>
        </w:rPr>
        <w:t xml:space="preserve">Prix moyen: </w:t>
      </w:r>
      <w:r>
        <w:t>8460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32.77%</w:t>
      </w:r>
      <w:r>
        <w:t xml:space="preserve">  |  </w:t>
      </w:r>
      <w:r>
        <w:rPr>
          <w:b/>
        </w:rPr>
        <w:t xml:space="preserve">vs BRVM Composite: </w:t>
      </w:r>
      <w:r>
        <w:rPr>
          <w:b/>
          <w:color w:val="008000"/>
        </w:rPr>
        <w:t>+16.20%  🟢 Surperformance</w:t>
      </w:r>
      <w:r>
        <w:br/>
      </w:r>
      <w:r>
        <w:rPr>
          <w:b/>
        </w:rPr>
        <w:t xml:space="preserve">Sentiment général: </w:t>
      </w:r>
      <w:r>
        <w:t xml:space="preserve">ACHAT  |  </w:t>
      </w:r>
      <w:r>
        <w:rPr>
          <w:b/>
        </w:rPr>
        <w:t xml:space="preserve">Risque moyen: </w:t>
      </w:r>
      <w:r>
        <w:t xml:space="preserve">Faible  |  </w:t>
      </w:r>
      <w:r>
        <w:rPr>
          <w:b/>
        </w:rPr>
        <w:t xml:space="preserve">Prix moyen: </w:t>
      </w:r>
      <w:r>
        <w:t>12908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23.86%</w:t>
      </w:r>
      <w:r>
        <w:t xml:space="preserve">  |  </w:t>
      </w:r>
      <w:r>
        <w:rPr>
          <w:b/>
        </w:rPr>
        <w:t xml:space="preserve">vs BRVM Composite: </w:t>
      </w:r>
      <w:r>
        <w:rPr>
          <w:b/>
          <w:color w:val="008000"/>
        </w:rPr>
        <w:t>+7.29%  🟢 Surperformance</w:t>
      </w:r>
      <w:r>
        <w:br/>
      </w:r>
      <w:r>
        <w:rPr>
          <w:b/>
        </w:rPr>
        <w:t xml:space="preserve">Sentiment général: </w:t>
      </w:r>
      <w:r>
        <w:t xml:space="preserve">ACHAT  |  </w:t>
      </w:r>
      <w:r>
        <w:rPr>
          <w:b/>
        </w:rPr>
        <w:t xml:space="preserve">Risque moyen: </w:t>
      </w:r>
      <w:r>
        <w:t xml:space="preserve">Moyen  |  </w:t>
      </w:r>
      <w:r>
        <w:rPr>
          <w:b/>
        </w:rPr>
        <w:t xml:space="preserve">Prix moyen: </w:t>
      </w:r>
      <w:r>
        <w:t>18721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8.02%</w:t>
      </w:r>
      <w:r>
        <w:t xml:space="preserve">  |  </w:t>
      </w:r>
      <w:r>
        <w:rPr>
          <w:b/>
        </w:rPr>
        <w:t xml:space="preserve">vs BRVM Composite: </w:t>
      </w:r>
      <w:r>
        <w:rPr>
          <w:b/>
          <w:color w:val="C00000"/>
        </w:rPr>
        <w:t>-8.56%  🔴 Sous-performance</w:t>
      </w:r>
      <w:r>
        <w:br/>
      </w:r>
      <w:r>
        <w:rPr>
          <w:b/>
        </w:rPr>
        <w:t xml:space="preserve">Sentiment général: </w:t>
      </w:r>
      <w:r>
        <w:t xml:space="preserve">ACHAT  |  </w:t>
      </w:r>
      <w:r>
        <w:rPr>
          <w:b/>
        </w:rPr>
        <w:t xml:space="preserve">Risque moyen: </w:t>
      </w:r>
      <w:r>
        <w:t xml:space="preserve">Moyen  |  </w:t>
      </w:r>
      <w:r>
        <w:rPr>
          <w:b/>
        </w:rPr>
        <w:t xml:space="preserve">Prix moyen: </w:t>
      </w:r>
      <w:r>
        <w:t>6286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5.50%</w:t>
      </w:r>
      <w:r>
        <w:t xml:space="preserve">  |  </w:t>
      </w:r>
      <w:r>
        <w:rPr>
          <w:b/>
        </w:rPr>
        <w:t xml:space="preserve">vs BRVM Composite: </w:t>
      </w:r>
      <w:r>
        <w:rPr>
          <w:b/>
          <w:color w:val="C00000"/>
        </w:rPr>
        <w:t>-11.07%  🔴 Sous-performance</w:t>
      </w:r>
      <w:r>
        <w:br/>
      </w:r>
      <w:r>
        <w:rPr>
          <w:b/>
        </w:rPr>
        <w:t xml:space="preserve">Sentiment général: </w:t>
      </w:r>
      <w:r>
        <w:t xml:space="preserve">ACHAT  |  </w:t>
      </w:r>
      <w:r>
        <w:rPr>
          <w:b/>
        </w:rPr>
        <w:t xml:space="preserve">Risque moyen: </w:t>
      </w:r>
      <w:r>
        <w:t xml:space="preserve">Faible  |  </w:t>
      </w:r>
      <w:r>
        <w:rPr>
          <w:b/>
        </w:rPr>
        <w:t xml:space="preserve">Prix moyen: </w:t>
      </w:r>
      <w:r>
        <w:t>17038 FCFA</w:t>
        <w:br/>
      </w:r>
      <w:r>
        <w:rPr>
          <w:b/>
        </w:rPr>
        <w:br/>
        <w:t xml:space="preserve">Sociétés: </w:t>
      </w:r>
      <w:r>
        <w:t>ONTBF (ONTBF - ONATEL BURKINA FASO), ORAC (ORAC - ORANGE COTE D'IVOIRE), SNTS (SNTS - SONATEL SN)</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4.81%</w:t>
      </w:r>
      <w:r>
        <w:t xml:space="preserve">  |  </w:t>
      </w:r>
      <w:r>
        <w:rPr>
          <w:b/>
        </w:rPr>
        <w:t xml:space="preserve">vs BRVM Composite: </w:t>
      </w:r>
      <w:r>
        <w:rPr>
          <w:b/>
          <w:color w:val="C00000"/>
        </w:rPr>
        <w:t>-11.76%  🔴 Sous-performance</w:t>
      </w:r>
      <w:r>
        <w:br/>
      </w:r>
      <w:r>
        <w:rPr>
          <w:b/>
        </w:rPr>
        <w:t xml:space="preserve">Sentiment général: </w:t>
      </w:r>
      <w:r>
        <w:t xml:space="preserve">ACHAT  |  </w:t>
      </w:r>
      <w:r>
        <w:rPr>
          <w:b/>
        </w:rPr>
        <w:t xml:space="preserve">Risque moyen: </w:t>
      </w:r>
      <w:r>
        <w:t xml:space="preserve">Moyen  |  </w:t>
      </w:r>
      <w:r>
        <w:rPr>
          <w:b/>
        </w:rPr>
        <w:t xml:space="preserve">Prix moyen: </w:t>
      </w:r>
      <w:r>
        <w:t>2772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-6.40%</w:t>
      </w:r>
      <w:r>
        <w:t xml:space="preserve">  |  </w:t>
      </w:r>
      <w:r>
        <w:rPr>
          <w:b/>
        </w:rPr>
        <w:t xml:space="preserve">vs BRVM Composite: </w:t>
      </w:r>
      <w:r>
        <w:rPr>
          <w:b/>
          <w:color w:val="C00000"/>
        </w:rPr>
        <w:t>-22.97%  🔴 Sous-performance</w:t>
      </w:r>
      <w:r>
        <w:br/>
      </w:r>
      <w:r>
        <w:rPr>
          <w:b/>
        </w:rPr>
        <w:t xml:space="preserve">Sentiment général: </w:t>
      </w:r>
      <w:r>
        <w:t xml:space="preserve">ACHAT  |  </w:t>
      </w:r>
      <w:r>
        <w:rPr>
          <w:b/>
        </w:rPr>
        <w:t xml:space="preserve">Risque moyen: </w:t>
      </w:r>
      <w:r>
        <w:t xml:space="preserve">Faible  |  </w:t>
      </w:r>
      <w:r>
        <w:rPr>
          <w:b/>
        </w:rPr>
        <w:t xml:space="preserve">Prix moyen: </w:t>
      </w:r>
      <w:r>
        <w:t>2388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CIEC, ETIT, NEIC, PALC, SCRC, SHEC, SIBC, SIVC, STBC, TTLC, TTLS, UNXC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BICB, BNBC, BOAC, BOAM, BOAN, BOAS, LNBB, NSBC, ORAC, ORGT, PRSC, SAFC, SDSC, SICC, SNTS, STAC, UNLC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ABJC, BICC, BOAB, BOABF, CABC, CFAC, ECOC, FTSC, NTLC, ONTBF, SDCC, SEMC, SLBC, SMBC, SOGC, SPHC</w:t>
            </w:r>
          </w:p>
        </w:tc>
        <w:tc>
          <w:tcPr>
            <w:tcW w:type="dxa" w:w="2160"/>
            <w:shd w:fill="FFC7CE" w:val="clear"/>
          </w:tcPr>
          <w:p>
            <w:pPr>
              <w:spacing w:before="40" w:after="40"/>
            </w:pPr>
            <w:r/>
            <w:r>
              <w:rPr>
                <w:b w:val="0"/>
                <w:sz w:val="16"/>
              </w:rPr>
              <w:t>CBIBF, SGBC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2574550</w:t>
            </w:r>
          </w:p>
        </w:tc>
        <w:tc>
          <w:tcPr>
            <w:tcW w:type="dxa" w:w="1728"/>
          </w:tcPr>
          <w:p>
            <w:r>
              <w:t>174563972 FCFA</w:t>
            </w:r>
          </w:p>
        </w:tc>
        <w:tc>
          <w:tcPr>
            <w:tcW w:type="dxa" w:w="1728"/>
          </w:tcPr>
          <w:p>
            <w:r>
              <w:t>103.12%</w:t>
            </w:r>
          </w:p>
        </w:tc>
        <w:tc>
          <w:tcPr>
            <w:tcW w:type="dxa" w:w="1728"/>
          </w:tcPr>
          <w:p>
            <w:r>
              <w:t>ACHAT</w:t>
            </w:r>
          </w:p>
        </w:tc>
      </w:tr>
      <w:tr>
        <w:tc>
          <w:tcPr>
            <w:tcW w:type="dxa" w:w="1728"/>
          </w:tcPr>
          <w:p>
            <w:r>
              <w:t>SDSC (SDSC - AFRICA GLOBAL LOGISTICS CI)</w:t>
            </w:r>
          </w:p>
        </w:tc>
        <w:tc>
          <w:tcPr>
            <w:tcW w:type="dxa" w:w="1728"/>
          </w:tcPr>
          <w:p>
            <w:r>
              <w:t>16883</w:t>
            </w:r>
          </w:p>
        </w:tc>
        <w:tc>
          <w:tcPr>
            <w:tcW w:type="dxa" w:w="1728"/>
          </w:tcPr>
          <w:p>
            <w:r>
              <w:t>42349184 FCFA</w:t>
            </w:r>
          </w:p>
        </w:tc>
        <w:tc>
          <w:tcPr>
            <w:tcW w:type="dxa" w:w="1728"/>
          </w:tcPr>
          <w:p>
            <w:r>
              <w:t>21.63%</w:t>
            </w:r>
          </w:p>
        </w:tc>
        <w:tc>
          <w:tcPr>
            <w:tcW w:type="dxa" w:w="1728"/>
          </w:tcPr>
          <w:p>
            <w:r>
              <w:t>ACHAT</w:t>
            </w:r>
          </w:p>
        </w:tc>
      </w:tr>
      <w:tr>
        <w:tc>
          <w:tcPr>
            <w:tcW w:type="dxa" w:w="1728"/>
          </w:tcPr>
          <w:p>
            <w:r>
              <w:t>UNXC (UNXC - UNIWAX COTE D'IVOIRE)</w:t>
            </w:r>
          </w:p>
        </w:tc>
        <w:tc>
          <w:tcPr>
            <w:tcW w:type="dxa" w:w="1728"/>
          </w:tcPr>
          <w:p>
            <w:r>
              <w:t>13307</w:t>
            </w:r>
          </w:p>
        </w:tc>
        <w:tc>
          <w:tcPr>
            <w:tcW w:type="dxa" w:w="1728"/>
          </w:tcPr>
          <w:p>
            <w:r>
              <w:t>22279423 FCFA</w:t>
            </w:r>
          </w:p>
        </w:tc>
        <w:tc>
          <w:tcPr>
            <w:tcW w:type="dxa" w:w="1728"/>
          </w:tcPr>
          <w:p>
            <w:r>
              <w:t>-9.52%</w:t>
            </w:r>
          </w:p>
        </w:tc>
        <w:tc>
          <w:tcPr>
            <w:tcW w:type="dxa" w:w="1728"/>
          </w:tcPr>
          <w:p>
            <w:r>
              <w:t>ACHAT</w:t>
            </w:r>
          </w:p>
        </w:tc>
      </w:tr>
      <w:tr>
        <w:tc>
          <w:tcPr>
            <w:tcW w:type="dxa" w:w="1728"/>
          </w:tcPr>
          <w:p>
            <w:r>
              <w:t>SNTS (SNTS - SONATEL SN)</w:t>
            </w:r>
          </w:p>
        </w:tc>
        <w:tc>
          <w:tcPr>
            <w:tcW w:type="dxa" w:w="1728"/>
          </w:tcPr>
          <w:p>
            <w:r>
              <w:t>12518</w:t>
            </w:r>
          </w:p>
        </w:tc>
        <w:tc>
          <w:tcPr>
            <w:tcW w:type="dxa" w:w="1728"/>
          </w:tcPr>
          <w:p>
            <w:r>
              <w:t>389446953 FCFA</w:t>
            </w:r>
          </w:p>
        </w:tc>
        <w:tc>
          <w:tcPr>
            <w:tcW w:type="dxa" w:w="1728"/>
          </w:tcPr>
          <w:p>
            <w:r>
              <w:t>6.90%</w:t>
            </w:r>
          </w:p>
        </w:tc>
        <w:tc>
          <w:tcPr>
            <w:tcW w:type="dxa" w:w="1728"/>
          </w:tcPr>
          <w:p>
            <w:r>
              <w:t>ACHAT</w:t>
            </w:r>
          </w:p>
        </w:tc>
      </w:tr>
      <w:tr>
        <w:tc>
          <w:tcPr>
            <w:tcW w:type="dxa" w:w="1728"/>
          </w:tcPr>
          <w:p>
            <w:r>
              <w:t>BOAS (BANK OF AFRICA SENEGAL)</w:t>
            </w:r>
          </w:p>
        </w:tc>
        <w:tc>
          <w:tcPr>
            <w:tcW w:type="dxa" w:w="1728"/>
          </w:tcPr>
          <w:p>
            <w:r>
              <w:t>9446</w:t>
            </w:r>
          </w:p>
        </w:tc>
        <w:tc>
          <w:tcPr>
            <w:tcW w:type="dxa" w:w="1728"/>
          </w:tcPr>
          <w:p>
            <w:r>
              <w:t>70135696 FCFA</w:t>
            </w:r>
          </w:p>
        </w:tc>
        <w:tc>
          <w:tcPr>
            <w:tcW w:type="dxa" w:w="1728"/>
          </w:tcPr>
          <w:p>
            <w:r>
              <w:t>10.14%</w:t>
            </w:r>
          </w:p>
        </w:tc>
        <w:tc>
          <w:tcPr>
            <w:tcW w:type="dxa" w:w="1728"/>
          </w:tcPr>
          <w:p>
            <w:r>
              <w:t>ACHAT</w:t>
            </w:r>
          </w:p>
        </w:tc>
      </w:tr>
      <w:tr>
        <w:tc>
          <w:tcPr>
            <w:tcW w:type="dxa" w:w="1728"/>
          </w:tcPr>
          <w:p>
            <w:r>
              <w:t>SIBC (SIBC - SOCIETE IVOIRIENNE DE BANQUE)</w:t>
            </w:r>
          </w:p>
        </w:tc>
        <w:tc>
          <w:tcPr>
            <w:tcW w:type="dxa" w:w="1728"/>
          </w:tcPr>
          <w:p>
            <w:r>
              <w:t>9201</w:t>
            </w:r>
          </w:p>
        </w:tc>
        <w:tc>
          <w:tcPr>
            <w:tcW w:type="dxa" w:w="1728"/>
          </w:tcPr>
          <w:p>
            <w:r>
              <w:t>81915992 FCFA</w:t>
            </w:r>
          </w:p>
        </w:tc>
        <w:tc>
          <w:tcPr>
            <w:tcW w:type="dxa" w:w="1728"/>
          </w:tcPr>
          <w:p>
            <w:r>
              <w:t>30.99%</w:t>
            </w:r>
          </w:p>
        </w:tc>
        <w:tc>
          <w:tcPr>
            <w:tcW w:type="dxa" w:w="1728"/>
          </w:tcPr>
          <w:p>
            <w:r>
              <w:t>ACHAT</w:t>
            </w:r>
          </w:p>
        </w:tc>
      </w:tr>
      <w:tr>
        <w:tc>
          <w:tcPr>
            <w:tcW w:type="dxa" w:w="1728"/>
          </w:tcPr>
          <w:p>
            <w:r>
              <w:t>BICB (BIIC BN - Banque internationale pour le commerce du benin)</w:t>
            </w:r>
          </w:p>
        </w:tc>
        <w:tc>
          <w:tcPr>
            <w:tcW w:type="dxa" w:w="1728"/>
          </w:tcPr>
          <w:p>
            <w:r>
              <w:t>8196</w:t>
            </w:r>
          </w:p>
        </w:tc>
        <w:tc>
          <w:tcPr>
            <w:tcW w:type="dxa" w:w="1728"/>
          </w:tcPr>
          <w:p>
            <w:r>
              <w:t>58575327 FCFA</w:t>
            </w:r>
          </w:p>
        </w:tc>
        <w:tc>
          <w:tcPr>
            <w:tcW w:type="dxa" w:w="1728"/>
          </w:tcPr>
          <w:p>
            <w:r>
              <w:t>46.06%</w:t>
            </w:r>
          </w:p>
        </w:tc>
        <w:tc>
          <w:tcPr>
            <w:tcW w:type="dxa" w:w="1728"/>
          </w:tcPr>
          <w:p>
            <w:r>
              <w:t>ACHAT</w:t>
            </w:r>
          </w:p>
        </w:tc>
      </w:tr>
      <w:tr>
        <w:tc>
          <w:tcPr>
            <w:tcW w:type="dxa" w:w="1728"/>
          </w:tcPr>
          <w:p>
            <w:r>
              <w:t>ONTBF (ONTBF - ONATEL BURKINA FASO)</w:t>
            </w:r>
          </w:p>
        </w:tc>
        <w:tc>
          <w:tcPr>
            <w:tcW w:type="dxa" w:w="1728"/>
          </w:tcPr>
          <w:p>
            <w:r>
              <w:t>8189</w:t>
            </w:r>
          </w:p>
        </w:tc>
        <w:tc>
          <w:tcPr>
            <w:tcW w:type="dxa" w:w="1728"/>
          </w:tcPr>
          <w:p>
            <w:r>
              <w:t>22459326 FCFA</w:t>
            </w:r>
          </w:p>
        </w:tc>
        <w:tc>
          <w:tcPr>
            <w:tcW w:type="dxa" w:w="1728"/>
          </w:tcPr>
          <w:p>
            <w:r>
              <w:t>-2.65%</w:t>
            </w:r>
          </w:p>
        </w:tc>
        <w:tc>
          <w:tcPr>
            <w:tcW w:type="dxa" w:w="1728"/>
          </w:tcPr>
          <w:p>
            <w:r>
              <w:t>ACHAT</w:t>
            </w:r>
          </w:p>
        </w:tc>
      </w:tr>
      <w:tr>
        <w:tc>
          <w:tcPr>
            <w:tcW w:type="dxa" w:w="1728"/>
          </w:tcPr>
          <w:p>
            <w:r>
              <w:t>TTLC (TTLC - TOTAL ENERGIES MARKETING COTE D'IVOIRE)</w:t>
            </w:r>
          </w:p>
        </w:tc>
        <w:tc>
          <w:tcPr>
            <w:tcW w:type="dxa" w:w="1728"/>
          </w:tcPr>
          <w:p>
            <w:r>
              <w:t>8043</w:t>
            </w:r>
          </w:p>
        </w:tc>
        <w:tc>
          <w:tcPr>
            <w:tcW w:type="dxa" w:w="1728"/>
          </w:tcPr>
          <w:p>
            <w:r>
              <w:t>23016385 FCFA</w:t>
            </w:r>
          </w:p>
        </w:tc>
        <w:tc>
          <w:tcPr>
            <w:tcW w:type="dxa" w:w="1728"/>
          </w:tcPr>
          <w:p>
            <w:r>
              <w:t>-1.58%</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ABJC (ABJC - SERVAIR ABIDJAN CI)</w:t>
            </w:r>
          </w:p>
        </w:tc>
        <w:tc>
          <w:tcPr>
            <w:tcW w:type="dxa" w:w="1728"/>
          </w:tcPr>
          <w:p>
            <w:r>
              <w:t>3411</w:t>
            </w:r>
          </w:p>
        </w:tc>
        <w:tc>
          <w:tcPr>
            <w:tcW w:type="dxa" w:w="1728"/>
          </w:tcPr>
          <w:p>
            <w:r>
              <w:t>10293049 FCFA</w:t>
            </w:r>
          </w:p>
        </w:tc>
        <w:tc>
          <w:tcPr>
            <w:tcW w:type="dxa" w:w="1728"/>
          </w:tcPr>
          <w:p>
            <w:r>
              <w:t>-11.47%</w:t>
            </w:r>
          </w:p>
        </w:tc>
        <w:tc>
          <w:tcPr>
            <w:tcW w:type="dxa" w:w="1728"/>
          </w:tcPr>
          <w:p>
            <w:r>
              <w:t>ACHAT</w:t>
            </w:r>
          </w:p>
        </w:tc>
      </w:tr>
      <w:tr>
        <w:tc>
          <w:tcPr>
            <w:tcW w:type="dxa" w:w="1728"/>
          </w:tcPr>
          <w:p>
            <w:r>
              <w:t>PALC (PALC - PALM COTE D'IVOIRE)</w:t>
            </w:r>
          </w:p>
        </w:tc>
        <w:tc>
          <w:tcPr>
            <w:tcW w:type="dxa" w:w="1728"/>
          </w:tcPr>
          <w:p>
            <w:r>
              <w:t>3398</w:t>
            </w:r>
          </w:p>
        </w:tc>
        <w:tc>
          <w:tcPr>
            <w:tcW w:type="dxa" w:w="1728"/>
          </w:tcPr>
          <w:p>
            <w:r>
              <w:t>29890669 FCFA</w:t>
            </w:r>
          </w:p>
        </w:tc>
        <w:tc>
          <w:tcPr>
            <w:tcW w:type="dxa" w:w="1728"/>
          </w:tcPr>
          <w:p>
            <w:r>
              <w:t>-4.52%</w:t>
            </w:r>
          </w:p>
        </w:tc>
        <w:tc>
          <w:tcPr>
            <w:tcW w:type="dxa" w:w="1728"/>
          </w:tcPr>
          <w:p>
            <w:r>
              <w:t>ACHAT</w:t>
            </w:r>
          </w:p>
        </w:tc>
      </w:tr>
      <w:tr>
        <w:tc>
          <w:tcPr>
            <w:tcW w:type="dxa" w:w="1728"/>
          </w:tcPr>
          <w:p>
            <w:r>
              <w:t>SOGC (SOGC - Société des caoutchoucs de Grand-Béréby)</w:t>
            </w:r>
          </w:p>
        </w:tc>
        <w:tc>
          <w:tcPr>
            <w:tcW w:type="dxa" w:w="1728"/>
          </w:tcPr>
          <w:p>
            <w:r>
              <w:t>3113</w:t>
            </w:r>
          </w:p>
        </w:tc>
        <w:tc>
          <w:tcPr>
            <w:tcW w:type="dxa" w:w="1728"/>
          </w:tcPr>
          <w:p>
            <w:r>
              <w:t>25487644 FCFA</w:t>
            </w:r>
          </w:p>
        </w:tc>
        <w:tc>
          <w:tcPr>
            <w:tcW w:type="dxa" w:w="1728"/>
          </w:tcPr>
          <w:p>
            <w:r>
              <w:t>-8.06%</w:t>
            </w:r>
          </w:p>
        </w:tc>
        <w:tc>
          <w:tcPr>
            <w:tcW w:type="dxa" w:w="1728"/>
          </w:tcPr>
          <w:p>
            <w:r>
              <w:t>ACHAT</w:t>
            </w:r>
          </w:p>
        </w:tc>
      </w:tr>
      <w:tr>
        <w:tc>
          <w:tcPr>
            <w:tcW w:type="dxa" w:w="1728"/>
          </w:tcPr>
          <w:p>
            <w:r>
              <w:t>LNBB (LNBB - LOTERIE NATIONALE DU BENIN)</w:t>
            </w:r>
          </w:p>
        </w:tc>
        <w:tc>
          <w:tcPr>
            <w:tcW w:type="dxa" w:w="1728"/>
          </w:tcPr>
          <w:p>
            <w:r>
              <w:t>3075</w:t>
            </w:r>
          </w:p>
        </w:tc>
        <w:tc>
          <w:tcPr>
            <w:tcW w:type="dxa" w:w="1728"/>
          </w:tcPr>
          <w:p>
            <w:r>
              <w:t>13305230 FCFA</w:t>
            </w:r>
          </w:p>
        </w:tc>
        <w:tc>
          <w:tcPr>
            <w:tcW w:type="dxa" w:w="1728"/>
          </w:tcPr>
          <w:p>
            <w:r>
              <w:t>10.26%</w:t>
            </w:r>
          </w:p>
        </w:tc>
        <w:tc>
          <w:tcPr>
            <w:tcW w:type="dxa" w:w="1728"/>
          </w:tcPr>
          <w:p>
            <w:r>
              <w:t>ACHAT</w:t>
            </w:r>
          </w:p>
        </w:tc>
      </w:tr>
      <w:tr>
        <w:tc>
          <w:tcPr>
            <w:tcW w:type="dxa" w:w="1728"/>
          </w:tcPr>
          <w:p>
            <w:r>
              <w:t>CABC (CABC - SICABLE COTE D'IVOIRE)</w:t>
            </w:r>
          </w:p>
        </w:tc>
        <w:tc>
          <w:tcPr>
            <w:tcW w:type="dxa" w:w="1728"/>
          </w:tcPr>
          <w:p>
            <w:r>
              <w:t>2924</w:t>
            </w:r>
          </w:p>
        </w:tc>
        <w:tc>
          <w:tcPr>
            <w:tcW w:type="dxa" w:w="1728"/>
          </w:tcPr>
          <w:p>
            <w:r>
              <w:t>10773341 FCFA</w:t>
            </w:r>
          </w:p>
        </w:tc>
        <w:tc>
          <w:tcPr>
            <w:tcW w:type="dxa" w:w="1728"/>
          </w:tcPr>
          <w:p>
            <w:r>
              <w:t>-7.79%</w:t>
            </w:r>
          </w:p>
        </w:tc>
        <w:tc>
          <w:tcPr>
            <w:tcW w:type="dxa" w:w="1728"/>
          </w:tcPr>
          <w:p>
            <w:r>
              <w:t>ACHAT</w:t>
            </w:r>
          </w:p>
        </w:tc>
      </w:tr>
      <w:tr>
        <w:tc>
          <w:tcPr>
            <w:tcW w:type="dxa" w:w="1728"/>
          </w:tcPr>
          <w:p>
            <w:r>
              <w:t>SLBC (SLBC - SOLIBRA COTE D'IVOIRE)</w:t>
            </w:r>
          </w:p>
        </w:tc>
        <w:tc>
          <w:tcPr>
            <w:tcW w:type="dxa" w:w="1728"/>
          </w:tcPr>
          <w:p>
            <w:r>
              <w:t>2646</w:t>
            </w:r>
          </w:p>
        </w:tc>
        <w:tc>
          <w:tcPr>
            <w:tcW w:type="dxa" w:w="1728"/>
          </w:tcPr>
          <w:p>
            <w:r>
              <w:t>104036661 FCFA</w:t>
            </w:r>
          </w:p>
        </w:tc>
        <w:tc>
          <w:tcPr>
            <w:tcW w:type="dxa" w:w="1728"/>
          </w:tcPr>
          <w:p>
            <w:r>
              <w:t>-5.16%</w:t>
            </w:r>
          </w:p>
        </w:tc>
        <w:tc>
          <w:tcPr>
            <w:tcW w:type="dxa" w:w="1728"/>
          </w:tcPr>
          <w:p>
            <w:r>
              <w:t>ACHAT</w:t>
            </w:r>
          </w:p>
        </w:tc>
      </w:tr>
      <w:tr>
        <w:tc>
          <w:tcPr>
            <w:tcW w:type="dxa" w:w="1728"/>
          </w:tcPr>
          <w:p>
            <w:r>
              <w:t>ECOC (ECOC - ECOBANK COTE D'IVOIRE)</w:t>
            </w:r>
          </w:p>
        </w:tc>
        <w:tc>
          <w:tcPr>
            <w:tcW w:type="dxa" w:w="1728"/>
          </w:tcPr>
          <w:p>
            <w:r>
              <w:t>2636</w:t>
            </w:r>
          </w:p>
        </w:tc>
        <w:tc>
          <w:tcPr>
            <w:tcW w:type="dxa" w:w="1728"/>
          </w:tcPr>
          <w:p>
            <w:r>
              <w:t>42136421 FCFA</w:t>
            </w:r>
          </w:p>
        </w:tc>
        <w:tc>
          <w:tcPr>
            <w:tcW w:type="dxa" w:w="1728"/>
          </w:tcPr>
          <w:p>
            <w:r>
              <w:t>-1.22%</w:t>
            </w:r>
          </w:p>
        </w:tc>
        <w:tc>
          <w:tcPr>
            <w:tcW w:type="dxa" w:w="1728"/>
          </w:tcPr>
          <w:p>
            <w:r>
              <w:t>ACHAT</w:t>
            </w:r>
          </w:p>
        </w:tc>
      </w:tr>
      <w:tr>
        <w:tc>
          <w:tcPr>
            <w:tcW w:type="dxa" w:w="1728"/>
          </w:tcPr>
          <w:p>
            <w:r>
              <w:t>SMBC (SMBC - Société Multinationale de Bitumes COTE D'IVOIRE)</w:t>
            </w:r>
          </w:p>
        </w:tc>
        <w:tc>
          <w:tcPr>
            <w:tcW w:type="dxa" w:w="1728"/>
          </w:tcPr>
          <w:p>
            <w:r>
              <w:t>2382</w:t>
            </w:r>
          </w:p>
        </w:tc>
        <w:tc>
          <w:tcPr>
            <w:tcW w:type="dxa" w:w="1728"/>
          </w:tcPr>
          <w:p>
            <w:r>
              <w:t>38622231 FCFA</w:t>
            </w:r>
          </w:p>
        </w:tc>
        <w:tc>
          <w:tcPr>
            <w:tcW w:type="dxa" w:w="1728"/>
          </w:tcPr>
          <w:p>
            <w:r>
              <w:t>23.51%</w:t>
            </w:r>
          </w:p>
        </w:tc>
        <w:tc>
          <w:tcPr>
            <w:tcW w:type="dxa" w:w="1728"/>
          </w:tcPr>
          <w:p>
            <w:r>
              <w:t>ACHAT</w:t>
            </w:r>
          </w:p>
        </w:tc>
      </w:tr>
      <w:tr>
        <w:tc>
          <w:tcPr>
            <w:tcW w:type="dxa" w:w="1728"/>
          </w:tcPr>
          <w:p>
            <w:r>
              <w:t>BNBC (BNBC - BERNABE CI)</w:t>
            </w:r>
          </w:p>
        </w:tc>
        <w:tc>
          <w:tcPr>
            <w:tcW w:type="dxa" w:w="1728"/>
          </w:tcPr>
          <w:p>
            <w:r>
              <w:t>1877</w:t>
            </w:r>
          </w:p>
        </w:tc>
        <w:tc>
          <w:tcPr>
            <w:tcW w:type="dxa" w:w="1728"/>
          </w:tcPr>
          <w:p>
            <w:r>
              <w:t>3540172 FCFA</w:t>
            </w:r>
          </w:p>
        </w:tc>
        <w:tc>
          <w:tcPr>
            <w:tcW w:type="dxa" w:w="1728"/>
          </w:tcPr>
          <w:p>
            <w:r>
              <w:t>18.75%</w:t>
            </w:r>
          </w:p>
        </w:tc>
        <w:tc>
          <w:tcPr>
            <w:tcW w:type="dxa" w:w="1728"/>
          </w:tcPr>
          <w:p>
            <w:r>
              <w:t>ACHAT</w:t>
            </w:r>
          </w:p>
        </w:tc>
      </w:tr>
      <w:tr>
        <w:tc>
          <w:tcPr>
            <w:tcW w:type="dxa" w:w="1728"/>
          </w:tcPr>
          <w:p>
            <w:r>
              <w:t>NEIC (NEIC - NEI-CEDA CI)</w:t>
            </w:r>
          </w:p>
        </w:tc>
        <w:tc>
          <w:tcPr>
            <w:tcW w:type="dxa" w:w="1728"/>
          </w:tcPr>
          <w:p>
            <w:r>
              <w:t>1859</w:t>
            </w:r>
          </w:p>
        </w:tc>
        <w:tc>
          <w:tcPr>
            <w:tcW w:type="dxa" w:w="1728"/>
          </w:tcPr>
          <w:p>
            <w:r>
              <w:t>4092768 FCFA</w:t>
            </w:r>
          </w:p>
        </w:tc>
        <w:tc>
          <w:tcPr>
            <w:tcW w:type="dxa" w:w="1728"/>
          </w:tcPr>
          <w:p>
            <w:r>
              <w:t>48.42%</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SDCC - SDCC - Société de Distribution d'Eau de Côte d'Ivoire</w:t>
      </w:r>
    </w:p>
    <w:p>
      <w:r>
        <w:rPr>
          <w:b/>
        </w:rPr>
        <w:t xml:space="preserve">Score de divergence: </w:t>
      </w:r>
      <w:r>
        <w:t>6/8</w:t>
        <w:br/>
      </w:r>
      <w:r>
        <w:rPr>
          <w:b/>
        </w:rPr>
        <w:t xml:space="preserve">Description: </w:t>
      </w:r>
      <w:r>
        <w:t>Signaux de vente: MM, MACD, Stochastique | Recommandation finale: ACHAT</w:t>
        <w:br/>
      </w:r>
    </w:p>
    <w:p/>
    <w:p>
      <w:pPr>
        <w:pStyle w:val="Heading3"/>
      </w:pPr>
      <w:r>
        <w:t>2. ABJC - ABJC - SERVAIR ABIDJAN CI</w:t>
      </w:r>
    </w:p>
    <w:p>
      <w:r>
        <w:rPr>
          <w:b/>
        </w:rPr>
        <w:t xml:space="preserve">Score de divergence: </w:t>
      </w:r>
      <w:r>
        <w:t>5/8</w:t>
        <w:br/>
      </w:r>
      <w:r>
        <w:rPr>
          <w:b/>
        </w:rPr>
        <w:t xml:space="preserve">Description: </w:t>
      </w:r>
      <w:r>
        <w:t>Signaux de vente: MM, MACD | Recommandation finale: ACHAT</w:t>
        <w:br/>
      </w:r>
    </w:p>
    <w:p/>
    <w:p>
      <w:pPr>
        <w:pStyle w:val="Heading3"/>
      </w:pPr>
      <w:r>
        <w:t>3. ONTBF - ONTBF - ONATEL BURKINA FASO</w:t>
      </w:r>
    </w:p>
    <w:p>
      <w:r>
        <w:rPr>
          <w:b/>
        </w:rPr>
        <w:t xml:space="preserve">Score de divergence: </w:t>
      </w:r>
      <w:r>
        <w:t>5/8</w:t>
        <w:br/>
      </w:r>
      <w:r>
        <w:rPr>
          <w:b/>
        </w:rPr>
        <w:t xml:space="preserve">Description: </w:t>
      </w:r>
      <w:r>
        <w:t>Signaux d'achat: MACD | Signaux de vente: MM, RSI, Stochastique | Recommandation finale: ACHAT</w:t>
        <w:br/>
      </w:r>
    </w:p>
    <w:p/>
    <w:p>
      <w:pPr>
        <w:pStyle w:val="Heading3"/>
      </w:pPr>
      <w:r>
        <w:t>4. SEMC - SEMC - EVIOSYS PACKAGING SIEM CI</w:t>
      </w:r>
    </w:p>
    <w:p>
      <w:r>
        <w:rPr>
          <w:b/>
        </w:rPr>
        <w:t xml:space="preserve">Score de divergence: </w:t>
      </w:r>
      <w:r>
        <w:t>5/8</w:t>
        <w:br/>
      </w:r>
      <w:r>
        <w:rPr>
          <w:b/>
        </w:rPr>
        <w:t xml:space="preserve">Description: </w:t>
      </w:r>
      <w:r>
        <w:t>Signaux de vente: MM, MACD | Recommandation finale: ACHAT</w:t>
        <w:br/>
      </w:r>
    </w:p>
    <w:p/>
    <w:p>
      <w:pPr>
        <w:pStyle w:val="Heading3"/>
      </w:pPr>
      <w:r>
        <w:t>5. SOGC - SOGC - Société des caoutchoucs de Grand-Béréby</w:t>
      </w:r>
    </w:p>
    <w:p>
      <w:r>
        <w:rPr>
          <w:b/>
        </w:rPr>
        <w:t xml:space="preserve">Score de divergence: </w:t>
      </w:r>
      <w:r>
        <w:t>5/8</w:t>
        <w:br/>
      </w:r>
      <w:r>
        <w:rPr>
          <w:b/>
        </w:rPr>
        <w:t xml:space="preserve">Description: </w:t>
      </w:r>
      <w:r>
        <w:t>Signaux de vente: MM, MACD | Recommandation finale: ACHAT</w:t>
        <w:br/>
      </w:r>
    </w:p>
    <w:p/>
    <w:p>
      <w:pPr>
        <w:pStyle w:val="Heading3"/>
      </w:pPr>
      <w:r>
        <w:t>6. BICC - BICI CI - Banque internationale pour le commerce et l'industrie de la Côte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7. BOAB - BANK OF AFRICA BENIN</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8. BOABF - BANK OF AFRICA BURKINA FASO</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9. CABC - CABC - SICABLE COTE D'IVOIRE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10. CFAC - CFAC - CFAO MOTORS CI</w:t>
      </w:r>
    </w:p>
    <w:p>
      <w:r>
        <w:rPr>
          <w:b/>
        </w:rPr>
        <w:t xml:space="preserve">Score de divergence: </w:t>
      </w:r>
      <w:r>
        <w:t>4/8</w:t>
        <w:br/>
      </w:r>
      <w:r>
        <w:rPr>
          <w:b/>
        </w:rPr>
        <w:t xml:space="preserve">Description: </w:t>
      </w:r>
      <w:r>
        <w:t>Signaux d'achat: MACD | Signaux de vente: MM,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24</w:t>
            </w:r>
          </w:p>
        </w:tc>
        <w:tc>
          <w:tcPr>
            <w:tcW w:type="dxa" w:w="2160"/>
          </w:tcPr>
          <w:p>
            <w:r>
              <w:t>0</w:t>
            </w:r>
          </w:p>
        </w:tc>
      </w:tr>
      <w:tr>
        <w:tc>
          <w:tcPr>
            <w:tcW w:type="dxa" w:w="2160"/>
          </w:tcPr>
          <w:p>
            <w:r>
              <w:t>Risque Moyen</w:t>
            </w:r>
          </w:p>
        </w:tc>
        <w:tc>
          <w:tcPr>
            <w:tcW w:type="dxa" w:w="2160"/>
          </w:tcPr>
          <w:p>
            <w:r>
              <w:t>0</w:t>
            </w:r>
          </w:p>
        </w:tc>
        <w:tc>
          <w:tcPr>
            <w:tcW w:type="dxa" w:w="2160"/>
          </w:tcPr>
          <w:p>
            <w:r>
              <w:t>23</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BICB (BIIC BN - Banque internationale pour le commerce du benin)</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ORAC (ORAC - ORANGE COTE D'IVOIRE)</w:t>
      </w:r>
    </w:p>
    <w:p>
      <w:pPr>
        <w:pStyle w:val="ListBullet"/>
      </w:pPr>
      <w:r>
        <w:t>• ORGT (ORGT - ORAGROUP TOGO)</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SNTS (SNTS - SONATEL SN)</w:t>
      </w:r>
    </w:p>
    <w:p>
      <w:pPr>
        <w:pStyle w:val="ListBullet"/>
      </w:pPr>
      <w:r>
        <w:t>• SOGC (SOGC - Société des caoutchoucs de Grand-Béréby)</w:t>
      </w:r>
    </w:p>
    <w:p>
      <w:pPr>
        <w:pStyle w:val="ListBullet"/>
      </w:pPr>
      <w:r>
        <w:t>• STBC (STBC - SITAB COTE D'IVOIRE)</w:t>
      </w:r>
    </w:p>
    <w:p>
      <w:pPr>
        <w:pStyle w:val="ListBullet"/>
      </w:pPr>
      <w:r>
        <w:t>• TTLC (TTLC - TOTAL ENERGIES MARKETING COTE D'IVOIRE)</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BICC (BICI CI - Banque internationale pour le commerce et l'industrie de la Côte d'Ivoire)</w:t>
      </w:r>
    </w:p>
    <w:p>
      <w:pPr>
        <w:pStyle w:val="ListBullet"/>
      </w:pPr>
      <w:r>
        <w:t>• BNBC (BNBC - BERNABE CI)</w:t>
      </w:r>
    </w:p>
    <w:p>
      <w:pPr>
        <w:pStyle w:val="ListBullet"/>
      </w:pPr>
      <w:r>
        <w:t>• BOAB (BANK OF AFRICA BENIN)</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SICC (SICC - SICOR COTE D'IVOIRE)</w:t>
      </w:r>
    </w:p>
    <w:p>
      <w:pPr>
        <w:pStyle w:val="ListBullet"/>
      </w:pPr>
      <w:r>
        <w:t>• SMBC (SMBC - Société Multinationale de Bitumes COTE D'IVOIRE)</w:t>
      </w:r>
    </w:p>
    <w:p>
      <w:pPr>
        <w:pStyle w:val="ListBullet"/>
      </w:pPr>
      <w:r>
        <w:t>• SPHC (SPHC - Société Africaine de Plantation d'Hévéas de Côte d'Ivoire)</w:t>
      </w:r>
    </w:p>
    <w:p>
      <w:pPr>
        <w:pStyle w:val="ListBullet"/>
      </w:pPr>
      <w:r>
        <w:t>• STAC (STAC - SETAO COTE D'IVOIRE)</w:t>
      </w:r>
    </w:p>
    <w:p>
      <w:pPr>
        <w:pStyle w:val="ListBullet"/>
      </w:pPr>
      <w:r>
        <w:t>• TTLS (TTLS - TOTAL ENERGIES MARKETING SENEGAL)</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spacing w:before="20" w:after="40"/>
        <w:ind w:left="0"/>
      </w:pPr>
      <w:r>
        <w:rPr>
          <w:sz w:val="18"/>
        </w:rPr>
        <w:t># RAPPORT D'ANALYSE MACRO-ÉCONOMIQUE BRVM</w:t>
      </w:r>
    </w:p>
    <w:p>
      <w:pPr>
        <w:spacing w:before="20" w:after="40"/>
        <w:ind w:left="0"/>
      </w:pPr>
      <w:r>
        <w:rPr>
          <w:sz w:val="18"/>
        </w:rPr>
        <w:t>**Date du rapport : 6 août 2026**</w:t>
      </w:r>
    </w:p>
    <w:p>
      <w:pPr>
        <w:spacing w:before="20" w:after="40"/>
        <w:ind w:left="0"/>
      </w:pPr>
      <w:r>
        <w:rPr>
          <w:sz w:val="18"/>
        </w:rPr>
        <w:t>**Indice BRVM Composite : 485,48 points**</w:t>
      </w:r>
    </w:p>
    <w:p>
      <w:pPr>
        <w:spacing w:before="20" w:after="40"/>
        <w:ind w:left="0"/>
      </w:pPr>
      <w:r>
        <w:rPr>
          <w:sz w:val="18"/>
        </w:rPr>
        <w:t>---</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Les prix du pétrole et du maïs s'effondrent simultanément sur les marchés internationaux, reflétant des pressions baissières sur les matières premières agricoles et énergétiques. Parallèlement, la chute des prix du pétrole a entraîné une baisse de l'indice MXV pendant trois séances consécutives. En Europe, les taux d'intérêt ont fortement chuté suite à l'annonce d'un cessez-le-feu en Iran, réduisant les tensions géopolitiques et les pressions inflationnistes, ce qui permet à la BCE de temporiser.</w:t>
      </w:r>
    </w:p>
    <w:p>
      <w:pPr>
        <w:pStyle w:val="Heading3"/>
      </w:pPr>
      <w:r>
        <w:rPr>
          <w:color w:val="500050"/>
        </w:rPr>
        <w:t>⚡ Impact estimé sur la BRVM</w:t>
      </w:r>
    </w:p>
    <w:p>
      <w:pPr>
        <w:spacing w:before="20" w:after="40"/>
        <w:ind w:left="280"/>
      </w:pPr>
      <w:r>
        <w:rPr>
          <w:i/>
          <w:sz w:val="18"/>
        </w:rPr>
        <w:t>La baisse des prix du pétrole est favorable aux secteurs énergétiques importateurs comme **TTLS** et **TTLC**, réduisant leurs coûts d'approvisionnement. La chute du maïs bénéficie aux agro-industries telles que **PALC** et **SCRC** (huileries et transformation alimentaire). La détente des taux européens pourrait stimuler l'appétit pour le risque des investisseurs internationaux vers les marchés émergents, dont la BRVM.</w:t>
      </w:r>
    </w:p>
    <w:p>
      <w:pPr>
        <w:pStyle w:val="Heading2"/>
      </w:pPr>
      <w:r>
        <w:rPr>
          <w:color w:val="006E32"/>
        </w:rPr>
        <w:t>🌍 Plan Africain</w:t>
      </w:r>
    </w:p>
    <w:p>
      <w:pPr>
        <w:spacing w:before="20" w:after="40"/>
        <w:ind w:left="0"/>
      </w:pPr>
      <w:r>
        <w:rPr>
          <w:sz w:val="18"/>
        </w:rPr>
        <w:t>La BIDC prévoit une croissance économique de 4,7% pour l'Afrique de l'Ouest en 2026, puis 4,9% en 2027, confirmant une dynamique positive pour la sous-région. Par ailleurs, l'investissement dans l'économie des soins est identifié comme un levier de croissance stratégique par les responsables sénégalais. En Mauritanie, l'OMS recommande l'investissement privé dans le secteur de la santé comme moteur de croissance.</w:t>
      </w:r>
    </w:p>
    <w:p>
      <w:pPr>
        <w:pStyle w:val="Heading3"/>
      </w:pPr>
      <w:r>
        <w:rPr>
          <w:color w:val="500050"/>
        </w:rPr>
        <w:t>⚡ Impact estimé sur la BRVM</w:t>
      </w:r>
    </w:p>
    <w:p>
      <w:pPr>
        <w:spacing w:before="20" w:after="40"/>
        <w:ind w:left="280"/>
      </w:pPr>
      <w:r>
        <w:rPr>
          <w:i/>
          <w:sz w:val="18"/>
        </w:rPr>
        <w:t>Les perspectives de croissance de la BIDC renforcent la confiance des investisseurs dans les valeurs bancaires régionales comme **BOAC**, **SIBC** et **ETIT**, qui bénéficieront de l'expansion économique. Le développement du secteur de la santé pourrait profiter indirectement aux sociétés de distribution et de consommation.</w:t>
      </w:r>
    </w:p>
    <w:p>
      <w:pPr>
        <w:pStyle w:val="Heading2"/>
      </w:pPr>
      <w:r>
        <w:rPr>
          <w:color w:val="145A28"/>
        </w:rPr>
        <w:t>🌍 Plan Afrique de l'Ouest</w:t>
      </w:r>
    </w:p>
    <w:p>
      <w:pPr>
        <w:spacing w:before="20" w:after="40"/>
        <w:ind w:left="0"/>
      </w:pPr>
      <w:r>
        <w:rPr>
          <w:sz w:val="18"/>
        </w:rPr>
        <w:t>La Guinée a officiellement renoncé au projet de monnaie unique Eco de la CEDEAO, marquant un retrait significatif et reflétant les divergences persistantes entre États membres. En parallèle, le Commissaire aux Affaires économiques de la CEDEAO souligne que la souveraineté alimentaire en Afrique de l'Ouest constitue une priorité stratégique pour la région.</w:t>
      </w:r>
    </w:p>
    <w:p>
      <w:pPr>
        <w:pStyle w:val="Heading3"/>
      </w:pPr>
      <w:r>
        <w:rPr>
          <w:color w:val="500050"/>
        </w:rPr>
        <w:t>⚡ Impact estimé sur la BRVM</w:t>
      </w:r>
    </w:p>
    <w:p>
      <w:pPr>
        <w:spacing w:before="20" w:after="40"/>
        <w:ind w:left="280"/>
      </w:pPr>
      <w:r>
        <w:rPr>
          <w:i/>
          <w:sz w:val="18"/>
        </w:rPr>
        <w:t>Le retrait de la Guinée du projet Eco réduit l'incertitude monétaire à court terme pour l'UEMOA, préservant la stabilité du FCFA, facteur de confiance pour les investisseurs de la BRVM. Les initiatives de souveraineté alimentaire pourraient stimuler les valeurs agro-industrielles comme **PALC** et **SCRC**.</w:t>
      </w:r>
    </w:p>
    <w:p>
      <w:pPr>
        <w:pStyle w:val="Heading2"/>
      </w:pPr>
      <w:r>
        <w:rPr>
          <w:color w:val="8C4600"/>
        </w:rPr>
        <w:t>🏦 Plan UEMOA / Zone Franc</w:t>
      </w:r>
    </w:p>
    <w:p>
      <w:pPr>
        <w:spacing w:before="20" w:after="40"/>
        <w:ind w:left="0"/>
      </w:pPr>
      <w:r>
        <w:rPr>
          <w:sz w:val="18"/>
        </w:rPr>
        <w:t>Données insuffisantes concernant les décisions BCEAO, l'inflation zone ou la liquidité bancaire dans les actualités collectées.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003366"/>
        </w:rPr>
        <w:t>📈 Plan BRVM</w:t>
      </w:r>
    </w:p>
    <w:p>
      <w:pPr>
        <w:spacing w:before="20" w:after="40"/>
        <w:ind w:left="0"/>
      </w:pPr>
      <w:r>
        <w:rPr>
          <w:sz w:val="18"/>
        </w:rPr>
        <w:t>Les résultats encourageants des sociétés cotées ivoiriennes à la BRVM ont été mis en avant, confirmant une dynamique positive pour le marché régional.</w:t>
      </w:r>
    </w:p>
    <w:p>
      <w:pPr>
        <w:pStyle w:val="Heading3"/>
      </w:pPr>
      <w:r>
        <w:rPr>
          <w:color w:val="500050"/>
        </w:rPr>
        <w:t>⚡ Impact estimé sur la BRVM</w:t>
      </w:r>
    </w:p>
    <w:p>
      <w:pPr>
        <w:spacing w:before="20" w:after="40"/>
        <w:ind w:left="280"/>
      </w:pPr>
      <w:r>
        <w:rPr>
          <w:i/>
          <w:sz w:val="18"/>
        </w:rPr>
        <w:t>La publication de résultats solides renforce l'attractivité des valeurs ivoiriennes comme **SGBC**, **BICB** et **SIVC**. Recommandation : renforcer les positions sur les valeurs bancaires et industrielles de qualité.</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 cessez-le-feu en Iran a entraîné une chute des taux d'intérêt en Europe, réduisant les tensions géopolitiques mondiales. Cette accalmie diplomatique pourrait favoriser un climat plus serein pour les investissements internationaux.</w:t>
      </w:r>
    </w:p>
    <w:p>
      <w:pPr>
        <w:pStyle w:val="Heading3"/>
      </w:pPr>
      <w:r>
        <w:rPr>
          <w:color w:val="500050"/>
        </w:rPr>
        <w:t>⚡ Impact estimé sur la BRVM</w:t>
      </w:r>
    </w:p>
    <w:p>
      <w:pPr>
        <w:spacing w:before="20" w:after="40"/>
        <w:ind w:left="280"/>
      </w:pPr>
      <w:r>
        <w:rPr>
          <w:i/>
          <w:sz w:val="18"/>
        </w:rPr>
        <w:t>La réduction des tensions géopolitiques mondiales diminue l'aversion au risque des investisseurs internationaux, potentiellement favorable aux flux entrants vers la BRVM. Les valeurs télécoms comme **ORAC** pourraient bénéficier d'un regain d'intérêt.</w:t>
      </w:r>
    </w:p>
    <w:p>
      <w:pPr>
        <w:pStyle w:val="Heading2"/>
      </w:pPr>
      <w:r>
        <w:rPr>
          <w:color w:val="006E32"/>
        </w:rPr>
        <w:t>🌍 Plan Africain</w:t>
      </w:r>
    </w:p>
    <w:p>
      <w:pPr>
        <w:spacing w:before="20" w:after="40"/>
        <w:ind w:left="0"/>
      </w:pPr>
      <w:r>
        <w:rPr>
          <w:sz w:val="18"/>
        </w:rPr>
        <w:t>La Guinée renonce au projet de monnaie unique Eco, une décision qui reflète les divergences persistantes entre les États membres de la CEDEAO. L'héritage de Thomas Sankara continue d'influencer la jeunesse burkinabè, sans impact économique direct identifié.</w:t>
      </w:r>
    </w:p>
    <w:p>
      <w:pPr>
        <w:pStyle w:val="Heading3"/>
      </w:pPr>
      <w:r>
        <w:rPr>
          <w:color w:val="500050"/>
        </w:rPr>
        <w:t>⚡ Impact estimé sur la BRVM</w:t>
      </w:r>
    </w:p>
    <w:p>
      <w:pPr>
        <w:spacing w:before="20" w:after="40"/>
        <w:ind w:left="280"/>
      </w:pPr>
      <w:r>
        <w:rPr>
          <w:i/>
          <w:sz w:val="18"/>
        </w:rPr>
        <w:t>Le retrait guinéen du projet Eco réduit les risques d'instabilité monétaire régionale, préservant l'attractivité de la BRVM. La stabilité politique relative en Afrique de l'Ouest maintient la confiance des investisseurs dans les valeurs financières.</w:t>
      </w:r>
    </w:p>
    <w:p>
      <w:pPr>
        <w:pStyle w:val="Heading2"/>
      </w:pPr>
      <w:r>
        <w:rPr>
          <w:color w:val="145A28"/>
        </w:rPr>
        <w:t>🌍 Plan Afrique de l'Ouest</w:t>
      </w:r>
    </w:p>
    <w:p>
      <w:pPr>
        <w:spacing w:before="20" w:after="40"/>
        <w:ind w:left="0"/>
      </w:pPr>
      <w:r>
        <w:rPr>
          <w:sz w:val="18"/>
        </w:rPr>
        <w:t>La Guinée renonce officiellement au projet de monnaie unique, marquant un retrait significatif de la CEDEAO. Parallèlement, la BIDC prévoit une croissance de 4,7% en 2026 pour la région, soutenue par les politiques économiques nationales.</w:t>
      </w:r>
    </w:p>
    <w:p>
      <w:pPr>
        <w:pStyle w:val="Heading3"/>
      </w:pPr>
      <w:r>
        <w:rPr>
          <w:color w:val="500050"/>
        </w:rPr>
        <w:t>⚡ Impact estimé sur la BRVM</w:t>
      </w:r>
    </w:p>
    <w:p>
      <w:pPr>
        <w:spacing w:before="20" w:after="40"/>
        <w:ind w:left="280"/>
      </w:pPr>
      <w:r>
        <w:rPr>
          <w:i/>
          <w:sz w:val="18"/>
        </w:rPr>
        <w:t>Les perspectives de croissance régionale soutiennent les valeurs bancaires et financières de la BRVM. Le retrait guinéen n'affecte pas directement les sociétés cotées, mais réduit l'incertitude politique régionale.</w:t>
      </w:r>
    </w:p>
    <w:p>
      <w:pPr>
        <w:pStyle w:val="Heading2"/>
      </w:pPr>
      <w:r>
        <w:rPr>
          <w:color w:val="8C4600"/>
        </w:rPr>
        <w:t>🏦 Plan UEMOA / Zone Franc</w:t>
      </w:r>
    </w:p>
    <w:p>
      <w:pPr>
        <w:spacing w:before="20" w:after="40"/>
        <w:ind w:left="0"/>
      </w:pPr>
      <w:r>
        <w:rPr>
          <w:sz w:val="18"/>
        </w:rPr>
        <w:t>Le Sénégal a ordonné aux responsables publics de déclarer leur patrimoine avant le 10 août, une mesure de transparence visant à renforcer la gouvernance. Au Burkina Faso, l'héritage de Thomas Sankara continue d'influencer le discours politique national.</w:t>
      </w:r>
    </w:p>
    <w:p>
      <w:pPr>
        <w:pStyle w:val="Heading3"/>
      </w:pPr>
      <w:r>
        <w:rPr>
          <w:color w:val="500050"/>
        </w:rPr>
        <w:t>⚡ Impact estimé sur la BRVM</w:t>
      </w:r>
    </w:p>
    <w:p>
      <w:pPr>
        <w:spacing w:before="20" w:after="40"/>
        <w:ind w:left="280"/>
      </w:pPr>
      <w:r>
        <w:rPr>
          <w:i/>
          <w:sz w:val="18"/>
        </w:rPr>
        <w:t>Les mesures de transparence au Sénégal renforcent la gouvernance régionale, un signal positif pour les investisseurs institutionnels. Les sociétés sénégalaises cotées comme **SLBC** et **ONTBF** pourraient bénéficier d'un climat d'affaires amélioré.</w:t>
      </w:r>
    </w:p>
    <w:p>
      <w:pPr>
        <w:pStyle w:val="Heading2"/>
      </w:pPr>
      <w:r>
        <w:rPr>
          <w:color w:val="003366"/>
        </w:rPr>
        <w:t>📈 Plan BRVM</w:t>
      </w:r>
    </w:p>
    <w:p>
      <w:pPr>
        <w:spacing w:before="20" w:after="40"/>
        <w:ind w:left="0"/>
      </w:pPr>
      <w:r>
        <w:rPr>
          <w:sz w:val="18"/>
        </w:rPr>
        <w:t>Données insuffisantes concernant les réglementations CREPMF ou les nouvelles cotations dans les actualités collectées.</w:t>
      </w:r>
    </w:p>
    <w:p>
      <w:pPr>
        <w:pStyle w:val="Heading3"/>
      </w:pPr>
      <w:r>
        <w:rPr>
          <w:color w:val="500050"/>
        </w:rPr>
        <w:t>⚡ Impact estimé sur la BRVM</w:t>
      </w:r>
    </w:p>
    <w:p>
      <w:pPr>
        <w:spacing w:before="20" w:after="40"/>
        <w:ind w:left="280"/>
      </w:pPr>
      <w:r>
        <w:rPr>
          <w:i/>
          <w:sz w:val="18"/>
        </w:rPr>
        <w:t>Données insuffisantes.</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Les prix du pétrole et du maïs s'effondrent simultanément, reflétant des pressions baissières sur les marchés de matières premières. La chute des prix du pétrole a entraîné une baisse de l'indice MXV pendant trois séances consécutives. En Europe, les taux d'intérêt ont fortement chuté suite au cessez-le-feu en Iran.</w:t>
      </w:r>
    </w:p>
    <w:p>
      <w:pPr>
        <w:pStyle w:val="Heading3"/>
      </w:pPr>
      <w:r>
        <w:rPr>
          <w:color w:val="500050"/>
        </w:rPr>
        <w:t>⚡ Impact estimé sur la BRVM</w:t>
      </w:r>
    </w:p>
    <w:p>
      <w:pPr>
        <w:spacing w:before="20" w:after="40"/>
        <w:ind w:left="280"/>
      </w:pPr>
      <w:r>
        <w:rPr>
          <w:i/>
          <w:sz w:val="18"/>
        </w:rPr>
        <w:t>La baisse des prix des matières premières réduit les coûts pour les entreprises importatrices comme **TTLS** et **TTLC**. La détente des taux européens pourrait favoriser les flux vers les marchés émergents, bénéficiant à l'ensemble de la cote.</w:t>
      </w:r>
    </w:p>
    <w:p>
      <w:pPr>
        <w:pStyle w:val="Heading2"/>
      </w:pPr>
      <w:r>
        <w:rPr>
          <w:color w:val="006E32"/>
        </w:rPr>
        <w:t>🌍 Plan Africain</w:t>
      </w:r>
    </w:p>
    <w:p>
      <w:pPr>
        <w:spacing w:before="20" w:after="40"/>
        <w:ind w:left="0"/>
      </w:pPr>
      <w:r>
        <w:rPr>
          <w:sz w:val="18"/>
        </w:rPr>
        <w:t>La BIDC prévoit une croissance de 4,7% en 2026 et 4,9% en 2027 pour l'Afrique de l'Ouest, confirmant la résilience économique de la région face aux chocs mondiaux.</w:t>
      </w:r>
    </w:p>
    <w:p>
      <w:pPr>
        <w:pStyle w:val="Heading3"/>
      </w:pPr>
      <w:r>
        <w:rPr>
          <w:color w:val="500050"/>
        </w:rPr>
        <w:t>⚡ Impact estimé sur la BRVM</w:t>
      </w:r>
    </w:p>
    <w:p>
      <w:pPr>
        <w:spacing w:before="20" w:after="40"/>
        <w:ind w:left="280"/>
      </w:pPr>
      <w:r>
        <w:rPr>
          <w:i/>
          <w:sz w:val="18"/>
        </w:rPr>
        <w:t>Les perspectives de croissance régionale renforcent l'attractivité des valeurs financières comme **BOAC**, **SIBC** et **ETIT**. La BRVM reste positionnée comme une place financière stable dans un environnement africain en croissance.</w:t>
      </w:r>
    </w:p>
    <w:p>
      <w:pPr>
        <w:pStyle w:val="Heading2"/>
      </w:pPr>
      <w:r>
        <w:rPr>
          <w:color w:val="145A28"/>
        </w:rPr>
        <w:t>🌍 Plan Afrique de l'Ouest</w:t>
      </w:r>
    </w:p>
    <w:p>
      <w:pPr>
        <w:spacing w:before="20" w:after="40"/>
        <w:ind w:left="0"/>
      </w:pPr>
      <w:r>
        <w:rPr>
          <w:sz w:val="18"/>
        </w:rPr>
        <w:t>Données insuffisantes concernant les bourses régionales concurrentes ou les flux de capitaux sous-régionaux dans les actualités collectées.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8C4600"/>
        </w:rPr>
        <w:t>🏦 Plan UEMOA / Zone Franc</w:t>
      </w:r>
    </w:p>
    <w:p>
      <w:pPr>
        <w:spacing w:before="20" w:after="40"/>
        <w:ind w:left="0"/>
      </w:pPr>
      <w:r>
        <w:rPr>
          <w:sz w:val="18"/>
        </w:rPr>
        <w:t>Données insuffisantes concernant le marché des titres publics UEMOA ou le taux interbancaire dans les actualités collectées.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003366"/>
        </w:rPr>
        <w:t>📈 Plan BRVM</w:t>
      </w:r>
    </w:p>
    <w:p>
      <w:pPr>
        <w:spacing w:before="20" w:after="40"/>
        <w:ind w:left="0"/>
      </w:pPr>
      <w:r>
        <w:rPr>
          <w:sz w:val="18"/>
        </w:rPr>
        <w:t>L'indice BRVM Composite s'établit à 485,48 points. Les résultats encourageants des sociétés cotées ivoiriennes soutiennent la dynamique du marché. Les secteurs télécommunications, services financiers et consommation restent les principaux moteurs de la cote.</w:t>
      </w:r>
    </w:p>
    <w:p>
      <w:pPr>
        <w:pStyle w:val="Heading3"/>
      </w:pPr>
      <w:r>
        <w:rPr>
          <w:color w:val="500050"/>
        </w:rPr>
        <w:t>⚡ Impact estimé sur la BRVM</w:t>
      </w:r>
    </w:p>
    <w:p>
      <w:pPr>
        <w:spacing w:before="20" w:after="40"/>
        <w:ind w:left="280"/>
      </w:pPr>
      <w:r>
        <w:rPr>
          <w:i/>
          <w:sz w:val="18"/>
        </w:rPr>
        <w:t>**Opportunités d'achat** : **SGBC** et **BICB** (banques solides), **PALC** (agro-industrie bénéficiant de la baisse du maïs), **SIVC** (industrie). **Titres sous pression** : **TTLS** et **TTLC** (énergie, malgré la baisse des coûts). **Neutre** : **ORAC** (télécoms), **ETIT** (services financiers). **À surveiller** : **NTLC**, **CFAC**, **SOGC**, **ONTBF**.</w:t>
      </w:r>
    </w:p>
    <w:p>
      <w:pPr>
        <w:spacing w:before="20" w:after="40"/>
        <w:ind w:left="280"/>
      </w:pPr>
      <w:r>
        <w:rPr>
          <w:i/>
          <w:sz w:val="18"/>
        </w:rPr>
        <w:t>---</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L'environnement macro-économique est globalement favorable pour la BRVM : la baisse des prix du pétrole et du maïs réduit les coûts des entreprises, le cessez-le-feu en Iran diminue les tensions géopolitiques, et les perspectives de croissance de 4,7% en 2026 pour l'Afrique de l'Ouest soutiennent la confiance des investisseurs. Le retrait de la Guinée du projet Eco réduit l'incertitude monétaire régionale. **Recommandation** : maintenir une exposition positive sur les valeurs bancaires (**SGBC**, **BICB**, **BOAC**) et agro-industrielles (**PALC**, **SCRC**), tout en surveillant l'évolution des prix des matières premières et la stabilité politique régionale.</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2026-08-05</w:t>
            </w:r>
          </w:p>
        </w:tc>
        <w:tc>
          <w:tcPr>
            <w:tcW w:type="dxa" w:w="1728"/>
          </w:tcPr>
          <w:p>
            <w:r>
              <w:rPr>
                <w:sz w:val="14"/>
              </w:rPr>
              <w:t>Les prix du pétrole et du maïs s'effondrent simultanément. - Vietnam.v</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2026-08-04</w:t>
            </w:r>
          </w:p>
        </w:tc>
        <w:tc>
          <w:tcPr>
            <w:tcW w:type="dxa" w:w="1728"/>
          </w:tcPr>
          <w:p>
            <w:r>
              <w:rPr>
                <w:sz w:val="14"/>
              </w:rPr>
              <w:t>La chute des prix du pétrole a entraîné une baisse de l'indice MXV pen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2026-08-04</w:t>
            </w:r>
          </w:p>
        </w:tc>
        <w:tc>
          <w:tcPr>
            <w:tcW w:type="dxa" w:w="1728"/>
          </w:tcPr>
          <w:p>
            <w:r>
              <w:rPr>
                <w:sz w:val="14"/>
              </w:rPr>
              <w:t>Les taux chutent en Europe, la BCE peut temporiser après le cessez-le-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2026-07-31</w:t>
            </w:r>
          </w:p>
        </w:tc>
        <w:tc>
          <w:tcPr>
            <w:tcW w:type="dxa" w:w="1728"/>
          </w:tcPr>
          <w:p>
            <w:r>
              <w:rPr>
                <w:sz w:val="14"/>
              </w:rPr>
              <w:t>La pression à la vente est revenue sur le marché des matières première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2026-07-31</w:t>
            </w:r>
          </w:p>
        </w:tc>
        <w:tc>
          <w:tcPr>
            <w:tcW w:type="dxa" w:w="1728"/>
          </w:tcPr>
          <w:p>
            <w:r>
              <w:rPr>
                <w:sz w:val="14"/>
              </w:rPr>
              <w:t>La semaine à venir à Wall Street-Le marché boursier américain, en plei</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2026-07-29</w:t>
            </w:r>
          </w:p>
        </w:tc>
        <w:tc>
          <w:tcPr>
            <w:tcW w:type="dxa" w:w="1728"/>
          </w:tcPr>
          <w:p>
            <w:r>
              <w:rPr>
                <w:sz w:val="14"/>
              </w:rPr>
              <w:t xml:space="preserve">Les prix du pétrole ont chuté fortement et l'indice MXV a continué de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2026-07-11</w:t>
            </w:r>
          </w:p>
        </w:tc>
        <w:tc>
          <w:tcPr>
            <w:tcW w:type="dxa" w:w="1728"/>
          </w:tcPr>
          <w:p>
            <w:r>
              <w:rPr>
                <w:sz w:val="14"/>
              </w:rPr>
              <w:t>La RDC lance la Kinshasa Stock Exchange, sa première Bourse - Africtel</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2026-08-05</w:t>
            </w:r>
          </w:p>
        </w:tc>
        <w:tc>
          <w:tcPr>
            <w:tcW w:type="dxa" w:w="1728"/>
          </w:tcPr>
          <w:p>
            <w:r>
              <w:rPr>
                <w:sz w:val="14"/>
              </w:rPr>
              <w:t>La Guinée renonce à intégrer la monnaie unique Eco - lebrief.ma</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2026-08-06</w:t>
            </w:r>
          </w:p>
        </w:tc>
        <w:tc>
          <w:tcPr>
            <w:tcW w:type="dxa" w:w="1728"/>
          </w:tcPr>
          <w:p>
            <w:r>
              <w:rPr>
                <w:sz w:val="14"/>
              </w:rPr>
              <w:t xml:space="preserve">Décryptage - Kalilou SYLLA, Commissaire aux Affaires économiques et à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Afrique de l’Ouest: la BIDC prévoit une croissance de 4,7% en 2026 pui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CEDEAO : La Guinée renonce au projet de monnaie unique - Sahel Intelli</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Entrée en vigueur de l'Eco 2027 : Un calendrier confirmé, mais une adh</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CEDEAO : la coexistence de plusieurs monnaies ne freinera pas le comme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2026-08-06</w:t>
            </w:r>
          </w:p>
        </w:tc>
        <w:tc>
          <w:tcPr>
            <w:tcW w:type="dxa" w:w="1728"/>
          </w:tcPr>
          <w:p>
            <w:r>
              <w:rPr>
                <w:sz w:val="14"/>
              </w:rPr>
              <w:t>Sénégal : Le ministre de la Justice somme les responsables de déclarer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2026-08-06</w:t>
            </w:r>
          </w:p>
        </w:tc>
        <w:tc>
          <w:tcPr>
            <w:tcW w:type="dxa" w:w="1728"/>
          </w:tcPr>
          <w:p>
            <w:r>
              <w:rPr>
                <w:sz w:val="14"/>
              </w:rPr>
              <w:t>Burkina Faso. «Nous ne pouvons oublier ce qu’il a fait pour nous»: l’h</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2026-08-06</w:t>
            </w:r>
          </w:p>
        </w:tc>
        <w:tc>
          <w:tcPr>
            <w:tcW w:type="dxa" w:w="1728"/>
          </w:tcPr>
          <w:p>
            <w:r>
              <w:rPr>
                <w:sz w:val="14"/>
              </w:rPr>
              <w:t xml:space="preserve">Sénégal : Abdou Khadir Sow quitte le PRP pour soutenir Diomaye Faye -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2026-08-05</w:t>
            </w:r>
          </w:p>
        </w:tc>
        <w:tc>
          <w:tcPr>
            <w:tcW w:type="dxa" w:w="1728"/>
          </w:tcPr>
          <w:p>
            <w:r>
              <w:rPr>
                <w:sz w:val="14"/>
              </w:rPr>
              <w:t>Mali : quand Paris voyait Moscou derrière l’indépendance - parlons-pol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2026-08-06</w:t>
            </w:r>
          </w:p>
        </w:tc>
        <w:tc>
          <w:tcPr>
            <w:tcW w:type="dxa" w:w="1728"/>
          </w:tcPr>
          <w:p>
            <w:r>
              <w:rPr>
                <w:sz w:val="14"/>
              </w:rPr>
              <w:t xml:space="preserve">VIDÉO. Dip Doundou Guiss, n°1 du rap au Sénégal, en concert à Paris -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2026-08-05</w:t>
            </w:r>
          </w:p>
        </w:tc>
        <w:tc>
          <w:tcPr>
            <w:tcW w:type="dxa" w:w="1728"/>
          </w:tcPr>
          <w:p>
            <w:r>
              <w:rPr>
                <w:sz w:val="14"/>
              </w:rPr>
              <w:t>Côte d'Ivoire : Consultations nationales de la jeunesse, le Gouverneme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politique Côte d</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2026-08-05</w:t>
            </w:r>
          </w:p>
        </w:tc>
        <w:tc>
          <w:tcPr>
            <w:tcW w:type="dxa" w:w="1728"/>
          </w:tcPr>
          <w:p>
            <w:r>
              <w:rPr>
                <w:sz w:val="14"/>
              </w:rPr>
              <w:t>Les prix du pétrole et du maïs s'effondrent simultanément. - Vietnam.v</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2026-08-06</w:t>
            </w:r>
          </w:p>
        </w:tc>
        <w:tc>
          <w:tcPr>
            <w:tcW w:type="dxa" w:w="1728"/>
          </w:tcPr>
          <w:p>
            <w:r>
              <w:rPr>
                <w:sz w:val="14"/>
              </w:rPr>
              <w:t xml:space="preserve">Décryptage - Kalilou SYLLA, Commissaire aux Affaires économiques et à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CEDEAO : La Guinée renonce au projet de monnaie unique - Sahel Intelli</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2026-08-06</w:t>
            </w:r>
          </w:p>
        </w:tc>
        <w:tc>
          <w:tcPr>
            <w:tcW w:type="dxa" w:w="1728"/>
          </w:tcPr>
          <w:p>
            <w:r>
              <w:rPr>
                <w:sz w:val="14"/>
              </w:rPr>
              <w:t>Sénégal : Le ministre de la Justice somme les responsables de déclarer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2026-08-06</w:t>
            </w:r>
          </w:p>
        </w:tc>
        <w:tc>
          <w:tcPr>
            <w:tcW w:type="dxa" w:w="1728"/>
          </w:tcPr>
          <w:p>
            <w:r>
              <w:rPr>
                <w:sz w:val="14"/>
              </w:rPr>
              <w:t>Burkina Faso. «Nous ne pouvons oublier ce qu’il a fait pour nous»: l’h</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2026-08-05</w:t>
            </w:r>
          </w:p>
        </w:tc>
        <w:tc>
          <w:tcPr>
            <w:tcW w:type="dxa" w:w="1728"/>
          </w:tcPr>
          <w:p>
            <w:r>
              <w:rPr>
                <w:sz w:val="14"/>
              </w:rPr>
              <w:t>La Guinée renonce à intégrer la monnaie unique Eco - lebrief.ma</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2026-08-06</w:t>
            </w:r>
          </w:p>
        </w:tc>
        <w:tc>
          <w:tcPr>
            <w:tcW w:type="dxa" w:w="1728"/>
          </w:tcPr>
          <w:p>
            <w:r>
              <w:rPr>
                <w:sz w:val="14"/>
              </w:rPr>
              <w:t xml:space="preserve">Décryptage - Kalilou SYLLA, Commissaire aux Affaires économiques et à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Afrique de l’Ouest: la BIDC prévoit une croissance de 4,7% en 2026 pui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CEDEAO : La Guinée renonce au projet de monnaie unique - Sahel Intelli</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2026-08-06</w:t>
            </w:r>
          </w:p>
        </w:tc>
        <w:tc>
          <w:tcPr>
            <w:tcW w:type="dxa" w:w="1728"/>
          </w:tcPr>
          <w:p>
            <w:r>
              <w:rPr>
                <w:sz w:val="14"/>
              </w:rPr>
              <w:t>Sénégal : Le ministre de la Justice somme les responsables de déclarer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2026-08-05</w:t>
            </w:r>
          </w:p>
        </w:tc>
        <w:tc>
          <w:tcPr>
            <w:tcW w:type="dxa" w:w="1728"/>
          </w:tcPr>
          <w:p>
            <w:r>
              <w:rPr>
                <w:sz w:val="14"/>
              </w:rPr>
              <w:t>La Guinée renonce à intégrer la monnaie unique Eco - lebrief.ma</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2026-08-06</w:t>
            </w:r>
          </w:p>
        </w:tc>
        <w:tc>
          <w:tcPr>
            <w:tcW w:type="dxa" w:w="1728"/>
          </w:tcPr>
          <w:p>
            <w:r>
              <w:rPr>
                <w:sz w:val="14"/>
              </w:rPr>
              <w:t xml:space="preserve">Décryptage - Kalilou SYLLA, Commissaire aux Affaires économiques et à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Afrique de l’Ouest: la BIDC prévoit une croissance de 4,7% en 2026 pui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CEDEAO : La Guinée renonce au projet de monnaie unique - Sahel Intelli</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2026-08-06</w:t>
            </w:r>
          </w:p>
        </w:tc>
        <w:tc>
          <w:tcPr>
            <w:tcW w:type="dxa" w:w="1728"/>
          </w:tcPr>
          <w:p>
            <w:r>
              <w:rPr>
                <w:sz w:val="14"/>
              </w:rPr>
              <w:t>Sénégal : Le ministre de la Justice somme les responsables de déclarer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2026-08-06</w:t>
            </w:r>
          </w:p>
        </w:tc>
        <w:tc>
          <w:tcPr>
            <w:tcW w:type="dxa" w:w="1728"/>
          </w:tcPr>
          <w:p>
            <w:r>
              <w:rPr>
                <w:sz w:val="14"/>
              </w:rPr>
              <w:t xml:space="preserve">Décryptage - Kalilou SYLLA, Commissaire aux Affaires économiques et à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CEDEAO : La Guinée renonce au projet de monnaie unique - Sahel Intelli</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2026-08-06</w:t>
            </w:r>
          </w:p>
        </w:tc>
        <w:tc>
          <w:tcPr>
            <w:tcW w:type="dxa" w:w="1728"/>
          </w:tcPr>
          <w:p>
            <w:r>
              <w:rPr>
                <w:sz w:val="14"/>
              </w:rPr>
              <w:t>Sénégal : Le ministre de la Justice somme les responsables de déclarer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2026-08-06</w:t>
            </w:r>
          </w:p>
        </w:tc>
        <w:tc>
          <w:tcPr>
            <w:tcW w:type="dxa" w:w="1728"/>
          </w:tcPr>
          <w:p>
            <w:r>
              <w:rPr>
                <w:sz w:val="14"/>
              </w:rPr>
              <w:t>Burkina Faso. «Nous ne pouvons oublier ce qu’il a fait pour nous»: l’h</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2026-08-06</w:t>
            </w:r>
          </w:p>
        </w:tc>
        <w:tc>
          <w:tcPr>
            <w:tcW w:type="dxa" w:w="1728"/>
          </w:tcPr>
          <w:p>
            <w:r>
              <w:rPr>
                <w:sz w:val="14"/>
              </w:rPr>
              <w:t xml:space="preserve">Sénégal : Abdou Khadir Sow quitte le PRP pour soutenir Diomaye Faye -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2026-08-05</w:t>
            </w:r>
          </w:p>
        </w:tc>
        <w:tc>
          <w:tcPr>
            <w:tcW w:type="dxa" w:w="1728"/>
          </w:tcPr>
          <w:p>
            <w:r>
              <w:rPr>
                <w:sz w:val="14"/>
              </w:rPr>
              <w:t>Les prix du pétrole et du maïs s'effondrent simultanément. - Vietnam.v</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2026-08-06</w:t>
            </w:r>
          </w:p>
        </w:tc>
        <w:tc>
          <w:tcPr>
            <w:tcW w:type="dxa" w:w="1728"/>
          </w:tcPr>
          <w:p>
            <w:r>
              <w:rPr>
                <w:sz w:val="14"/>
              </w:rPr>
              <w:t xml:space="preserve">Décryptage - Kalilou SYLLA, Commissaire aux Affaires économiques et à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Afrique de l’Ouest: la BIDC prévoit une croissance de 4,7% en 2026 pui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CEDEAO : La Guinée renonce au projet de monnaie unique - Sahel Intelli</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2026-08-06</w:t>
            </w:r>
          </w:p>
        </w:tc>
        <w:tc>
          <w:tcPr>
            <w:tcW w:type="dxa" w:w="1728"/>
          </w:tcPr>
          <w:p>
            <w:r>
              <w:rPr>
                <w:sz w:val="14"/>
              </w:rPr>
              <w:t>Sénégal : Le ministre de la Justice somme les responsables de déclarer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2026-08-05</w:t>
            </w:r>
          </w:p>
        </w:tc>
        <w:tc>
          <w:tcPr>
            <w:tcW w:type="dxa" w:w="1728"/>
          </w:tcPr>
          <w:p>
            <w:r>
              <w:rPr>
                <w:sz w:val="14"/>
              </w:rPr>
              <w:t>Les prix du pétrole et du maïs s'effondrent simultanément. - Vietnam.v</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2026-08-05</w:t>
            </w:r>
          </w:p>
        </w:tc>
        <w:tc>
          <w:tcPr>
            <w:tcW w:type="dxa" w:w="1728"/>
          </w:tcPr>
          <w:p>
            <w:r>
              <w:rPr>
                <w:sz w:val="14"/>
              </w:rPr>
              <w:t>Afrique de l’Ouest: la BIDC prévoit une croissance de 4,7% en 2026 pui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2026-08-06</w:t>
            </w:r>
          </w:p>
        </w:tc>
        <w:tc>
          <w:tcPr>
            <w:tcW w:type="dxa" w:w="1728"/>
          </w:tcPr>
          <w:p>
            <w:r>
              <w:rPr>
                <w:sz w:val="14"/>
              </w:rPr>
              <w:t>Burkina Faso. «Nous ne pouvons oublier ce qu’il a fait pour nous»: l’h</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2026-08-04</w:t>
            </w:r>
          </w:p>
        </w:tc>
        <w:tc>
          <w:tcPr>
            <w:tcW w:type="dxa" w:w="1728"/>
          </w:tcPr>
          <w:p>
            <w:r>
              <w:rPr>
                <w:sz w:val="14"/>
              </w:rPr>
              <w:t>Achat d'actions à la BRVM : Comment la digitalisation révolutionne l'a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2026-08-04</w:t>
            </w:r>
          </w:p>
        </w:tc>
        <w:tc>
          <w:tcPr>
            <w:tcW w:type="dxa" w:w="1728"/>
          </w:tcPr>
          <w:p>
            <w:r>
              <w:rPr>
                <w:sz w:val="14"/>
              </w:rPr>
              <w:t>La chute des prix du pétrole a entraîné une baisse de l'indice MXV pen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2026-08-05</w:t>
            </w:r>
          </w:p>
        </w:tc>
        <w:tc>
          <w:tcPr>
            <w:tcW w:type="dxa" w:w="1728"/>
          </w:tcPr>
          <w:p>
            <w:r>
              <w:rPr>
                <w:sz w:val="14"/>
              </w:rPr>
              <w:t>Les prix du pétrole et du maïs s'effondrent simultanément. - Vietnam.v</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2026-08-05</w:t>
            </w:r>
          </w:p>
        </w:tc>
        <w:tc>
          <w:tcPr>
            <w:tcW w:type="dxa" w:w="1728"/>
          </w:tcPr>
          <w:p>
            <w:r>
              <w:rPr>
                <w:sz w:val="14"/>
              </w:rPr>
              <w:t>La Guinée renonce à intégrer la monnaie unique Eco - lebrief.ma</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2026-08-06</w:t>
            </w:r>
          </w:p>
        </w:tc>
        <w:tc>
          <w:tcPr>
            <w:tcW w:type="dxa" w:w="1728"/>
          </w:tcPr>
          <w:p>
            <w:r>
              <w:rPr>
                <w:sz w:val="14"/>
              </w:rPr>
              <w:t xml:space="preserve">Décryptage - Kalilou SYLLA, Commissaire aux Affaires économiques et à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Afrique de l’Ouest: la BIDC prévoit une croissance de 4,7% en 2026 pui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CEDEAO : La Guinée renonce au projet de monnaie unique - Sahel Intelli</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2026-08-05</w:t>
            </w:r>
          </w:p>
        </w:tc>
        <w:tc>
          <w:tcPr>
            <w:tcW w:type="dxa" w:w="1728"/>
          </w:tcPr>
          <w:p>
            <w:r>
              <w:rPr>
                <w:sz w:val="14"/>
              </w:rPr>
              <w:t>Les prix du pétrole et du maïs s'effondrent simultanément. - Vietnam.v</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2026-08-05</w:t>
            </w:r>
          </w:p>
        </w:tc>
        <w:tc>
          <w:tcPr>
            <w:tcW w:type="dxa" w:w="1728"/>
          </w:tcPr>
          <w:p>
            <w:r>
              <w:rPr>
                <w:sz w:val="14"/>
              </w:rPr>
              <w:t>La Guinée renonce à intégrer la monnaie unique Eco - lebrief.ma</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2026-08-06</w:t>
            </w:r>
          </w:p>
        </w:tc>
        <w:tc>
          <w:tcPr>
            <w:tcW w:type="dxa" w:w="1728"/>
          </w:tcPr>
          <w:p>
            <w:r>
              <w:rPr>
                <w:sz w:val="14"/>
              </w:rPr>
              <w:t xml:space="preserve">Décryptage - Kalilou SYLLA, Commissaire aux Affaires économiques et à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Afrique de l’Ouest: la BIDC prévoit une croissance de 4,7% en 2026 pui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CEDEAO : La Guinée renonce au projet de monnaie unique - Sahel Intelli</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2026-08-05</w:t>
            </w:r>
          </w:p>
        </w:tc>
        <w:tc>
          <w:tcPr>
            <w:tcW w:type="dxa" w:w="1728"/>
          </w:tcPr>
          <w:p>
            <w:r>
              <w:rPr>
                <w:sz w:val="14"/>
              </w:rPr>
              <w:t>Les prix du pétrole et du maïs s'effondrent simultanément. - Vietnam.v</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2026-08-06</w:t>
            </w:r>
          </w:p>
        </w:tc>
        <w:tc>
          <w:tcPr>
            <w:tcW w:type="dxa" w:w="1728"/>
          </w:tcPr>
          <w:p>
            <w:r>
              <w:rPr>
                <w:sz w:val="14"/>
              </w:rPr>
              <w:t xml:space="preserve">Décryptage - Kalilou SYLLA, Commissaire aux Affaires économiques et à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Afrique de l’Ouest: la BIDC prévoit une croissance de 4,7% en 2026 pui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2026-08-06</w:t>
            </w:r>
          </w:p>
        </w:tc>
        <w:tc>
          <w:tcPr>
            <w:tcW w:type="dxa" w:w="1728"/>
          </w:tcPr>
          <w:p>
            <w:r>
              <w:rPr>
                <w:sz w:val="14"/>
              </w:rPr>
              <w:t>Sénégal : Le ministre de la Justice somme les responsables de déclarer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2026-08-06</w:t>
            </w:r>
          </w:p>
        </w:tc>
        <w:tc>
          <w:tcPr>
            <w:tcW w:type="dxa" w:w="1728"/>
          </w:tcPr>
          <w:p>
            <w:r>
              <w:rPr>
                <w:sz w:val="14"/>
              </w:rPr>
              <w:t>Burkina Faso. «Nous ne pouvons oublier ce qu’il a fait pour nous»: l’h</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2026-08-05</w:t>
            </w:r>
          </w:p>
        </w:tc>
        <w:tc>
          <w:tcPr>
            <w:tcW w:type="dxa" w:w="1728"/>
          </w:tcPr>
          <w:p>
            <w:r>
              <w:rPr>
                <w:sz w:val="14"/>
              </w:rPr>
              <w:t>Les prix du pétrole et du maïs s'effondrent simultanément. - Vietnam.v</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2026-08-05</w:t>
            </w:r>
          </w:p>
        </w:tc>
        <w:tc>
          <w:tcPr>
            <w:tcW w:type="dxa" w:w="1728"/>
          </w:tcPr>
          <w:p>
            <w:r>
              <w:rPr>
                <w:sz w:val="14"/>
              </w:rPr>
              <w:t>Afrique de l’Ouest: la BIDC prévoit une croissance de 4,7% en 2026 pui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2026-08-06</w:t>
            </w:r>
          </w:p>
        </w:tc>
        <w:tc>
          <w:tcPr>
            <w:tcW w:type="dxa" w:w="1728"/>
          </w:tcPr>
          <w:p>
            <w:r>
              <w:rPr>
                <w:sz w:val="14"/>
              </w:rPr>
              <w:t>Burkina Faso. «Nous ne pouvons oublier ce qu’il a fait pour nous»: l’h</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2026-08-04</w:t>
            </w:r>
          </w:p>
        </w:tc>
        <w:tc>
          <w:tcPr>
            <w:tcW w:type="dxa" w:w="1728"/>
          </w:tcPr>
          <w:p>
            <w:r>
              <w:rPr>
                <w:sz w:val="14"/>
              </w:rPr>
              <w:t>Achat d'actions à la BRVM : Comment la digitalisation révolutionne l'a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2026-08-04</w:t>
            </w:r>
          </w:p>
        </w:tc>
        <w:tc>
          <w:tcPr>
            <w:tcW w:type="dxa" w:w="1728"/>
          </w:tcPr>
          <w:p>
            <w:r>
              <w:rPr>
                <w:sz w:val="14"/>
              </w:rPr>
              <w:t>La chute des prix du pétrole a entraîné une baisse de l'indice MXV pen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(8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r>
        <w:tc>
          <w:tcPr>
            <w:tcW w:type="dxa" w:w="1728"/>
          </w:tcPr>
          <w:p>
            <w:r>
              <w:rPr>
                <w:sz w:val="15"/>
              </w:rPr>
              <w:t>25/03/2026</w:t>
            </w:r>
          </w:p>
        </w:tc>
        <w:tc>
          <w:tcPr>
            <w:tcW w:type="dxa" w:w="1728"/>
          </w:tcPr>
          <w:p>
            <w:r>
              <w:rPr>
                <w:sz w:val="15"/>
              </w:rPr>
              <w:t>PALMCI</w:t>
            </w:r>
          </w:p>
        </w:tc>
        <w:tc>
          <w:tcPr>
            <w:tcW w:type="dxa" w:w="1728"/>
          </w:tcPr>
          <w:p>
            <w:r>
              <w:rPr>
                <w:sz w:val="15"/>
              </w:rPr>
              <w:t>20260325   avis de convocation   assemblee general</w:t>
            </w:r>
          </w:p>
        </w:tc>
        <w:tc>
          <w:tcPr>
            <w:tcW w:type="dxa" w:w="1728"/>
          </w:tcPr>
          <w:p>
            <w:r>
              <w:rPr>
                <w:b/>
                <w:color w:val="008000"/>
                <w:sz w:val="15"/>
              </w:rPr>
              <w:t>🟢 +</w:t>
            </w:r>
          </w:p>
        </w:tc>
        <w:tc>
          <w:tcPr>
            <w:tcW w:type="dxa" w:w="1728"/>
          </w:tcPr>
          <w:p>
            <w:r>
              <w:rPr>
                <w:sz w:val="15"/>
              </w:rPr>
              <w:t>PALMCI convoque son Assemblée Générale Ordinaire le 14 avril 2026 à Abidjan pour approuver les comptes 2025. L'entrepris</w:t>
            </w:r>
          </w:p>
        </w:tc>
      </w:tr>
      <w:tr>
        <w:tc>
          <w:tcPr>
            <w:tcW w:type="dxa" w:w="8640"/>
            <w:gridSpan w:val="5"/>
          </w:tcPr>
          <w:p>
            <w:r>
              <w:rPr>
                <w:color w:val="505050"/>
                <w:sz w:val="14"/>
              </w:rPr>
              <w:t xml:space="preserve">  → Assemblée Générale Ordinaire prévue le 14 avril 2026 en présentiel et visioconférence | Résultat net bénéficiaire de 15 508 654 739 FCFA selon SYSCOHADA pour l'exercice 2025 | Proposition de dividendes de 7 754 327 370 FCFA soit 502 FCFA brut par action</w:t>
            </w:r>
          </w:p>
        </w:tc>
      </w:tr>
      <w:tr>
        <w:tc>
          <w:tcPr>
            <w:tcW w:type="dxa" w:w="1728"/>
          </w:tcPr>
          <w:p>
            <w:r>
              <w:rPr>
                <w:sz w:val="15"/>
              </w:rPr>
              <w:t>25/03/2026</w:t>
            </w:r>
          </w:p>
        </w:tc>
        <w:tc>
          <w:tcPr>
            <w:tcW w:type="dxa" w:w="1728"/>
          </w:tcPr>
          <w:p>
            <w:r>
              <w:rPr>
                <w:sz w:val="15"/>
              </w:rPr>
              <w:t>SOCIÉTÉ AFRI</w:t>
            </w:r>
          </w:p>
        </w:tc>
        <w:tc>
          <w:tcPr>
            <w:tcW w:type="dxa" w:w="1728"/>
          </w:tcPr>
          <w:p>
            <w:r>
              <w:rPr>
                <w:sz w:val="15"/>
              </w:rPr>
              <w:t>20260325   avis de convocation   assemblee general</w:t>
            </w:r>
          </w:p>
        </w:tc>
        <w:tc>
          <w:tcPr>
            <w:tcW w:type="dxa" w:w="1728"/>
          </w:tcPr>
          <w:p>
            <w:r>
              <w:rPr>
                <w:b/>
                <w:color w:val="008000"/>
                <w:sz w:val="15"/>
              </w:rPr>
              <w:t>🟢 +</w:t>
            </w:r>
          </w:p>
        </w:tc>
        <w:tc>
          <w:tcPr>
            <w:tcW w:type="dxa" w:w="1728"/>
          </w:tcPr>
          <w:p>
            <w:r>
              <w:rPr>
                <w:sz w:val="15"/>
              </w:rPr>
              <w:t>SAPH convoque ses actionnaires en Assemblée Générale Ordinaire le 09 avril 2026 pour approuver les comptes 2025 et délib</w:t>
            </w:r>
          </w:p>
        </w:tc>
      </w:tr>
      <w:tr>
        <w:tc>
          <w:tcPr>
            <w:tcW w:type="dxa" w:w="8640"/>
            <w:gridSpan w:val="5"/>
          </w:tcPr>
          <w:p>
            <w:r>
              <w:rPr>
                <w:color w:val="505050"/>
                <w:sz w:val="14"/>
              </w:rPr>
              <w:t xml:space="preserve">  → Assemblée Générale Ordinaire convoquée le 09 avril 2026 à 09h00 GMT | Bénéfice net 2025 de 24,97 milliards FCFA selon SYSCOHADA et 27,34 milliards selon IFRS | Distribution de dividende proposée de 489 FCFA brut par action (12,50 milliards FCFA total)</w:t>
            </w:r>
          </w:p>
        </w:tc>
      </w:tr>
      <w:tr>
        <w:tc>
          <w:tcPr>
            <w:tcW w:type="dxa" w:w="1728"/>
          </w:tcPr>
          <w:p>
            <w:r>
              <w:rPr>
                <w:sz w:val="15"/>
              </w:rPr>
              <w:t>24/05/2026</w:t>
            </w:r>
          </w:p>
        </w:tc>
        <w:tc>
          <w:tcPr>
            <w:tcW w:type="dxa" w:w="1728"/>
          </w:tcPr>
          <w:p>
            <w:r>
              <w:rPr>
                <w:sz w:val="15"/>
              </w:rPr>
              <w:t xml:space="preserve">NESTLÉ CÔTE </w:t>
            </w:r>
          </w:p>
        </w:tc>
        <w:tc>
          <w:tcPr>
            <w:tcW w:type="dxa" w:w="1728"/>
          </w:tcPr>
          <w:p>
            <w:r>
              <w:rPr>
                <w:sz w:val="15"/>
              </w:rPr>
              <w:t>20260522   avis de convocation   assemblee general</w:t>
            </w:r>
          </w:p>
        </w:tc>
        <w:tc>
          <w:tcPr>
            <w:tcW w:type="dxa" w:w="1728"/>
          </w:tcPr>
          <w:p>
            <w:r>
              <w:rPr>
                <w:b/>
                <w:sz w:val="15"/>
              </w:rPr>
              <w:t>⚪ =</w:t>
            </w:r>
          </w:p>
        </w:tc>
        <w:tc>
          <w:tcPr>
            <w:tcW w:type="dxa" w:w="1728"/>
          </w:tcPr>
          <w:p>
            <w:r>
              <w:rPr>
                <w:sz w:val="15"/>
              </w:rPr>
              <w:t>Nestlé Côte d'Ivoire convoque ses actionnaires à une Assemblée Générale Ordinaire le 11 juin 2026 à 10h00 à l'Espace Lat</w:t>
            </w:r>
          </w:p>
        </w:tc>
      </w:tr>
      <w:tr>
        <w:tc>
          <w:tcPr>
            <w:tcW w:type="dxa" w:w="8640"/>
            <w:gridSpan w:val="5"/>
          </w:tcPr>
          <w:p>
            <w:r>
              <w:rPr>
                <w:color w:val="505050"/>
                <w:sz w:val="14"/>
              </w:rPr>
              <w:t xml:space="preserve">  → Assemblée Générale Ordinaire programmée le 11 juin 2026 à 10h00 à Abidjan | Examen des états financiers SYSCOHADA et IFRS arrêtés au 31 décembre 2025 | Proposition d'affectation du résultat de l'exercice 2025</w:t>
            </w:r>
          </w:p>
        </w:tc>
      </w:tr>
      <w:tr>
        <w:tc>
          <w:tcPr>
            <w:tcW w:type="dxa" w:w="1728"/>
          </w:tcPr>
          <w:p>
            <w:r>
              <w:rPr>
                <w:sz w:val="15"/>
              </w:rPr>
              <w:t>24/04/2026</w:t>
            </w:r>
          </w:p>
        </w:tc>
        <w:tc>
          <w:tcPr>
            <w:tcW w:type="dxa" w:w="1728"/>
          </w:tcPr>
          <w:p>
            <w:r>
              <w:rPr>
                <w:sz w:val="15"/>
              </w:rPr>
              <w:t>Société Ivoi</w:t>
            </w:r>
          </w:p>
        </w:tc>
        <w:tc>
          <w:tcPr>
            <w:tcW w:type="dxa" w:w="1728"/>
          </w:tcPr>
          <w:p>
            <w:r>
              <w:rPr>
                <w:sz w:val="15"/>
              </w:rPr>
              <w:t>20260423   avis de convocation   assemblee general</w:t>
            </w:r>
          </w:p>
        </w:tc>
        <w:tc>
          <w:tcPr>
            <w:tcW w:type="dxa" w:w="1728"/>
          </w:tcPr>
          <w:p>
            <w:r>
              <w:rPr>
                <w:b/>
                <w:sz w:val="15"/>
              </w:rPr>
              <w:t>⚪ =</w:t>
            </w:r>
          </w:p>
        </w:tc>
        <w:tc>
          <w:tcPr>
            <w:tcW w:type="dxa" w:w="1728"/>
          </w:tcPr>
          <w:p>
            <w:r>
              <w:rPr>
                <w:sz w:val="15"/>
              </w:rPr>
              <w:t xml:space="preserve">La Société Ivoirienne de Banque convoque ses actionnaires en Assemblée Générale Ordinaire Annuelle le mardi 12 mai 2026 </w:t>
            </w:r>
          </w:p>
        </w:tc>
      </w:tr>
      <w:tr>
        <w:tc>
          <w:tcPr>
            <w:tcW w:type="dxa" w:w="8640"/>
            <w:gridSpan w:val="5"/>
          </w:tcPr>
          <w:p>
            <w:r>
              <w:rPr>
                <w:color w:val="505050"/>
                <w:sz w:val="14"/>
              </w:rPr>
              <w:t xml:space="preserve">  → Assemblée Générale Ordinaire Annuelle prévue le mardi 12 mai 2026 à 10 heures | Présentation et approbation des rapports de gestion et des comptes de l'exercice social clos au 31 décembre 2025 | Évaluation du Conseil d'Administration, des Comités Spécialisés et des Administrateurs</w:t>
            </w:r>
          </w:p>
        </w:tc>
      </w:tr>
    </w:tbl>
    <w:p/>
    <w:p>
      <w:pPr>
        <w:pStyle w:val="Heading3"/>
      </w:pPr>
      <w:r>
        <w:t>📌 Autre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r>
        <w:tc>
          <w:tcPr>
            <w:tcW w:type="dxa" w:w="1728"/>
          </w:tcPr>
          <w:p>
            <w:r>
              <w:rPr>
                <w:sz w:val="15"/>
              </w:rPr>
              <w:t>24/04/2026</w:t>
            </w:r>
          </w:p>
        </w:tc>
        <w:tc>
          <w:tcPr>
            <w:tcW w:type="dxa" w:w="1728"/>
          </w:tcPr>
          <w:p>
            <w:r>
              <w:rPr>
                <w:sz w:val="15"/>
              </w:rPr>
              <w:t>SENELEC</w:t>
            </w:r>
          </w:p>
        </w:tc>
        <w:tc>
          <w:tcPr>
            <w:tcW w:type="dxa" w:w="1728"/>
          </w:tcPr>
          <w:p>
            <w:r>
              <w:rPr>
                <w:sz w:val="15"/>
              </w:rPr>
              <w:t>20260423   avis ndeg106 brvmdg   premiere cotation</w:t>
            </w:r>
          </w:p>
        </w:tc>
        <w:tc>
          <w:tcPr>
            <w:tcW w:type="dxa" w:w="1728"/>
          </w:tcPr>
          <w:p>
            <w:r>
              <w:rPr>
                <w:b/>
                <w:color w:val="008000"/>
                <w:sz w:val="15"/>
              </w:rPr>
              <w:t>🟢 +</w:t>
            </w:r>
          </w:p>
        </w:tc>
        <w:tc>
          <w:tcPr>
            <w:tcW w:type="dxa" w:w="1728"/>
          </w:tcPr>
          <w:p>
            <w:r>
              <w:rPr>
                <w:sz w:val="15"/>
              </w:rPr>
              <w:t>La BRVM annonce la première cotation des obligations SENELEC (FCTC SENELEC SENIOR 8,15% 2025-2030 et FCTC SENELEC MEZZAN</w:t>
            </w:r>
          </w:p>
        </w:tc>
      </w:tr>
      <w:tr>
        <w:tc>
          <w:tcPr>
            <w:tcW w:type="dxa" w:w="8640"/>
            <w:gridSpan w:val="5"/>
          </w:tcPr>
          <w:p>
            <w:r>
              <w:rPr>
                <w:color w:val="505050"/>
                <w:sz w:val="14"/>
              </w:rPr>
              <w:t xml:space="preserve">  → Première cotation des obligations SENELEC prévue le 06 mai 2026 | Deux tranches : SENIOR 8,15% et MEZZANINE 10,00% échéance 2025-2030 | Montant total de l'émission : 108 milliards FCFA</w:t>
            </w:r>
          </w:p>
        </w:tc>
      </w:tr>
      <w:tr>
        <w:tc>
          <w:tcPr>
            <w:tcW w:type="dxa" w:w="1728"/>
          </w:tcPr>
          <w:p>
            <w:r>
              <w:rPr>
                <w:sz w:val="15"/>
              </w:rPr>
              <w:t>23/04/2026</w:t>
            </w:r>
          </w:p>
        </w:tc>
        <w:tc>
          <w:tcPr>
            <w:tcW w:type="dxa" w:w="1728"/>
          </w:tcPr>
          <w:p>
            <w:r>
              <w:rPr>
                <w:sz w:val="15"/>
              </w:rPr>
              <w:t>SENELEC</w:t>
            </w:r>
          </w:p>
        </w:tc>
        <w:tc>
          <w:tcPr>
            <w:tcW w:type="dxa" w:w="1728"/>
          </w:tcPr>
          <w:p>
            <w:r>
              <w:rPr>
                <w:sz w:val="15"/>
              </w:rPr>
              <w:t>20260422   avis ndeg105 brvmdg   premiere cotation</w:t>
            </w:r>
          </w:p>
        </w:tc>
        <w:tc>
          <w:tcPr>
            <w:tcW w:type="dxa" w:w="1728"/>
          </w:tcPr>
          <w:p>
            <w:r>
              <w:rPr>
                <w:b/>
                <w:color w:val="008000"/>
                <w:sz w:val="15"/>
              </w:rPr>
              <w:t>🟢 +</w:t>
            </w:r>
          </w:p>
        </w:tc>
        <w:tc>
          <w:tcPr>
            <w:tcW w:type="dxa" w:w="1728"/>
          </w:tcPr>
          <w:p>
            <w:r>
              <w:rPr>
                <w:sz w:val="15"/>
              </w:rPr>
              <w:t>La BRVM annonce la première cotation des obligations FCTC SENELEC SENIOR 8,15% 2025-2030 et FCTC SENELEC MEZZANINE 10,00</w:t>
            </w:r>
          </w:p>
        </w:tc>
      </w:tr>
      <w:tr>
        <w:tc>
          <w:tcPr>
            <w:tcW w:type="dxa" w:w="8640"/>
            <w:gridSpan w:val="5"/>
          </w:tcPr>
          <w:p>
            <w:r>
              <w:rPr>
                <w:color w:val="505050"/>
                <w:sz w:val="14"/>
              </w:rPr>
              <w:t xml:space="preserve">  → Première cotation de deux emprunts obligataires FCTC SENELEC prévue le 06 mai 2026 | Émission de 8,3 millions d'obligations senior à 8,15% et 2,5 millions d'obligations mezzanine à 10% | Montant total de l'opération : 108 milliards FCFA sur le Marché Financier Régional de l'UEMOA</w:t>
            </w:r>
          </w:p>
        </w:tc>
      </w:tr>
    </w:tbl>
    <w:p/>
    <w:p>
      <w:pPr>
        <w:pStyle w:val="Heading3"/>
      </w:pPr>
      <w:r>
        <w:t>ℹ️ Avis &amp; informations (10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EPT</w:t>
            </w:r>
          </w:p>
        </w:tc>
        <w:tc>
          <w:tcPr>
            <w:tcW w:type="dxa" w:w="1728"/>
          </w:tcPr>
          <w:p>
            <w:r>
              <w:rPr>
                <w:sz w:val="15"/>
              </w:rPr>
              <w:t>20260423   avis ndeg109 brvmdg   resultats de prem</w:t>
            </w:r>
          </w:p>
        </w:tc>
        <w:tc>
          <w:tcPr>
            <w:tcW w:type="dxa" w:w="1728"/>
          </w:tcPr>
          <w:p>
            <w:r>
              <w:rPr>
                <w:b/>
                <w:color w:val="008000"/>
                <w:sz w:val="15"/>
              </w:rPr>
              <w:t>🟢 +</w:t>
            </w:r>
          </w:p>
        </w:tc>
        <w:tc>
          <w:tcPr>
            <w:tcW w:type="dxa" w:w="1728"/>
          </w:tcPr>
          <w:p>
            <w:r>
              <w:rPr>
                <w:sz w:val="15"/>
              </w:rPr>
              <w:t>La BRVM annonce les résultats de première cotation de trois emprunts obligataires FCTC EPT avec des taux de 7,50%, 8,00%</w:t>
            </w:r>
          </w:p>
        </w:tc>
      </w:tr>
      <w:tr>
        <w:tc>
          <w:tcPr>
            <w:tcW w:type="dxa" w:w="8640"/>
            <w:gridSpan w:val="5"/>
          </w:tcPr>
          <w:p>
            <w:r>
              <w:rPr>
                <w:color w:val="505050"/>
                <w:sz w:val="14"/>
              </w:rPr>
              <w:t xml:space="preserve">  → Première cotation de trois emprunts obligataires FCTC EPT avec des taux de 7,50%, 8,00% et 8,50% | Prix de cotation fixé à 10 000 FCFA par obligation avec 500 titres échangés | Capitalisation boursière totale de 60 milliards de FCFA pour les trois émissions</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r>
        <w:tc>
          <w:tcPr>
            <w:tcW w:type="dxa" w:w="1728"/>
          </w:tcPr>
          <w:p>
            <w:r>
              <w:rPr>
                <w:sz w:val="15"/>
              </w:rPr>
              <w:t>23/04/2026</w:t>
            </w:r>
          </w:p>
        </w:tc>
        <w:tc>
          <w:tcPr>
            <w:tcW w:type="dxa" w:w="1728"/>
          </w:tcPr>
          <w:p>
            <w:r>
              <w:rPr>
                <w:sz w:val="15"/>
              </w:rPr>
              <w:t>ETAT DU MALI</w:t>
            </w:r>
          </w:p>
        </w:tc>
        <w:tc>
          <w:tcPr>
            <w:tcW w:type="dxa" w:w="1728"/>
          </w:tcPr>
          <w:p>
            <w:r>
              <w:rPr>
                <w:sz w:val="15"/>
              </w:rPr>
              <w:t>20260422   avis ndeg104 brvmdg   premiere cotation</w:t>
            </w:r>
          </w:p>
        </w:tc>
        <w:tc>
          <w:tcPr>
            <w:tcW w:type="dxa" w:w="1728"/>
          </w:tcPr>
          <w:p>
            <w:r>
              <w:rPr>
                <w:b/>
                <w:color w:val="008000"/>
                <w:sz w:val="15"/>
              </w:rPr>
              <w:t>🟢 +</w:t>
            </w:r>
          </w:p>
        </w:tc>
        <w:tc>
          <w:tcPr>
            <w:tcW w:type="dxa" w:w="1728"/>
          </w:tcPr>
          <w:p>
            <w:r>
              <w:rPr>
                <w:sz w:val="15"/>
              </w:rPr>
              <w:t>La BRVM annonce la première cotation de deux emprunts obligataires de l'État du Mali : 6,55% 2026-2036 et 6,35% 2026-203</w:t>
            </w:r>
          </w:p>
        </w:tc>
      </w:tr>
      <w:tr>
        <w:tc>
          <w:tcPr>
            <w:tcW w:type="dxa" w:w="8640"/>
            <w:gridSpan w:val="5"/>
          </w:tcPr>
          <w:p>
            <w:r>
              <w:rPr>
                <w:color w:val="505050"/>
                <w:sz w:val="14"/>
              </w:rPr>
              <w:t xml:space="preserve">  → Émission de deux emprunts obligataires : État du Mali 6,55% 2026-2036 et État du Mali 6,35% 2026-2033 | Montant total de l'opération : 107,7 milliards FCFA | Date de jouissance des obligations : 6 mars 2026</w:t>
            </w:r>
          </w:p>
        </w:tc>
      </w:tr>
      <w:tr>
        <w:tc>
          <w:tcPr>
            <w:tcW w:type="dxa" w:w="1728"/>
          </w:tcPr>
          <w:p>
            <w:r>
              <w:rPr>
                <w:sz w:val="15"/>
              </w:rPr>
              <w:t>22/11/2025</w:t>
            </w:r>
          </w:p>
        </w:tc>
        <w:tc>
          <w:tcPr>
            <w:tcW w:type="dxa" w:w="1728"/>
          </w:tcPr>
          <w:p>
            <w:r>
              <w:rPr>
                <w:sz w:val="15"/>
              </w:rPr>
              <w:t xml:space="preserve">AIR LIQUIDE </w:t>
            </w:r>
          </w:p>
        </w:tc>
        <w:tc>
          <w:tcPr>
            <w:tcW w:type="dxa" w:w="1728"/>
          </w:tcPr>
          <w:p>
            <w:r>
              <w:rPr>
                <w:sz w:val="15"/>
              </w:rPr>
              <w:t>20251121   communique   franchissement de seuil pa</w:t>
            </w:r>
          </w:p>
        </w:tc>
        <w:tc>
          <w:tcPr>
            <w:tcW w:type="dxa" w:w="1728"/>
          </w:tcPr>
          <w:p>
            <w:r>
              <w:rPr>
                <w:b/>
                <w:sz w:val="15"/>
              </w:rPr>
              <w:t>⚪ =</w:t>
            </w:r>
          </w:p>
        </w:tc>
        <w:tc>
          <w:tcPr>
            <w:tcW w:type="dxa" w:w="1728"/>
          </w:tcPr>
          <w:p>
            <w:r>
              <w:rPr>
                <w:sz w:val="15"/>
              </w:rPr>
              <w:t>Air Liquide International déclare un franchissement de seuil à la baisse dans le capital d'Air Liquide Côte d'Ivoire, pa</w:t>
            </w:r>
          </w:p>
        </w:tc>
      </w:tr>
      <w:tr>
        <w:tc>
          <w:tcPr>
            <w:tcW w:type="dxa" w:w="8640"/>
            <w:gridSpan w:val="5"/>
          </w:tcPr>
          <w:p>
            <w:r>
              <w:rPr>
                <w:color w:val="505050"/>
                <w:sz w:val="14"/>
              </w:rPr>
              <w:t xml:space="preserve">  → Franchissement de seuil à la baisse de 66,66% par Air Liquide International | Cession complète de la participation : de 72,08% (6 295 350 actions) à 0% | Acheteur identifié : ERIUM LTD au cours de 230 FCFA par action</w:t>
            </w:r>
          </w:p>
        </w:tc>
      </w:tr>
      <w:tr>
        <w:tc>
          <w:tcPr>
            <w:tcW w:type="dxa" w:w="1728"/>
          </w:tcPr>
          <w:p>
            <w:r>
              <w:rPr>
                <w:sz w:val="15"/>
              </w:rPr>
              <w:t>21/05/2026</w:t>
            </w:r>
          </w:p>
        </w:tc>
        <w:tc>
          <w:tcPr>
            <w:tcW w:type="dxa" w:w="1728"/>
          </w:tcPr>
          <w:p>
            <w:r>
              <w:rPr>
                <w:sz w:val="15"/>
              </w:rPr>
              <w:t>BRVM</w:t>
            </w:r>
          </w:p>
        </w:tc>
        <w:tc>
          <w:tcPr>
            <w:tcW w:type="dxa" w:w="1728"/>
          </w:tcPr>
          <w:p>
            <w:r>
              <w:rPr>
                <w:sz w:val="15"/>
              </w:rPr>
              <w:t>20260520   avis ndeg140 brvmdg   horaires de cotat</w:t>
            </w:r>
          </w:p>
        </w:tc>
        <w:tc>
          <w:tcPr>
            <w:tcW w:type="dxa" w:w="1728"/>
          </w:tcPr>
          <w:p>
            <w:r>
              <w:rPr>
                <w:b/>
                <w:sz w:val="15"/>
              </w:rPr>
              <w:t>⚪ =</w:t>
            </w:r>
          </w:p>
        </w:tc>
        <w:tc>
          <w:tcPr>
            <w:tcW w:type="dxa" w:w="1728"/>
          </w:tcPr>
          <w:p>
            <w:r>
              <w:rPr>
                <w:sz w:val="15"/>
              </w:rPr>
              <w:t>La BRVM informe du changement des horaires de cotation du mardi 26 mai 2026 en raison de l'Aïd-el-Kébir. Les horaires so</w:t>
            </w:r>
          </w:p>
        </w:tc>
      </w:tr>
      <w:tr>
        <w:tc>
          <w:tcPr>
            <w:tcW w:type="dxa" w:w="8640"/>
            <w:gridSpan w:val="5"/>
          </w:tcPr>
          <w:p>
            <w:r>
              <w:rPr>
                <w:color w:val="505050"/>
                <w:sz w:val="14"/>
              </w:rPr>
              <w:t xml:space="preserve">  → Modification des horaires de cotation du 26 mai 2026 | Raison : célébration de l'Aïd-el-Kébir (Tabaski) | Pré-ouverture de 9h00 à 9h30 (UTC)</w:t>
            </w:r>
          </w:p>
        </w:tc>
      </w:tr>
    </w:tbl>
    <w:p/>
    <w:p>
      <w:pPr>
        <w:pStyle w:val="Heading3"/>
      </w:pPr>
      <w:r>
        <w:t>📢 Communiqués de presse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r>
        <w:tc>
          <w:tcPr>
            <w:tcW w:type="dxa" w:w="1728"/>
          </w:tcPr>
          <w:p>
            <w:r>
              <w:rPr>
                <w:sz w:val="15"/>
              </w:rPr>
              <w:t>22/02/2026</w:t>
            </w:r>
          </w:p>
        </w:tc>
        <w:tc>
          <w:tcPr>
            <w:tcW w:type="dxa" w:w="1728"/>
          </w:tcPr>
          <w:p>
            <w:r>
              <w:rPr>
                <w:sz w:val="15"/>
              </w:rPr>
              <w:t>Fidelis Fina</w:t>
            </w:r>
          </w:p>
        </w:tc>
        <w:tc>
          <w:tcPr>
            <w:tcW w:type="dxa" w:w="1728"/>
          </w:tcPr>
          <w:p>
            <w:r>
              <w:rPr>
                <w:sz w:val="15"/>
              </w:rPr>
              <w:t>20260220   communique   fidelis finance</w:t>
            </w:r>
          </w:p>
        </w:tc>
        <w:tc>
          <w:tcPr>
            <w:tcW w:type="dxa" w:w="1728"/>
          </w:tcPr>
          <w:p>
            <w:r>
              <w:rPr>
                <w:b/>
                <w:sz w:val="15"/>
              </w:rPr>
              <w:t>⚪ =</w:t>
            </w:r>
          </w:p>
        </w:tc>
        <w:tc>
          <w:tcPr>
            <w:tcW w:type="dxa" w:w="1728"/>
          </w:tcPr>
          <w:p>
            <w:r>
              <w:rPr>
                <w:sz w:val="15"/>
              </w:rPr>
              <w:t>Fidelis Finance informe le marché qu'une procédure judiciaire est en cours devant les juridictions ivoiriennes suite à u</w:t>
            </w:r>
          </w:p>
        </w:tc>
      </w:tr>
      <w:tr>
        <w:tc>
          <w:tcPr>
            <w:tcW w:type="dxa" w:w="8640"/>
            <w:gridSpan w:val="5"/>
          </w:tcPr>
          <w:p>
            <w:r>
              <w:rPr>
                <w:color w:val="505050"/>
                <w:sz w:val="14"/>
              </w:rPr>
              <w:t xml:space="preserve">  → Procédure judiciaire en cours devant les juridictions ivoiriennes suite à un différend commercial | Ordonnance de renvoi partiel rendue le 15 janvier 2026 par le Tribunal correctionnel d'Abidjan | Aucune condamnation, sanction financière ou mesure conservatoire prononcée à ce stade</w:t>
            </w:r>
          </w:p>
        </w:tc>
      </w:tr>
    </w:tbl>
    <w:p/>
    <w:p>
      <w:pPr>
        <w:pStyle w:val="Heading3"/>
      </w:pPr>
      <w:r>
        <w:t>💰 Dividendes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23/12/2025</w:t>
            </w:r>
          </w:p>
        </w:tc>
        <w:tc>
          <w:tcPr>
            <w:tcW w:type="dxa" w:w="1728"/>
          </w:tcPr>
          <w:p>
            <w:r>
              <w:rPr>
                <w:sz w:val="15"/>
              </w:rPr>
              <w:t>BANK OF AFRI</w:t>
            </w:r>
          </w:p>
        </w:tc>
        <w:tc>
          <w:tcPr>
            <w:tcW w:type="dxa" w:w="1728"/>
          </w:tcPr>
          <w:p>
            <w:r>
              <w:rPr>
                <w:sz w:val="15"/>
              </w:rPr>
              <w:t>20251223   communique   alerte sur resultats   boa</w:t>
            </w:r>
          </w:p>
        </w:tc>
        <w:tc>
          <w:tcPr>
            <w:tcW w:type="dxa" w:w="1728"/>
          </w:tcPr>
          <w:p>
            <w:r>
              <w:rPr>
                <w:b/>
                <w:sz w:val="15"/>
              </w:rPr>
              <w:t>⚪ =</w:t>
            </w:r>
          </w:p>
        </w:tc>
        <w:tc>
          <w:tcPr>
            <w:tcW w:type="dxa" w:w="1728"/>
          </w:tcPr>
          <w:p>
            <w:r>
              <w:rPr>
                <w:sz w:val="15"/>
              </w:rPr>
              <w:t>Bank of Africa-Niger annonce une baisse significative de plus de 50% de son résultat net pour l'exercice 2025. Cette chu</w:t>
            </w:r>
          </w:p>
        </w:tc>
      </w:tr>
      <w:tr>
        <w:tc>
          <w:tcPr>
            <w:tcW w:type="dxa" w:w="8640"/>
            <w:gridSpan w:val="5"/>
          </w:tcPr>
          <w:p>
            <w:r>
              <w:rPr>
                <w:color w:val="505050"/>
                <w:sz w:val="14"/>
              </w:rPr>
              <w:t xml:space="preserve">  → Baisse du résultat net supérieure à 50% par rapport à l'exercice précédent | Recul de 20% des encours de crédits dû à la conjoncture économique difficile | Important effort de provisionnement impactant la capacité bénéficiaire</w:t>
            </w:r>
          </w:p>
        </w:tc>
      </w:tr>
    </w:tbl>
    <w:p/>
    <w:p/>
    <w:p>
      <w:pPr>
        <w:pStyle w:val="Heading2"/>
      </w:pPr>
      <w:r>
        <w:t>🔔 B — Alertes Google &amp; actualités financières</w:t>
      </w:r>
    </w:p>
    <w:p>
      <w:pPr>
        <w:spacing w:before="120" w:after="40"/>
      </w:pPr>
      <w:r>
        <w:rPr>
          <w:b/>
          <w:color w:val="00467F"/>
          <w:sz w:val="20"/>
        </w:rPr>
        <w:t>🔑 politique  (11 alerte(s))</w:t>
      </w:r>
    </w:p>
    <w:p>
      <w:pPr>
        <w:spacing w:before="40" w:after="40"/>
        <w:ind w:left="360"/>
      </w:pPr>
      <w:r>
        <w:rPr>
          <w:color w:val="646464"/>
          <w:sz w:val="17"/>
        </w:rPr>
        <w:t xml:space="preserve">[06/08/2026] 🟢  </w:t>
      </w:r>
      <w:r>
        <w:rPr>
          <w:b/>
          <w:color w:val="008000"/>
          <w:sz w:val="18"/>
        </w:rPr>
        <w:t>Côte d'Ivoire : le gouvernement engage près de 2 900 milliards FCFA pour transformer l'avenir de plus de 5,2 millions de</w:t>
      </w:r>
      <w:r>
        <w:rPr>
          <w:color w:val="787878"/>
          <w:sz w:val="15"/>
        </w:rPr>
        <w:t xml:space="preserve">  [politique]</w:t>
      </w:r>
      <w:r>
        <w:rPr>
          <w:color w:val="B47800"/>
          <w:sz w:val="16"/>
        </w:rPr>
        <w:t xml:space="preserve">  ★ 50/10</w:t>
      </w:r>
    </w:p>
    <w:p>
      <w:pPr>
        <w:spacing w:before="0" w:after="20"/>
        <w:ind w:left="600"/>
      </w:pPr>
      <w:r>
        <w:rPr>
          <w:color w:val="323232"/>
          <w:sz w:val="17"/>
        </w:rPr>
        <w:t>Le gouvernement ivoirien a annoncé un investissement massif de près de 2 900 milliards FCFA destiné à transformer l'avenir de plus de 5,2 millions de jeunes. Cette initiative vise à renforcer l'employabilité, l'entrepreneuriat et l'insertion professionnelle des jeunes, un enjeu clé pour la stabilité sociale et la croissance économique du pays. Ce p</w:t>
      </w:r>
    </w:p>
    <w:p>
      <w:pPr>
        <w:spacing w:before="0" w:after="40"/>
        <w:ind w:left="600"/>
      </w:pPr>
      <w:r>
        <w:rPr>
          <w:color w:val="00643C"/>
          <w:sz w:val="16"/>
        </w:rPr>
        <w:t>Points clés : Investissement de 2 900 milliards FCFA pour les jeunes ivoiriens.  •  Cible de 5,2 millions de bénéficiaires, avec un accent sur l'emploi et l'entrepreneuriat.</w:t>
      </w:r>
    </w:p>
    <w:p>
      <w:pPr>
        <w:spacing w:before="0" w:after="60"/>
        <w:ind w:left="600"/>
      </w:pPr>
      <w:r>
        <w:rPr>
          <w:color w:val="0064B4"/>
          <w:sz w:val="15"/>
        </w:rPr>
        <w:t>Source : https://news.google.com/rss/articles/CBMipAJBVV95cUxNeC1sSEJMTXJCUlpSWHhmNFV2NnM</w:t>
      </w:r>
    </w:p>
    <w:p>
      <w:pPr>
        <w:spacing w:before="40" w:after="40"/>
        <w:ind w:left="360"/>
      </w:pPr>
      <w:r>
        <w:rPr>
          <w:color w:val="646464"/>
          <w:sz w:val="17"/>
        </w:rPr>
        <w:t xml:space="preserve">[06/08/2026] ⚪  </w:t>
      </w:r>
      <w:r>
        <w:rPr>
          <w:b/>
          <w:color w:val="505050"/>
          <w:sz w:val="18"/>
        </w:rPr>
        <w:t>Sénégal : Le ministre de la Justice somme les responsables de déclarer leur patrimoine avant le 10 août - koaci.com</w:t>
      </w:r>
      <w:r>
        <w:rPr>
          <w:color w:val="787878"/>
          <w:sz w:val="15"/>
        </w:rPr>
        <w:t xml:space="preserve">  [politique]</w:t>
      </w:r>
      <w:r>
        <w:rPr>
          <w:color w:val="B47800"/>
          <w:sz w:val="16"/>
        </w:rPr>
        <w:t xml:space="preserve">  ★ 50/10</w:t>
      </w:r>
    </w:p>
    <w:p>
      <w:pPr>
        <w:spacing w:before="0" w:after="20"/>
        <w:ind w:left="600"/>
      </w:pPr>
      <w:r>
        <w:rPr>
          <w:color w:val="323232"/>
          <w:sz w:val="17"/>
        </w:rPr>
        <w:t>Le ministre de la Justice du Sénégal a ordonné aux responsables publics de déclarer leur patrimoine avant le 10 août, une mesure visant à renforcer la transparence et la lutte contre la corruption. Cette initiative s'inscrit dans un contexte de gouvernance renforcée dans la zone UEMOA. Elle pourrait avoir des répercussions sur la confiance des inve</w:t>
      </w:r>
    </w:p>
    <w:p>
      <w:pPr>
        <w:spacing w:before="0" w:after="40"/>
        <w:ind w:left="600"/>
      </w:pPr>
      <w:r>
        <w:rPr>
          <w:color w:val="00643C"/>
          <w:sz w:val="16"/>
        </w:rPr>
        <w:t>Points clés : Obligation de déclaration de patrimoine pour les responsables sénégalais avant le 10 août  •  Renforcement de la transparence et de la lutte contre la corruption</w:t>
      </w:r>
    </w:p>
    <w:p>
      <w:pPr>
        <w:spacing w:before="0" w:after="60"/>
        <w:ind w:left="600"/>
      </w:pPr>
      <w:r>
        <w:rPr>
          <w:color w:val="0064B4"/>
          <w:sz w:val="15"/>
        </w:rPr>
        <w:t>Source : https://news.google.com/rss/articles/CBMiggJBVV95cUxNNlMtNjl1SDNXWjhkYW05QXlFZDd</w:t>
      </w:r>
    </w:p>
    <w:p>
      <w:pPr>
        <w:spacing w:before="40" w:after="40"/>
        <w:ind w:left="360"/>
      </w:pPr>
      <w:r>
        <w:rPr>
          <w:color w:val="646464"/>
          <w:sz w:val="17"/>
        </w:rPr>
        <w:t xml:space="preserve">[06/08/2026] ⚪  </w:t>
      </w:r>
      <w:r>
        <w:rPr>
          <w:b/>
          <w:color w:val="505050"/>
          <w:sz w:val="18"/>
        </w:rPr>
        <w:t>VIDÉO. Dip Doundou Guiss, n°1 du rap au Sénégal, en concert à Paris - information.tv5monde.com</w:t>
      </w:r>
      <w:r>
        <w:rPr>
          <w:color w:val="787878"/>
          <w:sz w:val="15"/>
        </w:rPr>
        <w:t xml:space="preserve">  [politique]</w:t>
      </w:r>
      <w:r>
        <w:rPr>
          <w:color w:val="B47800"/>
          <w:sz w:val="16"/>
        </w:rPr>
        <w:t xml:space="preserve">  ★ 50/10</w:t>
      </w:r>
    </w:p>
    <w:p>
      <w:pPr>
        <w:spacing w:before="0" w:after="20"/>
        <w:ind w:left="600"/>
      </w:pPr>
      <w:r>
        <w:rPr>
          <w:color w:val="323232"/>
          <w:sz w:val="17"/>
        </w:rPr>
        <w:t>L'article annonce un concert à Paris du rappeur sénégalais Dip Doundou Guiss, considéré comme le n°1 du rap au Sénégal. Il s'agit d'une information culturelle et médiatique, sans lien direct avec l'économie ou la politique de la zone UEMOA. Le contenu est très court et se limite à un titre et une mention de la source TV5Monde.</w:t>
      </w:r>
    </w:p>
    <w:p>
      <w:pPr>
        <w:spacing w:before="0" w:after="40"/>
        <w:ind w:left="600"/>
      </w:pPr>
      <w:r>
        <w:rPr>
          <w:color w:val="00643C"/>
          <w:sz w:val="16"/>
        </w:rPr>
        <w:t>Points clés : Concert de Dip Doundou Guiss à Paris  •  Artiste présenté comme n°1 du rap sénégalais  •  Information relayée par TV5Monde</w:t>
      </w:r>
    </w:p>
    <w:p>
      <w:pPr>
        <w:spacing w:before="0" w:after="60"/>
        <w:ind w:left="600"/>
      </w:pPr>
      <w:r>
        <w:rPr>
          <w:color w:val="0064B4"/>
          <w:sz w:val="15"/>
        </w:rPr>
        <w:t>Source : https://news.google.com/rss/articles/CBMiswFBVV95cUxQVzlUakFuWGhkaldOQkFpVnVNUkY</w:t>
      </w:r>
    </w:p>
    <w:p>
      <w:pPr>
        <w:spacing w:before="40" w:after="40"/>
        <w:ind w:left="360"/>
      </w:pPr>
      <w:r>
        <w:rPr>
          <w:color w:val="646464"/>
          <w:sz w:val="17"/>
        </w:rPr>
        <w:t xml:space="preserve">[06/08/2026] ⚪  </w:t>
      </w:r>
      <w:r>
        <w:rPr>
          <w:b/>
          <w:color w:val="505050"/>
          <w:sz w:val="18"/>
        </w:rPr>
        <w:t>Burkina Faso. «Nous ne pouvons oublier ce qu’il a fait pour nous»: l’héritage de Thomas Sankara continue d’inspirer la j</w:t>
      </w:r>
      <w:r>
        <w:rPr>
          <w:color w:val="787878"/>
          <w:sz w:val="15"/>
        </w:rPr>
        <w:t xml:space="preserve">  [politique]</w:t>
      </w:r>
      <w:r>
        <w:rPr>
          <w:color w:val="B47800"/>
          <w:sz w:val="16"/>
        </w:rPr>
        <w:t xml:space="preserve">  ★ 50/10</w:t>
      </w:r>
    </w:p>
    <w:p>
      <w:pPr>
        <w:spacing w:before="0" w:after="20"/>
        <w:ind w:left="600"/>
      </w:pPr>
      <w:r>
        <w:rPr>
          <w:color w:val="323232"/>
          <w:sz w:val="17"/>
        </w:rPr>
        <w:t>L'article du Le360 Afrique met en lumière l'héritage durable de Thomas Sankara au Burkina Faso, soulignant que la jeunesse burkinabè continue de s'inspirer de ses actions et de son idéologie. Le titre insiste sur la gratitude des jeunes envers Sankara, rappelant son rôle historique dans le pays. Cette actualité politique, bien que non directement l</w:t>
      </w:r>
    </w:p>
    <w:p>
      <w:pPr>
        <w:spacing w:before="0" w:after="40"/>
        <w:ind w:left="600"/>
      </w:pPr>
      <w:r>
        <w:rPr>
          <w:color w:val="00643C"/>
          <w:sz w:val="16"/>
        </w:rPr>
        <w:t>Points clés : L'héritage de Thomas Sankara reste une source d'inspiration pour la jeunesse burkinabè.  •  L'article souligne l'importance de la mémoire historique dans le contexte politique actuel du Burkina Faso.</w:t>
      </w:r>
    </w:p>
    <w:p>
      <w:pPr>
        <w:spacing w:before="0" w:after="60"/>
        <w:ind w:left="600"/>
      </w:pPr>
      <w:r>
        <w:rPr>
          <w:color w:val="0064B4"/>
          <w:sz w:val="15"/>
        </w:rPr>
        <w:t>Source : https://news.google.com/rss/articles/CBMi8wFBVV95cUxPOFplQ3lLZXpkRnlwa2RPLWcxZlJ</w:t>
      </w:r>
    </w:p>
    <w:p>
      <w:pPr>
        <w:spacing w:before="40" w:after="40"/>
        <w:ind w:left="360"/>
      </w:pPr>
      <w:r>
        <w:rPr>
          <w:color w:val="646464"/>
          <w:sz w:val="17"/>
        </w:rPr>
        <w:t xml:space="preserve">[06/08/2026] ⚪  </w:t>
      </w:r>
      <w:r>
        <w:rPr>
          <w:b/>
          <w:color w:val="505050"/>
          <w:sz w:val="18"/>
        </w:rPr>
        <w:t>Sénégal : Abdou Khadir Sow quitte le PRP pour soutenir Diomaye Faye - Africtelegraph</w:t>
      </w:r>
      <w:r>
        <w:rPr>
          <w:color w:val="787878"/>
          <w:sz w:val="15"/>
        </w:rPr>
        <w:t xml:space="preserve">  [politique]</w:t>
      </w:r>
      <w:r>
        <w:rPr>
          <w:color w:val="B47800"/>
          <w:sz w:val="16"/>
        </w:rPr>
        <w:t xml:space="preserve">  ★ 50/10</w:t>
      </w:r>
    </w:p>
    <w:p>
      <w:pPr>
        <w:spacing w:before="0" w:after="20"/>
        <w:ind w:left="600"/>
      </w:pPr>
      <w:r>
        <w:rPr>
          <w:color w:val="323232"/>
          <w:sz w:val="17"/>
        </w:rPr>
        <w:t>Abdou Khadir Sow, figure politique sénégalaise, quitte le Parti pour le Réveil et le Progrès (PRP) pour apporter son soutien à Diomaye Faye, candidat à la présidentielle. Ce ralliement intervient dans un contexte politique tendu au Sénégal, pays membre de l'UEMOA. L'événement pourrait influencer la dynamique électorale et la stabilité politique, av</w:t>
      </w:r>
    </w:p>
    <w:p>
      <w:pPr>
        <w:spacing w:before="0" w:after="40"/>
        <w:ind w:left="600"/>
      </w:pPr>
      <w:r>
        <w:rPr>
          <w:color w:val="00643C"/>
          <w:sz w:val="16"/>
        </w:rPr>
        <w:t>Points clés : Départ d'Abdou Khadir Sow du PRP  •  Soutien apporté à Diomaye Faye  •  Contexte politique sénégalais et implications pour l'UEMOA</w:t>
      </w:r>
    </w:p>
    <w:p>
      <w:pPr>
        <w:spacing w:before="0" w:after="60"/>
        <w:ind w:left="600"/>
      </w:pPr>
      <w:r>
        <w:rPr>
          <w:color w:val="0064B4"/>
          <w:sz w:val="15"/>
        </w:rPr>
        <w:t>Source : https://news.google.com/rss/articles/CBMinwFBVV95cUxNeV9oTmRJcmpRR1NvRktCTFoxRUt</w:t>
      </w:r>
    </w:p>
    <w:p>
      <w:pPr>
        <w:spacing w:before="120" w:after="40"/>
      </w:pPr>
      <w:r>
        <w:rPr>
          <w:b/>
          <w:color w:val="00467F"/>
          <w:sz w:val="20"/>
        </w:rPr>
        <w:t>🔑 économique  (7 alerte(s))</w:t>
      </w:r>
    </w:p>
    <w:p>
      <w:pPr>
        <w:spacing w:before="40" w:after="40"/>
        <w:ind w:left="360"/>
      </w:pPr>
      <w:r>
        <w:rPr>
          <w:color w:val="646464"/>
          <w:sz w:val="17"/>
        </w:rPr>
        <w:t xml:space="preserve">[06/08/2026] 🟢  </w:t>
      </w:r>
      <w:r>
        <w:rPr>
          <w:b/>
          <w:color w:val="008000"/>
          <w:sz w:val="18"/>
        </w:rPr>
        <w:t xml:space="preserve">Décryptage - Kalilou SYLLA, Commissaire aux Affaires économiques et à l'Agriculture de la CEDEAO - Côte d'Ivoire : « La </w:t>
      </w:r>
      <w:r>
        <w:rPr>
          <w:color w:val="787878"/>
          <w:sz w:val="15"/>
        </w:rPr>
        <w:t xml:space="preserve">  [économique]</w:t>
      </w:r>
      <w:r>
        <w:rPr>
          <w:color w:val="B47800"/>
          <w:sz w:val="16"/>
        </w:rPr>
        <w:t xml:space="preserve">  ★ 50/10</w:t>
      </w:r>
    </w:p>
    <w:p>
      <w:pPr>
        <w:spacing w:before="0" w:after="20"/>
        <w:ind w:left="600"/>
      </w:pPr>
      <w:r>
        <w:rPr>
          <w:color w:val="323232"/>
          <w:sz w:val="17"/>
        </w:rPr>
        <w:t>Le Commissaire aux Affaires économiques et à l'Agriculture de la CEDEAO, Kalilou Sylla, souligne que la souveraineté alimentaire en Afrique de l'Ouest ne peut être réalisée sans un écosystème fiable qui fédère tous les acteurs de la filière agricole. Il insiste sur la nécessité de renforcer les chaînes de valeur, d'améliorer l'accès aux financement</w:t>
      </w:r>
    </w:p>
    <w:p>
      <w:pPr>
        <w:spacing w:before="0" w:after="40"/>
        <w:ind w:left="600"/>
      </w:pPr>
      <w:r>
        <w:rPr>
          <w:color w:val="00643C"/>
          <w:sz w:val="16"/>
        </w:rPr>
        <w:t>Points clés : La souveraineté alimentaire nécessite un écosystème fiable et inclusif.  •  La CEDEAO mise sur la coordination régionale et le financement agricole.</w:t>
      </w:r>
    </w:p>
    <w:p>
      <w:pPr>
        <w:spacing w:before="0" w:after="60"/>
        <w:ind w:left="600"/>
      </w:pPr>
      <w:r>
        <w:rPr>
          <w:color w:val="0064B4"/>
          <w:sz w:val="15"/>
        </w:rPr>
        <w:t>Source : https://news.google.com/rss/articles/CBMirAJBVV95cUxOWDBPWVJjS0U3WnN1akl2NGVjd3V</w:t>
      </w:r>
    </w:p>
    <w:p>
      <w:pPr>
        <w:spacing w:before="40" w:after="40"/>
        <w:ind w:left="360"/>
      </w:pPr>
      <w:r>
        <w:rPr>
          <w:color w:val="646464"/>
          <w:sz w:val="17"/>
        </w:rPr>
        <w:t xml:space="preserve">[05/08/2026] ⚪  </w:t>
      </w:r>
      <w:r>
        <w:rPr>
          <w:b/>
          <w:color w:val="505050"/>
          <w:sz w:val="18"/>
        </w:rPr>
        <w:t>La Guinée renonce à intégrer la monnaie unique Eco - lebrief.ma</w:t>
      </w:r>
      <w:r>
        <w:rPr>
          <w:color w:val="787878"/>
          <w:sz w:val="15"/>
        </w:rPr>
        <w:t xml:space="preserve">  [économique]</w:t>
      </w:r>
      <w:r>
        <w:rPr>
          <w:color w:val="B47800"/>
          <w:sz w:val="16"/>
        </w:rPr>
        <w:t xml:space="preserve">  ★ 50/10</w:t>
      </w:r>
    </w:p>
    <w:p>
      <w:pPr>
        <w:spacing w:before="0" w:after="20"/>
        <w:ind w:left="600"/>
      </w:pPr>
      <w:r>
        <w:rPr>
          <w:color w:val="323232"/>
          <w:sz w:val="17"/>
        </w:rPr>
        <w:t>La Guinée a annoncé qu'elle renonce à intégrer la monnaie unique Eco, projet de monnaie commune de la CEDEAO. Cette décision marque un retrait significatif de ce pays dans le processus d'intégration monétaire régionale. Elle pourrait refléter des préoccupations sur la convergence économique et la souveraineté monétaire. Cette nouvelle intervient da</w:t>
      </w:r>
    </w:p>
    <w:p>
      <w:pPr>
        <w:spacing w:before="0" w:after="40"/>
        <w:ind w:left="600"/>
      </w:pPr>
      <w:r>
        <w:rPr>
          <w:color w:val="00643C"/>
          <w:sz w:val="16"/>
        </w:rPr>
        <w:t>Points clés : La Guinée renonce officiellement à adopter la monnaie unique Eco.  •  Cette décision affecte le projet d'intégration monétaire de la CEDEAO.  •  Les raisons évoquées incluent probablement des critères de convergence non remplis et des enjeux de souveraineté.</w:t>
      </w:r>
    </w:p>
    <w:p>
      <w:pPr>
        <w:spacing w:before="0" w:after="60"/>
        <w:ind w:left="600"/>
      </w:pPr>
      <w:r>
        <w:rPr>
          <w:color w:val="0064B4"/>
          <w:sz w:val="15"/>
        </w:rPr>
        <w:t>Source : https://news.google.com/rss/articles/CBMipAFBVV95cUxPR1hWNHFhakVrT1l0M21tVEtpcFU</w:t>
      </w:r>
    </w:p>
    <w:p>
      <w:pPr>
        <w:spacing w:before="40" w:after="40"/>
        <w:ind w:left="360"/>
      </w:pPr>
      <w:r>
        <w:rPr>
          <w:color w:val="646464"/>
          <w:sz w:val="17"/>
        </w:rPr>
        <w:t xml:space="preserve">[05/08/2026] 🔴  </w:t>
      </w:r>
      <w:r>
        <w:rPr>
          <w:b/>
          <w:color w:val="C00000"/>
          <w:sz w:val="18"/>
        </w:rPr>
        <w:t>CEDEAO : La Guinée renonce au projet de monnaie unique - Sahel Intelligence</w:t>
      </w:r>
      <w:r>
        <w:rPr>
          <w:color w:val="787878"/>
          <w:sz w:val="15"/>
        </w:rPr>
        <w:t xml:space="preserve">  [économique]</w:t>
      </w:r>
      <w:r>
        <w:rPr>
          <w:color w:val="B47800"/>
          <w:sz w:val="16"/>
        </w:rPr>
        <w:t xml:space="preserve">  ★ 50/10</w:t>
      </w:r>
    </w:p>
    <w:p>
      <w:pPr>
        <w:spacing w:before="0" w:after="20"/>
        <w:ind w:left="600"/>
      </w:pPr>
      <w:r>
        <w:rPr>
          <w:color w:val="323232"/>
          <w:sz w:val="17"/>
        </w:rPr>
        <w:t>La Guinée a officiellement renoncé au projet de monnaie unique de la CEDEAO, une décision qui reflète les divergences persistantes entre les États membres sur l'intégration monétaire régionale. Ce retrait pourrait affaiblir la dynamique d'harmonisation économique au sein de la zone, mais il réduit également les incertitudes liées à une transition m</w:t>
      </w:r>
    </w:p>
    <w:p>
      <w:pPr>
        <w:spacing w:before="0" w:after="40"/>
        <w:ind w:left="600"/>
      </w:pPr>
      <w:r>
        <w:rPr>
          <w:color w:val="00643C"/>
          <w:sz w:val="16"/>
        </w:rPr>
        <w:t>Points clés : La Guinée se retire du projet de monnaie unique de la CEDEAO.  •  Ce retrait souligne les difficultés de convergence économique et politique dans la région.  •  La décision pourrait avoir des répercussions sur les échanges commerciaux et les investissements en Afrique de l'Ouest.</w:t>
      </w:r>
    </w:p>
    <w:p>
      <w:pPr>
        <w:spacing w:before="0" w:after="60"/>
        <w:ind w:left="600"/>
      </w:pPr>
      <w:r>
        <w:rPr>
          <w:color w:val="0064B4"/>
          <w:sz w:val="15"/>
        </w:rPr>
        <w:t>Source : https://news.google.com/rss/articles/CBMimgFBVV95cUxOVHNhSEdncmcwR1ZDeHRHZkR4dWQ</w:t>
      </w:r>
    </w:p>
    <w:p>
      <w:pPr>
        <w:spacing w:before="40" w:after="40"/>
        <w:ind w:left="360"/>
      </w:pPr>
      <w:r>
        <w:rPr>
          <w:color w:val="646464"/>
          <w:sz w:val="17"/>
        </w:rPr>
        <w:t xml:space="preserve">[05/08/2026] 🟢  </w:t>
      </w:r>
      <w:r>
        <w:rPr>
          <w:b/>
          <w:color w:val="008000"/>
          <w:sz w:val="18"/>
        </w:rPr>
        <w:t>Afrique de l’Ouest: la BIDC prévoit une croissance de 4,7% en 2026 puis 4,9% en 2027 - Africa News Agency</w:t>
      </w:r>
      <w:r>
        <w:rPr>
          <w:color w:val="787878"/>
          <w:sz w:val="15"/>
        </w:rPr>
        <w:t xml:space="preserve">  [économique]</w:t>
      </w:r>
      <w:r>
        <w:rPr>
          <w:color w:val="B47800"/>
          <w:sz w:val="16"/>
        </w:rPr>
        <w:t xml:space="preserve">  ★ 50/10</w:t>
      </w:r>
    </w:p>
    <w:p>
      <w:pPr>
        <w:spacing w:before="0" w:after="20"/>
        <w:ind w:left="600"/>
      </w:pPr>
      <w:r>
        <w:rPr>
          <w:color w:val="323232"/>
          <w:sz w:val="17"/>
        </w:rPr>
        <w:t>La Banque d'Investissement et de Développement de la CEDEAO (BIDC) prévoit une croissance économique de 4,7% pour l'Afrique de l'Ouest en 2026, puis de 4,9% en 2027. Ces prévisions indiquent une dynamique positive pour la région, soutenue par des investissements et des réformes structurelles. Cette perspective de croissance pourrait renforcer la co</w:t>
      </w:r>
    </w:p>
    <w:p>
      <w:pPr>
        <w:spacing w:before="0" w:after="40"/>
        <w:ind w:left="600"/>
      </w:pPr>
      <w:r>
        <w:rPr>
          <w:color w:val="00643C"/>
          <w:sz w:val="16"/>
        </w:rPr>
        <w:t>Points clés : Croissance de 4,7% prévue en 2026 pour l'Afrique de l'Ouest.  •  Croissance de 4,9% prévue en 2027, en légère accélération.  •  Prévisions émises par la BIDC, institution financière régionale.</w:t>
      </w:r>
    </w:p>
    <w:p>
      <w:pPr>
        <w:spacing w:before="0" w:after="60"/>
        <w:ind w:left="600"/>
      </w:pPr>
      <w:r>
        <w:rPr>
          <w:color w:val="0064B4"/>
          <w:sz w:val="15"/>
        </w:rPr>
        <w:t>Source : https://news.google.com/rss/articles/CBMirwFBVV95cUxQcXVmRndSMGFKZkpCdWxuWG9nZXZ</w:t>
      </w:r>
    </w:p>
    <w:p>
      <w:pPr>
        <w:spacing w:before="40" w:after="40"/>
        <w:ind w:left="360"/>
      </w:pPr>
      <w:r>
        <w:rPr>
          <w:color w:val="646464"/>
          <w:sz w:val="17"/>
        </w:rPr>
        <w:t xml:space="preserve">[05/08/2026] ⚪  </w:t>
      </w:r>
      <w:r>
        <w:rPr>
          <w:b/>
          <w:color w:val="505050"/>
          <w:sz w:val="18"/>
        </w:rPr>
        <w:t>La CEDEAO impose un front uni face à l’AES et bannit le bilatéral - Africtelegraph</w:t>
      </w:r>
      <w:r>
        <w:rPr>
          <w:color w:val="787878"/>
          <w:sz w:val="15"/>
        </w:rPr>
        <w:t xml:space="preserve">  [économique]</w:t>
      </w:r>
      <w:r>
        <w:rPr>
          <w:color w:val="B47800"/>
          <w:sz w:val="16"/>
        </w:rPr>
        <w:t xml:space="preserve">  ★ 50/10</w:t>
      </w:r>
    </w:p>
    <w:p>
      <w:pPr>
        <w:spacing w:before="0" w:after="20"/>
        <w:ind w:left="600"/>
      </w:pPr>
      <w:r>
        <w:rPr>
          <w:color w:val="323232"/>
          <w:sz w:val="17"/>
        </w:rPr>
        <w:t>La CEDEAO a décidé de présenter un front uni face à l'Alliance des États du Sahel (AES), en interdisant toute négociation bilatérale avec les pays membres de cette alliance. Cette décision vise à renforcer la cohésion régionale et à éviter que des accords individuels ne fragilisent la position de l'organisation. Elle marque une étape importante dan</w:t>
      </w:r>
    </w:p>
    <w:p>
      <w:pPr>
        <w:spacing w:before="0" w:after="40"/>
        <w:ind w:left="600"/>
      </w:pPr>
      <w:r>
        <w:rPr>
          <w:color w:val="00643C"/>
          <w:sz w:val="16"/>
        </w:rPr>
        <w:t>Points clés : La CEDEAO impose une position commune et interdit les négociations bilatérales avec l'AES.  •  Cette décision vise à renforcer l'unité régionale face à la défection de certains pays membres.</w:t>
      </w:r>
    </w:p>
    <w:p>
      <w:pPr>
        <w:spacing w:before="0" w:after="60"/>
        <w:ind w:left="600"/>
      </w:pPr>
      <w:r>
        <w:rPr>
          <w:color w:val="0064B4"/>
          <w:sz w:val="15"/>
        </w:rPr>
        <w:t>Source : https://news.google.com/rss/articles/CBMingFBVV95cUxQeFJIN21IVUFuU25XcHcyVXF2T2x</w:t>
      </w:r>
    </w:p>
    <w:p>
      <w:pPr>
        <w:spacing w:before="120" w:after="40"/>
      </w:pPr>
      <w:r>
        <w:rPr>
          <w:b/>
          <w:color w:val="00467F"/>
          <w:sz w:val="20"/>
        </w:rPr>
        <w:t>🔑 matieres_premieres  (1 alerte(s))</w:t>
      </w:r>
    </w:p>
    <w:p>
      <w:pPr>
        <w:spacing w:before="40" w:after="40"/>
        <w:ind w:left="360"/>
      </w:pPr>
      <w:r>
        <w:rPr>
          <w:color w:val="646464"/>
          <w:sz w:val="17"/>
        </w:rPr>
        <w:t xml:space="preserve">[05/08/2026] 🔴  </w:t>
      </w:r>
      <w:r>
        <w:rPr>
          <w:b/>
          <w:color w:val="C00000"/>
          <w:sz w:val="18"/>
        </w:rPr>
        <w:t>Les prix du pétrole et du maïs s'effondrent simultanément. - Vietnam.vn</w:t>
      </w:r>
      <w:r>
        <w:rPr>
          <w:color w:val="787878"/>
          <w:sz w:val="15"/>
        </w:rPr>
        <w:t xml:space="preserve">  [matieres_premieres]</w:t>
      </w:r>
      <w:r>
        <w:rPr>
          <w:color w:val="B47800"/>
          <w:sz w:val="16"/>
        </w:rPr>
        <w:t xml:space="preserve">  ★ 50/10</w:t>
      </w:r>
    </w:p>
    <w:p>
      <w:pPr>
        <w:spacing w:before="0" w:after="20"/>
        <w:ind w:left="600"/>
      </w:pPr>
      <w:r>
        <w:rPr>
          <w:color w:val="323232"/>
          <w:sz w:val="17"/>
        </w:rPr>
        <w:t xml:space="preserve">Les prix du pétrole et du maïs ont chuté simultanément sur les marchés internationaux, selon Vietnam.vn. Cette baisse conjointe reflète des pressions baissières sur les matières premières, probablement liées à des facteurs macroéconomiques ou à une offre abondante. Pour la BRVM, cette évolution pourrait avoir des implications contrastées selon les </w:t>
      </w:r>
    </w:p>
    <w:p>
      <w:pPr>
        <w:spacing w:before="0" w:after="40"/>
        <w:ind w:left="600"/>
      </w:pPr>
      <w:r>
        <w:rPr>
          <w:color w:val="00643C"/>
          <w:sz w:val="16"/>
        </w:rPr>
        <w:t>Points clés : Chute simultanée des prix du pétrole et du maïs.  •  Impact potentiel sur les coûts de production et les marges des entreprises.  •  Contexte international de baisse des matières premières.</w:t>
      </w:r>
    </w:p>
    <w:p>
      <w:pPr>
        <w:spacing w:before="0" w:after="60"/>
        <w:ind w:left="600"/>
      </w:pPr>
      <w:r>
        <w:rPr>
          <w:color w:val="0064B4"/>
          <w:sz w:val="15"/>
        </w:rPr>
        <w:t>Source : https://news.google.com/rss/articles/CBMiakFVX3lxTE1aRU9LNnE1Zy15anhGUmZkYkVndDR</w:t>
      </w:r>
    </w:p>
    <w:p>
      <w:pPr>
        <w:spacing w:before="120" w:after="40"/>
      </w:pPr>
      <w:r>
        <w:rPr>
          <w:b/>
          <w:color w:val="00467F"/>
          <w:sz w:val="20"/>
        </w:rPr>
        <w:t>🔑 marche_financier  (1 alerte(s))</w:t>
      </w:r>
    </w:p>
    <w:p>
      <w:pPr>
        <w:spacing w:before="40" w:after="40"/>
        <w:ind w:left="360"/>
      </w:pPr>
      <w:r>
        <w:rPr>
          <w:color w:val="646464"/>
          <w:sz w:val="17"/>
        </w:rPr>
        <w:t xml:space="preserve">[04/08/2026] 🟢  </w:t>
      </w:r>
      <w:r>
        <w:rPr>
          <w:b/>
          <w:color w:val="008000"/>
          <w:sz w:val="18"/>
        </w:rPr>
        <w:t>Achat d'actions à la BRVM : Comment la digitalisation révolutionne l'accès aux investisseurs individuels - Sika Finance</w:t>
      </w:r>
      <w:r>
        <w:rPr>
          <w:color w:val="787878"/>
          <w:sz w:val="15"/>
        </w:rPr>
        <w:t xml:space="preserve">  [marche_financier]</w:t>
      </w:r>
      <w:r>
        <w:rPr>
          <w:color w:val="B47800"/>
          <w:sz w:val="16"/>
        </w:rPr>
        <w:t xml:space="preserve">  ★ 50/10</w:t>
      </w:r>
    </w:p>
    <w:p>
      <w:pPr>
        <w:spacing w:before="0" w:after="20"/>
        <w:ind w:left="600"/>
      </w:pPr>
      <w:r>
        <w:rPr>
          <w:color w:val="323232"/>
          <w:sz w:val="17"/>
        </w:rPr>
        <w:t>La digitalisation transforme l'accès des investisseurs individuels à la BRVM, facilitant l'achat d'actions via des plateformes en ligne et des applications mobiles. Cette évolution réduit les barrières traditionnelles comme les frais élevés et la complexité administrative, permettant une participation plus large. Les investisseurs peuvent désormais</w:t>
      </w:r>
    </w:p>
    <w:p>
      <w:pPr>
        <w:spacing w:before="0" w:after="40"/>
        <w:ind w:left="600"/>
      </w:pPr>
      <w:r>
        <w:rPr>
          <w:color w:val="00643C"/>
          <w:sz w:val="16"/>
        </w:rPr>
        <w:t>Points clés : Réduction des barrières à l'entrée pour les investisseurs individuels grâce aux plateformes numériques.  •  Augmentation potentielle de la liquidité et du nombre de participants sur la BRVM.</w:t>
      </w:r>
    </w:p>
    <w:p>
      <w:pPr>
        <w:spacing w:before="0" w:after="60"/>
        <w:ind w:left="600"/>
      </w:pPr>
      <w:r>
        <w:rPr>
          <w:color w:val="0064B4"/>
          <w:sz w:val="15"/>
        </w:rPr>
        <w:t>Source : https://news.google.com/rss/articles/CBMi3AFBVV95cUxNU3Zjcy02WFhpRkhhbDM3dDRVV09</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3,500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11,600</w:t>
            </w:r>
          </w:p>
        </w:tc>
        <w:tc>
          <w:tcPr>
            <w:tcW w:type="dxa" w:w="1080"/>
            <w:shd w:fill="C6EFCE" w:val="clear"/>
          </w:tcPr>
          <w:p>
            <w:r>
              <w:rPr>
                <w:b/>
                <w:sz w:val="16"/>
              </w:rPr>
              <w:t>76/100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2,115</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1,900</w:t>
            </w:r>
          </w:p>
        </w:tc>
        <w:tc>
          <w:tcPr>
            <w:tcW w:type="dxa" w:w="1080"/>
            <w:shd w:fill="C6EFCE" w:val="clear"/>
          </w:tcPr>
          <w:p>
            <w:r>
              <w:rPr>
                <w:b/>
                <w:sz w:val="16"/>
              </w:rPr>
              <w:t>75/100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3,550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9,300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STBC</w:t>
            </w:r>
          </w:p>
        </w:tc>
        <w:tc>
          <w:tcPr>
            <w:tcW w:type="dxa" w:w="1080"/>
            <w:shd w:fill="C6EFCE" w:val="clear"/>
          </w:tcPr>
          <w:p>
            <w:r>
              <w:rPr>
                <w:sz w:val="16"/>
              </w:rPr>
              <w:t>CONSOMMATION DE BA</w:t>
            </w:r>
          </w:p>
        </w:tc>
        <w:tc>
          <w:tcPr>
            <w:tcW w:type="dxa" w:w="1080"/>
            <w:shd w:fill="C6EFCE" w:val="clear"/>
          </w:tcPr>
          <w:p>
            <w:r>
              <w:rPr>
                <w:sz w:val="16"/>
              </w:rPr>
              <w:t>24,980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2,805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7,595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ETIT</w:t>
            </w:r>
          </w:p>
        </w:tc>
        <w:tc>
          <w:tcPr>
            <w:tcW w:type="dxa" w:w="1080"/>
            <w:shd w:fill="C6EFCE" w:val="clear"/>
          </w:tcPr>
          <w:p>
            <w:r>
              <w:rPr>
                <w:sz w:val="16"/>
              </w:rPr>
              <w:t>SERVICES FINANCIER</w:t>
            </w:r>
          </w:p>
        </w:tc>
        <w:tc>
          <w:tcPr>
            <w:tcW w:type="dxa" w:w="1080"/>
            <w:shd w:fill="C6EFCE" w:val="clear"/>
          </w:tcPr>
          <w:p>
            <w:r>
              <w:rPr>
                <w:sz w:val="16"/>
              </w:rPr>
              <w:t>65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17,175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3,125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8,980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2,290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2,125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5,020</w:t>
            </w:r>
          </w:p>
        </w:tc>
        <w:tc>
          <w:tcPr>
            <w:tcW w:type="dxa" w:w="1080"/>
            <w:shd w:fill="C6EFCE" w:val="clear"/>
          </w:tcPr>
          <w:p>
            <w:r>
              <w:rPr>
                <w:b/>
                <w:sz w:val="16"/>
              </w:rPr>
              <w:t>71/100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2,675</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5,250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5,200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16,200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2,940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2,530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7,230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5,590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BOAS</w:t>
            </w:r>
          </w:p>
        </w:tc>
        <w:tc>
          <w:tcPr>
            <w:tcW w:type="dxa" w:w="1080"/>
            <w:shd w:fill="EBF5FB" w:val="clear"/>
          </w:tcPr>
          <w:p>
            <w:r>
              <w:rPr>
                <w:sz w:val="16"/>
              </w:rPr>
              <w:t>SERVICES FINANCIER</w:t>
            </w:r>
          </w:p>
        </w:tc>
        <w:tc>
          <w:tcPr>
            <w:tcW w:type="dxa" w:w="1080"/>
            <w:shd w:fill="EBF5FB" w:val="clear"/>
          </w:tcPr>
          <w:p>
            <w:r>
              <w:rPr>
                <w:sz w:val="16"/>
              </w:rPr>
              <w:t>7,710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2,000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4,300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16,595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SNTS</w:t>
            </w:r>
          </w:p>
        </w:tc>
        <w:tc>
          <w:tcPr>
            <w:tcW w:type="dxa" w:w="1080"/>
            <w:shd w:fill="EBF5FB" w:val="clear"/>
          </w:tcPr>
          <w:p>
            <w:r>
              <w:rPr>
                <w:sz w:val="16"/>
              </w:rPr>
              <w:t>TELECOMMUNICATIONS</w:t>
            </w:r>
          </w:p>
        </w:tc>
        <w:tc>
          <w:tcPr>
            <w:tcW w:type="dxa" w:w="1080"/>
            <w:shd w:fill="EBF5FB" w:val="clear"/>
          </w:tcPr>
          <w:p>
            <w:r>
              <w:rPr>
                <w:sz w:val="16"/>
              </w:rPr>
              <w:t>31,000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1,900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8,710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3,550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1,700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4,480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16,550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7,600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23,550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37,000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29,100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3,010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8,100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11,900</w:t>
            </w:r>
          </w:p>
        </w:tc>
        <w:tc>
          <w:tcPr>
            <w:tcW w:type="dxa" w:w="1080"/>
            <w:shd w:fill="EBF5FB" w:val="clear"/>
          </w:tcPr>
          <w:p>
            <w:r>
              <w:rPr>
                <w:b/>
                <w:sz w:val="16"/>
              </w:rPr>
              <w:t>59/100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7,085</w:t>
            </w:r>
          </w:p>
        </w:tc>
        <w:tc>
          <w:tcPr>
            <w:tcW w:type="dxa" w:w="1080"/>
            <w:shd w:fill="EBF5FB" w:val="clear"/>
          </w:tcPr>
          <w:p>
            <w:r>
              <w:rPr>
                <w:b/>
                <w:sz w:val="16"/>
              </w:rPr>
              <w:t>58/100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1,445</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45</w:t>
            </w:r>
          </w:p>
        </w:tc>
        <w:tc>
          <w:tcPr>
            <w:tcW w:type="dxa" w:w="1080"/>
            <w:shd w:fill="FEFEFE" w:val="clear"/>
          </w:tcPr>
          <w:p>
            <w:r>
              <w:rPr>
                <w:sz w:val="16"/>
              </w:rPr>
              <w:t>CBIBF</w:t>
            </w:r>
          </w:p>
        </w:tc>
        <w:tc>
          <w:tcPr>
            <w:tcW w:type="dxa" w:w="1080"/>
            <w:shd w:fill="FEFEFE" w:val="clear"/>
          </w:tcPr>
          <w:p>
            <w:r>
              <w:rPr>
                <w:sz w:val="16"/>
              </w:rPr>
              <w:t>SERVICES FINANCIER</w:t>
            </w:r>
          </w:p>
        </w:tc>
        <w:tc>
          <w:tcPr>
            <w:tcW w:type="dxa" w:w="1080"/>
            <w:shd w:fill="FEFEFE" w:val="clear"/>
          </w:tcPr>
          <w:p>
            <w:r>
              <w:rPr>
                <w:sz w:val="16"/>
              </w:rPr>
              <w:t>28,305</w:t>
            </w:r>
          </w:p>
        </w:tc>
        <w:tc>
          <w:tcPr>
            <w:tcW w:type="dxa" w:w="1080"/>
            <w:shd w:fill="FEFEFE" w:val="clear"/>
          </w:tcPr>
          <w:p>
            <w:r>
              <w:rPr>
                <w:b/>
                <w:sz w:val="16"/>
              </w:rPr>
              <w:t>53/100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 ⚠️</w:t>
            </w:r>
          </w:p>
        </w:tc>
      </w:tr>
      <w:tr>
        <w:tc>
          <w:tcPr>
            <w:tcW w:type="dxa" w:w="1080"/>
            <w:shd w:fill="FEFEFE" w:val="clear"/>
          </w:tcPr>
          <w:p>
            <w:r>
              <w:rPr>
                <w:sz w:val="16"/>
              </w:rPr>
              <w:t>46</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54,595</w:t>
            </w:r>
          </w:p>
        </w:tc>
        <w:tc>
          <w:tcPr>
            <w:tcW w:type="dxa" w:w="1080"/>
            <w:shd w:fill="FEFEFE" w:val="clear"/>
          </w:tcPr>
          <w:p>
            <w:r>
              <w:rPr>
                <w:b/>
                <w:sz w:val="16"/>
              </w:rPr>
              <w:t>53/100  (Moyen)</w:t>
            </w:r>
          </w:p>
        </w:tc>
        <w:tc>
          <w:tcPr>
            <w:tcW w:type="dxa" w:w="1080"/>
            <w:shd w:fill="FEFEFE" w:val="clear"/>
          </w:tcPr>
          <w:p>
            <w:r>
              <w:rPr>
                <w:sz w:val="16"/>
              </w:rPr>
              <w:t>NEUTRE</w:t>
            </w:r>
          </w:p>
        </w:tc>
        <w:tc>
          <w:tcPr>
            <w:tcW w:type="dxa" w:w="1080"/>
            <w:shd w:fill="FEFEFE" w:val="clear"/>
          </w:tcPr>
          <w:p>
            <w:r>
              <w:rPr>
                <w:sz w:val="16"/>
              </w:rPr>
              <w:t>ACHAT</w:t>
            </w:r>
          </w:p>
        </w:tc>
        <w:tc>
          <w:tcPr>
            <w:tcW w:type="dxa" w:w="1080"/>
            <w:shd w:fill="FEFEFE"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SGBC</w:t>
            </w:r>
          </w:p>
        </w:tc>
        <w:tc>
          <w:tcPr>
            <w:tcW w:type="dxa" w:w="1080"/>
            <w:shd w:fill="FEFEFE" w:val="clear"/>
          </w:tcPr>
          <w:p>
            <w:r>
              <w:rPr>
                <w:sz w:val="16"/>
              </w:rPr>
              <w:t>SERVICES FINANCIER</w:t>
            </w:r>
          </w:p>
        </w:tc>
        <w:tc>
          <w:tcPr>
            <w:tcW w:type="dxa" w:w="1080"/>
            <w:shd w:fill="FEFEFE" w:val="clear"/>
          </w:tcPr>
          <w:p>
            <w:r>
              <w:rPr>
                <w:sz w:val="16"/>
              </w:rPr>
              <w:t>38,000</w:t>
            </w:r>
          </w:p>
        </w:tc>
        <w:tc>
          <w:tcPr>
            <w:tcW w:type="dxa" w:w="1080"/>
            <w:shd w:fill="FEFEFE" w:val="clear"/>
          </w:tcPr>
          <w:p>
            <w:r>
              <w:rPr>
                <w:b/>
                <w:sz w:val="16"/>
              </w:rPr>
              <w:t>44/100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BOAC</w:t>
            </w:r>
          </w:p>
        </w:tc>
        <w:tc>
          <w:tcPr>
            <w:tcW w:type="dxa" w:w="1728"/>
            <w:shd w:fill="DEEAF1" w:val="clear"/>
          </w:tcPr>
          <w:p>
            <w:r>
              <w:rPr>
                <w:sz w:val="17"/>
              </w:rPr>
              <w:t>BANK OF AFRICA COTE D'IVOIRE</w:t>
            </w:r>
          </w:p>
        </w:tc>
        <w:tc>
          <w:tcPr>
            <w:tcW w:type="dxa" w:w="1728"/>
            <w:shd w:fill="DEEAF1" w:val="clear"/>
          </w:tcPr>
          <w:p>
            <w:r>
              <w:rPr>
                <w:sz w:val="17"/>
              </w:rPr>
              <w:t>11,600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1,900</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9,300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STBC</w:t>
            </w:r>
          </w:p>
        </w:tc>
        <w:tc>
          <w:tcPr>
            <w:tcW w:type="dxa" w:w="1728"/>
            <w:shd w:fill="DEEAF1" w:val="clear"/>
          </w:tcPr>
          <w:p>
            <w:r>
              <w:rPr>
                <w:sz w:val="17"/>
              </w:rPr>
              <w:t>STBC - SITAB COTE D'IVOIRE</w:t>
            </w:r>
          </w:p>
        </w:tc>
        <w:tc>
          <w:tcPr>
            <w:tcW w:type="dxa" w:w="1728"/>
            <w:shd w:fill="DEEAF1" w:val="clear"/>
          </w:tcPr>
          <w:p>
            <w:r>
              <w:rPr>
                <w:sz w:val="17"/>
              </w:rPr>
              <w:t>24,980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TTLC</w:t>
            </w:r>
          </w:p>
        </w:tc>
        <w:tc>
          <w:tcPr>
            <w:tcW w:type="dxa" w:w="1728"/>
            <w:shd w:fill="DEEAF1" w:val="clear"/>
          </w:tcPr>
          <w:p>
            <w:r>
              <w:rPr>
                <w:sz w:val="17"/>
              </w:rPr>
              <w:t>TTLC - TOTAL ENERGIES MARKET</w:t>
            </w:r>
          </w:p>
        </w:tc>
        <w:tc>
          <w:tcPr>
            <w:tcW w:type="dxa" w:w="1728"/>
            <w:shd w:fill="DEEAF1" w:val="clear"/>
          </w:tcPr>
          <w:p>
            <w:r>
              <w:rPr>
                <w:sz w:val="17"/>
              </w:rPr>
              <w:t>2,805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BICB</w:t>
            </w:r>
          </w:p>
        </w:tc>
        <w:tc>
          <w:tcPr>
            <w:tcW w:type="dxa" w:w="1728"/>
            <w:shd w:fill="DEEAF1" w:val="clear"/>
          </w:tcPr>
          <w:p>
            <w:r>
              <w:rPr>
                <w:sz w:val="17"/>
              </w:rPr>
              <w:t>BIIC BN - Banque internation</w:t>
            </w:r>
          </w:p>
        </w:tc>
        <w:tc>
          <w:tcPr>
            <w:tcW w:type="dxa" w:w="1728"/>
            <w:shd w:fill="DEEAF1" w:val="clear"/>
          </w:tcPr>
          <w:p>
            <w:r>
              <w:rPr>
                <w:sz w:val="17"/>
              </w:rPr>
              <w:t>7,595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ORAC</w:t>
            </w:r>
          </w:p>
        </w:tc>
        <w:tc>
          <w:tcPr>
            <w:tcW w:type="dxa" w:w="1728"/>
            <w:shd w:fill="DEEAF1" w:val="clear"/>
          </w:tcPr>
          <w:p>
            <w:r>
              <w:rPr>
                <w:sz w:val="17"/>
              </w:rPr>
              <w:t>ORAC - ORANGE COTE D'IVOIRE</w:t>
            </w:r>
          </w:p>
        </w:tc>
        <w:tc>
          <w:tcPr>
            <w:tcW w:type="dxa" w:w="1728"/>
            <w:shd w:fill="DEEAF1" w:val="clear"/>
          </w:tcPr>
          <w:p>
            <w:r>
              <w:rPr>
                <w:sz w:val="17"/>
              </w:rPr>
              <w:t>17,175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ORGT</w:t>
            </w:r>
          </w:p>
        </w:tc>
        <w:tc>
          <w:tcPr>
            <w:tcW w:type="dxa" w:w="1728"/>
            <w:shd w:fill="DEEAF1" w:val="clear"/>
          </w:tcPr>
          <w:p>
            <w:r>
              <w:rPr>
                <w:sz w:val="17"/>
              </w:rPr>
              <w:t>ORGT - ORAGROUP TOGO</w:t>
            </w:r>
          </w:p>
        </w:tc>
        <w:tc>
          <w:tcPr>
            <w:tcW w:type="dxa" w:w="1728"/>
            <w:shd w:fill="DEEAF1" w:val="clear"/>
          </w:tcPr>
          <w:p>
            <w:r>
              <w:rPr>
                <w:sz w:val="17"/>
              </w:rPr>
              <w:t>3,125</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TTLS</w:t>
            </w:r>
          </w:p>
        </w:tc>
        <w:tc>
          <w:tcPr>
            <w:tcW w:type="dxa" w:w="1728"/>
            <w:shd w:fill="E2EFDA" w:val="clear"/>
          </w:tcPr>
          <w:p>
            <w:r>
              <w:rPr>
                <w:sz w:val="17"/>
              </w:rPr>
              <w:t>TTLS - TOTAL ENERGIES MARKET</w:t>
            </w:r>
          </w:p>
        </w:tc>
        <w:tc>
          <w:tcPr>
            <w:tcW w:type="dxa" w:w="1728"/>
            <w:shd w:fill="E2EFDA" w:val="clear"/>
          </w:tcPr>
          <w:p>
            <w:r>
              <w:rPr>
                <w:sz w:val="17"/>
              </w:rPr>
              <w:t>3,500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11,600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NEIC</w:t>
            </w:r>
          </w:p>
        </w:tc>
        <w:tc>
          <w:tcPr>
            <w:tcW w:type="dxa" w:w="1728"/>
            <w:shd w:fill="E2EFDA" w:val="clear"/>
          </w:tcPr>
          <w:p>
            <w:r>
              <w:rPr>
                <w:sz w:val="17"/>
              </w:rPr>
              <w:t>NEIC - NEI-CEDA CI</w:t>
            </w:r>
          </w:p>
        </w:tc>
        <w:tc>
          <w:tcPr>
            <w:tcW w:type="dxa" w:w="1728"/>
            <w:shd w:fill="E2EFDA" w:val="clear"/>
          </w:tcPr>
          <w:p>
            <w:r>
              <w:rPr>
                <w:sz w:val="17"/>
              </w:rPr>
              <w:t>2,115</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1,900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3,550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SIBC</w:t>
            </w:r>
          </w:p>
        </w:tc>
        <w:tc>
          <w:tcPr>
            <w:tcW w:type="dxa" w:w="1728"/>
            <w:shd w:fill="E2EFDA" w:val="clear"/>
          </w:tcPr>
          <w:p>
            <w:r>
              <w:rPr>
                <w:sz w:val="17"/>
              </w:rPr>
              <w:t>SIBC - SOCIETE IVOIRIENNE DE</w:t>
            </w:r>
          </w:p>
        </w:tc>
        <w:tc>
          <w:tcPr>
            <w:tcW w:type="dxa" w:w="1728"/>
            <w:shd w:fill="E2EFDA" w:val="clear"/>
          </w:tcPr>
          <w:p>
            <w:r>
              <w:rPr>
                <w:sz w:val="17"/>
              </w:rPr>
              <w:t>9,300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STBC</w:t>
            </w:r>
          </w:p>
        </w:tc>
        <w:tc>
          <w:tcPr>
            <w:tcW w:type="dxa" w:w="1728"/>
            <w:shd w:fill="E2EFDA" w:val="clear"/>
          </w:tcPr>
          <w:p>
            <w:r>
              <w:rPr>
                <w:sz w:val="17"/>
              </w:rPr>
              <w:t>STBC - SITAB COTE D'IVOIRE</w:t>
            </w:r>
          </w:p>
        </w:tc>
        <w:tc>
          <w:tcPr>
            <w:tcW w:type="dxa" w:w="1728"/>
            <w:shd w:fill="E2EFDA" w:val="clear"/>
          </w:tcPr>
          <w:p>
            <w:r>
              <w:rPr>
                <w:sz w:val="17"/>
              </w:rPr>
              <w:t>24,980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TTLC</w:t>
            </w:r>
          </w:p>
        </w:tc>
        <w:tc>
          <w:tcPr>
            <w:tcW w:type="dxa" w:w="1728"/>
            <w:shd w:fill="E2EFDA" w:val="clear"/>
          </w:tcPr>
          <w:p>
            <w:r>
              <w:rPr>
                <w:sz w:val="17"/>
              </w:rPr>
              <w:t>TTLC - TOTAL ENERGIES MARKET</w:t>
            </w:r>
          </w:p>
        </w:tc>
        <w:tc>
          <w:tcPr>
            <w:tcW w:type="dxa" w:w="1728"/>
            <w:shd w:fill="E2EFDA" w:val="clear"/>
          </w:tcPr>
          <w:p>
            <w:r>
              <w:rPr>
                <w:sz w:val="17"/>
              </w:rPr>
              <w:t>2,805</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TTLS</w:t>
            </w:r>
          </w:p>
        </w:tc>
        <w:tc>
          <w:tcPr>
            <w:tcW w:type="dxa" w:w="1728"/>
            <w:shd w:fill="FCE4D6" w:val="clear"/>
          </w:tcPr>
          <w:p>
            <w:r>
              <w:rPr>
                <w:sz w:val="17"/>
              </w:rPr>
              <w:t>TTLS - TOTAL ENERGIES MARKET</w:t>
            </w:r>
          </w:p>
        </w:tc>
        <w:tc>
          <w:tcPr>
            <w:tcW w:type="dxa" w:w="1728"/>
            <w:shd w:fill="FCE4D6" w:val="clear"/>
          </w:tcPr>
          <w:p>
            <w:r>
              <w:rPr>
                <w:sz w:val="17"/>
              </w:rPr>
              <w:t>3,500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11,600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NEIC</w:t>
            </w:r>
          </w:p>
        </w:tc>
        <w:tc>
          <w:tcPr>
            <w:tcW w:type="dxa" w:w="1728"/>
            <w:shd w:fill="FCE4D6" w:val="clear"/>
          </w:tcPr>
          <w:p>
            <w:r>
              <w:rPr>
                <w:sz w:val="17"/>
              </w:rPr>
              <w:t>NEIC - NEI-CEDA CI</w:t>
            </w:r>
          </w:p>
        </w:tc>
        <w:tc>
          <w:tcPr>
            <w:tcW w:type="dxa" w:w="1728"/>
            <w:shd w:fill="FCE4D6" w:val="clear"/>
          </w:tcPr>
          <w:p>
            <w:r>
              <w:rPr>
                <w:sz w:val="17"/>
              </w:rPr>
              <w:t>2,115</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1,900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3,550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SIBC</w:t>
            </w:r>
          </w:p>
        </w:tc>
        <w:tc>
          <w:tcPr>
            <w:tcW w:type="dxa" w:w="1728"/>
            <w:shd w:fill="FCE4D6" w:val="clear"/>
          </w:tcPr>
          <w:p>
            <w:r>
              <w:rPr>
                <w:sz w:val="17"/>
              </w:rPr>
              <w:t>SIBC - SOCIETE IVOIRIENNE DE</w:t>
            </w:r>
          </w:p>
        </w:tc>
        <w:tc>
          <w:tcPr>
            <w:tcW w:type="dxa" w:w="1728"/>
            <w:shd w:fill="FCE4D6" w:val="clear"/>
          </w:tcPr>
          <w:p>
            <w:r>
              <w:rPr>
                <w:sz w:val="17"/>
              </w:rPr>
              <w:t>9,300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STBC</w:t>
            </w:r>
          </w:p>
        </w:tc>
        <w:tc>
          <w:tcPr>
            <w:tcW w:type="dxa" w:w="1728"/>
            <w:shd w:fill="FCE4D6" w:val="clear"/>
          </w:tcPr>
          <w:p>
            <w:r>
              <w:rPr>
                <w:sz w:val="17"/>
              </w:rPr>
              <w:t>STBC - SITAB COTE D'IVOIRE</w:t>
            </w:r>
          </w:p>
        </w:tc>
        <w:tc>
          <w:tcPr>
            <w:tcW w:type="dxa" w:w="1728"/>
            <w:shd w:fill="FCE4D6" w:val="clear"/>
          </w:tcPr>
          <w:p>
            <w:r>
              <w:rPr>
                <w:sz w:val="17"/>
              </w:rPr>
              <w:t>24,980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TTLC</w:t>
            </w:r>
          </w:p>
        </w:tc>
        <w:tc>
          <w:tcPr>
            <w:tcW w:type="dxa" w:w="1728"/>
            <w:shd w:fill="FCE4D6" w:val="clear"/>
          </w:tcPr>
          <w:p>
            <w:r>
              <w:rPr>
                <w:sz w:val="17"/>
              </w:rPr>
              <w:t>TTLC - TOTAL ENERGIES MARKET</w:t>
            </w:r>
          </w:p>
        </w:tc>
        <w:tc>
          <w:tcPr>
            <w:tcW w:type="dxa" w:w="1728"/>
            <w:shd w:fill="FCE4D6" w:val="clear"/>
          </w:tcPr>
          <w:p>
            <w:r>
              <w:rPr>
                <w:sz w:val="17"/>
              </w:rPr>
              <w:t>2,805</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NTLC — NTLC - NESTLE COTE D'IVOIRE</w:t>
      </w:r>
    </w:p>
    <w:p>
      <w:pPr>
        <w:pStyle w:val="ListBullet"/>
        <w:spacing w:before="20"/>
        <w:ind w:left="400"/>
      </w:pPr>
      <w:r>
        <w:rPr>
          <w:sz w:val="18"/>
        </w:rPr>
        <w:t>🔴 RSI surachat (82.7 &gt; 70) — risque de correction</w:t>
      </w:r>
    </w:p>
    <w:p>
      <w:pPr>
        <w:pStyle w:val="ListBullet"/>
        <w:spacing w:before="20"/>
        <w:ind w:left="400"/>
      </w:pPr>
      <w:r>
        <w:rPr>
          <w:sz w:val="18"/>
        </w:rPr>
        <w:t>⚠️ Cours à 0.9% du plus haut 100j (16,750 FCFA)</w:t>
      </w:r>
    </w:p>
    <w:p>
      <w:pPr>
        <w:pStyle w:val="ListBullet"/>
        <w:spacing w:before="20"/>
        <w:ind w:left="400"/>
      </w:pPr>
      <w:r>
        <w:rPr>
          <w:sz w:val="18"/>
        </w:rPr>
        <w:t>🟠 Divergence tech(VENTE) / fond(ACHAT) — recommandation ajustée à ACHAT</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1.3% du plus haut 100j (29,490 FCFA)</w:t>
      </w:r>
    </w:p>
    <w:p>
      <w:pPr>
        <w:pStyle w:val="ListBullet"/>
        <w:spacing w:before="20"/>
        <w:ind w:left="400"/>
      </w:pPr>
      <w:r>
        <w:rPr>
          <w:sz w:val="18"/>
        </w:rPr>
        <w:t>🟠 Divergence tech(VENTE) / fond(ACHAT) — recommandation ajustée à ACHAT</w:t>
      </w:r>
    </w:p>
    <w:p>
      <w:pPr>
        <w:spacing w:before="120"/>
      </w:pPr>
      <w:r>
        <w:rPr>
          <w:b/>
          <w:color w:val="0050A0"/>
          <w:sz w:val="20"/>
        </w:rPr>
        <w:t>BOABF — BANK OF AFRICA BURKINA FASO</w:t>
      </w:r>
    </w:p>
    <w:p>
      <w:pPr>
        <w:pStyle w:val="ListBullet"/>
        <w:spacing w:before="20"/>
        <w:ind w:left="400"/>
      </w:pPr>
      <w:r>
        <w:rPr>
          <w:sz w:val="18"/>
        </w:rPr>
        <w:t>⚠️ Cours à 0.3% du plus haut 100j (7,255 FCFA)</w:t>
      </w:r>
    </w:p>
    <w:p>
      <w:pPr>
        <w:pStyle w:val="ListBullet"/>
        <w:spacing w:before="20"/>
        <w:ind w:left="400"/>
      </w:pPr>
      <w:r>
        <w:rPr>
          <w:sz w:val="18"/>
        </w:rPr>
        <w:t>🟠 Divergence tech(VENTE) / fond(ACHAT) — recommandation ajustée à ACHAT</w:t>
      </w:r>
    </w:p>
    <w:p>
      <w:pPr>
        <w:spacing w:before="120"/>
      </w:pPr>
      <w:r>
        <w:rPr>
          <w:b/>
          <w:color w:val="0050A0"/>
          <w:sz w:val="20"/>
        </w:rPr>
        <w:t>BOAC — BANK OF AFRICA COTE D'IVOIRE</w:t>
      </w:r>
    </w:p>
    <w:p>
      <w:pPr>
        <w:pStyle w:val="ListBullet"/>
        <w:spacing w:before="20"/>
        <w:ind w:left="400"/>
      </w:pPr>
      <w:r>
        <w:rPr>
          <w:sz w:val="18"/>
        </w:rPr>
        <w:t>🔴 RSI surachat (84.8 &gt; 70) — risque de correction</w:t>
      </w:r>
    </w:p>
    <w:p>
      <w:pPr>
        <w:pStyle w:val="ListBullet"/>
        <w:spacing w:before="20"/>
        <w:ind w:left="400"/>
      </w:pPr>
      <w:r>
        <w:rPr>
          <w:sz w:val="18"/>
        </w:rPr>
        <w:t>⚠️ Cours à 0.0% du plus haut 100j (11,600 FCFA)</w:t>
      </w:r>
    </w:p>
    <w:p>
      <w:pPr>
        <w:spacing w:before="120"/>
      </w:pPr>
      <w:r>
        <w:rPr>
          <w:b/>
          <w:color w:val="0050A0"/>
          <w:sz w:val="20"/>
        </w:rPr>
        <w:t>ONTBF — ONTBF - ONATEL BURKINA FASO</w:t>
      </w:r>
    </w:p>
    <w:p>
      <w:pPr>
        <w:pStyle w:val="ListBullet"/>
        <w:spacing w:before="20"/>
        <w:ind w:left="400"/>
      </w:pPr>
      <w:r>
        <w:rPr>
          <w:sz w:val="18"/>
        </w:rPr>
        <w:t>🔴 RSI surachat (73.0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RSI surachat (88.0 &gt; 70) — risque de correction</w:t>
      </w:r>
    </w:p>
    <w:p>
      <w:pPr>
        <w:pStyle w:val="ListBullet"/>
        <w:spacing w:before="20"/>
        <w:ind w:left="400"/>
      </w:pPr>
      <w:r>
        <w:rPr>
          <w:sz w:val="18"/>
        </w:rPr>
        <w:t>⚠️ Cours à 0.0% du plus haut 100j (17,175 FCFA)</w:t>
      </w:r>
    </w:p>
    <w:p>
      <w:pPr>
        <w:spacing w:before="120"/>
      </w:pPr>
      <w:r>
        <w:rPr>
          <w:b/>
          <w:color w:val="0050A0"/>
          <w:sz w:val="20"/>
        </w:rPr>
        <w:t>SDCC — SDCC - Société de Distribution d'Eau de Côte d'Ivoire</w:t>
      </w:r>
    </w:p>
    <w:p>
      <w:pPr>
        <w:pStyle w:val="ListBullet"/>
        <w:spacing w:before="20"/>
        <w:ind w:left="400"/>
      </w:pPr>
      <w:r>
        <w:rPr>
          <w:sz w:val="18"/>
        </w:rPr>
        <w:t>⚠️ Cours à 2.4% du plus haut 100j (12,195 FCFA)</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RSI surachat (78.5 &gt; 70) — risque de correction</w:t>
      </w:r>
    </w:p>
    <w:p>
      <w:pPr>
        <w:pStyle w:val="ListBullet"/>
        <w:spacing w:before="20"/>
        <w:ind w:left="400"/>
      </w:pPr>
      <w:r>
        <w:rPr>
          <w:sz w:val="18"/>
        </w:rPr>
        <w:t>⚠️ Cours à 0.1% du plus haut 100j (7,095 FCFA)</w:t>
      </w:r>
    </w:p>
    <w:p>
      <w:pPr>
        <w:spacing w:before="120"/>
      </w:pPr>
      <w:r>
        <w:rPr>
          <w:b/>
          <w:color w:val="0050A0"/>
          <w:sz w:val="20"/>
        </w:rPr>
        <w:t>ABJC — ABJC - SERVAIR ABIDJAN CI</w:t>
      </w:r>
    </w:p>
    <w:p>
      <w:pPr>
        <w:pStyle w:val="ListBullet"/>
        <w:spacing w:before="20"/>
        <w:ind w:left="400"/>
      </w:pPr>
      <w:r>
        <w:rPr>
          <w:sz w:val="18"/>
        </w:rPr>
        <w:t>🟠 Divergence tech(VENTE) / fond(ACHAT) — recommandation ajustée à ACHAT</w:t>
      </w:r>
    </w:p>
    <w:p>
      <w:pPr>
        <w:spacing w:before="120"/>
      </w:pPr>
      <w:r>
        <w:rPr>
          <w:b/>
          <w:color w:val="0050A0"/>
          <w:sz w:val="20"/>
        </w:rPr>
        <w:t>BICB — BIIC BN - Banque internationale pour le commerce du benin</w:t>
      </w:r>
    </w:p>
    <w:p>
      <w:pPr>
        <w:pStyle w:val="ListBullet"/>
        <w:spacing w:before="20"/>
        <w:ind w:left="400"/>
      </w:pPr>
      <w:r>
        <w:rPr>
          <w:sz w:val="18"/>
        </w:rPr>
        <w:t>🔴 RSI surachat (75.7 &gt; 70) — risque de correction</w:t>
      </w:r>
    </w:p>
    <w:p>
      <w:pPr>
        <w:spacing w:before="120"/>
      </w:pPr>
      <w:r>
        <w:rPr>
          <w:b/>
          <w:color w:val="0050A0"/>
          <w:sz w:val="20"/>
        </w:rPr>
        <w:t>BOAB — BANK OF AFRICA BENIN</w:t>
      </w:r>
    </w:p>
    <w:p>
      <w:pPr>
        <w:pStyle w:val="ListBullet"/>
        <w:spacing w:before="20"/>
        <w:ind w:left="400"/>
      </w:pPr>
      <w:r>
        <w:rPr>
          <w:sz w:val="18"/>
        </w:rPr>
        <w:t>🟠 Divergence tech(VENTE) / fond(ACHAT) — recommandation ajustée à ACHAT</w:t>
      </w:r>
    </w:p>
    <w:p>
      <w:pPr>
        <w:spacing w:before="120"/>
      </w:pPr>
      <w:r>
        <w:rPr>
          <w:b/>
          <w:color w:val="0050A0"/>
          <w:sz w:val="20"/>
        </w:rPr>
        <w:t>CABC — CABC - SICABLE COTE D'IVOIRE</w:t>
      </w:r>
    </w:p>
    <w:p>
      <w:pPr>
        <w:pStyle w:val="ListBullet"/>
        <w:spacing w:before="20"/>
        <w:ind w:left="400"/>
      </w:pPr>
      <w:r>
        <w:rPr>
          <w:sz w:val="18"/>
        </w:rPr>
        <w:t>🟠 Divergence tech(VENTE) / fond(ACHAT) — recommandation ajustée à ACHAT</w:t>
      </w:r>
    </w:p>
    <w:p>
      <w:pPr>
        <w:spacing w:before="120"/>
      </w:pPr>
      <w:r>
        <w:rPr>
          <w:b/>
          <w:color w:val="0050A0"/>
          <w:sz w:val="20"/>
        </w:rPr>
        <w:t>CBIBF — CBIBF - CORIS BANK INTERNATIONAL BURKINA FASO</w:t>
      </w:r>
    </w:p>
    <w:p>
      <w:pPr>
        <w:pStyle w:val="ListBullet"/>
        <w:spacing w:before="20"/>
        <w:ind w:left="400"/>
      </w:pPr>
      <w:r>
        <w:rPr>
          <w:sz w:val="18"/>
        </w:rPr>
        <w:t>🟠 Divergence tech(VENTE) / fond(NEUTRE) — recommandation ajustée à CONSERVER ⚠️</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ECOC — ECOC - ECOBANK COTE D'IVOIRE</w:t>
      </w:r>
    </w:p>
    <w:p>
      <w:pPr>
        <w:pStyle w:val="ListBullet"/>
        <w:spacing w:before="20"/>
        <w:ind w:left="400"/>
      </w:pPr>
      <w:r>
        <w:rPr>
          <w:sz w:val="18"/>
        </w:rPr>
        <w:t>🟠 Divergence tech(VENTE) / fond(ACHAT) — recommandation ajustée à ACHAT</w:t>
      </w:r>
    </w:p>
    <w:p>
      <w:pPr>
        <w:spacing w:before="120"/>
      </w:pPr>
      <w:r>
        <w:rPr>
          <w:b/>
          <w:color w:val="0050A0"/>
          <w:sz w:val="20"/>
        </w:rPr>
        <w:t>FTSC — FTSC - FILTISAC COTE D'IVOIRE</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survente (28.6 &lt; 30) — opportunité potentielle</w:t>
      </w:r>
    </w:p>
    <w:p>
      <w:pPr>
        <w:spacing w:before="120"/>
      </w:pPr>
      <w:r>
        <w:rPr>
          <w:b/>
          <w:color w:val="0050A0"/>
          <w:sz w:val="20"/>
        </w:rPr>
        <w:t>NSBC — NSBC - NSIA BANQUE COTE D'IVOIRE</w:t>
      </w:r>
    </w:p>
    <w:p>
      <w:pPr>
        <w:pStyle w:val="ListBullet"/>
        <w:spacing w:before="20"/>
        <w:ind w:left="400"/>
      </w:pPr>
      <w:r>
        <w:rPr>
          <w:sz w:val="18"/>
        </w:rPr>
        <w:t>⚠️ Cours à 2.0% du plus haut 100j (24,020 FCFA)</w:t>
      </w:r>
    </w:p>
    <w:p>
      <w:pPr>
        <w:spacing w:before="120"/>
      </w:pPr>
      <w:r>
        <w:rPr>
          <w:b/>
          <w:color w:val="0050A0"/>
          <w:sz w:val="20"/>
        </w:rPr>
        <w:t>ORGT — ORGT - ORAGROUP TOGO</w:t>
      </w:r>
    </w:p>
    <w:p>
      <w:pPr>
        <w:pStyle w:val="ListBullet"/>
        <w:spacing w:before="20"/>
        <w:ind w:left="400"/>
      </w:pPr>
      <w:r>
        <w:rPr>
          <w:sz w:val="18"/>
        </w:rPr>
        <w:t>🔴 RSI surachat (87.4 &gt; 70) — risque de correction</w:t>
      </w:r>
    </w:p>
    <w:p>
      <w:pPr>
        <w:spacing w:before="120"/>
      </w:pPr>
      <w:r>
        <w:rPr>
          <w:b/>
          <w:color w:val="0050A0"/>
          <w:sz w:val="20"/>
        </w:rPr>
        <w:t>SAFC — SAFCA CI</w:t>
      </w:r>
    </w:p>
    <w:p>
      <w:pPr>
        <w:pStyle w:val="ListBullet"/>
        <w:spacing w:before="20"/>
        <w:ind w:left="400"/>
      </w:pPr>
      <w:r>
        <w:rPr>
          <w:sz w:val="18"/>
        </w:rPr>
        <w:t>🔴 RSI surachat (72.4 &gt; 70) — risque de correction</w:t>
      </w:r>
    </w:p>
    <w:p>
      <w:pPr>
        <w:spacing w:before="120"/>
      </w:pPr>
      <w:r>
        <w:rPr>
          <w:b/>
          <w:color w:val="0050A0"/>
          <w:sz w:val="20"/>
        </w:rPr>
        <w:t>SEMC — SEMC - EVIOSYS PACKAGING SIEM CI</w:t>
      </w:r>
    </w:p>
    <w:p>
      <w:pPr>
        <w:pStyle w:val="ListBullet"/>
        <w:spacing w:before="20"/>
        <w:ind w:left="400"/>
      </w:pPr>
      <w:r>
        <w:rPr>
          <w:sz w:val="18"/>
        </w:rPr>
        <w:t>🟠 Divergence tech(VENTE) / fond(ACHAT) — recommandation ajustée à ACHAT</w:t>
      </w:r>
    </w:p>
    <w:p>
      <w:pPr>
        <w:spacing w:before="120"/>
      </w:pPr>
      <w:r>
        <w:rPr>
          <w:b/>
          <w:color w:val="0050A0"/>
          <w:sz w:val="20"/>
        </w:rPr>
        <w:t>SHEC — SHEC - VIVO ENERGY COTE D'IVOIRE</w:t>
      </w:r>
    </w:p>
    <w:p>
      <w:pPr>
        <w:pStyle w:val="ListBullet"/>
        <w:spacing w:before="20"/>
        <w:ind w:left="400"/>
      </w:pPr>
      <w:r>
        <w:rPr>
          <w:sz w:val="18"/>
        </w:rPr>
        <w:t>⚠️ Cours à 1.5% du plus haut 100j (2,325 FCFA)</w:t>
      </w:r>
    </w:p>
    <w:p>
      <w:pPr>
        <w:spacing w:before="120"/>
      </w:pPr>
      <w:r>
        <w:rPr>
          <w:b/>
          <w:color w:val="0050A0"/>
          <w:sz w:val="20"/>
        </w:rPr>
        <w:t>SIBC — SIBC - SOCIETE IVOIRIENNE DE BANQUE</w:t>
      </w:r>
    </w:p>
    <w:p>
      <w:pPr>
        <w:pStyle w:val="ListBullet"/>
        <w:spacing w:before="20"/>
        <w:ind w:left="400"/>
      </w:pPr>
      <w:r>
        <w:rPr>
          <w:sz w:val="18"/>
        </w:rPr>
        <w:t>⚠️ Cours à 0.0% du plus haut 100j (9,300 FCFA)</w:t>
      </w:r>
    </w:p>
    <w:p>
      <w:pPr>
        <w:spacing w:before="120"/>
      </w:pPr>
      <w:r>
        <w:rPr>
          <w:b/>
          <w:color w:val="0050A0"/>
          <w:sz w:val="20"/>
        </w:rPr>
        <w:t>SIVC — SIVC - ERIUM CI (Ex AIR LIQUIDECI)</w:t>
      </w:r>
    </w:p>
    <w:p>
      <w:pPr>
        <w:pStyle w:val="ListBullet"/>
        <w:spacing w:before="20"/>
        <w:ind w:left="400"/>
      </w:pPr>
      <w:r>
        <w:rPr>
          <w:sz w:val="18"/>
        </w:rPr>
        <w:t>🟢 RSI survente (26.9 &lt; 30) — opportunité potentielle</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RSI survente (27.8 &lt; 30) — opportunité potentielle</w:t>
      </w:r>
    </w:p>
    <w:p>
      <w:pPr>
        <w:spacing w:before="120"/>
      </w:pPr>
      <w:r>
        <w:rPr>
          <w:b/>
          <w:color w:val="0050A0"/>
          <w:sz w:val="20"/>
        </w:rPr>
        <w:t>STBC — STBC - SITAB COTE D'IVOIRE</w:t>
      </w:r>
    </w:p>
    <w:p>
      <w:pPr>
        <w:pStyle w:val="ListBullet"/>
        <w:spacing w:before="20"/>
        <w:ind w:left="400"/>
      </w:pPr>
      <w:r>
        <w:rPr>
          <w:sz w:val="18"/>
        </w:rPr>
        <w:t>⚠️ Cours à 0.1% du plus haut 100j (25,000 FCFA)</w:t>
      </w:r>
    </w:p>
    <w:p>
      <w:pPr>
        <w:spacing w:before="120"/>
      </w:pPr>
      <w:r>
        <w:rPr>
          <w:b/>
          <w:color w:val="0050A0"/>
          <w:sz w:val="20"/>
        </w:rPr>
        <w:t>TTLS — TTLS - TOTAL ENERGIES MARKETING SENEGAL</w:t>
      </w:r>
    </w:p>
    <w:p>
      <w:pPr>
        <w:pStyle w:val="ListBullet"/>
        <w:spacing w:before="20"/>
        <w:ind w:left="400"/>
      </w:pPr>
      <w:r>
        <w:rPr>
          <w:sz w:val="18"/>
        </w:rPr>
        <w:t>🟢 RSI survente (25.6 &lt; 30) — opportunité potentielle</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24 société(s) (51%)</w:t>
            </w:r>
          </w:p>
        </w:tc>
        <w:tc>
          <w:tcPr>
            <w:tcW w:type="dxa" w:w="1644"/>
            <w:shd w:fill="FFEB9C" w:val="clear"/>
          </w:tcPr>
          <w:p>
            <w:r>
              <w:rPr>
                <w:b/>
                <w:color w:val="825A00"/>
                <w:sz w:val="19"/>
              </w:rPr>
              <w:t>23 société(s) (49%)</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21.0/100</w:t>
            </w:r>
          </w:p>
        </w:tc>
        <w:tc>
          <w:tcPr>
            <w:tcW w:type="dxa" w:w="1644"/>
            <w:shd w:fill="DEEAF1" w:val="clear"/>
          </w:tcPr>
          <w:p>
            <w:r>
              <w:rPr>
                <w:b/>
                <w:color w:val="000000"/>
                <w:sz w:val="19"/>
              </w:rPr>
              <w:t>19.3/100</w:t>
            </w:r>
          </w:p>
        </w:tc>
      </w:tr>
    </w:tbl>
    <w:p/>
    <w:p>
      <w:r>
        <w:rPr>
          <w:i/>
          <w:color w:val="006400"/>
          <w:sz w:val="18"/>
        </w:rPr>
        <w:t>✅ Le marché BRVM présente globalement un profil de risque FAIBLE (score moyen 21.0/100).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38.6/100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UNLC</w:t>
            </w:r>
          </w:p>
        </w:tc>
        <w:tc>
          <w:tcPr>
            <w:tcW w:type="dxa" w:w="2268"/>
            <w:shd w:fill="FFFFFF" w:val="clear"/>
          </w:tcPr>
          <w:p>
            <w:r>
              <w:rPr>
                <w:sz w:val="16"/>
              </w:rPr>
              <w:t>UNLC - UNILEVER COTE D'IVOIR…</w:t>
            </w:r>
          </w:p>
        </w:tc>
        <w:tc>
          <w:tcPr>
            <w:tcW w:type="dxa" w:w="1701"/>
            <w:shd w:fill="FFFFFF" w:val="clear"/>
          </w:tcPr>
          <w:p>
            <w:r>
              <w:rPr>
                <w:sz w:val="16"/>
              </w:rPr>
              <w:t>CONSOMMATION DE BA</w:t>
            </w:r>
          </w:p>
        </w:tc>
        <w:tc>
          <w:tcPr>
            <w:tcW w:type="dxa" w:w="1020"/>
            <w:shd w:fill="FFEB9C" w:val="clear"/>
          </w:tcPr>
          <w:p>
            <w:r>
              <w:rPr>
                <w:b/>
                <w:color w:val="B40000"/>
                <w:sz w:val="16"/>
              </w:rPr>
              <w:t>32.8/100</w:t>
            </w:r>
          </w:p>
        </w:tc>
        <w:tc>
          <w:tcPr>
            <w:tcW w:type="dxa" w:w="1134"/>
            <w:shd w:fill="FFEB9C" w:val="clear"/>
          </w:tcPr>
          <w:p>
            <w:r>
              <w:rPr>
                <w:sz w:val="16"/>
              </w:rPr>
              <w:t>Moyen</w:t>
            </w:r>
          </w:p>
        </w:tc>
        <w:tc>
          <w:tcPr>
            <w:tcW w:type="dxa" w:w="2381"/>
            <w:shd w:fill="FFFFFF" w:val="clear"/>
          </w:tcPr>
          <w:p>
            <w:r>
              <w:rPr>
                <w:sz w:val="16"/>
              </w:rPr>
              <w:t>💧 Liquidité très faible</w:t>
            </w:r>
          </w:p>
        </w:tc>
      </w:tr>
      <w:tr>
        <w:tc>
          <w:tcPr>
            <w:tcW w:type="dxa" w:w="567"/>
            <w:shd w:fill="FFFFFF" w:val="clear"/>
          </w:tcPr>
          <w:p>
            <w:r>
              <w:rPr>
                <w:b/>
                <w:sz w:val="16"/>
              </w:rPr>
              <w:t>#4</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31.9/100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SICC (38.6/100 — Moyen) : </w:t>
      </w:r>
      <w:r>
        <w:rPr>
          <w:sz w:val="17"/>
        </w:rPr>
        <w:t>Volatilité=Élevée | Bêta=Contre-cyclique | Liquidité=Très faible | Divergence signaux=taux divergence=40% (Très divergent ❌) | Stabilité=Modérée</w:t>
      </w:r>
    </w:p>
    <w:p>
      <w:pPr>
        <w:pStyle w:val="ListBullet"/>
      </w:pPr>
      <w:r>
        <w:rPr>
          <w:b/>
          <w:color w:val="B40000"/>
          <w:sz w:val="18"/>
        </w:rPr>
        <w:t xml:space="preserve">#2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#3 UNLC (32.8/100 — Moyen) : </w:t>
      </w:r>
      <w:r>
        <w:rPr>
          <w:sz w:val="17"/>
        </w:rPr>
        <w:t>Volatilité=Moyenne | Bêta=Très agressif | Liquidité=Très faible | Divergence signaux=taux divergence=20% (Mixte ⚠️) | Stabilité=Modérée</w:t>
      </w:r>
    </w:p>
    <w:p>
      <w:pPr>
        <w:pStyle w:val="ListBullet"/>
      </w:pPr>
      <w:r>
        <w:rPr>
          <w:b/>
          <w:color w:val="B40000"/>
          <w:sz w:val="18"/>
        </w:rPr>
        <w:t xml:space="preserve">#4 SAFC (31.9/100 — Moyen) : </w:t>
      </w:r>
      <w:r>
        <w:rPr>
          <w:sz w:val="17"/>
        </w:rPr>
        <w:t>Volatilité=Élevée | Bêta=Défensif | Liquidité=Bonne | Divergence signaux=taux divergence=40% (Très divergent ❌) | Stabilité=Instable</w:t>
      </w:r>
    </w:p>
    <w:p>
      <w:pPr>
        <w:pStyle w:val="ListBullet"/>
      </w:pPr>
      <w:r>
        <w:rPr>
          <w:b/>
          <w:color w:val="B40000"/>
          <w:sz w:val="18"/>
        </w:rPr>
        <w:t xml:space="preserve">#5 NSBC (31.3/100 — Moyen) : </w:t>
      </w:r>
      <w:r>
        <w:rPr>
          <w:sz w:val="17"/>
        </w:rPr>
        <w:t>Volatilité=Élevée | Bêta=Agressif | Liquidité=Bonne | Divergence signaux=taux divergence=20% (Mixte ⚠️) | Stabilité=Stable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TTLC</w:t>
            </w:r>
          </w:p>
        </w:tc>
        <w:tc>
          <w:tcPr>
            <w:tcW w:type="dxa" w:w="2268"/>
            <w:shd w:fill="FFFFFF" w:val="clear"/>
          </w:tcPr>
          <w:p>
            <w:r>
              <w:rPr>
                <w:sz w:val="16"/>
              </w:rPr>
              <w:t>TTLC - TOTAL ENERGIES MARKET…</w:t>
            </w:r>
          </w:p>
        </w:tc>
        <w:tc>
          <w:tcPr>
            <w:tcW w:type="dxa" w:w="1701"/>
            <w:shd w:fill="FFFFFF" w:val="clear"/>
          </w:tcPr>
          <w:p>
            <w:r>
              <w:rPr>
                <w:sz w:val="16"/>
              </w:rPr>
              <w:t>ENERGIE</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15.5/100</w:t>
            </w:r>
          </w:p>
        </w:tc>
        <w:tc>
          <w:tcPr>
            <w:tcW w:type="dxa" w:w="1134"/>
            <w:shd w:fill="C6EFCE" w:val="clear"/>
          </w:tcPr>
          <w:p>
            <w:r>
              <w:rPr>
                <w:sz w:val="16"/>
              </w:rPr>
              <w:t>Faible</w:t>
            </w:r>
          </w:p>
        </w:tc>
        <w:tc>
          <w:tcPr>
            <w:tcW w:type="dxa" w:w="2381"/>
            <w:shd w:fill="FFFFFF" w:val="clear"/>
          </w:tcPr>
          <w:p>
            <w:r>
              <w:rPr>
                <w:sz w:val="16"/>
              </w:rPr>
              <w:t>📐 Bêta défensif</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38.6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Très faible</w:t>
            </w:r>
          </w:p>
        </w:tc>
        <w:tc>
          <w:tcPr>
            <w:tcW w:type="dxa" w:w="1757"/>
            <w:shd w:fill="FFFFFF" w:val="clear"/>
          </w:tcPr>
          <w:p>
            <w:r>
              <w:rPr>
                <w:sz w:val="15"/>
              </w:rPr>
              <w:t>Très divergent ❌ / Modérée</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32.8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31.9</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Instable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24.5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19.0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C6EFCE" w:val="clear"/>
          </w:tcPr>
          <w:p>
            <w:r>
              <w:rPr>
                <w:b/>
                <w:color w:val="006400"/>
                <w:sz w:val="15"/>
              </w:rPr>
              <w:t>18.1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18.0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17.5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17.1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C6EFCE" w:val="clear"/>
          </w:tcPr>
          <w:p>
            <w:r>
              <w:rPr>
                <w:b/>
                <w:color w:val="006400"/>
                <w:sz w:val="15"/>
              </w:rPr>
              <w:t>16.3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-10.30%  |  Médiane : -6.86%</w:t>
            </w:r>
          </w:p>
        </w:tc>
      </w:tr>
      <w:tr>
        <w:tc>
          <w:tcPr>
            <w:tcW w:type="dxa" w:w="2835"/>
            <w:shd w:fill="DEEAF1" w:val="clear"/>
          </w:tcPr>
          <w:p>
            <w:r>
              <w:rPr>
                <w:b/>
                <w:sz w:val="18"/>
              </w:rPr>
              <w:t>Répartition</w:t>
            </w:r>
          </w:p>
        </w:tc>
        <w:tc>
          <w:tcPr>
            <w:tcW w:type="dxa" w:w="7370"/>
          </w:tcPr>
          <w:p>
            <w:r>
              <w:rPr>
                <w:b/>
                <w:sz w:val="18"/>
              </w:rPr>
              <w:t>📈 7 sociétés en hausse (&gt;+1%)   📉 37 en baisse (&lt;-1%)   ➡️ 3 neutres</w:t>
            </w:r>
          </w:p>
        </w:tc>
      </w:tr>
      <w:tr>
        <w:tc>
          <w:tcPr>
            <w:tcW w:type="dxa" w:w="2835"/>
            <w:shd w:fill="DEEAF1" w:val="clear"/>
          </w:tcPr>
          <w:p>
            <w:r>
              <w:rPr>
                <w:b/>
                <w:sz w:val="18"/>
              </w:rPr>
              <w:t>Confiance globale</w:t>
            </w:r>
          </w:p>
        </w:tc>
        <w:tc>
          <w:tcPr>
            <w:tcW w:type="dxa" w:w="7370"/>
          </w:tcPr>
          <w:p>
            <w:r>
              <w:rPr>
                <w:b/>
                <w:sz w:val="18"/>
              </w:rPr>
              <w:t>Élevée : 0 sociétés (0%)   Moyenne : 13   Faible : 34 (72%)   → Confiance dominante : Faible</w:t>
            </w:r>
          </w:p>
        </w:tc>
      </w:tr>
    </w:tbl>
    <w:p/>
    <w:p>
      <w:r>
        <w:rPr>
          <w:i/>
          <w:color w:val="282828"/>
          <w:sz w:val="18"/>
        </w:rPr>
        <w:t>📝 Analyse : Les modèles anticipent une correction généralisée. 37 sociétés sur 47 sont orientées à la baisse avec une variation moyenne de -10.30%.</w:t>
      </w:r>
    </w:p>
    <w:p>
      <w:r>
        <w:rPr>
          <w:i/>
          <w:color w:val="282828"/>
          <w:sz w:val="18"/>
        </w:rPr>
        <w:t>🎯 Fiabilité : ⚠️ La confiance est globalement FAIBLE (72%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3,550 FCFA</w:t>
            </w:r>
          </w:p>
        </w:tc>
        <w:tc>
          <w:tcPr>
            <w:tcW w:type="dxa" w:w="1417"/>
            <w:shd w:fill="FFFFFF" w:val="clear"/>
          </w:tcPr>
          <w:p>
            <w:r>
              <w:rPr>
                <w:sz w:val="16"/>
              </w:rPr>
              <w:t>6,375 FCFA</w:t>
            </w:r>
          </w:p>
        </w:tc>
        <w:tc>
          <w:tcPr>
            <w:tcW w:type="dxa" w:w="1134"/>
            <w:shd w:fill="C6EFCE" w:val="clear"/>
          </w:tcPr>
          <w:p>
            <w:r>
              <w:rPr>
                <w:b/>
                <w:color w:val="007800"/>
                <w:sz w:val="16"/>
              </w:rPr>
              <w:t>+79.57%</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23,550 FCFA</w:t>
            </w:r>
          </w:p>
        </w:tc>
        <w:tc>
          <w:tcPr>
            <w:tcW w:type="dxa" w:w="1417"/>
            <w:shd w:fill="FFFFFF" w:val="clear"/>
          </w:tcPr>
          <w:p>
            <w:r>
              <w:rPr>
                <w:sz w:val="16"/>
              </w:rPr>
              <w:t>27,739 FCFA</w:t>
            </w:r>
          </w:p>
        </w:tc>
        <w:tc>
          <w:tcPr>
            <w:tcW w:type="dxa" w:w="1134"/>
            <w:shd w:fill="C6EFCE" w:val="clear"/>
          </w:tcPr>
          <w:p>
            <w:r>
              <w:rPr>
                <w:b/>
                <w:color w:val="007800"/>
                <w:sz w:val="16"/>
              </w:rPr>
              <w:t>+17.79%</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54,595 FCFA</w:t>
            </w:r>
          </w:p>
        </w:tc>
        <w:tc>
          <w:tcPr>
            <w:tcW w:type="dxa" w:w="1417"/>
            <w:shd w:fill="FFFFFF" w:val="clear"/>
          </w:tcPr>
          <w:p>
            <w:r>
              <w:rPr>
                <w:sz w:val="16"/>
              </w:rPr>
              <w:t>61,236 FCFA</w:t>
            </w:r>
          </w:p>
        </w:tc>
        <w:tc>
          <w:tcPr>
            <w:tcW w:type="dxa" w:w="1134"/>
            <w:shd w:fill="C6EFCE" w:val="clear"/>
          </w:tcPr>
          <w:p>
            <w:r>
              <w:rPr>
                <w:b/>
                <w:color w:val="007800"/>
                <w:sz w:val="16"/>
              </w:rPr>
              <w:t>+12.16%</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24,980 FCFA</w:t>
            </w:r>
          </w:p>
        </w:tc>
        <w:tc>
          <w:tcPr>
            <w:tcW w:type="dxa" w:w="1417"/>
            <w:shd w:fill="FFFFFF" w:val="clear"/>
          </w:tcPr>
          <w:p>
            <w:r>
              <w:rPr>
                <w:sz w:val="16"/>
              </w:rPr>
              <w:t>27,275 FCFA</w:t>
            </w:r>
          </w:p>
        </w:tc>
        <w:tc>
          <w:tcPr>
            <w:tcW w:type="dxa" w:w="1134"/>
            <w:shd w:fill="C6EFCE" w:val="clear"/>
          </w:tcPr>
          <w:p>
            <w:r>
              <w:rPr>
                <w:b/>
                <w:color w:val="007800"/>
                <w:sz w:val="16"/>
              </w:rPr>
              <w:t>+9.19%</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2,000 FCFA</w:t>
            </w:r>
          </w:p>
        </w:tc>
        <w:tc>
          <w:tcPr>
            <w:tcW w:type="dxa" w:w="1417"/>
            <w:shd w:fill="FFFFFF" w:val="clear"/>
          </w:tcPr>
          <w:p>
            <w:r>
              <w:rPr>
                <w:sz w:val="16"/>
              </w:rPr>
              <w:t>2,085 FCFA</w:t>
            </w:r>
          </w:p>
        </w:tc>
        <w:tc>
          <w:tcPr>
            <w:tcW w:type="dxa" w:w="1134"/>
            <w:shd w:fill="C6EFCE" w:val="clear"/>
          </w:tcPr>
          <w:p>
            <w:r>
              <w:rPr>
                <w:b/>
                <w:color w:val="007800"/>
                <w:sz w:val="16"/>
              </w:rPr>
              <w:t>+4.25%</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(+79.6%) — signal potentiellement excessif, à croiser avec l'analyse technique. Trajectoire : 📈 Hausse continue. Cours actuel : 3,550 FCFA → prédit J+10 : 6,375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(+17.8%) — potentiel de revalorisation notable. Trajectoire : 📈 Hausse continue. Cours actuel : 23,550 FCFA → prédit J+10 : 27,739 FCFA. ⚠️ Confiance limitée — volatilité élevée ou données insuffisantes. Résultat indicatif uniquement.</w:t>
      </w:r>
    </w:p>
    <w:p>
      <w:pPr>
        <w:pStyle w:val="ListBullet"/>
      </w:pPr>
      <w:r>
        <w:rPr>
          <w:b/>
          <w:color w:val="006400"/>
          <w:sz w:val="18"/>
        </w:rPr>
        <w:t xml:space="preserve">#3 UNLC </w:t>
      </w:r>
      <w:r>
        <w:rPr>
          <w:sz w:val="17"/>
        </w:rPr>
        <w:t>(UNLC - UNILEVER COTE D'IVOIRE) — hausse significative (+12.2%) — potentiel de revalorisation notable. Trajectoire : 📈 Hausse continue. Cours actuel : 54,595 FCFA → prédit J+10 : 61,236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modérée (+9.2%) — signal raisonnable et crédible. Trajectoire : 📈 Hausse continue. Cours actuel : 24,980 FCFA → prédit J+10 : 27,275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(+4.2%) — progression graduelle attendue. Trajectoire : 📈 Hausse continue. Cours actuel : 2,000 FCFA → prédit J+10 : 2,085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5,250 FCFA</w:t>
            </w:r>
          </w:p>
        </w:tc>
        <w:tc>
          <w:tcPr>
            <w:tcW w:type="dxa" w:w="1417"/>
            <w:shd w:fill="FFFFFF" w:val="clear"/>
          </w:tcPr>
          <w:p>
            <w:r>
              <w:rPr>
                <w:sz w:val="16"/>
              </w:rPr>
              <w:t>2,408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3,550 FCFA</w:t>
            </w:r>
          </w:p>
        </w:tc>
        <w:tc>
          <w:tcPr>
            <w:tcW w:type="dxa" w:w="1417"/>
            <w:shd w:fill="FFFFFF" w:val="clear"/>
          </w:tcPr>
          <w:p>
            <w:r>
              <w:rPr>
                <w:sz w:val="16"/>
              </w:rPr>
              <w:t>1,628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65 FCFA</w:t>
            </w:r>
          </w:p>
        </w:tc>
        <w:tc>
          <w:tcPr>
            <w:tcW w:type="dxa" w:w="1417"/>
            <w:shd w:fill="FFFFFF" w:val="clear"/>
          </w:tcPr>
          <w:p>
            <w:r>
              <w:rPr>
                <w:sz w:val="16"/>
              </w:rPr>
              <w:t>30 FCFA</w:t>
            </w:r>
          </w:p>
        </w:tc>
        <w:tc>
          <w:tcPr>
            <w:tcW w:type="dxa" w:w="1134"/>
            <w:shd w:fill="FFC7CE" w:val="clear"/>
          </w:tcPr>
          <w:p>
            <w:r>
              <w:rPr>
                <w:b/>
                <w:color w:val="B40000"/>
                <w:sz w:val="16"/>
              </w:rPr>
              <w:t>-53.97%</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STAC — STAC - SETAO COTE D'IVOIRE</w:t>
            </w:r>
          </w:p>
        </w:tc>
        <w:tc>
          <w:tcPr>
            <w:tcW w:type="dxa" w:w="1701"/>
            <w:shd w:fill="FFFFFF" w:val="clear"/>
          </w:tcPr>
          <w:p>
            <w:r>
              <w:rPr>
                <w:sz w:val="16"/>
              </w:rPr>
              <w:t>INDUSTRIELS</w:t>
            </w:r>
          </w:p>
        </w:tc>
        <w:tc>
          <w:tcPr>
            <w:tcW w:type="dxa" w:w="1417"/>
            <w:shd w:fill="FFFFFF" w:val="clear"/>
          </w:tcPr>
          <w:p>
            <w:r>
              <w:rPr>
                <w:sz w:val="16"/>
              </w:rPr>
              <w:t>2,675 FCFA</w:t>
            </w:r>
          </w:p>
        </w:tc>
        <w:tc>
          <w:tcPr>
            <w:tcW w:type="dxa" w:w="1417"/>
            <w:shd w:fill="FFFFFF" w:val="clear"/>
          </w:tcPr>
          <w:p>
            <w:r>
              <w:rPr>
                <w:sz w:val="16"/>
              </w:rPr>
              <w:t>1,597 FCFA</w:t>
            </w:r>
          </w:p>
        </w:tc>
        <w:tc>
          <w:tcPr>
            <w:tcW w:type="dxa" w:w="1134"/>
            <w:shd w:fill="FFC7CE" w:val="clear"/>
          </w:tcPr>
          <w:p>
            <w:r>
              <w:rPr>
                <w:b/>
                <w:color w:val="B40000"/>
                <w:sz w:val="16"/>
              </w:rPr>
              <w:t>-40.29%</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28,305 FCFA</w:t>
            </w:r>
          </w:p>
        </w:tc>
        <w:tc>
          <w:tcPr>
            <w:tcW w:type="dxa" w:w="1417"/>
            <w:shd w:fill="FFFFFF" w:val="clear"/>
          </w:tcPr>
          <w:p>
            <w:r>
              <w:rPr>
                <w:sz w:val="16"/>
              </w:rPr>
              <w:t>17,336 FCFA</w:t>
            </w:r>
          </w:p>
        </w:tc>
        <w:tc>
          <w:tcPr>
            <w:tcW w:type="dxa" w:w="1134"/>
            <w:shd w:fill="FFC7CE" w:val="clear"/>
          </w:tcPr>
          <w:p>
            <w:r>
              <w:rPr>
                <w:b/>
                <w:color w:val="B40000"/>
                <w:sz w:val="16"/>
              </w:rPr>
              <w:t>-38.75%</w:t>
            </w:r>
          </w:p>
        </w:tc>
        <w:tc>
          <w:tcPr>
            <w:tcW w:type="dxa" w:w="1020"/>
            <w:shd w:fill="FFC7CE" w:val="clear"/>
          </w:tcPr>
          <w:p>
            <w:r>
              <w:rPr>
                <w:sz w:val="16"/>
              </w:rPr>
              <w:t>Faible</w:t>
            </w:r>
          </w:p>
        </w:tc>
      </w:tr>
    </w:tbl>
    <w:p/>
    <w:p>
      <w:pPr>
        <w:pStyle w:val="ListBullet"/>
      </w:pPr>
      <w:r>
        <w:rPr>
          <w:b/>
          <w:color w:val="B40000"/>
          <w:sz w:val="18"/>
        </w:rPr>
        <w:t xml:space="preserve">#1 SAFC </w:t>
      </w:r>
      <w:r>
        <w:rPr>
          <w:sz w:val="17"/>
        </w:rPr>
        <w:t>(SAFCA CI) — baisse très forte (-54.1%) — amplitude potentiellement surestimée par le modèle. Trajectoire : 📉 Baisse continue. Cours actuel : 5,250 FCFA → prédit J+10 : 2,408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3,550 FCFA → prédit J+10 : 1,628 FCFA. ⚠️ Confiance limitée — volatilité élevée. Ne pas agir sur ce seul signal.</w:t>
      </w:r>
    </w:p>
    <w:p>
      <w:pPr>
        <w:pStyle w:val="ListBullet"/>
      </w:pPr>
      <w:r>
        <w:rPr>
          <w:b/>
          <w:color w:val="B40000"/>
          <w:sz w:val="18"/>
        </w:rPr>
        <w:t xml:space="preserve">#3 ETIT </w:t>
      </w:r>
      <w:r>
        <w:rPr>
          <w:sz w:val="17"/>
        </w:rPr>
        <w:t>(ETIT - Ecobank Transnational Incorporate) — baisse très forte (-54.0%) — amplitude potentiellement surestimée par le modèle. Trajectoire : 📉 Baisse continue. Cours actuel : 65 FCFA → prédit J+10 : 30 FCFA. ⚠️ Confiance limitée — volatilité élevée. Ne pas agir sur ce seul signal.</w:t>
      </w:r>
    </w:p>
    <w:p>
      <w:pPr>
        <w:pStyle w:val="ListBullet"/>
      </w:pPr>
      <w:r>
        <w:rPr>
          <w:b/>
          <w:color w:val="B40000"/>
          <w:sz w:val="18"/>
        </w:rPr>
        <w:t xml:space="preserve">#4 STAC </w:t>
      </w:r>
      <w:r>
        <w:rPr>
          <w:sz w:val="17"/>
        </w:rPr>
        <w:t>(STAC - SETAO COTE D'IVOIRE) — baisse très forte (-40.3%) — amplitude potentiellement surestimée par le modèle. Trajectoire : 📉 Baisse continue. Cours actuel : 2,675 FCFA → prédit J+10 : 1,597 FCFA. ⚠️ Confiance limitée — volatilité élevée. Ne pas agir sur ce seul signal.</w:t>
      </w:r>
    </w:p>
    <w:p>
      <w:pPr>
        <w:pStyle w:val="ListBullet"/>
      </w:pPr>
      <w:r>
        <w:rPr>
          <w:b/>
          <w:color w:val="B40000"/>
          <w:sz w:val="18"/>
        </w:rPr>
        <w:t xml:space="preserve">#5 CBIBF </w:t>
      </w:r>
      <w:r>
        <w:rPr>
          <w:sz w:val="17"/>
        </w:rPr>
        <w:t>(CBIBF - CORIS BANK INTERNATIONAL BURKINA) — baisse très forte (-38.8%) — amplitude potentiellement surestimée par le modèle. Trajectoire : 📉 Baisse continue. Cours actuel : 28,305 FCFA → prédit J+10 : 17,336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3,550</w:t>
            </w:r>
          </w:p>
        </w:tc>
        <w:tc>
          <w:tcPr>
            <w:tcW w:type="dxa" w:w="1417"/>
            <w:shd w:fill="FFFFFF" w:val="clear"/>
          </w:tcPr>
          <w:p>
            <w:r>
              <w:rPr>
                <w:sz w:val="16"/>
              </w:rPr>
              <w:t>6,375</w:t>
            </w:r>
          </w:p>
        </w:tc>
        <w:tc>
          <w:tcPr>
            <w:tcW w:type="dxa" w:w="1134"/>
            <w:shd w:fill="C6EFCE" w:val="clear"/>
          </w:tcPr>
          <w:p>
            <w:r>
              <w:rPr>
                <w:b/>
                <w:color w:val="007800"/>
                <w:sz w:val="16"/>
              </w:rPr>
              <w:t>+79.57%</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23,550</w:t>
            </w:r>
          </w:p>
        </w:tc>
        <w:tc>
          <w:tcPr>
            <w:tcW w:type="dxa" w:w="1417"/>
            <w:shd w:fill="FFFFFF" w:val="clear"/>
          </w:tcPr>
          <w:p>
            <w:r>
              <w:rPr>
                <w:sz w:val="16"/>
              </w:rPr>
              <w:t>27,739</w:t>
            </w:r>
          </w:p>
        </w:tc>
        <w:tc>
          <w:tcPr>
            <w:tcW w:type="dxa" w:w="1134"/>
            <w:shd w:fill="C6EFCE" w:val="clear"/>
          </w:tcPr>
          <w:p>
            <w:r>
              <w:rPr>
                <w:b/>
                <w:color w:val="007800"/>
                <w:sz w:val="16"/>
              </w:rPr>
              <w:t>+17.79%</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54,595</w:t>
            </w:r>
          </w:p>
        </w:tc>
        <w:tc>
          <w:tcPr>
            <w:tcW w:type="dxa" w:w="1417"/>
            <w:shd w:fill="FFFFFF" w:val="clear"/>
          </w:tcPr>
          <w:p>
            <w:r>
              <w:rPr>
                <w:sz w:val="16"/>
              </w:rPr>
              <w:t>61,236</w:t>
            </w:r>
          </w:p>
        </w:tc>
        <w:tc>
          <w:tcPr>
            <w:tcW w:type="dxa" w:w="1134"/>
            <w:shd w:fill="C6EFCE" w:val="clear"/>
          </w:tcPr>
          <w:p>
            <w:r>
              <w:rPr>
                <w:b/>
                <w:color w:val="007800"/>
                <w:sz w:val="16"/>
              </w:rPr>
              <w:t>+12.16%</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24,980</w:t>
            </w:r>
          </w:p>
        </w:tc>
        <w:tc>
          <w:tcPr>
            <w:tcW w:type="dxa" w:w="1417"/>
            <w:shd w:fill="FFFFFF" w:val="clear"/>
          </w:tcPr>
          <w:p>
            <w:r>
              <w:rPr>
                <w:sz w:val="16"/>
              </w:rPr>
              <w:t>27,275</w:t>
            </w:r>
          </w:p>
        </w:tc>
        <w:tc>
          <w:tcPr>
            <w:tcW w:type="dxa" w:w="1134"/>
            <w:shd w:fill="C6EFCE" w:val="clear"/>
          </w:tcPr>
          <w:p>
            <w:r>
              <w:rPr>
                <w:b/>
                <w:color w:val="007800"/>
                <w:sz w:val="16"/>
              </w:rPr>
              <w:t>+9.19%</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2,000</w:t>
            </w:r>
          </w:p>
        </w:tc>
        <w:tc>
          <w:tcPr>
            <w:tcW w:type="dxa" w:w="1417"/>
            <w:shd w:fill="FFFFFF" w:val="clear"/>
          </w:tcPr>
          <w:p>
            <w:r>
              <w:rPr>
                <w:sz w:val="16"/>
              </w:rPr>
              <w:t>2,085</w:t>
            </w:r>
          </w:p>
        </w:tc>
        <w:tc>
          <w:tcPr>
            <w:tcW w:type="dxa" w:w="1134"/>
            <w:shd w:fill="C6EFCE" w:val="clear"/>
          </w:tcPr>
          <w:p>
            <w:r>
              <w:rPr>
                <w:b/>
                <w:color w:val="007800"/>
                <w:sz w:val="16"/>
              </w:rPr>
              <w:t>+4.25%</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8,980</w:t>
            </w:r>
          </w:p>
        </w:tc>
        <w:tc>
          <w:tcPr>
            <w:tcW w:type="dxa" w:w="1417"/>
            <w:shd w:fill="FFFFFF" w:val="clear"/>
          </w:tcPr>
          <w:p>
            <w:r>
              <w:rPr>
                <w:sz w:val="16"/>
              </w:rPr>
              <w:t>9,264</w:t>
            </w:r>
          </w:p>
        </w:tc>
        <w:tc>
          <w:tcPr>
            <w:tcW w:type="dxa" w:w="1134"/>
            <w:shd w:fill="C6EFCE" w:val="clear"/>
          </w:tcPr>
          <w:p>
            <w:r>
              <w:rPr>
                <w:b/>
                <w:color w:val="007800"/>
                <w:sz w:val="16"/>
              </w:rPr>
              <w:t>+3.17%</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8,100</w:t>
            </w:r>
          </w:p>
        </w:tc>
        <w:tc>
          <w:tcPr>
            <w:tcW w:type="dxa" w:w="1417"/>
            <w:shd w:fill="FFFFFF" w:val="clear"/>
          </w:tcPr>
          <w:p>
            <w:r>
              <w:rPr>
                <w:sz w:val="16"/>
              </w:rPr>
              <w:t>8,229</w:t>
            </w:r>
          </w:p>
        </w:tc>
        <w:tc>
          <w:tcPr>
            <w:tcW w:type="dxa" w:w="1134"/>
            <w:shd w:fill="C6EFCE" w:val="clear"/>
          </w:tcPr>
          <w:p>
            <w:r>
              <w:rPr>
                <w:b/>
                <w:color w:val="007800"/>
                <w:sz w:val="16"/>
              </w:rPr>
              <w:t>+1.59%</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1,900</w:t>
            </w:r>
          </w:p>
        </w:tc>
        <w:tc>
          <w:tcPr>
            <w:tcW w:type="dxa" w:w="1417"/>
            <w:shd w:fill="FFFFFF" w:val="clear"/>
          </w:tcPr>
          <w:p>
            <w:r>
              <w:rPr>
                <w:sz w:val="16"/>
              </w:rPr>
              <w:t>1,904</w:t>
            </w:r>
          </w:p>
        </w:tc>
        <w:tc>
          <w:tcPr>
            <w:tcW w:type="dxa" w:w="1134"/>
            <w:shd w:fill="FFEB9C" w:val="clear"/>
          </w:tcPr>
          <w:p>
            <w:r>
              <w:rPr>
                <w:b/>
                <w:color w:val="646400"/>
                <w:sz w:val="16"/>
              </w:rPr>
              <w:t>+0.23%</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2,805</w:t>
            </w:r>
          </w:p>
        </w:tc>
        <w:tc>
          <w:tcPr>
            <w:tcW w:type="dxa" w:w="1417"/>
            <w:shd w:fill="FFFFFF" w:val="clear"/>
          </w:tcPr>
          <w:p>
            <w:r>
              <w:rPr>
                <w:sz w:val="16"/>
              </w:rPr>
              <w:t>2,790</w:t>
            </w:r>
          </w:p>
        </w:tc>
        <w:tc>
          <w:tcPr>
            <w:tcW w:type="dxa" w:w="1134"/>
            <w:shd w:fill="FFEB9C" w:val="clear"/>
          </w:tcPr>
          <w:p>
            <w:r>
              <w:rPr>
                <w:b/>
                <w:color w:val="646400"/>
                <w:sz w:val="16"/>
              </w:rPr>
              <w:t>-0.52%</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37,000</w:t>
            </w:r>
          </w:p>
        </w:tc>
        <w:tc>
          <w:tcPr>
            <w:tcW w:type="dxa" w:w="1417"/>
            <w:shd w:fill="FFFFFF" w:val="clear"/>
          </w:tcPr>
          <w:p>
            <w:r>
              <w:rPr>
                <w:sz w:val="16"/>
              </w:rPr>
              <w:t>36,725</w:t>
            </w:r>
          </w:p>
        </w:tc>
        <w:tc>
          <w:tcPr>
            <w:tcW w:type="dxa" w:w="1134"/>
            <w:shd w:fill="FFEB9C" w:val="clear"/>
          </w:tcPr>
          <w:p>
            <w:r>
              <w:rPr>
                <w:b/>
                <w:color w:val="646400"/>
                <w:sz w:val="16"/>
              </w:rPr>
              <w:t>-0.74%</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16,200</w:t>
            </w:r>
          </w:p>
        </w:tc>
        <w:tc>
          <w:tcPr>
            <w:tcW w:type="dxa" w:w="1417"/>
            <w:shd w:fill="FFFFFF" w:val="clear"/>
          </w:tcPr>
          <w:p>
            <w:r>
              <w:rPr>
                <w:sz w:val="16"/>
              </w:rPr>
              <w:t>16,000</w:t>
            </w:r>
          </w:p>
        </w:tc>
        <w:tc>
          <w:tcPr>
            <w:tcW w:type="dxa" w:w="1134"/>
            <w:shd w:fill="FFC7CE" w:val="clear"/>
          </w:tcPr>
          <w:p>
            <w:r>
              <w:rPr>
                <w:b/>
                <w:color w:val="B40000"/>
                <w:sz w:val="16"/>
              </w:rPr>
              <w:t>-1.24%</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3,125</w:t>
            </w:r>
          </w:p>
        </w:tc>
        <w:tc>
          <w:tcPr>
            <w:tcW w:type="dxa" w:w="1417"/>
            <w:shd w:fill="FFFFFF" w:val="clear"/>
          </w:tcPr>
          <w:p>
            <w:r>
              <w:rPr>
                <w:sz w:val="16"/>
              </w:rPr>
              <w:t>3,079</w:t>
            </w:r>
          </w:p>
        </w:tc>
        <w:tc>
          <w:tcPr>
            <w:tcW w:type="dxa" w:w="1134"/>
            <w:shd w:fill="FFC7CE" w:val="clear"/>
          </w:tcPr>
          <w:p>
            <w:r>
              <w:rPr>
                <w:b/>
                <w:color w:val="B40000"/>
                <w:sz w:val="16"/>
              </w:rPr>
              <w:t>-1.47%</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31,000</w:t>
            </w:r>
          </w:p>
        </w:tc>
        <w:tc>
          <w:tcPr>
            <w:tcW w:type="dxa" w:w="1417"/>
            <w:shd w:fill="FFFFFF" w:val="clear"/>
          </w:tcPr>
          <w:p>
            <w:r>
              <w:rPr>
                <w:sz w:val="16"/>
              </w:rPr>
              <w:t>30,523</w:t>
            </w:r>
          </w:p>
        </w:tc>
        <w:tc>
          <w:tcPr>
            <w:tcW w:type="dxa" w:w="1134"/>
            <w:shd w:fill="FFC7CE" w:val="clear"/>
          </w:tcPr>
          <w:p>
            <w:r>
              <w:rPr>
                <w:b/>
                <w:color w:val="B40000"/>
                <w:sz w:val="16"/>
              </w:rPr>
              <w:t>-1.54%</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2,940</w:t>
            </w:r>
          </w:p>
        </w:tc>
        <w:tc>
          <w:tcPr>
            <w:tcW w:type="dxa" w:w="1417"/>
            <w:shd w:fill="FFFFFF" w:val="clear"/>
          </w:tcPr>
          <w:p>
            <w:r>
              <w:rPr>
                <w:sz w:val="16"/>
              </w:rPr>
              <w:t>2,887</w:t>
            </w:r>
          </w:p>
        </w:tc>
        <w:tc>
          <w:tcPr>
            <w:tcW w:type="dxa" w:w="1134"/>
            <w:shd w:fill="FFC7CE" w:val="clear"/>
          </w:tcPr>
          <w:p>
            <w:r>
              <w:rPr>
                <w:b/>
                <w:color w:val="B40000"/>
                <w:sz w:val="16"/>
              </w:rPr>
              <w:t>-1.81%</w:t>
            </w:r>
          </w:p>
        </w:tc>
        <w:tc>
          <w:tcPr>
            <w:tcW w:type="dxa" w:w="1134"/>
            <w:shd w:fill="FFEB9C" w:val="clear"/>
          </w:tcPr>
          <w:p>
            <w:r>
              <w:rPr>
                <w:sz w:val="16"/>
              </w:rPr>
              <w:t>Moyenne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7,600</w:t>
            </w:r>
          </w:p>
        </w:tc>
        <w:tc>
          <w:tcPr>
            <w:tcW w:type="dxa" w:w="1417"/>
            <w:shd w:fill="FFFFFF" w:val="clear"/>
          </w:tcPr>
          <w:p>
            <w:r>
              <w:rPr>
                <w:sz w:val="16"/>
              </w:rPr>
              <w:t>7,442</w:t>
            </w:r>
          </w:p>
        </w:tc>
        <w:tc>
          <w:tcPr>
            <w:tcW w:type="dxa" w:w="1134"/>
            <w:shd w:fill="FFC7CE" w:val="clear"/>
          </w:tcPr>
          <w:p>
            <w:r>
              <w:rPr>
                <w:b/>
                <w:color w:val="B40000"/>
                <w:sz w:val="16"/>
              </w:rPr>
              <w:t>-2.07%</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17,175</w:t>
            </w:r>
          </w:p>
        </w:tc>
        <w:tc>
          <w:tcPr>
            <w:tcW w:type="dxa" w:w="1417"/>
            <w:shd w:fill="FFFFFF" w:val="clear"/>
          </w:tcPr>
          <w:p>
            <w:r>
              <w:rPr>
                <w:sz w:val="16"/>
              </w:rPr>
              <w:t>16,743</w:t>
            </w:r>
          </w:p>
        </w:tc>
        <w:tc>
          <w:tcPr>
            <w:tcW w:type="dxa" w:w="1134"/>
            <w:shd w:fill="FFC7CE" w:val="clear"/>
          </w:tcPr>
          <w:p>
            <w:r>
              <w:rPr>
                <w:b/>
                <w:color w:val="B40000"/>
                <w:sz w:val="16"/>
              </w:rPr>
              <w:t>-2.51%</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38,000</w:t>
            </w:r>
          </w:p>
        </w:tc>
        <w:tc>
          <w:tcPr>
            <w:tcW w:type="dxa" w:w="1417"/>
            <w:shd w:fill="FFFFFF" w:val="clear"/>
          </w:tcPr>
          <w:p>
            <w:r>
              <w:rPr>
                <w:sz w:val="16"/>
              </w:rPr>
              <w:t>37,036</w:t>
            </w:r>
          </w:p>
        </w:tc>
        <w:tc>
          <w:tcPr>
            <w:tcW w:type="dxa" w:w="1134"/>
            <w:shd w:fill="FFC7CE" w:val="clear"/>
          </w:tcPr>
          <w:p>
            <w:r>
              <w:rPr>
                <w:b/>
                <w:color w:val="B40000"/>
                <w:sz w:val="16"/>
              </w:rPr>
              <w:t>-2.54%</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5,200</w:t>
            </w:r>
          </w:p>
        </w:tc>
        <w:tc>
          <w:tcPr>
            <w:tcW w:type="dxa" w:w="1417"/>
            <w:shd w:fill="FFFFFF" w:val="clear"/>
          </w:tcPr>
          <w:p>
            <w:r>
              <w:rPr>
                <w:sz w:val="16"/>
              </w:rPr>
              <w:t>5,051</w:t>
            </w:r>
          </w:p>
        </w:tc>
        <w:tc>
          <w:tcPr>
            <w:tcW w:type="dxa" w:w="1134"/>
            <w:shd w:fill="FFC7CE" w:val="clear"/>
          </w:tcPr>
          <w:p>
            <w:r>
              <w:rPr>
                <w:b/>
                <w:color w:val="B40000"/>
                <w:sz w:val="16"/>
              </w:rPr>
              <w:t>-2.87%</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16,595</w:t>
            </w:r>
          </w:p>
        </w:tc>
        <w:tc>
          <w:tcPr>
            <w:tcW w:type="dxa" w:w="1417"/>
            <w:shd w:fill="FFFFFF" w:val="clear"/>
          </w:tcPr>
          <w:p>
            <w:r>
              <w:rPr>
                <w:sz w:val="16"/>
              </w:rPr>
              <w:t>16,034</w:t>
            </w:r>
          </w:p>
        </w:tc>
        <w:tc>
          <w:tcPr>
            <w:tcW w:type="dxa" w:w="1134"/>
            <w:shd w:fill="FFC7CE" w:val="clear"/>
          </w:tcPr>
          <w:p>
            <w:r>
              <w:rPr>
                <w:b/>
                <w:color w:val="B40000"/>
                <w:sz w:val="16"/>
              </w:rPr>
              <w:t>-3.38%</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16,550</w:t>
            </w:r>
          </w:p>
        </w:tc>
        <w:tc>
          <w:tcPr>
            <w:tcW w:type="dxa" w:w="1417"/>
            <w:shd w:fill="FFFFFF" w:val="clear"/>
          </w:tcPr>
          <w:p>
            <w:r>
              <w:rPr>
                <w:sz w:val="16"/>
              </w:rPr>
              <w:t>15,721</w:t>
            </w:r>
          </w:p>
        </w:tc>
        <w:tc>
          <w:tcPr>
            <w:tcW w:type="dxa" w:w="1134"/>
            <w:shd w:fill="FFC7CE" w:val="clear"/>
          </w:tcPr>
          <w:p>
            <w:r>
              <w:rPr>
                <w:b/>
                <w:color w:val="B40000"/>
                <w:sz w:val="16"/>
              </w:rPr>
              <w:t>-5.01%</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4,480</w:t>
            </w:r>
          </w:p>
        </w:tc>
        <w:tc>
          <w:tcPr>
            <w:tcW w:type="dxa" w:w="1417"/>
            <w:shd w:fill="FFFFFF" w:val="clear"/>
          </w:tcPr>
          <w:p>
            <w:r>
              <w:rPr>
                <w:sz w:val="16"/>
              </w:rPr>
              <w:t>4,253</w:t>
            </w:r>
          </w:p>
        </w:tc>
        <w:tc>
          <w:tcPr>
            <w:tcW w:type="dxa" w:w="1134"/>
            <w:shd w:fill="FFC7CE" w:val="clear"/>
          </w:tcPr>
          <w:p>
            <w:r>
              <w:rPr>
                <w:b/>
                <w:color w:val="B40000"/>
                <w:sz w:val="16"/>
              </w:rPr>
              <w:t>-5.07%</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1,900</w:t>
            </w:r>
          </w:p>
        </w:tc>
        <w:tc>
          <w:tcPr>
            <w:tcW w:type="dxa" w:w="1417"/>
            <w:shd w:fill="FFFFFF" w:val="clear"/>
          </w:tcPr>
          <w:p>
            <w:r>
              <w:rPr>
                <w:sz w:val="16"/>
              </w:rPr>
              <w:t>1,798</w:t>
            </w:r>
          </w:p>
        </w:tc>
        <w:tc>
          <w:tcPr>
            <w:tcW w:type="dxa" w:w="1134"/>
            <w:shd w:fill="FFC7CE" w:val="clear"/>
          </w:tcPr>
          <w:p>
            <w:r>
              <w:rPr>
                <w:b/>
                <w:color w:val="B40000"/>
                <w:sz w:val="16"/>
              </w:rPr>
              <w:t>-5.38%</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2,530</w:t>
            </w:r>
          </w:p>
        </w:tc>
        <w:tc>
          <w:tcPr>
            <w:tcW w:type="dxa" w:w="1417"/>
            <w:shd w:fill="FFFFFF" w:val="clear"/>
          </w:tcPr>
          <w:p>
            <w:r>
              <w:rPr>
                <w:sz w:val="16"/>
              </w:rPr>
              <w:t>2,385</w:t>
            </w:r>
          </w:p>
        </w:tc>
        <w:tc>
          <w:tcPr>
            <w:tcW w:type="dxa" w:w="1134"/>
            <w:shd w:fill="FFC7CE" w:val="clear"/>
          </w:tcPr>
          <w:p>
            <w:r>
              <w:rPr>
                <w:b/>
                <w:color w:val="B40000"/>
                <w:sz w:val="16"/>
              </w:rPr>
              <w:t>-5.72%</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4,300</w:t>
            </w:r>
          </w:p>
        </w:tc>
        <w:tc>
          <w:tcPr>
            <w:tcW w:type="dxa" w:w="1417"/>
            <w:shd w:fill="FFFFFF" w:val="clear"/>
          </w:tcPr>
          <w:p>
            <w:r>
              <w:rPr>
                <w:sz w:val="16"/>
              </w:rPr>
              <w:t>4,005</w:t>
            </w:r>
          </w:p>
        </w:tc>
        <w:tc>
          <w:tcPr>
            <w:tcW w:type="dxa" w:w="1134"/>
            <w:shd w:fill="FFC7CE" w:val="clear"/>
          </w:tcPr>
          <w:p>
            <w:r>
              <w:rPr>
                <w:b/>
                <w:color w:val="B40000"/>
                <w:sz w:val="16"/>
              </w:rPr>
              <w:t>-6.86%</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1,445</w:t>
            </w:r>
          </w:p>
        </w:tc>
        <w:tc>
          <w:tcPr>
            <w:tcW w:type="dxa" w:w="1417"/>
            <w:shd w:fill="FFFFFF" w:val="clear"/>
          </w:tcPr>
          <w:p>
            <w:r>
              <w:rPr>
                <w:sz w:val="16"/>
              </w:rPr>
              <w:t>1,310</w:t>
            </w:r>
          </w:p>
        </w:tc>
        <w:tc>
          <w:tcPr>
            <w:tcW w:type="dxa" w:w="1134"/>
            <w:shd w:fill="FFC7CE" w:val="clear"/>
          </w:tcPr>
          <w:p>
            <w:r>
              <w:rPr>
                <w:b/>
                <w:color w:val="B40000"/>
                <w:sz w:val="16"/>
              </w:rPr>
              <w:t>-9.36%</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3,500</w:t>
            </w:r>
          </w:p>
        </w:tc>
        <w:tc>
          <w:tcPr>
            <w:tcW w:type="dxa" w:w="1417"/>
            <w:shd w:fill="FFFFFF" w:val="clear"/>
          </w:tcPr>
          <w:p>
            <w:r>
              <w:rPr>
                <w:sz w:val="16"/>
              </w:rPr>
              <w:t>3,157</w:t>
            </w:r>
          </w:p>
        </w:tc>
        <w:tc>
          <w:tcPr>
            <w:tcW w:type="dxa" w:w="1134"/>
            <w:shd w:fill="FFC7CE" w:val="clear"/>
          </w:tcPr>
          <w:p>
            <w:r>
              <w:rPr>
                <w:b/>
                <w:color w:val="B40000"/>
                <w:sz w:val="16"/>
              </w:rPr>
              <w:t>-9.80%</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29,100</w:t>
            </w:r>
          </w:p>
        </w:tc>
        <w:tc>
          <w:tcPr>
            <w:tcW w:type="dxa" w:w="1417"/>
            <w:shd w:fill="FFFFFF" w:val="clear"/>
          </w:tcPr>
          <w:p>
            <w:r>
              <w:rPr>
                <w:sz w:val="16"/>
              </w:rPr>
              <w:t>26,196</w:t>
            </w:r>
          </w:p>
        </w:tc>
        <w:tc>
          <w:tcPr>
            <w:tcW w:type="dxa" w:w="1134"/>
            <w:shd w:fill="FFC7CE" w:val="clear"/>
          </w:tcPr>
          <w:p>
            <w:r>
              <w:rPr>
                <w:b/>
                <w:color w:val="B40000"/>
                <w:sz w:val="16"/>
              </w:rPr>
              <w:t>-9.98%</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7,230</w:t>
            </w:r>
          </w:p>
        </w:tc>
        <w:tc>
          <w:tcPr>
            <w:tcW w:type="dxa" w:w="1417"/>
            <w:shd w:fill="FFFFFF" w:val="clear"/>
          </w:tcPr>
          <w:p>
            <w:r>
              <w:rPr>
                <w:sz w:val="16"/>
              </w:rPr>
              <w:t>6,499</w:t>
            </w:r>
          </w:p>
        </w:tc>
        <w:tc>
          <w:tcPr>
            <w:tcW w:type="dxa" w:w="1134"/>
            <w:shd w:fill="FFC7CE" w:val="clear"/>
          </w:tcPr>
          <w:p>
            <w:r>
              <w:rPr>
                <w:b/>
                <w:color w:val="B40000"/>
                <w:sz w:val="16"/>
              </w:rPr>
              <w:t>-10.11%</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5,590</w:t>
            </w:r>
          </w:p>
        </w:tc>
        <w:tc>
          <w:tcPr>
            <w:tcW w:type="dxa" w:w="1417"/>
            <w:shd w:fill="FFFFFF" w:val="clear"/>
          </w:tcPr>
          <w:p>
            <w:r>
              <w:rPr>
                <w:sz w:val="16"/>
              </w:rPr>
              <w:t>5,012</w:t>
            </w:r>
          </w:p>
        </w:tc>
        <w:tc>
          <w:tcPr>
            <w:tcW w:type="dxa" w:w="1134"/>
            <w:shd w:fill="FFC7CE" w:val="clear"/>
          </w:tcPr>
          <w:p>
            <w:r>
              <w:rPr>
                <w:b/>
                <w:color w:val="B40000"/>
                <w:sz w:val="16"/>
              </w:rPr>
              <w:t>-10.34%</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11,900</w:t>
            </w:r>
          </w:p>
        </w:tc>
        <w:tc>
          <w:tcPr>
            <w:tcW w:type="dxa" w:w="1417"/>
            <w:shd w:fill="FFFFFF" w:val="clear"/>
          </w:tcPr>
          <w:p>
            <w:r>
              <w:rPr>
                <w:sz w:val="16"/>
              </w:rPr>
              <w:t>10,664</w:t>
            </w:r>
          </w:p>
        </w:tc>
        <w:tc>
          <w:tcPr>
            <w:tcW w:type="dxa" w:w="1134"/>
            <w:shd w:fill="FFC7CE" w:val="clear"/>
          </w:tcPr>
          <w:p>
            <w:r>
              <w:rPr>
                <w:b/>
                <w:color w:val="B40000"/>
                <w:sz w:val="16"/>
              </w:rPr>
              <w:t>-10.39%</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3,010</w:t>
            </w:r>
          </w:p>
        </w:tc>
        <w:tc>
          <w:tcPr>
            <w:tcW w:type="dxa" w:w="1417"/>
            <w:shd w:fill="FFFFFF" w:val="clear"/>
          </w:tcPr>
          <w:p>
            <w:r>
              <w:rPr>
                <w:sz w:val="16"/>
              </w:rPr>
              <w:t>2,672</w:t>
            </w:r>
          </w:p>
        </w:tc>
        <w:tc>
          <w:tcPr>
            <w:tcW w:type="dxa" w:w="1134"/>
            <w:shd w:fill="FFC7CE" w:val="clear"/>
          </w:tcPr>
          <w:p>
            <w:r>
              <w:rPr>
                <w:b/>
                <w:color w:val="B40000"/>
                <w:sz w:val="16"/>
              </w:rPr>
              <w:t>-11.23%</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8,710</w:t>
            </w:r>
          </w:p>
        </w:tc>
        <w:tc>
          <w:tcPr>
            <w:tcW w:type="dxa" w:w="1417"/>
            <w:shd w:fill="FFFFFF" w:val="clear"/>
          </w:tcPr>
          <w:p>
            <w:r>
              <w:rPr>
                <w:sz w:val="16"/>
              </w:rPr>
              <w:t>7,705</w:t>
            </w:r>
          </w:p>
        </w:tc>
        <w:tc>
          <w:tcPr>
            <w:tcW w:type="dxa" w:w="1134"/>
            <w:shd w:fill="FFC7CE" w:val="clear"/>
          </w:tcPr>
          <w:p>
            <w:r>
              <w:rPr>
                <w:b/>
                <w:color w:val="B40000"/>
                <w:sz w:val="16"/>
              </w:rPr>
              <w:t>-11.54%</w:t>
            </w:r>
          </w:p>
        </w:tc>
        <w:tc>
          <w:tcPr>
            <w:tcW w:type="dxa" w:w="1134"/>
            <w:shd w:fill="FFEB9C" w:val="clear"/>
          </w:tcPr>
          <w:p>
            <w:r>
              <w:rPr>
                <w:sz w:val="16"/>
              </w:rPr>
              <w:t>Moyenne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7,085</w:t>
            </w:r>
          </w:p>
        </w:tc>
        <w:tc>
          <w:tcPr>
            <w:tcW w:type="dxa" w:w="1417"/>
            <w:shd w:fill="FFFFFF" w:val="clear"/>
          </w:tcPr>
          <w:p>
            <w:r>
              <w:rPr>
                <w:sz w:val="16"/>
              </w:rPr>
              <w:t>6,215</w:t>
            </w:r>
          </w:p>
        </w:tc>
        <w:tc>
          <w:tcPr>
            <w:tcW w:type="dxa" w:w="1134"/>
            <w:shd w:fill="FFC7CE" w:val="clear"/>
          </w:tcPr>
          <w:p>
            <w:r>
              <w:rPr>
                <w:b/>
                <w:color w:val="B40000"/>
                <w:sz w:val="16"/>
              </w:rPr>
              <w:t>-12.29%</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7,710</w:t>
            </w:r>
          </w:p>
        </w:tc>
        <w:tc>
          <w:tcPr>
            <w:tcW w:type="dxa" w:w="1417"/>
            <w:shd w:fill="FFFFFF" w:val="clear"/>
          </w:tcPr>
          <w:p>
            <w:r>
              <w:rPr>
                <w:sz w:val="16"/>
              </w:rPr>
              <w:t>6,710</w:t>
            </w:r>
          </w:p>
        </w:tc>
        <w:tc>
          <w:tcPr>
            <w:tcW w:type="dxa" w:w="1134"/>
            <w:shd w:fill="FFC7CE" w:val="clear"/>
          </w:tcPr>
          <w:p>
            <w:r>
              <w:rPr>
                <w:b/>
                <w:color w:val="B40000"/>
                <w:sz w:val="16"/>
              </w:rPr>
              <w:t>-12.97%</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1,700</w:t>
            </w:r>
          </w:p>
        </w:tc>
        <w:tc>
          <w:tcPr>
            <w:tcW w:type="dxa" w:w="1417"/>
            <w:shd w:fill="FFFFFF" w:val="clear"/>
          </w:tcPr>
          <w:p>
            <w:r>
              <w:rPr>
                <w:sz w:val="16"/>
              </w:rPr>
              <w:t>1,450</w:t>
            </w:r>
          </w:p>
        </w:tc>
        <w:tc>
          <w:tcPr>
            <w:tcW w:type="dxa" w:w="1134"/>
            <w:shd w:fill="FFC7CE" w:val="clear"/>
          </w:tcPr>
          <w:p>
            <w:r>
              <w:rPr>
                <w:b/>
                <w:color w:val="B40000"/>
                <w:sz w:val="16"/>
              </w:rPr>
              <w:t>-14.68%</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2,125</w:t>
            </w:r>
          </w:p>
        </w:tc>
        <w:tc>
          <w:tcPr>
            <w:tcW w:type="dxa" w:w="1417"/>
            <w:shd w:fill="FFFFFF" w:val="clear"/>
          </w:tcPr>
          <w:p>
            <w:r>
              <w:rPr>
                <w:sz w:val="16"/>
              </w:rPr>
              <w:t>1,666</w:t>
            </w:r>
          </w:p>
        </w:tc>
        <w:tc>
          <w:tcPr>
            <w:tcW w:type="dxa" w:w="1134"/>
            <w:shd w:fill="FFC7CE" w:val="clear"/>
          </w:tcPr>
          <w:p>
            <w:r>
              <w:rPr>
                <w:b/>
                <w:color w:val="B40000"/>
                <w:sz w:val="16"/>
              </w:rPr>
              <w:t>-21.62%</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9,300</w:t>
            </w:r>
          </w:p>
        </w:tc>
        <w:tc>
          <w:tcPr>
            <w:tcW w:type="dxa" w:w="1417"/>
            <w:shd w:fill="FFFFFF" w:val="clear"/>
          </w:tcPr>
          <w:p>
            <w:r>
              <w:rPr>
                <w:sz w:val="16"/>
              </w:rPr>
              <w:t>7,226</w:t>
            </w:r>
          </w:p>
        </w:tc>
        <w:tc>
          <w:tcPr>
            <w:tcW w:type="dxa" w:w="1134"/>
            <w:shd w:fill="FFC7CE" w:val="clear"/>
          </w:tcPr>
          <w:p>
            <w:r>
              <w:rPr>
                <w:b/>
                <w:color w:val="B40000"/>
                <w:sz w:val="16"/>
              </w:rPr>
              <w:t>-22.30%</w:t>
            </w:r>
          </w:p>
        </w:tc>
        <w:tc>
          <w:tcPr>
            <w:tcW w:type="dxa" w:w="1134"/>
            <w:shd w:fill="FFEB9C" w:val="clear"/>
          </w:tcPr>
          <w:p>
            <w:r>
              <w:rPr>
                <w:sz w:val="16"/>
              </w:rPr>
              <w:t>Moyenne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11,600</w:t>
            </w:r>
          </w:p>
        </w:tc>
        <w:tc>
          <w:tcPr>
            <w:tcW w:type="dxa" w:w="1417"/>
            <w:shd w:fill="FFFFFF" w:val="clear"/>
          </w:tcPr>
          <w:p>
            <w:r>
              <w:rPr>
                <w:sz w:val="16"/>
              </w:rPr>
              <w:t>8,583</w:t>
            </w:r>
          </w:p>
        </w:tc>
        <w:tc>
          <w:tcPr>
            <w:tcW w:type="dxa" w:w="1134"/>
            <w:shd w:fill="FFC7CE" w:val="clear"/>
          </w:tcPr>
          <w:p>
            <w:r>
              <w:rPr>
                <w:b/>
                <w:color w:val="B40000"/>
                <w:sz w:val="16"/>
              </w:rPr>
              <w:t>-26.01%</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2,290</w:t>
            </w:r>
          </w:p>
        </w:tc>
        <w:tc>
          <w:tcPr>
            <w:tcW w:type="dxa" w:w="1417"/>
            <w:shd w:fill="FFFFFF" w:val="clear"/>
          </w:tcPr>
          <w:p>
            <w:r>
              <w:rPr>
                <w:sz w:val="16"/>
              </w:rPr>
              <w:t>1,656</w:t>
            </w:r>
          </w:p>
        </w:tc>
        <w:tc>
          <w:tcPr>
            <w:tcW w:type="dxa" w:w="1134"/>
            <w:shd w:fill="FFC7CE" w:val="clear"/>
          </w:tcPr>
          <w:p>
            <w:r>
              <w:rPr>
                <w:b/>
                <w:color w:val="B40000"/>
                <w:sz w:val="16"/>
              </w:rPr>
              <w:t>-27.69%</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7,595</w:t>
            </w:r>
          </w:p>
        </w:tc>
        <w:tc>
          <w:tcPr>
            <w:tcW w:type="dxa" w:w="1417"/>
            <w:shd w:fill="FFFFFF" w:val="clear"/>
          </w:tcPr>
          <w:p>
            <w:r>
              <w:rPr>
                <w:sz w:val="16"/>
              </w:rPr>
              <w:t>5,410</w:t>
            </w:r>
          </w:p>
        </w:tc>
        <w:tc>
          <w:tcPr>
            <w:tcW w:type="dxa" w:w="1134"/>
            <w:shd w:fill="FFC7CE" w:val="clear"/>
          </w:tcPr>
          <w:p>
            <w:r>
              <w:rPr>
                <w:b/>
                <w:color w:val="B40000"/>
                <w:sz w:val="16"/>
              </w:rPr>
              <w:t>-28.77%</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2,115</w:t>
            </w:r>
          </w:p>
        </w:tc>
        <w:tc>
          <w:tcPr>
            <w:tcW w:type="dxa" w:w="1417"/>
            <w:shd w:fill="FFFFFF" w:val="clear"/>
          </w:tcPr>
          <w:p>
            <w:r>
              <w:rPr>
                <w:sz w:val="16"/>
              </w:rPr>
              <w:t>1,350</w:t>
            </w:r>
          </w:p>
        </w:tc>
        <w:tc>
          <w:tcPr>
            <w:tcW w:type="dxa" w:w="1134"/>
            <w:shd w:fill="FFC7CE" w:val="clear"/>
          </w:tcPr>
          <w:p>
            <w:r>
              <w:rPr>
                <w:b/>
                <w:color w:val="B40000"/>
                <w:sz w:val="16"/>
              </w:rPr>
              <w:t>-36.18%</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5,020</w:t>
            </w:r>
          </w:p>
        </w:tc>
        <w:tc>
          <w:tcPr>
            <w:tcW w:type="dxa" w:w="1417"/>
            <w:shd w:fill="FFFFFF" w:val="clear"/>
          </w:tcPr>
          <w:p>
            <w:r>
              <w:rPr>
                <w:sz w:val="16"/>
              </w:rPr>
              <w:t>3,166</w:t>
            </w:r>
          </w:p>
        </w:tc>
        <w:tc>
          <w:tcPr>
            <w:tcW w:type="dxa" w:w="1134"/>
            <w:shd w:fill="FFC7CE" w:val="clear"/>
          </w:tcPr>
          <w:p>
            <w:r>
              <w:rPr>
                <w:b/>
                <w:color w:val="B40000"/>
                <w:sz w:val="16"/>
              </w:rPr>
              <w:t>-36.94%</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28,305</w:t>
            </w:r>
          </w:p>
        </w:tc>
        <w:tc>
          <w:tcPr>
            <w:tcW w:type="dxa" w:w="1417"/>
            <w:shd w:fill="FFFFFF" w:val="clear"/>
          </w:tcPr>
          <w:p>
            <w:r>
              <w:rPr>
                <w:sz w:val="16"/>
              </w:rPr>
              <w:t>17,336</w:t>
            </w:r>
          </w:p>
        </w:tc>
        <w:tc>
          <w:tcPr>
            <w:tcW w:type="dxa" w:w="1134"/>
            <w:shd w:fill="FFC7CE" w:val="clear"/>
          </w:tcPr>
          <w:p>
            <w:r>
              <w:rPr>
                <w:b/>
                <w:color w:val="B40000"/>
                <w:sz w:val="16"/>
              </w:rPr>
              <w:t>-38.75%</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2,675</w:t>
            </w:r>
          </w:p>
        </w:tc>
        <w:tc>
          <w:tcPr>
            <w:tcW w:type="dxa" w:w="1417"/>
            <w:shd w:fill="FFFFFF" w:val="clear"/>
          </w:tcPr>
          <w:p>
            <w:r>
              <w:rPr>
                <w:sz w:val="16"/>
              </w:rPr>
              <w:t>1,597</w:t>
            </w:r>
          </w:p>
        </w:tc>
        <w:tc>
          <w:tcPr>
            <w:tcW w:type="dxa" w:w="1134"/>
            <w:shd w:fill="FFC7CE" w:val="clear"/>
          </w:tcPr>
          <w:p>
            <w:r>
              <w:rPr>
                <w:b/>
                <w:color w:val="B40000"/>
                <w:sz w:val="16"/>
              </w:rPr>
              <w:t>-40.29%</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65</w:t>
            </w:r>
          </w:p>
        </w:tc>
        <w:tc>
          <w:tcPr>
            <w:tcW w:type="dxa" w:w="1417"/>
            <w:shd w:fill="FFFFFF" w:val="clear"/>
          </w:tcPr>
          <w:p>
            <w:r>
              <w:rPr>
                <w:sz w:val="16"/>
              </w:rPr>
              <w:t>30</w:t>
            </w:r>
          </w:p>
        </w:tc>
        <w:tc>
          <w:tcPr>
            <w:tcW w:type="dxa" w:w="1134"/>
            <w:shd w:fill="FFC7CE" w:val="clear"/>
          </w:tcPr>
          <w:p>
            <w:r>
              <w:rPr>
                <w:b/>
                <w:color w:val="B40000"/>
                <w:sz w:val="16"/>
              </w:rPr>
              <w:t>-53.97%</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3,550</w:t>
            </w:r>
          </w:p>
        </w:tc>
        <w:tc>
          <w:tcPr>
            <w:tcW w:type="dxa" w:w="1417"/>
            <w:shd w:fill="FFFFFF" w:val="clear"/>
          </w:tcPr>
          <w:p>
            <w:r>
              <w:rPr>
                <w:sz w:val="16"/>
              </w:rPr>
              <w:t>1,628</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5,250</w:t>
            </w:r>
          </w:p>
        </w:tc>
        <w:tc>
          <w:tcPr>
            <w:tcW w:type="dxa" w:w="1417"/>
            <w:shd w:fill="FFFFFF" w:val="clear"/>
          </w:tcPr>
          <w:p>
            <w:r>
              <w:rPr>
                <w:sz w:val="16"/>
              </w:rPr>
              <w:t>2,408</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32.85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3,334 titres</w:t>
            </w:r>
          </w:p>
        </w:tc>
        <w:tc>
          <w:tcPr>
            <w:tcW w:type="dxa" w:w="2268"/>
            <w:shd w:fill="FFF2CC" w:val="clear"/>
          </w:tcPr>
          <w:p>
            <w:r>
              <w:rPr>
                <w:b/>
                <w:color w:val="503200"/>
                <w:sz w:val="16"/>
              </w:rPr>
              <w:t xml:space="preserve">Cours actuel : </w:t>
            </w:r>
            <w:r>
              <w:rPr>
                <w:color w:val="000000"/>
                <w:sz w:val="17"/>
              </w:rPr>
              <w:t>3,010 FCFA</w:t>
            </w:r>
          </w:p>
          <w:p>
            <w:r>
              <w:rPr>
                <w:b/>
                <w:color w:val="503200"/>
                <w:sz w:val="16"/>
              </w:rPr>
              <w:t xml:space="preserve">Var. 100 jours : </w:t>
            </w:r>
            <w:r>
              <w:rPr>
                <w:b/>
                <w:color w:val="B40000"/>
                <w:sz w:val="17"/>
              </w:rPr>
              <w:t>-11.47%</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54.3%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20.0/100 → Moyen</w:t>
      </w:r>
    </w:p>
    <w:p>
      <w:pPr>
        <w:spacing w:before="40" w:after="80"/>
      </w:pPr>
      <w:r>
        <w:rPr>
          <w:rFonts w:ascii="Courier New" w:hAnsi="Courier New"/>
          <w:color w:val="825A00"/>
          <w:sz w:val="18"/>
        </w:rPr>
        <w:t>████░░░░░░░░░░░░░░░░  20.0/100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7.45% (Moyenne) — μ=3,226 FCFA, σ=240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β=-0.6540 (Contre-cyclique) — Cov=-0.000024, Var(idx)=0.000036, ρ=-0.115,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3,334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σ_j=3.42%/j (Modérée) — Vol. annualisée≈54.3%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2,778</w:t>
            </w:r>
          </w:p>
        </w:tc>
        <w:tc>
          <w:tcPr>
            <w:tcW w:type="dxa" w:w="1440"/>
            <w:shd w:fill="FFDCE0" w:val="clear"/>
          </w:tcPr>
          <w:p>
            <w:r>
              <w:rPr>
                <w:b/>
                <w:sz w:val="17"/>
              </w:rPr>
              <w:t>2,910</w:t>
            </w:r>
          </w:p>
        </w:tc>
        <w:tc>
          <w:tcPr>
            <w:tcW w:type="dxa" w:w="1440"/>
            <w:shd w:fill="FFDCE0" w:val="clear"/>
          </w:tcPr>
          <w:p>
            <w:r>
              <w:rPr>
                <w:sz w:val="17"/>
              </w:rPr>
              <w:t>3,042</w:t>
            </w:r>
          </w:p>
        </w:tc>
        <w:tc>
          <w:tcPr>
            <w:tcW w:type="dxa" w:w="1440"/>
            <w:shd w:fill="FFDCE0" w:val="clear"/>
          </w:tcPr>
          <w:p>
            <w:r>
              <w:rPr>
                <w:b/>
                <w:color w:val="C00000"/>
                <w:sz w:val="17"/>
              </w:rPr>
              <w:t>-3.3%</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2,710</w:t>
            </w:r>
          </w:p>
        </w:tc>
        <w:tc>
          <w:tcPr>
            <w:tcW w:type="dxa" w:w="1440"/>
            <w:shd w:fill="FFDCE0" w:val="clear"/>
          </w:tcPr>
          <w:p>
            <w:r>
              <w:rPr>
                <w:b/>
                <w:sz w:val="17"/>
              </w:rPr>
              <w:t>2,895</w:t>
            </w:r>
          </w:p>
        </w:tc>
        <w:tc>
          <w:tcPr>
            <w:tcW w:type="dxa" w:w="1440"/>
            <w:shd w:fill="FFDCE0" w:val="clear"/>
          </w:tcPr>
          <w:p>
            <w:r>
              <w:rPr>
                <w:sz w:val="17"/>
              </w:rPr>
              <w:t>3,080</w:t>
            </w:r>
          </w:p>
        </w:tc>
        <w:tc>
          <w:tcPr>
            <w:tcW w:type="dxa" w:w="1440"/>
            <w:shd w:fill="FFDCE0" w:val="clear"/>
          </w:tcPr>
          <w:p>
            <w:r>
              <w:rPr>
                <w:b/>
                <w:color w:val="C00000"/>
                <w:sz w:val="17"/>
              </w:rPr>
              <w:t>-3.8%</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2,636</w:t>
            </w:r>
          </w:p>
        </w:tc>
        <w:tc>
          <w:tcPr>
            <w:tcW w:type="dxa" w:w="1440"/>
            <w:shd w:fill="FFDCE0" w:val="clear"/>
          </w:tcPr>
          <w:p>
            <w:r>
              <w:rPr>
                <w:b/>
                <w:sz w:val="17"/>
              </w:rPr>
              <w:t>2,860</w:t>
            </w:r>
          </w:p>
        </w:tc>
        <w:tc>
          <w:tcPr>
            <w:tcW w:type="dxa" w:w="1440"/>
            <w:shd w:fill="FFDCE0" w:val="clear"/>
          </w:tcPr>
          <w:p>
            <w:r>
              <w:rPr>
                <w:sz w:val="17"/>
              </w:rPr>
              <w:t>3,085</w:t>
            </w:r>
          </w:p>
        </w:tc>
        <w:tc>
          <w:tcPr>
            <w:tcW w:type="dxa" w:w="1440"/>
            <w:shd w:fill="FFDCE0" w:val="clear"/>
          </w:tcPr>
          <w:p>
            <w:r>
              <w:rPr>
                <w:b/>
                <w:color w:val="C00000"/>
                <w:sz w:val="17"/>
              </w:rPr>
              <w:t>-5.0%</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2,572</w:t>
            </w:r>
          </w:p>
        </w:tc>
        <w:tc>
          <w:tcPr>
            <w:tcW w:type="dxa" w:w="1440"/>
            <w:shd w:fill="FFDCE0" w:val="clear"/>
          </w:tcPr>
          <w:p>
            <w:r>
              <w:rPr>
                <w:b/>
                <w:sz w:val="17"/>
              </w:rPr>
              <w:t>2,828</w:t>
            </w:r>
          </w:p>
        </w:tc>
        <w:tc>
          <w:tcPr>
            <w:tcW w:type="dxa" w:w="1440"/>
            <w:shd w:fill="FFDCE0" w:val="clear"/>
          </w:tcPr>
          <w:p>
            <w:r>
              <w:rPr>
                <w:sz w:val="17"/>
              </w:rPr>
              <w:t>3,084</w:t>
            </w:r>
          </w:p>
        </w:tc>
        <w:tc>
          <w:tcPr>
            <w:tcW w:type="dxa" w:w="1440"/>
            <w:shd w:fill="FFDCE0" w:val="clear"/>
          </w:tcPr>
          <w:p>
            <w:r>
              <w:rPr>
                <w:b/>
                <w:color w:val="C00000"/>
                <w:sz w:val="17"/>
              </w:rPr>
              <w:t>-6.1%</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2,515</w:t>
            </w:r>
          </w:p>
        </w:tc>
        <w:tc>
          <w:tcPr>
            <w:tcW w:type="dxa" w:w="1440"/>
            <w:shd w:fill="FFDCE0" w:val="clear"/>
          </w:tcPr>
          <w:p>
            <w:r>
              <w:rPr>
                <w:b/>
                <w:sz w:val="17"/>
              </w:rPr>
              <w:t>2,798</w:t>
            </w:r>
          </w:p>
        </w:tc>
        <w:tc>
          <w:tcPr>
            <w:tcW w:type="dxa" w:w="1440"/>
            <w:shd w:fill="FFDCE0" w:val="clear"/>
          </w:tcPr>
          <w:p>
            <w:r>
              <w:rPr>
                <w:sz w:val="17"/>
              </w:rPr>
              <w:t>3,082</w:t>
            </w:r>
          </w:p>
        </w:tc>
        <w:tc>
          <w:tcPr>
            <w:tcW w:type="dxa" w:w="1440"/>
            <w:shd w:fill="FFDCE0" w:val="clear"/>
          </w:tcPr>
          <w:p>
            <w:r>
              <w:rPr>
                <w:b/>
                <w:color w:val="C00000"/>
                <w:sz w:val="17"/>
              </w:rPr>
              <w:t>-7.0%</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2,463</w:t>
            </w:r>
          </w:p>
        </w:tc>
        <w:tc>
          <w:tcPr>
            <w:tcW w:type="dxa" w:w="1440"/>
            <w:shd w:fill="FFDCE0" w:val="clear"/>
          </w:tcPr>
          <w:p>
            <w:r>
              <w:rPr>
                <w:b/>
                <w:sz w:val="17"/>
              </w:rPr>
              <w:t>2,771</w:t>
            </w:r>
          </w:p>
        </w:tc>
        <w:tc>
          <w:tcPr>
            <w:tcW w:type="dxa" w:w="1440"/>
            <w:shd w:fill="FFDCE0" w:val="clear"/>
          </w:tcPr>
          <w:p>
            <w:r>
              <w:rPr>
                <w:sz w:val="17"/>
              </w:rPr>
              <w:t>3,078</w:t>
            </w:r>
          </w:p>
        </w:tc>
        <w:tc>
          <w:tcPr>
            <w:tcW w:type="dxa" w:w="1440"/>
            <w:shd w:fill="FFDCE0" w:val="clear"/>
          </w:tcPr>
          <w:p>
            <w:r>
              <w:rPr>
                <w:b/>
                <w:color w:val="C00000"/>
                <w:sz w:val="17"/>
              </w:rPr>
              <w:t>-7.9%</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2,416</w:t>
            </w:r>
          </w:p>
        </w:tc>
        <w:tc>
          <w:tcPr>
            <w:tcW w:type="dxa" w:w="1440"/>
            <w:shd w:fill="FFDCE0" w:val="clear"/>
          </w:tcPr>
          <w:p>
            <w:r>
              <w:rPr>
                <w:b/>
                <w:sz w:val="17"/>
              </w:rPr>
              <w:t>2,745</w:t>
            </w:r>
          </w:p>
        </w:tc>
        <w:tc>
          <w:tcPr>
            <w:tcW w:type="dxa" w:w="1440"/>
            <w:shd w:fill="FFDCE0" w:val="clear"/>
          </w:tcPr>
          <w:p>
            <w:r>
              <w:rPr>
                <w:sz w:val="17"/>
              </w:rPr>
              <w:t>3,074</w:t>
            </w:r>
          </w:p>
        </w:tc>
        <w:tc>
          <w:tcPr>
            <w:tcW w:type="dxa" w:w="1440"/>
            <w:shd w:fill="FFDCE0" w:val="clear"/>
          </w:tcPr>
          <w:p>
            <w:r>
              <w:rPr>
                <w:b/>
                <w:color w:val="C00000"/>
                <w:sz w:val="17"/>
              </w:rPr>
              <w:t>-8.8%</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2,371</w:t>
            </w:r>
          </w:p>
        </w:tc>
        <w:tc>
          <w:tcPr>
            <w:tcW w:type="dxa" w:w="1440"/>
            <w:shd w:fill="FFDCE0" w:val="clear"/>
          </w:tcPr>
          <w:p>
            <w:r>
              <w:rPr>
                <w:b/>
                <w:sz w:val="17"/>
              </w:rPr>
              <w:t>2,720</w:t>
            </w:r>
          </w:p>
        </w:tc>
        <w:tc>
          <w:tcPr>
            <w:tcW w:type="dxa" w:w="1440"/>
            <w:shd w:fill="FFDCE0" w:val="clear"/>
          </w:tcPr>
          <w:p>
            <w:r>
              <w:rPr>
                <w:sz w:val="17"/>
              </w:rPr>
              <w:t>3,068</w:t>
            </w:r>
          </w:p>
        </w:tc>
        <w:tc>
          <w:tcPr>
            <w:tcW w:type="dxa" w:w="1440"/>
            <w:shd w:fill="FFDCE0" w:val="clear"/>
          </w:tcPr>
          <w:p>
            <w:r>
              <w:rPr>
                <w:b/>
                <w:color w:val="C00000"/>
                <w:sz w:val="17"/>
              </w:rPr>
              <w:t>-9.7%</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2,329</w:t>
            </w:r>
          </w:p>
        </w:tc>
        <w:tc>
          <w:tcPr>
            <w:tcW w:type="dxa" w:w="1440"/>
            <w:shd w:fill="FFDCE0" w:val="clear"/>
          </w:tcPr>
          <w:p>
            <w:r>
              <w:rPr>
                <w:b/>
                <w:sz w:val="17"/>
              </w:rPr>
              <w:t>2,695</w:t>
            </w:r>
          </w:p>
        </w:tc>
        <w:tc>
          <w:tcPr>
            <w:tcW w:type="dxa" w:w="1440"/>
            <w:shd w:fill="FFDCE0" w:val="clear"/>
          </w:tcPr>
          <w:p>
            <w:r>
              <w:rPr>
                <w:sz w:val="17"/>
              </w:rPr>
              <w:t>3,062</w:t>
            </w:r>
          </w:p>
        </w:tc>
        <w:tc>
          <w:tcPr>
            <w:tcW w:type="dxa" w:w="1440"/>
            <w:shd w:fill="FFDCE0" w:val="clear"/>
          </w:tcPr>
          <w:p>
            <w:r>
              <w:rPr>
                <w:b/>
                <w:color w:val="C00000"/>
                <w:sz w:val="17"/>
              </w:rPr>
              <w:t>-10.5%</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2,289</w:t>
            </w:r>
          </w:p>
        </w:tc>
        <w:tc>
          <w:tcPr>
            <w:tcW w:type="dxa" w:w="1440"/>
            <w:shd w:fill="FFDCE0" w:val="clear"/>
          </w:tcPr>
          <w:p>
            <w:r>
              <w:rPr>
                <w:b/>
                <w:sz w:val="17"/>
              </w:rPr>
              <w:t>2,672</w:t>
            </w:r>
          </w:p>
        </w:tc>
        <w:tc>
          <w:tcPr>
            <w:tcW w:type="dxa" w:w="1440"/>
            <w:shd w:fill="FFDCE0" w:val="clear"/>
          </w:tcPr>
          <w:p>
            <w:r>
              <w:rPr>
                <w:sz w:val="17"/>
              </w:rPr>
              <w:t>3,055</w:t>
            </w:r>
          </w:p>
        </w:tc>
        <w:tc>
          <w:tcPr>
            <w:tcW w:type="dxa" w:w="1440"/>
            <w:shd w:fill="FFDCE0" w:val="clear"/>
          </w:tcPr>
          <w:p>
            <w:r>
              <w:rPr>
                <w:b/>
                <w:color w:val="C00000"/>
                <w:sz w:val="17"/>
              </w:rPr>
              <w:t>-11.2%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Absolument. Voici un rapport d'analyse professionnel structuré en quatre parties, conforme à vos instructions et basé sur les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32,85 milliards FCFA, un niveau qui la positionne comme une valeur de taille moyenne sur la BRVM. Avec un BPA de 124 FCFA, le marché valorise actuellement le titre à un PER de 24,3x, ce qui est nettement supérieur à la moyenne historique de la place (~8-12x). Cette prime suggère que les investisseurs intègrent des attentes de croissance future élevées, ou révèle une potentielle surévaluation. Le P/B de 6,37x confirme cette lecture, le marché payant plus de six fois la valeur comptable des actifs, ce qui est exigeant. Enfin, un EV/EBITDA de 12,2x, bien que dans la fourchette haute (10-15x), indique que la valeur totale de l'entreprise (dette incluse) reste élevée par rapport à sa capacité opérationnelle, mais sans excès flagrant.</w:t>
      </w:r>
    </w:p>
    <w:p>
      <w:pPr>
        <w:spacing w:after="120" w:line="276" w:lineRule="auto"/>
      </w:pPr>
      <w:r>
        <w:t>### PARTIE 1 : ANALYSE DU COURS — STATISTIQUES ET ÉVOLUTION (100 derniers jours)</w:t>
      </w:r>
    </w:p>
    <w:p>
      <w:pPr>
        <w:spacing w:after="120" w:line="276" w:lineRule="auto"/>
      </w:pPr>
      <w:r>
        <w:t>Sur les 100 derniers jours, le titre ABJC a enregistré une baisse significative de -11,47%, se négociant actuellement à 3 010 FCFA, après un rebond de +7,50% lors de la dernière séance. Le cours a évolué dans une fourchette large de 2 800 à 3 780 FCFA, illustrant une forte amplitude de trading. La moyenne (3 226 FCFA) et la médiane (3 215 FCFA) étant très proches, la distribution des prix est symétrique, ce que confirme le skewness de 0,194. L'écart-type de 241 FCFA (CV=7,5%) indique une dispersion modérée autour de la moyenne. Le kurtosis de -0,824 (mésokurtique) suggère une distribution proche de la normale, sans risque de variations extrêmes (pics) plus élevé que la normale. La volatilité annualisée de 54,3% est très élevée, classant ABJC comme un actif à risque significatif, où les mouvements de prix peuvent être amples et rapides.</w:t>
      </w:r>
    </w:p>
    <w:p>
      <w:pPr>
        <w:spacing w:after="120" w:line="276" w:lineRule="auto"/>
      </w:pPr>
      <w:r>
        <w:t>### PARTIE 2 : ANALYSE TECHNIQUE DÉTAILLÉE</w:t>
      </w:r>
    </w:p>
    <w:p>
      <w:pPr>
        <w:spacing w:after="120" w:line="276" w:lineRule="auto"/>
      </w:pPr>
      <w:r>
        <w:t>**Moyennes Mobiles**: Le cours actuel (3 010 FCFA) est inférieur à la MM20 (3 047,5 FCFA) et nettement sous la MM50 (3 163,7 FCFA). Cette configuration en pente descendante confirme une tendance baissière de moyen terme, justifiant la décision de Vente.</w:t>
      </w:r>
    </w:p>
    <w:p>
      <w:pPr>
        <w:spacing w:after="120" w:line="276" w:lineRule="auto"/>
      </w:pPr>
      <w:r>
        <w:t>**Bandes de Bollinger**: Le prix se situe entre la borne inférieure (2 847,5 FCFA) et la borne supérieure (3 247,4 FCFA), proche du milieu de la bande. Cela indique une volatilité modérée et une absence de signal directionnel fort, d'où la décision Neutre.</w:t>
      </w:r>
    </w:p>
    <w:p>
      <w:pPr>
        <w:spacing w:after="120" w:line="276" w:lineRule="auto"/>
      </w:pPr>
      <w:r>
        <w:t>**MACD**: La valeur du MACD (-58,08) est inférieure à son signal (-46,81), tous deux en territoire négatif. Cette configuration baissière indique que le momentum est négatif et que la tendance de fond reste vendeuse.</w:t>
      </w:r>
    </w:p>
    <w:p>
      <w:pPr>
        <w:spacing w:after="120" w:line="276" w:lineRule="auto"/>
      </w:pPr>
      <w:r>
        <w:t>**RSI**: À 51,13, le RSI se situe en zone neutre, indiquant un équilibre entre les forces acheteuses et vendeuses. Il n'y a pas de condition de surachat ou de survente, ce qui justifie une décision Neutre.</w:t>
      </w:r>
    </w:p>
    <w:p>
      <w:pPr>
        <w:spacing w:after="120" w:line="276" w:lineRule="auto"/>
      </w:pPr>
      <w:r>
        <w:t>**Stochastique**: Le %K (55,26) est nettement supérieur au %D (25,66), montrant un croisement haussier récent. Ce signal pourrait indiquer un potentiel de rebond à court terme, mais la prudence reste de mise, d'où la décision Neutre.</w:t>
      </w:r>
    </w:p>
    <w:p>
      <w:pPr>
        <w:spacing w:after="120" w:line="276" w:lineRule="auto"/>
      </w:pPr>
      <w:r>
        <w:t>**Conclusion technique**: La tendance de fond reste baissière, confirmée par les moyennes mobiles et le MACD. Cependant, le RSI neutre et le croisement haussier du stochastique suggèrent un possible ralentissement de la baisse, voire un rebond technique à court terme. Le signal global est donc mitigé, avec une prédominance vendeuse à moyen terme.</w:t>
      </w:r>
    </w:p>
    <w:p>
      <w:pPr>
        <w:spacing w:after="120" w:line="276" w:lineRule="auto"/>
      </w:pPr>
      <w:r>
        <w:t>### PARTIE 3 : ANALYSE FONDAMENTALE (SECTION CRITIQUE)</w:t>
      </w:r>
    </w:p>
    <w:p>
      <w:pPr>
        <w:spacing w:after="120" w:line="276" w:lineRule="auto"/>
      </w:pPr>
      <w:r>
        <w:t>En 2025, les données structurées annuelles montrent une entreprise rentable avec un chiffre d'affaires de 13,298 milliards FCFA (+6,7% vs 2024) et un résultat net de 1,351 milliard FCFA. La rentabilité est excellente, avec un ROE de 26,18% et un ROA de 14,64%. La structure financière est saine : l'autonomie financière est de 55,9% et la trésorerie nette est très positive à 4,035 milliards FCFA. Pour une entreprise, le BFR de 257,45 millions FCFA est un point positif, et les délais de paiement clients (70 jours) et fournisseurs (92 jours) sont bien gérés. Cependant, les rapports trimestriels de 2025 racontent une histoire plus nuancée. Le rapport T1 2025 (daté de mars 2025) montrait une baisse du résultat net (-6,8%) due à un litige avec la BCEAO. Le rapport T3 2025 (daté de septembre 2025) indiquait un fort redressement au troisième trimestre avec une croissance du CA de +10,3% et du résultat net de +17,1%. Enfin, le rapport annuel 2025 (publié en 2026) confirme la baisse du résultat net de -12,1% à 1,331 milliard FCFA, principalement à cause d'une hausse de l'impôt (+46,7%). Le rapport T1 2026 (daté de 2026) est préoccupant, montrant une chute du résultat net de -35,6% à 222,6 millions FCFA, impacté par des ajustements de redevances aéroportuaires. Sur cette base, on estime que l'exercice 2026 pourrait être difficile si cette tendance se poursuit, malgré une croissance du CA de +1,9% au T1.</w:t>
      </w:r>
    </w:p>
    <w:p>
      <w:pPr>
        <w:spacing w:after="120" w:line="276" w:lineRule="auto"/>
      </w:pPr>
      <w:r>
        <w:t>### PARTIE 4 : CONCLUSION D'INVESTISSEMENT</w:t>
      </w:r>
    </w:p>
    <w:p>
      <w:pPr>
        <w:spacing w:after="120" w:line="276" w:lineRule="auto"/>
      </w:pPr>
      <w:r>
        <w:t>La valorisation d'ABJC (PER 24,3x, P/B 6,37x) est exigeante et reflète des attentes élevées qui semblent actuellement contredites par les fondamentaux. Le comportement du cours est baissier sur 100 jours (-11,47%) avec une volatilité très élevée (54,3%). Les signaux techniques sont majoritairement vendeurs à moyen terme (MM, MACD), mais montrent des signes de stabilisation à court terme (RSI, Stochastique). Sur le plan fondamental, l'entreprise est solide et rentable (ROE &gt; 26%), mais fait face à une dégradation marquée de sa rentabilité nette en 2026, comme le montre le T1 2026 (-35,6% de résultat net). Les prédictions IA pour les 10 prochains jours (baisse de 3 010 à 2 798 FCFA) confirment la tendance baissière et la pression vendeuse. En synthèse, la convergence des signaux (valorisation élevée, tendance baissière, dégradation des résultats) est négative. Par conséquent, la recommandation est **VENTE**. Le niveau de confiance est **Moyen**, car la solidité bilancielle et la capacité de rebond technique pourraient limiter la baisse. Le niveau de risque global est **Élevé** en raison de la forte volatilité et des incertitudes réglementaires. L'horizon d'investissement optimal serait de **court terme (&lt; 3 mois)** pour les investisseurs cherchant à réduire leur exposition, en attendant une amélioration visible des résultats trimestriels.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438.69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8,474 titres</w:t>
            </w:r>
          </w:p>
        </w:tc>
        <w:tc>
          <w:tcPr>
            <w:tcW w:type="dxa" w:w="2268"/>
            <w:shd w:fill="FFF2CC" w:val="clear"/>
          </w:tcPr>
          <w:p>
            <w:r>
              <w:rPr>
                <w:b/>
                <w:color w:val="503200"/>
                <w:sz w:val="16"/>
              </w:rPr>
              <w:t xml:space="preserve">Cours actuel : </w:t>
            </w:r>
            <w:r>
              <w:rPr>
                <w:color w:val="000000"/>
                <w:sz w:val="17"/>
              </w:rPr>
              <w:t>7,595 FCFA</w:t>
            </w:r>
          </w:p>
          <w:p>
            <w:r>
              <w:rPr>
                <w:b/>
                <w:color w:val="503200"/>
                <w:sz w:val="16"/>
              </w:rPr>
              <w:t xml:space="preserve">Var. 100 jours : </w:t>
            </w:r>
            <w:r>
              <w:rPr>
                <w:b/>
                <w:color w:val="007800"/>
                <w:sz w:val="17"/>
              </w:rPr>
              <w:t>+46.06%</w:t>
            </w:r>
          </w:p>
          <w:p>
            <w:r>
              <w:rPr>
                <w:b/>
                <w:color w:val="503200"/>
                <w:sz w:val="16"/>
              </w:rPr>
              <w:t xml:space="preserve">Plus haut 100j : </w:t>
            </w:r>
            <w:r>
              <w:rPr>
                <w:color w:val="000000"/>
                <w:sz w:val="17"/>
              </w:rPr>
              <w:t>7,850 FCFA</w:t>
            </w:r>
          </w:p>
          <w:p>
            <w:r>
              <w:rPr>
                <w:b/>
                <w:color w:val="503200"/>
                <w:sz w:val="16"/>
              </w:rPr>
              <w:t xml:space="preserve">Plus bas 100j : </w:t>
            </w:r>
            <w:r>
              <w:rPr>
                <w:color w:val="000000"/>
                <w:sz w:val="17"/>
              </w:rPr>
              <w:t>5,000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13.66% (Moyenne) — μ=5,731 FCFA, σ=783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β=0.4963 (Défensif) — Cov=0.000018, Var(idx)=0.000036, ρ=0.164,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8,474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6,736</w:t>
            </w:r>
          </w:p>
        </w:tc>
        <w:tc>
          <w:tcPr>
            <w:tcW w:type="dxa" w:w="1440"/>
            <w:shd w:fill="FFDCE0" w:val="clear"/>
          </w:tcPr>
          <w:p>
            <w:r>
              <w:rPr>
                <w:b/>
                <w:sz w:val="17"/>
              </w:rPr>
              <w:t>7,025</w:t>
            </w:r>
          </w:p>
        </w:tc>
        <w:tc>
          <w:tcPr>
            <w:tcW w:type="dxa" w:w="1440"/>
            <w:shd w:fill="FFDCE0" w:val="clear"/>
          </w:tcPr>
          <w:p>
            <w:r>
              <w:rPr>
                <w:sz w:val="17"/>
              </w:rPr>
              <w:t>7,314</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6,120</w:t>
            </w:r>
          </w:p>
        </w:tc>
        <w:tc>
          <w:tcPr>
            <w:tcW w:type="dxa" w:w="1440"/>
            <w:shd w:fill="FFDCE0" w:val="clear"/>
          </w:tcPr>
          <w:p>
            <w:r>
              <w:rPr>
                <w:b/>
                <w:sz w:val="17"/>
              </w:rPr>
              <w:t>6,498</w:t>
            </w:r>
          </w:p>
        </w:tc>
        <w:tc>
          <w:tcPr>
            <w:tcW w:type="dxa" w:w="1440"/>
            <w:shd w:fill="FFDCE0" w:val="clear"/>
          </w:tcPr>
          <w:p>
            <w:r>
              <w:rPr>
                <w:sz w:val="17"/>
              </w:rPr>
              <w:t>6,877</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5,701</w:t>
            </w:r>
          </w:p>
        </w:tc>
        <w:tc>
          <w:tcPr>
            <w:tcW w:type="dxa" w:w="1440"/>
            <w:shd w:fill="FFDCE0" w:val="clear"/>
          </w:tcPr>
          <w:p>
            <w:r>
              <w:rPr>
                <w:b/>
                <w:sz w:val="17"/>
              </w:rPr>
              <w:t>6,138</w:t>
            </w:r>
          </w:p>
        </w:tc>
        <w:tc>
          <w:tcPr>
            <w:tcW w:type="dxa" w:w="1440"/>
            <w:shd w:fill="FFDCE0" w:val="clear"/>
          </w:tcPr>
          <w:p>
            <w:r>
              <w:rPr>
                <w:sz w:val="17"/>
              </w:rPr>
              <w:t>6,575</w:t>
            </w:r>
          </w:p>
        </w:tc>
        <w:tc>
          <w:tcPr>
            <w:tcW w:type="dxa" w:w="1440"/>
            <w:shd w:fill="FFDCE0" w:val="clear"/>
          </w:tcPr>
          <w:p>
            <w:r>
              <w:rPr>
                <w:b/>
                <w:color w:val="C00000"/>
                <w:sz w:val="17"/>
              </w:rPr>
              <w:t>-19.2%</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5,497</w:t>
            </w:r>
          </w:p>
        </w:tc>
        <w:tc>
          <w:tcPr>
            <w:tcW w:type="dxa" w:w="1440"/>
            <w:shd w:fill="FFDCE0" w:val="clear"/>
          </w:tcPr>
          <w:p>
            <w:r>
              <w:rPr>
                <w:b/>
                <w:sz w:val="17"/>
              </w:rPr>
              <w:t>5,990</w:t>
            </w:r>
          </w:p>
        </w:tc>
        <w:tc>
          <w:tcPr>
            <w:tcW w:type="dxa" w:w="1440"/>
            <w:shd w:fill="FFDCE0" w:val="clear"/>
          </w:tcPr>
          <w:p>
            <w:r>
              <w:rPr>
                <w:sz w:val="17"/>
              </w:rPr>
              <w:t>6,483</w:t>
            </w:r>
          </w:p>
        </w:tc>
        <w:tc>
          <w:tcPr>
            <w:tcW w:type="dxa" w:w="1440"/>
            <w:shd w:fill="FFDCE0" w:val="clear"/>
          </w:tcPr>
          <w:p>
            <w:r>
              <w:rPr>
                <w:b/>
                <w:color w:val="C00000"/>
                <w:sz w:val="17"/>
              </w:rPr>
              <w:t>-21.1%</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5,319</w:t>
            </w:r>
          </w:p>
        </w:tc>
        <w:tc>
          <w:tcPr>
            <w:tcW w:type="dxa" w:w="1440"/>
            <w:shd w:fill="FFDCE0" w:val="clear"/>
          </w:tcPr>
          <w:p>
            <w:r>
              <w:rPr>
                <w:b/>
                <w:sz w:val="17"/>
              </w:rPr>
              <w:t>5,858</w:t>
            </w:r>
          </w:p>
        </w:tc>
        <w:tc>
          <w:tcPr>
            <w:tcW w:type="dxa" w:w="1440"/>
            <w:shd w:fill="FFDCE0" w:val="clear"/>
          </w:tcPr>
          <w:p>
            <w:r>
              <w:rPr>
                <w:sz w:val="17"/>
              </w:rPr>
              <w:t>6,396</w:t>
            </w:r>
          </w:p>
        </w:tc>
        <w:tc>
          <w:tcPr>
            <w:tcW w:type="dxa" w:w="1440"/>
            <w:shd w:fill="FFDCE0" w:val="clear"/>
          </w:tcPr>
          <w:p>
            <w:r>
              <w:rPr>
                <w:b/>
                <w:color w:val="C00000"/>
                <w:sz w:val="17"/>
              </w:rPr>
              <w:t>-22.9%</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5,163</w:t>
            </w:r>
          </w:p>
        </w:tc>
        <w:tc>
          <w:tcPr>
            <w:tcW w:type="dxa" w:w="1440"/>
            <w:shd w:fill="FFDCE0" w:val="clear"/>
          </w:tcPr>
          <w:p>
            <w:r>
              <w:rPr>
                <w:b/>
                <w:sz w:val="17"/>
              </w:rPr>
              <w:t>5,741</w:t>
            </w:r>
          </w:p>
        </w:tc>
        <w:tc>
          <w:tcPr>
            <w:tcW w:type="dxa" w:w="1440"/>
            <w:shd w:fill="FFDCE0" w:val="clear"/>
          </w:tcPr>
          <w:p>
            <w:r>
              <w:rPr>
                <w:sz w:val="17"/>
              </w:rPr>
              <w:t>6,320</w:t>
            </w:r>
          </w:p>
        </w:tc>
        <w:tc>
          <w:tcPr>
            <w:tcW w:type="dxa" w:w="1440"/>
            <w:shd w:fill="FFDCE0" w:val="clear"/>
          </w:tcPr>
          <w:p>
            <w:r>
              <w:rPr>
                <w:b/>
                <w:color w:val="C00000"/>
                <w:sz w:val="17"/>
              </w:rPr>
              <w:t>-24.4%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5,026</w:t>
            </w:r>
          </w:p>
        </w:tc>
        <w:tc>
          <w:tcPr>
            <w:tcW w:type="dxa" w:w="1440"/>
            <w:shd w:fill="FFDCE0" w:val="clear"/>
          </w:tcPr>
          <w:p>
            <w:r>
              <w:rPr>
                <w:b/>
                <w:sz w:val="17"/>
              </w:rPr>
              <w:t>5,640</w:t>
            </w:r>
          </w:p>
        </w:tc>
        <w:tc>
          <w:tcPr>
            <w:tcW w:type="dxa" w:w="1440"/>
            <w:shd w:fill="FFDCE0" w:val="clear"/>
          </w:tcPr>
          <w:p>
            <w:r>
              <w:rPr>
                <w:sz w:val="17"/>
              </w:rPr>
              <w:t>6,254</w:t>
            </w:r>
          </w:p>
        </w:tc>
        <w:tc>
          <w:tcPr>
            <w:tcW w:type="dxa" w:w="1440"/>
            <w:shd w:fill="FFDCE0" w:val="clear"/>
          </w:tcPr>
          <w:p>
            <w:r>
              <w:rPr>
                <w:b/>
                <w:color w:val="C00000"/>
                <w:sz w:val="17"/>
              </w:rPr>
              <w:t>-25.7%</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4,906</w:t>
            </w:r>
          </w:p>
        </w:tc>
        <w:tc>
          <w:tcPr>
            <w:tcW w:type="dxa" w:w="1440"/>
            <w:shd w:fill="FFDCE0" w:val="clear"/>
          </w:tcPr>
          <w:p>
            <w:r>
              <w:rPr>
                <w:b/>
                <w:sz w:val="17"/>
              </w:rPr>
              <w:t>5,552</w:t>
            </w:r>
          </w:p>
        </w:tc>
        <w:tc>
          <w:tcPr>
            <w:tcW w:type="dxa" w:w="1440"/>
            <w:shd w:fill="FFDCE0" w:val="clear"/>
          </w:tcPr>
          <w:p>
            <w:r>
              <w:rPr>
                <w:sz w:val="17"/>
              </w:rPr>
              <w:t>6,198</w:t>
            </w:r>
          </w:p>
        </w:tc>
        <w:tc>
          <w:tcPr>
            <w:tcW w:type="dxa" w:w="1440"/>
            <w:shd w:fill="FFDCE0" w:val="clear"/>
          </w:tcPr>
          <w:p>
            <w:r>
              <w:rPr>
                <w:b/>
                <w:color w:val="C00000"/>
                <w:sz w:val="17"/>
              </w:rPr>
              <w:t>-26.9%</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4,800</w:t>
            </w:r>
          </w:p>
        </w:tc>
        <w:tc>
          <w:tcPr>
            <w:tcW w:type="dxa" w:w="1440"/>
            <w:shd w:fill="FFDCE0" w:val="clear"/>
          </w:tcPr>
          <w:p>
            <w:r>
              <w:rPr>
                <w:b/>
                <w:sz w:val="17"/>
              </w:rPr>
              <w:t>5,476</w:t>
            </w:r>
          </w:p>
        </w:tc>
        <w:tc>
          <w:tcPr>
            <w:tcW w:type="dxa" w:w="1440"/>
            <w:shd w:fill="FFDCE0" w:val="clear"/>
          </w:tcPr>
          <w:p>
            <w:r>
              <w:rPr>
                <w:sz w:val="17"/>
              </w:rPr>
              <w:t>6,152</w:t>
            </w:r>
          </w:p>
        </w:tc>
        <w:tc>
          <w:tcPr>
            <w:tcW w:type="dxa" w:w="1440"/>
            <w:shd w:fill="FFDCE0" w:val="clear"/>
          </w:tcPr>
          <w:p>
            <w:r>
              <w:rPr>
                <w:b/>
                <w:color w:val="C00000"/>
                <w:sz w:val="17"/>
              </w:rPr>
              <w:t>-27.9%</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4,706</w:t>
            </w:r>
          </w:p>
        </w:tc>
        <w:tc>
          <w:tcPr>
            <w:tcW w:type="dxa" w:w="1440"/>
            <w:shd w:fill="FFDCE0" w:val="clear"/>
          </w:tcPr>
          <w:p>
            <w:r>
              <w:rPr>
                <w:b/>
                <w:sz w:val="17"/>
              </w:rPr>
              <w:t>5,410</w:t>
            </w:r>
          </w:p>
        </w:tc>
        <w:tc>
          <w:tcPr>
            <w:tcW w:type="dxa" w:w="1440"/>
            <w:shd w:fill="FFDCE0" w:val="clear"/>
          </w:tcPr>
          <w:p>
            <w:r>
              <w:rPr>
                <w:sz w:val="17"/>
              </w:rPr>
              <w:t>6,114</w:t>
            </w:r>
          </w:p>
        </w:tc>
        <w:tc>
          <w:tcPr>
            <w:tcW w:type="dxa" w:w="1440"/>
            <w:shd w:fill="FFDCE0" w:val="clear"/>
          </w:tcPr>
          <w:p>
            <w:r>
              <w:rPr>
                <w:b/>
                <w:color w:val="C00000"/>
                <w:sz w:val="17"/>
              </w:rPr>
              <w:t>-28.8%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BICB s'établit à 438,69 milliards FCFA, un niveau significatif qui la positionne parmi les valeurs bancaires de premier plan sur la BRVM. Avec un BPA de 627 FCFA, chaque action génère un bénéfice substantiel, ce qui justifie un PER de 12,1x, légèrement au-dessus de la moyenne historique du marché (8-12x), indiquant que les investisseurs acceptent de payer une prime modérée pour la qualité de l'actif. Le P/B de 3,25x confirme cette prime, le marché valorisant la banque à plus de trois fois sa valeur comptable, ce qui traduit une anticipation de croissance future. En revanche, l'EV/EBITDA de 22,8x apparaît très exigeant, signalant que la valeur totale de l'entreprise est élevée par rapport à sa capacité opérationnelle, un point de vigilance pour les investisseurs axés sur la valeur.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BICB a enregistré une progression spectaculaire de +46,06%, avec une dernière séance en hausse de +1,27% à 7 595 FCFA, démontrant une dynamique haussière soutenue. Le titre a évolué dans une fourchette de 5 000 à 7 850 FCFA, illustrant un range de trading très large. La moyenne du cours sur la période (5 731 FCFA) est nettement supérieure à la médiane (5 308 FCFA), et le skewness positif de 1,369 confirme une asymétrie marquée avec des journées majoritairement sous la moyenne mais des pics de hausse prononcés. L'écart-type de 787 FCFA (CV=13,7%) indique une dispersion modérée, tandis que le kurtosis de 0,761 suggère une distribution proche de la normale, limitant le risque de mouvements extrêmes. La volatilité annualisée de 28,8% classe le titre dans une zone modérée à élevée, reflétant une certaine nervosité du marché malgré la tendance haussière dominante.</w:t>
      </w:r>
    </w:p>
    <w:p>
      <w:pPr>
        <w:spacing w:after="120" w:line="276" w:lineRule="auto" w:before="240"/>
      </w:pPr>
      <w:r>
        <w:rPr>
          <w:b/>
          <w:color w:val="003366"/>
          <w:sz w:val="24"/>
        </w:rPr>
        <w:t>**PARTIE 2 : ANALYSE TECHNIQUE DÉTAILLÉE**</w:t>
      </w:r>
    </w:p>
    <w:p>
      <w:pPr>
        <w:spacing w:after="120" w:line="276" w:lineRule="auto"/>
      </w:pPr>
      <w:r>
        <w:t>Les **Moyennes Mobiles** indiquent une configuration clairement haussière : la MM20 à 7 072,5 FCFA et la MM50 à 6 286,2 FCFA sont toutes deux inférieures au cours actuel de 7 595 FCFA, confirmant une tendance positive solide. La décision d'achat est justifiée par cette structure ascendante, le cours évoluant au-dessus de ses moyennes clés.</w:t>
      </w:r>
    </w:p>
    <w:p>
      <w:pPr>
        <w:spacing w:after="120" w:line="276" w:lineRule="auto"/>
      </w:pPr>
      <w:r>
        <w:t>Les **Bandes de Bollinger** montrent un cours positionné entre la borne supérieure (8 240,9 FCFA) et la borne inférieure (5 904,1 FCFA), avec une décision neutre. Cette position médiane suggère une volatilité modérée, le prix n'étant pas en zone de surachat extrême, mais la largeur des bandes reflète une amplitude de variation importante.</w:t>
      </w:r>
    </w:p>
    <w:p>
      <w:pPr>
        <w:spacing w:after="120" w:line="276" w:lineRule="auto"/>
      </w:pPr>
      <w:r>
        <w:t>Le **MACD** affiche une valeur de 419,6 contre un signal à 411,2, avec une décision d'achat. Le momentum positif est confirmé par cette divergence favorable, indiquant une poursuite probable de la tendance haussière à court terme.</w:t>
      </w:r>
    </w:p>
    <w:p>
      <w:pPr>
        <w:spacing w:after="120" w:line="276" w:lineRule="auto"/>
      </w:pPr>
      <w:r>
        <w:t>Le **RSI** à 75,7 signale une zone de surachat, avec une décision de vente. Cette lecture suggère que le titre est techniquement étendu et pourrait connaître un repli technique à court terme, malgré la tendance de fond positive.</w:t>
      </w:r>
    </w:p>
    <w:p>
      <w:pPr>
        <w:spacing w:after="120" w:line="276" w:lineRule="auto"/>
      </w:pPr>
      <w:r>
        <w:t>Le **Stochastique** avec %K à 81,8 et %D à 83,0 confirme également la zone de surachat, la décision de vente étant justifiée par ces niveaux élevés qui précèdent souvent des corrections.</w:t>
      </w:r>
    </w:p>
    <w:p>
      <w:pPr>
        <w:spacing w:after="120" w:line="276" w:lineRule="auto"/>
      </w:pPr>
      <w:r>
        <w:t>En conclusion technique, les indicateurs de tendance (MM, MACD) restent positifs, mais les oscillateurs (RSI, Stochastique) signalent une saturation acheteuse. Cette divergence suggère un possible essoufflement à court terme, même si la tendance de fond demeure haussière. Les investisseurs devraient surveiller un éventuel repli technique vers les 7 000-7 200 FCFA comme point d'entrée potentiel.</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BICB révèlent une banque performante avec un Produit Net Bancaire de 52,805 milliards FCFA, en croissance de 16,49%, et un résultat net de 36,237 milliards FCFA. Le ROE de 26,82% est excellent, largement au-dessus du seuil de 15%, tandis que le ROA de 1,96% reste satisfaisant pour le secteur bancaire. Le coefficient d'exploitation de 31,12% témoigne d'une excellente maîtrise des charges, bien en-deçà du seuil de 60% considéré comme efficace. Cependant, le coût du risque de 9,61% apparaît élevé, signalant une dégradation de la qualité du portefeuille de crédits, confirmée par les rapports trimestriels : le rapport du S1 2025 (publié en mars 2026) montre un coût du risque multiplié par plus de 5 à 7,905 milliards FCFA, et le T3 2025 (publié en mars 2026) indique un résultat net en baisse de 9% à 13,128 milliards FCFA malgré un PNB en hausse de 26%. Les créances clientèle ont bondi de 30% à 1 111 milliards FCFA, avec un ratio crédits/dépôts de 97,5%, signalant une transformation bilancielle tendue. Sur la base de ces éléments, on estime que l'exercice 2026 pourrait voir une normalisation du coût du risque, mais la croissance rapide des crédits (+37% en 2025) nécessite une surveillance accrue de la qualité des actifs.</w:t>
      </w:r>
    </w:p>
    <w:p>
      <w:pPr>
        <w:spacing w:after="120" w:line="276" w:lineRule="auto" w:before="240"/>
      </w:pPr>
      <w:r>
        <w:rPr>
          <w:b/>
          <w:color w:val="003366"/>
          <w:sz w:val="24"/>
        </w:rPr>
        <w:t>**PARTIE 4 : CONCLUSION D'INVESTISSEMENT**</w:t>
      </w:r>
    </w:p>
    <w:p>
      <w:pPr>
        <w:spacing w:after="120" w:line="276" w:lineRule="auto"/>
      </w:pPr>
      <w:r>
        <w:t>La valorisation de BICB (PER 12,1x, P/B 3,25x) indique une prime de croissance justifiée par des fondamentaux solides, mais l'EV/EBITDA de 22,8x suggère une valorisation exigeante. Le comportement du cours montre une tendance haussière spectaculaire (+46%) avec une volatilité modérée et une distribution statistique saine, bien que le skewness positif indique un risque de retournement. Les signaux techniques sont mitigés : les moyennes mobiles et le MACD restent positifs, mais le RSI et le stochastique en zone de surachat appellent à la prudence à court terme. Les fondamentaux demeurent robustes avec un ROE de 26,8% et un coefficient d'exploitation excellent, mais le coût du risque élevé et la croissance rapide des crédits constituent des points de vigilance. Les prédictions IA (7 025 FCFA à J+1, puis repli à 5 858 FCFA à J+10) confirment le scénario technique d'une correction à court terme. La recommandation finale est **CONSERVER** avec un niveau de confiance **Moyen** et un risque global **Élevé**, l'horizon d'investissement optimal étant le **moyen terme (3-12 mois)** pour absorber une éventuelle correction et bénéficier de la solidité fondamentale de la banque.</w:t>
      </w:r>
    </w:p>
    <w:p/>
    <w:p/>
    <w:p>
      <w:pPr>
        <w:pStyle w:val="Heading3"/>
      </w:pPr>
      <w:r>
        <w:rPr>
          <w:color w:val="005A32"/>
        </w:rPr>
        <w:t>📋 RAPPORTS &amp; COMMUNIQUÉS OFFICIELS</w:t>
      </w:r>
    </w:p>
    <w:p>
      <w:r>
        <w:rPr>
          <w:i/>
          <w:color w:val="646464"/>
          <w:sz w:val="18"/>
        </w:rPr>
        <w:t>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dynamique commerciale positive avec une forte croissance du PNB et de l'activit\u00e9. La hausse du co\u00fbt du risque refl\u00e8te une approche prudentielle qui devrait renforcer la solidit\u00e9 financi\u00e8re \u00e0 moyen terme."}</w:t>
      </w:r>
    </w:p>
    <w:p>
      <w:pPr>
        <w:spacing w:before="40"/>
        <w:ind w:left="400"/>
      </w:pPr>
      <w:r>
        <w:rPr>
          <w:sz w:val="18"/>
        </w:rPr>
        <w:t>La BIIC affiche des résultats mitigés au deuxième trimestre 2025 avec un résultat net de 7,9 milliards FCFA, en baisse de 27% par rapport à juin 2024. Malgré cette baisse du résultat net, la banque maintient une dynamique positive avec un PNB en hausse de 28% à 25,7 milliards FCFA. L'activité commerciale reste soutenue avec une croissance des crédits de 23% et des dépôts de 20%. La dégradation du résultat net s'explique principalement par une hausse significative du coût du risque (+429%) liée à une politique de provisionnement conservatrice. Le total du bilan progresse de 13% à 1 723,4 milliards FCFA, témoignant de la croissance de l'activité bancaire.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{'cout_net_risque': '7,9 milliards FCFA', 'depots_clientele': '1 108,4 milliards FCFA', 'credits_nets_clientele': '1 049,2 milliards FCFA', 'resultat_brut_exploitation': '16,3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1 723,4 milliards FCFA</w:t>
            </w:r>
          </w:p>
        </w:tc>
      </w:tr>
      <w:tr>
        <w:tc>
          <w:tcPr>
            <w:tcW w:type="dxa" w:w="2160"/>
          </w:tcPr>
          <w:p>
            <w:r/>
            <w:r>
              <w:rPr>
                <w:b/>
                <w:sz w:val="16"/>
              </w:rPr>
              <w:t>resultat_net</w:t>
              <w:br/>
            </w:r>
            <w:r>
              <w:rPr>
                <w:sz w:val="18"/>
              </w:rPr>
              <w:t>7,9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25,7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7,9 milliards FCFA en baisse de 27% par rapport à juin 2024</w:t>
      </w:r>
    </w:p>
    <w:p>
      <w:pPr>
        <w:pStyle w:val="ListBullet"/>
        <w:spacing w:before="20" w:after="20"/>
        <w:ind w:left="700"/>
      </w:pPr>
      <w:r>
        <w:rPr>
          <w:sz w:val="18"/>
        </w:rPr>
        <w:t>Produit Net Bancaire (PNB) en forte progression de 28% à 25,7 milliards FCFA</w:t>
      </w:r>
    </w:p>
    <w:p>
      <w:pPr>
        <w:pStyle w:val="ListBullet"/>
        <w:spacing w:before="20" w:after="20"/>
        <w:ind w:left="700"/>
      </w:pPr>
      <w:r>
        <w:rPr>
          <w:sz w:val="18"/>
        </w:rPr>
        <w:t>Croissance notable des crédits nets à la clientèle de 23% atteignant 1 049,2 milliards FCFA</w:t>
      </w:r>
    </w:p>
    <w:p>
      <w:pPr>
        <w:pStyle w:val="ListBullet"/>
        <w:spacing w:before="20" w:after="20"/>
        <w:ind w:left="700"/>
      </w:pPr>
      <w:r>
        <w:rPr>
          <w:sz w:val="18"/>
        </w:rPr>
        <w:t>Progression des dépôts de la clientèle de 20% à 1 108,4 milliards FCFA</w:t>
      </w:r>
    </w:p>
    <w:p>
      <w:pPr>
        <w:pStyle w:val="ListBullet"/>
        <w:spacing w:before="20" w:after="20"/>
        <w:ind w:left="700"/>
      </w:pPr>
      <w:r>
        <w:rPr>
          <w:sz w:val="18"/>
        </w:rPr>
        <w:t>Explosion du coût net du risque de 429% à 7,9 milliards FCFA due à une politique de provisionnement conservatrice</w:t>
      </w:r>
    </w:p>
    <w:p>
      <w:pPr>
        <w:pStyle w:val="ListBullet"/>
        <w:spacing w:before="20" w:after="20"/>
        <w:ind w:left="700"/>
      </w:pPr>
      <w:r>
        <w:rPr>
          <w:sz w:val="18"/>
        </w:rPr>
        <w:t>Total bilan en croissance de 13% à 1 723,4 milliards FCFA</w:t>
      </w:r>
    </w:p>
    <w:p>
      <w:pPr>
        <w:spacing w:before="40"/>
        <w:ind w:left="400"/>
      </w:pPr>
      <w:r>
        <w:rPr>
          <w:b/>
          <w:color w:val="C05000"/>
          <w:sz w:val="18"/>
        </w:rPr>
        <w:t xml:space="preserve">⚠️ Risques : </w:t>
      </w:r>
      <w:r>
        <w:rPr>
          <w:sz w:val="18"/>
        </w:rPr>
        <w:t>["Politique de provisionnement tr\u00e8s conservatrice impactant fortement la rentabilit\u00e9", "Hausse significative des frais g\u00e9n\u00e9raux de 27% pesant sur l'efficacit\u00e9 op\u00e9rationnelle", "D\u00e9t\u00e9rioration de la qualit\u00e9 du portefeuille cr\u00e9dit n\u00e9cessitant des p</w:t>
      </w:r>
    </w:p>
    <w:p>
      <w:pPr>
        <w:spacing w:before="40"/>
        <w:ind w:left="400"/>
      </w:pPr>
      <w:r>
        <w:rPr>
          <w:b/>
          <w:color w:val="0064A0"/>
          <w:sz w:val="18"/>
        </w:rPr>
        <w:t xml:space="preserve">🔮 Perspectives : </w:t>
      </w:r>
      <w:r>
        <w:rPr>
          <w:sz w:val="18"/>
        </w:rPr>
        <w:t>La BIIC prévoit de poursuivre le déploiement de ses activités au troisième trimestre 2025 en consolidant sa stratégie commerciale. L'accent sera mis sur une gestion rigoureuse des risques et des frais de fonctionnement pour garantir l'atteinte des objectifs stratégiques. La banque devrait bénéficier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"acheter", "justification": "La banque affiche une croissance soutenue de sa rentabilit\u00e9 et de ses activit\u00e9s principales avec un renforcement significatif des capitaux propres. La progression \u00e9quilibr\u00e9e des cr\u00e9dits et d\u00e9p\u00f4ts t\u00e9moigne d'une gestion prudente et d'un d\u00e9veloppement commercial ma\u00eetris\u00e9."}</w:t>
      </w:r>
    </w:p>
    <w:p>
      <w:pPr>
        <w:spacing w:before="40"/>
        <w:ind w:left="400"/>
      </w:pPr>
      <w:r>
        <w:rPr>
          <w:sz w:val="18"/>
        </w:rPr>
        <w:t>BIIC (Banque Internationale pour l'Industrie et le Commerce) présente des résultats financiers solides pour l'exercice 2024. Le total du bilan progresse de 13,4% passant de 1 340,7 millions FCFA à 1 520,4 millions FCFA. Le résultat net affiche une croissance remarquable de 11,2% atteignant 30,3 millions FCFA contre 27,3 millions FCFA en 2023. L'activité bancaire se renforce avec une hausse du produit net bancaire de 15,3% à 45,2 millions FCFA. La banque maintient une structure financière équilibrée avec des capitaux propres renforcés à 125,9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'926,1 millions FCFA', 'credits_clientele': '856,1 millions FCFA', 'produit_net_bancaire': '45,2 millions FCFA', 'ratio_credits_depots': '92,4%'}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1 520,4 millions FCFA</w:t>
            </w:r>
          </w:p>
        </w:tc>
      </w:tr>
      <w:tr>
        <w:tc>
          <w:tcPr>
            <w:tcW w:type="dxa" w:w="2160"/>
          </w:tcPr>
          <w:p>
            <w:r/>
            <w:r>
              <w:rPr>
                <w:b/>
                <w:sz w:val="16"/>
              </w:rPr>
              <w:t>resultat_net</w:t>
              <w:br/>
            </w:r>
            <w:r>
              <w:rPr>
                <w:sz w:val="18"/>
              </w:rPr>
              <w:t>30,3 millions FCFA</w:t>
            </w:r>
          </w:p>
        </w:tc>
        <w:tc>
          <w:tcPr>
            <w:tcW w:type="dxa" w:w="2160"/>
          </w:tcPr>
          <w:p>
            <w:r/>
            <w:r>
              <w:rPr>
                <w:b/>
                <w:sz w:val="16"/>
              </w:rPr>
              <w:t>capitaux_propres</w:t>
              <w:br/>
            </w:r>
            <w:r>
              <w:rPr>
                <w:sz w:val="18"/>
              </w:rPr>
              <w:t>125,9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13,4% atteignant 1 520,4 millions FCFA</w:t>
      </w:r>
    </w:p>
    <w:p>
      <w:pPr>
        <w:pStyle w:val="ListBullet"/>
        <w:spacing w:before="20" w:after="20"/>
        <w:ind w:left="700"/>
      </w:pPr>
      <w:r>
        <w:rPr>
          <w:sz w:val="18"/>
        </w:rPr>
        <w:t>Progression du résultat net de 11,2% à 30,3 millions FCFA</w:t>
      </w:r>
    </w:p>
    <w:p>
      <w:pPr>
        <w:pStyle w:val="ListBullet"/>
        <w:spacing w:before="20" w:after="20"/>
        <w:ind w:left="700"/>
      </w:pPr>
      <w:r>
        <w:rPr>
          <w:sz w:val="18"/>
        </w:rPr>
        <w:t>Hausse significative du produit net bancaire de 15,3% à 45,2 millions FCFA</w:t>
      </w:r>
    </w:p>
    <w:p>
      <w:pPr>
        <w:pStyle w:val="ListBullet"/>
        <w:spacing w:before="20" w:after="20"/>
        <w:ind w:left="700"/>
      </w:pPr>
      <w:r>
        <w:rPr>
          <w:sz w:val="18"/>
        </w:rPr>
        <w:t>Renforcement des capitaux propres de 31,8% à 125,9 millions FCFA</w:t>
      </w:r>
    </w:p>
    <w:p>
      <w:pPr>
        <w:pStyle w:val="ListBullet"/>
        <w:spacing w:before="20" w:after="20"/>
        <w:ind w:left="700"/>
      </w:pPr>
      <w:r>
        <w:rPr>
          <w:sz w:val="18"/>
        </w:rPr>
        <w:t>Croissance des crédits à la clientèle de 24,4% atteignant 856,1 millions FCFA</w:t>
      </w:r>
    </w:p>
    <w:p>
      <w:pPr>
        <w:pStyle w:val="ListBullet"/>
        <w:spacing w:before="20" w:after="20"/>
        <w:ind w:left="700"/>
      </w:pPr>
      <w:r>
        <w:rPr>
          <w:sz w:val="18"/>
        </w:rPr>
        <w:t>Amélioration des dépôts clientèle de 5,8% à 926,1 millions FCFA</w:t>
      </w:r>
    </w:p>
    <w:p>
      <w:pPr>
        <w:spacing w:before="40"/>
        <w:ind w:left="400"/>
      </w:pPr>
      <w:r>
        <w:rPr>
          <w:b/>
          <w:color w:val="C05000"/>
          <w:sz w:val="18"/>
        </w:rPr>
        <w:t xml:space="preserve">⚠️ Risques : </w:t>
      </w:r>
      <w:r>
        <w:rPr>
          <w:sz w:val="18"/>
        </w:rPr>
        <w:t>["Concentration potentielle du portefeuille de cr\u00e9dits sur certains secteurs d'activit\u00e9", "Exposition aux risques de cr\u00e9dit dans un environnement \u00e9conomique incertain", "Pression concurrentielle croissante sur les marges d'interm\u00e9diation bancaire"]</w:t>
      </w:r>
    </w:p>
    <w:p>
      <w:pPr>
        <w:spacing w:before="40"/>
        <w:ind w:left="400"/>
      </w:pPr>
      <w:r>
        <w:rPr>
          <w:b/>
          <w:color w:val="0064A0"/>
          <w:sz w:val="18"/>
        </w:rPr>
        <w:t xml:space="preserve">🔮 Perspectives : </w:t>
      </w:r>
      <w:r>
        <w:rPr>
          <w:sz w:val="18"/>
        </w:rPr>
        <w:t>BIIC semble bien positionnée pour poursuivre sa croissance en 2025 grâce à ses fondamentaux solides et sa capacité démontrée à développer son activité de crédit. Le renforcement des capitaux propres offre une base solide pour soutenir l'expansion future tout en maintenant une gestion prudente des 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banque affiche une croissance solide et une am\u00e9lioration de la qualit\u00e9 des actifs, mais les ratios de rentabilit\u00e9 restent modestes. Le renforcement continu du bilan et l'expansion r\u00e9gionale justifient une position de conservation."}</w:t>
      </w:r>
    </w:p>
    <w:p>
      <w:pPr>
        <w:spacing w:before="40"/>
        <w:ind w:left="400"/>
      </w:pPr>
      <w:r>
        <w:rPr>
          <w:sz w:val="18"/>
        </w:rPr>
        <w:t>La BIIC (ECOWAS Bank for Investment and Development) affiche une performance solide en 2024 avec une croissance soutenue de ses actifs totaux qui atteignent 1,479.57 millions UA contre 1,396.37 millions UA en 2023. Le résultat net progresse à 6.43 millions UA (+12.8% vs 2023), porté par une hausse significative des revenus d'intérêts nets qui passent de 21.25 à 32.76 millions UA. Le portefeuille de prêts continue sa croissance avec 1,208.52 millions UA (+13.3%), témoignant de l'expansion des activités de financement. La banque maintient une structure financière robuste avec des capitaux propres de 470.28 millions UA et un ratio d'adéquation des fonds propres de 37.41%. L'amélioration de la q</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'0.45%', 'ROE': '1.46%', 'ratio_NPL': '4.11%', 'marge_interets': '2.61%', 'ratio_cout_revenu': '67.00%', 'ratio_adequation_capital': '37.41%'}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17.15%</w:t>
            </w:r>
          </w:p>
        </w:tc>
        <w:tc>
          <w:tcPr>
            <w:tcW w:type="dxa" w:w="2160"/>
          </w:tcPr>
          <w:p>
            <w:pPr>
              <w:ind w:left="100"/>
            </w:pPr>
            <w:r/>
            <w:r>
              <w:rPr>
                <w:b/>
                <w:sz w:val="16"/>
              </w:rPr>
              <w:t>total_actif</w:t>
              <w:br/>
            </w:r>
            <w:r>
              <w:rPr>
                <w:sz w:val="18"/>
              </w:rPr>
              <w:t>1,479.57 millions UA</w:t>
            </w:r>
          </w:p>
        </w:tc>
      </w:tr>
      <w:tr>
        <w:tc>
          <w:tcPr>
            <w:tcW w:type="dxa" w:w="2160"/>
          </w:tcPr>
          <w:p>
            <w:r/>
            <w:r>
              <w:rPr>
                <w:b/>
                <w:sz w:val="16"/>
              </w:rPr>
              <w:t>resultat_net</w:t>
              <w:br/>
            </w:r>
            <w:r>
              <w:rPr>
                <w:sz w:val="18"/>
              </w:rPr>
              <w:t>6.43 millions UA</w:t>
            </w:r>
          </w:p>
        </w:tc>
        <w:tc>
          <w:tcPr>
            <w:tcW w:type="dxa" w:w="2160"/>
          </w:tcPr>
          <w:p>
            <w:r/>
            <w:r>
              <w:rPr>
                <w:b/>
                <w:sz w:val="16"/>
              </w:rPr>
              <w:t>capitaux_propres</w:t>
              <w:br/>
            </w:r>
            <w:r>
              <w:rPr>
                <w:sz w:val="18"/>
              </w:rPr>
              <w:t>470.28 millions UA</w:t>
            </w:r>
          </w:p>
        </w:tc>
        <w:tc>
          <w:tcPr>
            <w:tcW w:type="dxa" w:w="2160"/>
          </w:tcPr>
          <w:p>
            <w:r/>
            <w:r>
              <w:rPr>
                <w:b/>
                <w:sz w:val="16"/>
              </w:rPr>
              <w:t>chiffre_affaires</w:t>
              <w:br/>
            </w:r>
            <w:r>
              <w:rPr>
                <w:sz w:val="18"/>
              </w:rPr>
              <w:t>37.48 millions UA (revenus opérationnels)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actifs totaux de 6.0% à 1,479.57 millions UA</w:t>
      </w:r>
    </w:p>
    <w:p>
      <w:pPr>
        <w:pStyle w:val="ListBullet"/>
        <w:spacing w:before="20" w:after="20"/>
        <w:ind w:left="700"/>
      </w:pPr>
      <w:r>
        <w:rPr>
          <w:sz w:val="18"/>
        </w:rPr>
        <w:t>Progression du résultat net de 12.8% à 6.43 millions UA</w:t>
      </w:r>
    </w:p>
    <w:p>
      <w:pPr>
        <w:pStyle w:val="ListBullet"/>
        <w:spacing w:before="20" w:after="20"/>
        <w:ind w:left="700"/>
      </w:pPr>
      <w:r>
        <w:rPr>
          <w:sz w:val="18"/>
        </w:rPr>
        <w:t>Forte hausse des revenus d'intérêts nets (+54.2% à 32.76 millions UA)</w:t>
      </w:r>
    </w:p>
    <w:p>
      <w:pPr>
        <w:pStyle w:val="ListBullet"/>
        <w:spacing w:before="20" w:after="20"/>
        <w:ind w:left="700"/>
      </w:pPr>
      <w:r>
        <w:rPr>
          <w:sz w:val="18"/>
        </w:rPr>
        <w:t>Expansion du portefeuille de prêts de 13.3% à 1,208.52 millions UA</w:t>
      </w:r>
    </w:p>
    <w:p>
      <w:pPr>
        <w:pStyle w:val="ListBullet"/>
        <w:spacing w:before="20" w:after="20"/>
        <w:ind w:left="700"/>
      </w:pPr>
      <w:r>
        <w:rPr>
          <w:sz w:val="18"/>
        </w:rPr>
        <w:t>Amélioration de la qualité des actifs avec un ratio NPL en baisse à 4.11%</w:t>
      </w:r>
    </w:p>
    <w:p>
      <w:pPr>
        <w:pStyle w:val="ListBullet"/>
        <w:spacing w:before="20" w:after="20"/>
        <w:ind w:left="700"/>
      </w:pPr>
      <w:r>
        <w:rPr>
          <w:sz w:val="18"/>
        </w:rPr>
        <w:t>Renforcement des capitaux propres à 470.28 millions UA (+14.9%)</w:t>
      </w:r>
    </w:p>
    <w:p>
      <w:pPr>
        <w:spacing w:before="40"/>
        <w:ind w:left="400"/>
      </w:pPr>
      <w:r>
        <w:rPr>
          <w:b/>
          <w:color w:val="C05000"/>
          <w:sz w:val="18"/>
        </w:rPr>
        <w:t xml:space="preserve">⚠️ Risques : </w:t>
      </w:r>
      <w:r>
        <w:rPr>
          <w:sz w:val="18"/>
        </w:rPr>
        <w:t>["Concentration g\u00e9ographique sur la r\u00e9gion CEDEAO avec exposition aux risques politiques et \u00e9conomiques r\u00e9gionaux", "Ratios de rentabilit\u00e9 relativement faibles (ROA 0.45%, ROE 1.46%) limitant la cr\u00e9ation de valeur", "Co\u00fbt du risque \u00e9lev\u00e9 avec 5.94 million</w:t>
      </w:r>
    </w:p>
    <w:p>
      <w:pPr>
        <w:spacing w:before="40"/>
        <w:ind w:left="400"/>
      </w:pPr>
      <w:r>
        <w:rPr>
          <w:b/>
          <w:color w:val="0064A0"/>
          <w:sz w:val="18"/>
        </w:rPr>
        <w:t xml:space="preserve">🔮 Perspectives : </w:t>
      </w:r>
      <w:r>
        <w:rPr>
          <w:sz w:val="18"/>
        </w:rPr>
        <w:t>La banque devrait poursuivre sa croissance en 2025 portée par l'expansion des financements de projets de développement dans la région CEDEAO. L'amélioration continue de la gestion des risques et l'augmentation des capitaux propres devraient soutenir une croissance durable du portefeuille de prêts.</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485.00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785 titres</w:t>
            </w:r>
          </w:p>
        </w:tc>
        <w:tc>
          <w:tcPr>
            <w:tcW w:type="dxa" w:w="2268"/>
            <w:shd w:fill="FFF2CC" w:val="clear"/>
          </w:tcPr>
          <w:p>
            <w:r>
              <w:rPr>
                <w:b/>
                <w:color w:val="503200"/>
                <w:sz w:val="16"/>
              </w:rPr>
              <w:t xml:space="preserve">Cours actuel : </w:t>
            </w:r>
            <w:r>
              <w:rPr>
                <w:color w:val="000000"/>
                <w:sz w:val="17"/>
              </w:rPr>
              <w:t>29,100 FCFA</w:t>
            </w:r>
          </w:p>
          <w:p>
            <w:r>
              <w:rPr>
                <w:b/>
                <w:color w:val="503200"/>
                <w:sz w:val="16"/>
              </w:rPr>
              <w:t xml:space="preserve">Var. 100 jours : </w:t>
            </w:r>
            <w:r>
              <w:rPr>
                <w:b/>
                <w:color w:val="007800"/>
                <w:sz w:val="17"/>
              </w:rPr>
              <w:t>+13.21%</w:t>
            </w:r>
          </w:p>
          <w:p>
            <w:r>
              <w:rPr>
                <w:b/>
                <w:color w:val="503200"/>
                <w:sz w:val="16"/>
              </w:rPr>
              <w:t xml:space="preserve">Plus haut 100j : </w:t>
            </w:r>
            <w:r>
              <w:rPr>
                <w:color w:val="000000"/>
                <w:sz w:val="17"/>
              </w:rPr>
              <w:t>29,490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30.8%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7.27% (Moyenne) — μ=26,840 FCFA, σ=1,952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β=0.6823 (Défensif) — Cov=0.000025, Var(idx)=0.000036, ρ=0.212,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785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σ_j=1.94%/j (Stable) — Vol. annualisée≈30.8%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27,512</w:t>
            </w:r>
          </w:p>
        </w:tc>
        <w:tc>
          <w:tcPr>
            <w:tcW w:type="dxa" w:w="1440"/>
            <w:shd w:fill="FFDCE0" w:val="clear"/>
          </w:tcPr>
          <w:p>
            <w:r>
              <w:rPr>
                <w:b/>
                <w:sz w:val="17"/>
              </w:rPr>
              <w:t>28,348</w:t>
            </w:r>
          </w:p>
        </w:tc>
        <w:tc>
          <w:tcPr>
            <w:tcW w:type="dxa" w:w="1440"/>
            <w:shd w:fill="FFDCE0" w:val="clear"/>
          </w:tcPr>
          <w:p>
            <w:r>
              <w:rPr>
                <w:sz w:val="17"/>
              </w:rPr>
              <w:t>29,183</w:t>
            </w:r>
          </w:p>
        </w:tc>
        <w:tc>
          <w:tcPr>
            <w:tcW w:type="dxa" w:w="1440"/>
            <w:shd w:fill="FFDCE0" w:val="clear"/>
          </w:tcPr>
          <w:p>
            <w:r>
              <w:rPr>
                <w:b/>
                <w:color w:val="C00000"/>
                <w:sz w:val="17"/>
              </w:rPr>
              <w:t>-2.6%</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26,928</w:t>
            </w:r>
          </w:p>
        </w:tc>
        <w:tc>
          <w:tcPr>
            <w:tcW w:type="dxa" w:w="1440"/>
            <w:shd w:fill="FFDCE0" w:val="clear"/>
          </w:tcPr>
          <w:p>
            <w:r>
              <w:rPr>
                <w:b/>
                <w:sz w:val="17"/>
              </w:rPr>
              <w:t>28,099</w:t>
            </w:r>
          </w:p>
        </w:tc>
        <w:tc>
          <w:tcPr>
            <w:tcW w:type="dxa" w:w="1440"/>
            <w:shd w:fill="FFDCE0" w:val="clear"/>
          </w:tcPr>
          <w:p>
            <w:r>
              <w:rPr>
                <w:sz w:val="17"/>
              </w:rPr>
              <w:t>29,270</w:t>
            </w:r>
          </w:p>
        </w:tc>
        <w:tc>
          <w:tcPr>
            <w:tcW w:type="dxa" w:w="1440"/>
            <w:shd w:fill="FFDCE0" w:val="clear"/>
          </w:tcPr>
          <w:p>
            <w:r>
              <w:rPr>
                <w:b/>
                <w:color w:val="C00000"/>
                <w:sz w:val="17"/>
              </w:rPr>
              <w:t>-3.4%</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26,387</w:t>
            </w:r>
          </w:p>
        </w:tc>
        <w:tc>
          <w:tcPr>
            <w:tcW w:type="dxa" w:w="1440"/>
            <w:shd w:fill="FFDCE0" w:val="clear"/>
          </w:tcPr>
          <w:p>
            <w:r>
              <w:rPr>
                <w:b/>
                <w:sz w:val="17"/>
              </w:rPr>
              <w:t>27,806</w:t>
            </w:r>
          </w:p>
        </w:tc>
        <w:tc>
          <w:tcPr>
            <w:tcW w:type="dxa" w:w="1440"/>
            <w:shd w:fill="FFDCE0" w:val="clear"/>
          </w:tcPr>
          <w:p>
            <w:r>
              <w:rPr>
                <w:sz w:val="17"/>
              </w:rPr>
              <w:t>29,226</w:t>
            </w:r>
          </w:p>
        </w:tc>
        <w:tc>
          <w:tcPr>
            <w:tcW w:type="dxa" w:w="1440"/>
            <w:shd w:fill="FFDCE0" w:val="clear"/>
          </w:tcPr>
          <w:p>
            <w:r>
              <w:rPr>
                <w:b/>
                <w:color w:val="C00000"/>
                <w:sz w:val="17"/>
              </w:rPr>
              <w:t>-4.4%</w:t>
            </w:r>
          </w:p>
        </w:tc>
      </w:tr>
      <w:tr>
        <w:tc>
          <w:tcPr>
            <w:tcW w:type="dxa" w:w="1440"/>
            <w:shd w:fill="FFDCE0" w:val="clear"/>
          </w:tcPr>
          <w:p>
            <w:r>
              <w:rPr>
                <w:sz w:val="17"/>
              </w:rPr>
              <w:t>J+4  Moyenne</w:t>
            </w:r>
          </w:p>
        </w:tc>
        <w:tc>
          <w:tcPr>
            <w:tcW w:type="dxa" w:w="1440"/>
            <w:shd w:fill="FFDCE0" w:val="clear"/>
          </w:tcPr>
          <w:p>
            <w:r>
              <w:rPr>
                <w:sz w:val="17"/>
              </w:rPr>
              <w:t>2026-08-13</w:t>
            </w:r>
          </w:p>
        </w:tc>
        <w:tc>
          <w:tcPr>
            <w:tcW w:type="dxa" w:w="1440"/>
            <w:shd w:fill="FFDCE0" w:val="clear"/>
          </w:tcPr>
          <w:p>
            <w:r>
              <w:rPr>
                <w:sz w:val="17"/>
              </w:rPr>
              <w:t>25,913</w:t>
            </w:r>
          </w:p>
        </w:tc>
        <w:tc>
          <w:tcPr>
            <w:tcW w:type="dxa" w:w="1440"/>
            <w:shd w:fill="FFDCE0" w:val="clear"/>
          </w:tcPr>
          <w:p>
            <w:r>
              <w:rPr>
                <w:b/>
                <w:sz w:val="17"/>
              </w:rPr>
              <w:t>27,536</w:t>
            </w:r>
          </w:p>
        </w:tc>
        <w:tc>
          <w:tcPr>
            <w:tcW w:type="dxa" w:w="1440"/>
            <w:shd w:fill="FFDCE0" w:val="clear"/>
          </w:tcPr>
          <w:p>
            <w:r>
              <w:rPr>
                <w:sz w:val="17"/>
              </w:rPr>
              <w:t>29,160</w:t>
            </w:r>
          </w:p>
        </w:tc>
        <w:tc>
          <w:tcPr>
            <w:tcW w:type="dxa" w:w="1440"/>
            <w:shd w:fill="FFDCE0" w:val="clear"/>
          </w:tcPr>
          <w:p>
            <w:r>
              <w:rPr>
                <w:b/>
                <w:color w:val="C00000"/>
                <w:sz w:val="17"/>
              </w:rPr>
              <w:t>-5.4%</w:t>
            </w:r>
          </w:p>
        </w:tc>
      </w:tr>
      <w:tr>
        <w:tc>
          <w:tcPr>
            <w:tcW w:type="dxa" w:w="1440"/>
            <w:shd w:fill="FFDCE0" w:val="clear"/>
          </w:tcPr>
          <w:p>
            <w:r>
              <w:rPr>
                <w:sz w:val="17"/>
              </w:rPr>
              <w:t>J+5  Moyenne</w:t>
            </w:r>
          </w:p>
        </w:tc>
        <w:tc>
          <w:tcPr>
            <w:tcW w:type="dxa" w:w="1440"/>
            <w:shd w:fill="FFDCE0" w:val="clear"/>
          </w:tcPr>
          <w:p>
            <w:r>
              <w:rPr>
                <w:sz w:val="17"/>
              </w:rPr>
              <w:t>2026-08-14</w:t>
            </w:r>
          </w:p>
        </w:tc>
        <w:tc>
          <w:tcPr>
            <w:tcW w:type="dxa" w:w="1440"/>
            <w:shd w:fill="FFDCE0" w:val="clear"/>
          </w:tcPr>
          <w:p>
            <w:r>
              <w:rPr>
                <w:sz w:val="17"/>
              </w:rPr>
              <w:t>25,490</w:t>
            </w:r>
          </w:p>
        </w:tc>
        <w:tc>
          <w:tcPr>
            <w:tcW w:type="dxa" w:w="1440"/>
            <w:shd w:fill="FFDCE0" w:val="clear"/>
          </w:tcPr>
          <w:p>
            <w:r>
              <w:rPr>
                <w:b/>
                <w:sz w:val="17"/>
              </w:rPr>
              <w:t>27,288</w:t>
            </w:r>
          </w:p>
        </w:tc>
        <w:tc>
          <w:tcPr>
            <w:tcW w:type="dxa" w:w="1440"/>
            <w:shd w:fill="FFDCE0" w:val="clear"/>
          </w:tcPr>
          <w:p>
            <w:r>
              <w:rPr>
                <w:sz w:val="17"/>
              </w:rPr>
              <w:t>29,087</w:t>
            </w:r>
          </w:p>
        </w:tc>
        <w:tc>
          <w:tcPr>
            <w:tcW w:type="dxa" w:w="1440"/>
            <w:shd w:fill="FFDCE0" w:val="clear"/>
          </w:tcPr>
          <w:p>
            <w:r>
              <w:rPr>
                <w:b/>
                <w:color w:val="C00000"/>
                <w:sz w:val="17"/>
              </w:rPr>
              <w:t>-6.2%</w:t>
            </w:r>
          </w:p>
        </w:tc>
      </w:tr>
      <w:tr>
        <w:tc>
          <w:tcPr>
            <w:tcW w:type="dxa" w:w="1440"/>
            <w:shd w:fill="FFDCE0" w:val="clear"/>
          </w:tcPr>
          <w:p>
            <w:r>
              <w:rPr>
                <w:sz w:val="17"/>
              </w:rPr>
              <w:t>J+6  Moyenne</w:t>
            </w:r>
          </w:p>
        </w:tc>
        <w:tc>
          <w:tcPr>
            <w:tcW w:type="dxa" w:w="1440"/>
            <w:shd w:fill="FFDCE0" w:val="clear"/>
          </w:tcPr>
          <w:p>
            <w:r>
              <w:rPr>
                <w:sz w:val="17"/>
              </w:rPr>
              <w:t>2026-08-17</w:t>
            </w:r>
          </w:p>
        </w:tc>
        <w:tc>
          <w:tcPr>
            <w:tcW w:type="dxa" w:w="1440"/>
            <w:shd w:fill="FFDCE0" w:val="clear"/>
          </w:tcPr>
          <w:p>
            <w:r>
              <w:rPr>
                <w:sz w:val="17"/>
              </w:rPr>
              <w:t>25,100</w:t>
            </w:r>
          </w:p>
        </w:tc>
        <w:tc>
          <w:tcPr>
            <w:tcW w:type="dxa" w:w="1440"/>
            <w:shd w:fill="FFDCE0" w:val="clear"/>
          </w:tcPr>
          <w:p>
            <w:r>
              <w:rPr>
                <w:b/>
                <w:sz w:val="17"/>
              </w:rPr>
              <w:t>27,053</w:t>
            </w:r>
          </w:p>
        </w:tc>
        <w:tc>
          <w:tcPr>
            <w:tcW w:type="dxa" w:w="1440"/>
            <w:shd w:fill="FFDCE0" w:val="clear"/>
          </w:tcPr>
          <w:p>
            <w:r>
              <w:rPr>
                <w:sz w:val="17"/>
              </w:rPr>
              <w:t>29,006</w:t>
            </w:r>
          </w:p>
        </w:tc>
        <w:tc>
          <w:tcPr>
            <w:tcW w:type="dxa" w:w="1440"/>
            <w:shd w:fill="FFDCE0" w:val="clear"/>
          </w:tcPr>
          <w:p>
            <w:r>
              <w:rPr>
                <w:b/>
                <w:color w:val="C00000"/>
                <w:sz w:val="17"/>
              </w:rPr>
              <w:t>-7.0%</w:t>
            </w:r>
          </w:p>
        </w:tc>
      </w:tr>
      <w:tr>
        <w:tc>
          <w:tcPr>
            <w:tcW w:type="dxa" w:w="1440"/>
            <w:shd w:fill="FFDCE0" w:val="clear"/>
          </w:tcPr>
          <w:p>
            <w:r>
              <w:rPr>
                <w:sz w:val="17"/>
              </w:rPr>
              <w:t>J+7  Moyenne</w:t>
            </w:r>
          </w:p>
        </w:tc>
        <w:tc>
          <w:tcPr>
            <w:tcW w:type="dxa" w:w="1440"/>
            <w:shd w:fill="FFDCE0" w:val="clear"/>
          </w:tcPr>
          <w:p>
            <w:r>
              <w:rPr>
                <w:sz w:val="17"/>
              </w:rPr>
              <w:t>2026-08-18</w:t>
            </w:r>
          </w:p>
        </w:tc>
        <w:tc>
          <w:tcPr>
            <w:tcW w:type="dxa" w:w="1440"/>
            <w:shd w:fill="FFDCE0" w:val="clear"/>
          </w:tcPr>
          <w:p>
            <w:r>
              <w:rPr>
                <w:sz w:val="17"/>
              </w:rPr>
              <w:t>24,735</w:t>
            </w:r>
          </w:p>
        </w:tc>
        <w:tc>
          <w:tcPr>
            <w:tcW w:type="dxa" w:w="1440"/>
            <w:shd w:fill="FFDCE0" w:val="clear"/>
          </w:tcPr>
          <w:p>
            <w:r>
              <w:rPr>
                <w:b/>
                <w:sz w:val="17"/>
              </w:rPr>
              <w:t>26,827</w:t>
            </w:r>
          </w:p>
        </w:tc>
        <w:tc>
          <w:tcPr>
            <w:tcW w:type="dxa" w:w="1440"/>
            <w:shd w:fill="FFDCE0" w:val="clear"/>
          </w:tcPr>
          <w:p>
            <w:r>
              <w:rPr>
                <w:sz w:val="17"/>
              </w:rPr>
              <w:t>28,919</w:t>
            </w:r>
          </w:p>
        </w:tc>
        <w:tc>
          <w:tcPr>
            <w:tcW w:type="dxa" w:w="1440"/>
            <w:shd w:fill="FFDCE0" w:val="clear"/>
          </w:tcPr>
          <w:p>
            <w:r>
              <w:rPr>
                <w:b/>
                <w:color w:val="C00000"/>
                <w:sz w:val="17"/>
              </w:rPr>
              <w:t>-7.8%</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24,391</w:t>
            </w:r>
          </w:p>
        </w:tc>
        <w:tc>
          <w:tcPr>
            <w:tcW w:type="dxa" w:w="1440"/>
            <w:shd w:fill="FFDCE0" w:val="clear"/>
          </w:tcPr>
          <w:p>
            <w:r>
              <w:rPr>
                <w:b/>
                <w:sz w:val="17"/>
              </w:rPr>
              <w:t>26,609</w:t>
            </w:r>
          </w:p>
        </w:tc>
        <w:tc>
          <w:tcPr>
            <w:tcW w:type="dxa" w:w="1440"/>
            <w:shd w:fill="FFDCE0" w:val="clear"/>
          </w:tcPr>
          <w:p>
            <w:r>
              <w:rPr>
                <w:sz w:val="17"/>
              </w:rPr>
              <w:t>28,828</w:t>
            </w:r>
          </w:p>
        </w:tc>
        <w:tc>
          <w:tcPr>
            <w:tcW w:type="dxa" w:w="1440"/>
            <w:shd w:fill="FFDCE0" w:val="clear"/>
          </w:tcPr>
          <w:p>
            <w:r>
              <w:rPr>
                <w:b/>
                <w:color w:val="C00000"/>
                <w:sz w:val="17"/>
              </w:rPr>
              <w:t>-8.6%</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24,065</w:t>
            </w:r>
          </w:p>
        </w:tc>
        <w:tc>
          <w:tcPr>
            <w:tcW w:type="dxa" w:w="1440"/>
            <w:shd w:fill="FFDCE0" w:val="clear"/>
          </w:tcPr>
          <w:p>
            <w:r>
              <w:rPr>
                <w:b/>
                <w:sz w:val="17"/>
              </w:rPr>
              <w:t>26,399</w:t>
            </w:r>
          </w:p>
        </w:tc>
        <w:tc>
          <w:tcPr>
            <w:tcW w:type="dxa" w:w="1440"/>
            <w:shd w:fill="FFDCE0" w:val="clear"/>
          </w:tcPr>
          <w:p>
            <w:r>
              <w:rPr>
                <w:sz w:val="17"/>
              </w:rPr>
              <w:t>28,733</w:t>
            </w:r>
          </w:p>
        </w:tc>
        <w:tc>
          <w:tcPr>
            <w:tcW w:type="dxa" w:w="1440"/>
            <w:shd w:fill="FFDCE0" w:val="clear"/>
          </w:tcPr>
          <w:p>
            <w:r>
              <w:rPr>
                <w:b/>
                <w:color w:val="C00000"/>
                <w:sz w:val="17"/>
              </w:rPr>
              <w:t>-9.3%</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23,755</w:t>
            </w:r>
          </w:p>
        </w:tc>
        <w:tc>
          <w:tcPr>
            <w:tcW w:type="dxa" w:w="1440"/>
            <w:shd w:fill="FFDCE0" w:val="clear"/>
          </w:tcPr>
          <w:p>
            <w:r>
              <w:rPr>
                <w:b/>
                <w:sz w:val="17"/>
              </w:rPr>
              <w:t>26,196</w:t>
            </w:r>
          </w:p>
        </w:tc>
        <w:tc>
          <w:tcPr>
            <w:tcW w:type="dxa" w:w="1440"/>
            <w:shd w:fill="FFDCE0" w:val="clear"/>
          </w:tcPr>
          <w:p>
            <w:r>
              <w:rPr>
                <w:sz w:val="17"/>
              </w:rPr>
              <w:t>28,638</w:t>
            </w:r>
          </w:p>
        </w:tc>
        <w:tc>
          <w:tcPr>
            <w:tcW w:type="dxa" w:w="1440"/>
            <w:shd w:fill="FFDCE0" w:val="clear"/>
          </w:tcPr>
          <w:p>
            <w:r>
              <w:rPr>
                <w:b/>
                <w:color w:val="C00000"/>
                <w:sz w:val="17"/>
              </w:rPr>
              <w:t>-10.0%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485 milliards FCFA, positionnant la banque parmi les valeurs les plus significatives de la BRVM. Avec un BPA de 2 191 FCFA, chaque action génère un bénéfice substantiel. Le PER de 13,3x se situe au-dessus de la moyenne historique de la place (~8-12x), indiquant que les investisseurs acceptent de payer une prime pour la qualité de l'actif, sans pour autant atteindre des niveaux excessifs. En revanche, le P/B de 4,02x révèle une valorisation exigeante, le marché intégrant une rentabilité future supérieure à la valeur comptable. Enfin, l'EV/EBITDA de 9,3x, dans la fourchette raisonnable de 5-10x, confirme une appréciation cohérente avec la capacité opérationnelle de la banque.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affiche une progression remarquable de +13,21%, avec une dernière séance en légère hausse de +0,34% à 29 100 FCFA. Le titre a évolué dans un range de trading de 22 500 FCFA (plus bas) à 29 490 FCFA (plus haut), démontrant une dynamique haussière soutenue. La moyenne (26 840 FCFA) étant inférieure à la médiane (27 605 FCFA), la distribution des cours est légèrement asymétrique, avec une concentration des valeurs vers le haut de la fourchette. L'écart-type de 1 962 FCFA (CV=7,3%) indique une dispersion modérée. Le kurtosis négatif (-1,172) signale une distribution aplatie, sans pics extrêmes, tandis que le skewness de -0,472 suggère une asymétrie vers les valeurs basses. La volatilité annualisée de 30,8% classe le titre comme très volatil, un niveau élevé qui requiert une gestion de risque attentive.</w:t>
      </w:r>
    </w:p>
    <w:p>
      <w:pPr>
        <w:spacing w:after="120" w:line="276" w:lineRule="auto" w:before="240"/>
      </w:pPr>
      <w:r>
        <w:rPr>
          <w:b/>
          <w:color w:val="003366"/>
          <w:sz w:val="24"/>
        </w:rPr>
        <w:t>**PARTIE 2 : ANALYSE TECHNIQUE DÉTAILLÉE**</w:t>
      </w:r>
    </w:p>
    <w:p>
      <w:pPr>
        <w:spacing w:after="120" w:line="276" w:lineRule="auto"/>
      </w:pPr>
      <w:r>
        <w:t>Les Moyennes Mobiles (MM20=28 490 FCFA, MM50=28 543,6 FCFA) sont très proches l'une de l'autre, indiquant une consolidation. Le cours actuel (29 100 FCFA) évolue au-dessus de ces moyennes, ce qui est un signal positif, mais le croisement récent des MM20 sous la MM50 suggère un affaiblissement du momentum à court terme, justifiant la décision de vente.</w:t>
      </w:r>
    </w:p>
    <w:p>
      <w:pPr>
        <w:spacing w:after="120" w:line="276" w:lineRule="auto"/>
      </w:pPr>
      <w:r>
        <w:t>Les Bandes de Bollinger (borne supérieure à 29 498 FCFA, borne inférieure à 27 482 FCFA) montrent un cours proche de la borne supérieure, indiquant une pression acheteuse. La largeur des bandes reflète une volatilité modérée. La position du prix dans la partie haute des bandes suggère une poursuite possible de la tendance, mais sans signal de surachat extrême, d'où la décision neutre.</w:t>
      </w:r>
    </w:p>
    <w:p>
      <w:pPr>
        <w:spacing w:after="120" w:line="276" w:lineRule="auto"/>
      </w:pPr>
      <w:r>
        <w:t>Le MACD (valeur=211,29, signal=140,606) affiche une divergence positive, le MACD étant nettement au-dessus de sa ligne de signal. Ce croisement haussier confirme un momentum positif soutenu, justifiant la décision d'achat. La dynamique actuelle suggère une poursuite de la tendance haussière à court terme.</w:t>
      </w:r>
    </w:p>
    <w:p>
      <w:pPr>
        <w:spacing w:after="120" w:line="276" w:lineRule="auto"/>
      </w:pPr>
      <w:r>
        <w:t>Le RSI à 66,779 se situe dans la zone neutre (30-70), proche du seuil de surachat (70). Cette valeur indique une pression acheteuse encore soutenue mais sans excès, laissant une marge de progression avant une éventuelle correction. La décision neutre est cohérente avec cette lecture.</w:t>
      </w:r>
    </w:p>
    <w:p>
      <w:pPr>
        <w:spacing w:after="120" w:line="276" w:lineRule="auto"/>
      </w:pPr>
      <w:r>
        <w:t>Le Stochastique (%K=100, %D=99,338) est en zone de surachat extrême, avec %K et %D à des niveaux très élevés. Cette configuration signale un épuisement potentiel du mouvement haussier à très court terme, justifiant la décision de vente. Un retournement est probable dans les prochaines séances.</w:t>
      </w:r>
    </w:p>
    <w:p>
      <w:pPr>
        <w:spacing w:after="120" w:line="276" w:lineRule="auto"/>
      </w:pPr>
      <w:r>
        <w:t>La conclusion technique est mitigée : les indicateurs de tendance (MACD) et de momentum (RSI) restent positifs, mais les oscillateurs de surachat (Stochastique) et le croisement des moyennes mobiles suggèrent un essoufflement à court terme. Le titre pourrait connaître une consolidation avant de poursuivre sa hausse.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BICC révèlent une banque très performante : le Produit Net Bancaire atteint 79,563 milliards FCFA, en croissance de 16,9%, et le résultat net s'établit à 36,520 milliards FCFA. Le ROE de 30,29% et le ROA de 3,24% témoignent d'une rentabilité exceptionnelle, bien au-dessus des standards du secteur bancaire ouest-africain. Le coefficient d'exploitation de 50,83% confirme une excellente maîtrise des charges, tandis que le coût du risque de -12,15% indique une gestion prudente du portefeuille de crédits, malgré un niveau de provisions qui mérite une surveillance. Les dépôts clientèle (952,872 milliards FCFA) couvrent largement les créances (524,439 milliards FCFA), assurant une transformation saine. Les rapports trimestriels confirment cette dynamique : le T1 2026 (rapport du 31/03/2026) montre un PNB de 21,214 milliards FCFA (+17,0%) et un résultat net de 10,387 milliards FCFA (+29,7%), malgré une baisse des crédits de 4,5%. Le T3 2025 (cumulé au 30/09/2025) affichait déjà un PNB de 58,119 milliards FCFA (+16,4%) et un résultat net de 27,402 milliards FCFA (+50,8%). Sur la base de ces tendances, on estime que l'exercice 2026 pourrait dépasser les performances de 2025, avec un PNB potentiel de 85-90 milliards FCFA et un résultat net de 40-42 milliards FCFA. La solidité financière est renforcée par une capacité d'autofinancement de 42,713 milliards FCFA et une trésorerie nette de 136,357 milliards FCFA.</w:t>
      </w:r>
    </w:p>
    <w:p>
      <w:pPr>
        <w:spacing w:after="120" w:line="276" w:lineRule="auto" w:before="240"/>
      </w:pPr>
      <w:r>
        <w:rPr>
          <w:b/>
          <w:color w:val="003366"/>
          <w:sz w:val="24"/>
        </w:rPr>
        <w:t>**PARTIE 4 : CONCLUSION D'INVESTISSEMENT**</w:t>
      </w:r>
    </w:p>
    <w:p>
      <w:pPr>
        <w:spacing w:after="120" w:line="276" w:lineRule="auto"/>
      </w:pPr>
      <w:r>
        <w:t>La valorisation de BICC (PER 13,3x, P/B 4,02x) reflète une prime de qualité justifiée par des fondamentaux excellents, mais elle laisse peu de marge de sécurité. Le comportement du cours (+13,21% sur 100 jours) démontre une tendance haussière solide, bien que la volatilité élevée (30,8%) et le skewness négatif appellent à la prudence. Les signaux techniques sont contrastés : le MACD et le RSI soutiennent la tendance, mais le Stochastique en surachat et le croisement des MM20/MM50 suggèrent une consolidation à court terme. Les fondamentaux sont indiscutablement solides, avec une croissance soutenue du PNB et du résultat net, un ROE de 30,29% et une gestion rigoureuse des risques. Les prédictions IA (28 348 FCFA à J+1, 27 288 FCFA à J+10) anticipent une correction de 6,2%, contredisant partiellement les signaux techniques positifs mais confirmant la lecture du Stochastique. La synthèse globale penche vers une recommandation **CONSERVER** pour les investisseurs existants, avec un niveau de confiance **Moyen** et un risque global **Moyen**. Pour les nouveaux investisseurs, une stratégie d'achat sur repli vers 27 500-28 000 FCFA serait optimale. L'horizon d'investissement recommandé est le **moyen terme (3-12 mois)**, permettant de bénéficier de la solidité fondamentale tout en absorbant la volatilité à court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12.59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2,167 titres</w:t>
            </w:r>
          </w:p>
        </w:tc>
        <w:tc>
          <w:tcPr>
            <w:tcW w:type="dxa" w:w="2268"/>
            <w:shd w:fill="FFF2CC" w:val="clear"/>
          </w:tcPr>
          <w:p>
            <w:r>
              <w:rPr>
                <w:b/>
                <w:color w:val="503200"/>
                <w:sz w:val="16"/>
              </w:rPr>
              <w:t xml:space="preserve">Cours actuel : </w:t>
            </w:r>
            <w:r>
              <w:rPr>
                <w:color w:val="000000"/>
                <w:sz w:val="17"/>
              </w:rPr>
              <w:t>1,900 FCFA</w:t>
            </w:r>
          </w:p>
          <w:p>
            <w:r>
              <w:rPr>
                <w:b/>
                <w:color w:val="503200"/>
                <w:sz w:val="16"/>
              </w:rPr>
              <w:t xml:space="preserve">Var. 100 jours : </w:t>
            </w:r>
            <w:r>
              <w:rPr>
                <w:b/>
                <w:color w:val="007800"/>
                <w:sz w:val="17"/>
              </w:rPr>
              <w:t>+18.75%</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11.43% (Moyenne) — μ=1,715 FCFA, σ=196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β=-0.1062 (Contre-cyclique) — Cov=-0.000004, Var(idx)=0.000036, ρ=-0.021,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2,167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annualisée≈48.0%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1,825</w:t>
            </w:r>
          </w:p>
        </w:tc>
        <w:tc>
          <w:tcPr>
            <w:tcW w:type="dxa" w:w="1440"/>
            <w:shd w:fill="FAFAFA" w:val="clear"/>
          </w:tcPr>
          <w:p>
            <w:r>
              <w:rPr>
                <w:b/>
                <w:sz w:val="17"/>
              </w:rPr>
              <w:t>1,904</w:t>
            </w:r>
          </w:p>
        </w:tc>
        <w:tc>
          <w:tcPr>
            <w:tcW w:type="dxa" w:w="1440"/>
            <w:shd w:fill="FAFAFA" w:val="clear"/>
          </w:tcPr>
          <w:p>
            <w:r>
              <w:rPr>
                <w:sz w:val="17"/>
              </w:rPr>
              <w:t>1,984</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1,791</w:t>
            </w:r>
          </w:p>
        </w:tc>
        <w:tc>
          <w:tcPr>
            <w:tcW w:type="dxa" w:w="1440"/>
            <w:shd w:fill="FAFAFA" w:val="clear"/>
          </w:tcPr>
          <w:p>
            <w:r>
              <w:rPr>
                <w:b/>
                <w:sz w:val="17"/>
              </w:rPr>
              <w:t>1,903</w:t>
            </w:r>
          </w:p>
        </w:tc>
        <w:tc>
          <w:tcPr>
            <w:tcW w:type="dxa" w:w="1440"/>
            <w:shd w:fill="FAFAFA" w:val="clear"/>
          </w:tcPr>
          <w:p>
            <w:r>
              <w:rPr>
                <w:sz w:val="17"/>
              </w:rPr>
              <w:t>2,015</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1,766</w:t>
            </w:r>
          </w:p>
        </w:tc>
        <w:tc>
          <w:tcPr>
            <w:tcW w:type="dxa" w:w="1440"/>
            <w:shd w:fill="FAFAFA" w:val="clear"/>
          </w:tcPr>
          <w:p>
            <w:r>
              <w:rPr>
                <w:b/>
                <w:sz w:val="17"/>
              </w:rPr>
              <w:t>1,903</w:t>
            </w:r>
          </w:p>
        </w:tc>
        <w:tc>
          <w:tcPr>
            <w:tcW w:type="dxa" w:w="1440"/>
            <w:shd w:fill="FAFAFA" w:val="clear"/>
          </w:tcPr>
          <w:p>
            <w:r>
              <w:rPr>
                <w:sz w:val="17"/>
              </w:rPr>
              <w:t>2,041</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1,746</w:t>
            </w:r>
          </w:p>
        </w:tc>
        <w:tc>
          <w:tcPr>
            <w:tcW w:type="dxa" w:w="1440"/>
            <w:shd w:fill="FAFAFA" w:val="clear"/>
          </w:tcPr>
          <w:p>
            <w:r>
              <w:rPr>
                <w:b/>
                <w:sz w:val="17"/>
              </w:rPr>
              <w:t>1,904</w:t>
            </w:r>
          </w:p>
        </w:tc>
        <w:tc>
          <w:tcPr>
            <w:tcW w:type="dxa" w:w="1440"/>
            <w:shd w:fill="FAFAFA" w:val="clear"/>
          </w:tcPr>
          <w:p>
            <w:r>
              <w:rPr>
                <w:sz w:val="17"/>
              </w:rPr>
              <w:t>2,062</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1,727</w:t>
            </w:r>
          </w:p>
        </w:tc>
        <w:tc>
          <w:tcPr>
            <w:tcW w:type="dxa" w:w="1440"/>
            <w:shd w:fill="FAFAFA" w:val="clear"/>
          </w:tcPr>
          <w:p>
            <w:r>
              <w:rPr>
                <w:b/>
                <w:sz w:val="17"/>
              </w:rPr>
              <w:t>1,904</w:t>
            </w:r>
          </w:p>
        </w:tc>
        <w:tc>
          <w:tcPr>
            <w:tcW w:type="dxa" w:w="1440"/>
            <w:shd w:fill="FAFAFA" w:val="clear"/>
          </w:tcPr>
          <w:p>
            <w:r>
              <w:rPr>
                <w:sz w:val="17"/>
              </w:rPr>
              <w:t>2,081</w:t>
            </w:r>
          </w:p>
        </w:tc>
        <w:tc>
          <w:tcPr>
            <w:tcW w:type="dxa" w:w="1440"/>
            <w:shd w:fill="FAFAFA" w:val="clear"/>
          </w:tcPr>
          <w:p>
            <w:r>
              <w:rPr>
                <w:b/>
                <w:color w:val="008000"/>
                <w:sz w:val="17"/>
              </w:rPr>
              <w:t>+0.2%</w:t>
            </w:r>
          </w:p>
        </w:tc>
      </w:tr>
      <w:tr>
        <w:tc>
          <w:tcPr>
            <w:tcW w:type="dxa" w:w="1440"/>
            <w:shd w:fill="FAFAFA" w:val="clear"/>
          </w:tcPr>
          <w:p>
            <w:r>
              <w:rPr>
                <w:sz w:val="17"/>
              </w:rPr>
              <w:t>J+6  ⭐</w:t>
            </w:r>
          </w:p>
        </w:tc>
        <w:tc>
          <w:tcPr>
            <w:tcW w:type="dxa" w:w="1440"/>
            <w:shd w:fill="FAFAFA" w:val="clear"/>
          </w:tcPr>
          <w:p>
            <w:r>
              <w:rPr>
                <w:sz w:val="17"/>
              </w:rPr>
              <w:t>2026-08-17</w:t>
            </w:r>
          </w:p>
        </w:tc>
        <w:tc>
          <w:tcPr>
            <w:tcW w:type="dxa" w:w="1440"/>
            <w:shd w:fill="FAFAFA" w:val="clear"/>
          </w:tcPr>
          <w:p>
            <w:r>
              <w:rPr>
                <w:sz w:val="17"/>
              </w:rPr>
              <w:t>1,710</w:t>
            </w:r>
          </w:p>
        </w:tc>
        <w:tc>
          <w:tcPr>
            <w:tcW w:type="dxa" w:w="1440"/>
            <w:shd w:fill="FAFAFA" w:val="clear"/>
          </w:tcPr>
          <w:p>
            <w:r>
              <w:rPr>
                <w:b/>
                <w:sz w:val="17"/>
              </w:rPr>
              <w:t>1,904</w:t>
            </w:r>
          </w:p>
        </w:tc>
        <w:tc>
          <w:tcPr>
            <w:tcW w:type="dxa" w:w="1440"/>
            <w:shd w:fill="FAFAFA" w:val="clear"/>
          </w:tcPr>
          <w:p>
            <w:r>
              <w:rPr>
                <w:sz w:val="17"/>
              </w:rPr>
              <w:t>2,098</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2026-08-18</w:t>
            </w:r>
          </w:p>
        </w:tc>
        <w:tc>
          <w:tcPr>
            <w:tcW w:type="dxa" w:w="1440"/>
            <w:shd w:fill="FAFAFA" w:val="clear"/>
          </w:tcPr>
          <w:p>
            <w:r>
              <w:rPr>
                <w:sz w:val="17"/>
              </w:rPr>
              <w:t>1,695</w:t>
            </w:r>
          </w:p>
        </w:tc>
        <w:tc>
          <w:tcPr>
            <w:tcW w:type="dxa" w:w="1440"/>
            <w:shd w:fill="FAFAFA" w:val="clear"/>
          </w:tcPr>
          <w:p>
            <w:r>
              <w:rPr>
                <w:b/>
                <w:sz w:val="17"/>
              </w:rPr>
              <w:t>1,904</w:t>
            </w:r>
          </w:p>
        </w:tc>
        <w:tc>
          <w:tcPr>
            <w:tcW w:type="dxa" w:w="1440"/>
            <w:shd w:fill="FAFAFA" w:val="clear"/>
          </w:tcPr>
          <w:p>
            <w:r>
              <w:rPr>
                <w:sz w:val="17"/>
              </w:rPr>
              <w:t>2,114</w:t>
            </w:r>
          </w:p>
        </w:tc>
        <w:tc>
          <w:tcPr>
            <w:tcW w:type="dxa" w:w="1440"/>
            <w:shd w:fill="FAFAFA" w:val="clear"/>
          </w:tcPr>
          <w:p>
            <w:r>
              <w:rPr>
                <w:b/>
                <w:color w:val="008000"/>
                <w:sz w:val="17"/>
              </w:rPr>
              <w:t>+0.2%</w:t>
            </w:r>
          </w:p>
        </w:tc>
      </w:tr>
      <w:tr>
        <w:tc>
          <w:tcPr>
            <w:tcW w:type="dxa" w:w="1440"/>
            <w:shd w:fill="FAFAFA" w:val="clear"/>
          </w:tcPr>
          <w:p>
            <w:r>
              <w:rPr>
                <w:sz w:val="17"/>
              </w:rPr>
              <w:t>J+8  ⭐</w:t>
            </w:r>
          </w:p>
        </w:tc>
        <w:tc>
          <w:tcPr>
            <w:tcW w:type="dxa" w:w="1440"/>
            <w:shd w:fill="FAFAFA" w:val="clear"/>
          </w:tcPr>
          <w:p>
            <w:r>
              <w:rPr>
                <w:sz w:val="17"/>
              </w:rPr>
              <w:t>2026-08-19</w:t>
            </w:r>
          </w:p>
        </w:tc>
        <w:tc>
          <w:tcPr>
            <w:tcW w:type="dxa" w:w="1440"/>
            <w:shd w:fill="FAFAFA" w:val="clear"/>
          </w:tcPr>
          <w:p>
            <w:r>
              <w:rPr>
                <w:sz w:val="17"/>
              </w:rPr>
              <w:t>1,680</w:t>
            </w:r>
          </w:p>
        </w:tc>
        <w:tc>
          <w:tcPr>
            <w:tcW w:type="dxa" w:w="1440"/>
            <w:shd w:fill="FAFAFA" w:val="clear"/>
          </w:tcPr>
          <w:p>
            <w:r>
              <w:rPr>
                <w:b/>
                <w:sz w:val="17"/>
              </w:rPr>
              <w:t>1,904</w:t>
            </w:r>
          </w:p>
        </w:tc>
        <w:tc>
          <w:tcPr>
            <w:tcW w:type="dxa" w:w="1440"/>
            <w:shd w:fill="FAFAFA" w:val="clear"/>
          </w:tcPr>
          <w:p>
            <w:r>
              <w:rPr>
                <w:sz w:val="17"/>
              </w:rPr>
              <w:t>2,128</w:t>
            </w:r>
          </w:p>
        </w:tc>
        <w:tc>
          <w:tcPr>
            <w:tcW w:type="dxa" w:w="1440"/>
            <w:shd w:fill="FAFAFA" w:val="clear"/>
          </w:tcPr>
          <w:p>
            <w:r>
              <w:rPr>
                <w:b/>
                <w:color w:val="008000"/>
                <w:sz w:val="17"/>
              </w:rPr>
              <w:t>+0.2%</w:t>
            </w:r>
          </w:p>
        </w:tc>
      </w:tr>
      <w:tr>
        <w:tc>
          <w:tcPr>
            <w:tcW w:type="dxa" w:w="1440"/>
            <w:shd w:fill="FAFAFA" w:val="clear"/>
          </w:tcPr>
          <w:p>
            <w:r>
              <w:rPr>
                <w:sz w:val="17"/>
              </w:rPr>
              <w:t>J+9  ⭐</w:t>
            </w:r>
          </w:p>
        </w:tc>
        <w:tc>
          <w:tcPr>
            <w:tcW w:type="dxa" w:w="1440"/>
            <w:shd w:fill="FAFAFA" w:val="clear"/>
          </w:tcPr>
          <w:p>
            <w:r>
              <w:rPr>
                <w:sz w:val="17"/>
              </w:rPr>
              <w:t>2026-08-20</w:t>
            </w:r>
          </w:p>
        </w:tc>
        <w:tc>
          <w:tcPr>
            <w:tcW w:type="dxa" w:w="1440"/>
            <w:shd w:fill="FAFAFA" w:val="clear"/>
          </w:tcPr>
          <w:p>
            <w:r>
              <w:rPr>
                <w:sz w:val="17"/>
              </w:rPr>
              <w:t>1,667</w:t>
            </w:r>
          </w:p>
        </w:tc>
        <w:tc>
          <w:tcPr>
            <w:tcW w:type="dxa" w:w="1440"/>
            <w:shd w:fill="FAFAFA" w:val="clear"/>
          </w:tcPr>
          <w:p>
            <w:r>
              <w:rPr>
                <w:b/>
                <w:sz w:val="17"/>
              </w:rPr>
              <w:t>1,904</w:t>
            </w:r>
          </w:p>
        </w:tc>
        <w:tc>
          <w:tcPr>
            <w:tcW w:type="dxa" w:w="1440"/>
            <w:shd w:fill="FAFAFA" w:val="clear"/>
          </w:tcPr>
          <w:p>
            <w:r>
              <w:rPr>
                <w:sz w:val="17"/>
              </w:rPr>
              <w:t>2,142</w:t>
            </w:r>
          </w:p>
        </w:tc>
        <w:tc>
          <w:tcPr>
            <w:tcW w:type="dxa" w:w="1440"/>
            <w:shd w:fill="FAFAFA" w:val="clear"/>
          </w:tcPr>
          <w:p>
            <w:r>
              <w:rPr>
                <w:b/>
                <w:color w:val="008000"/>
                <w:sz w:val="17"/>
              </w:rPr>
              <w:t>+0.2%</w:t>
            </w:r>
          </w:p>
        </w:tc>
      </w:tr>
      <w:tr>
        <w:tc>
          <w:tcPr>
            <w:tcW w:type="dxa" w:w="1440"/>
            <w:shd w:fill="FAFAFA" w:val="clear"/>
          </w:tcPr>
          <w:p>
            <w:r>
              <w:rPr>
                <w:sz w:val="17"/>
              </w:rPr>
              <w:t>J+10  ⭐</w:t>
            </w:r>
          </w:p>
        </w:tc>
        <w:tc>
          <w:tcPr>
            <w:tcW w:type="dxa" w:w="1440"/>
            <w:shd w:fill="FAFAFA" w:val="clear"/>
          </w:tcPr>
          <w:p>
            <w:r>
              <w:rPr>
                <w:sz w:val="17"/>
              </w:rPr>
              <w:t>2026-08-21</w:t>
            </w:r>
          </w:p>
        </w:tc>
        <w:tc>
          <w:tcPr>
            <w:tcW w:type="dxa" w:w="1440"/>
            <w:shd w:fill="FAFAFA" w:val="clear"/>
          </w:tcPr>
          <w:p>
            <w:r>
              <w:rPr>
                <w:sz w:val="17"/>
              </w:rPr>
              <w:t>1,654</w:t>
            </w:r>
          </w:p>
        </w:tc>
        <w:tc>
          <w:tcPr>
            <w:tcW w:type="dxa" w:w="1440"/>
            <w:shd w:fill="FAFAFA" w:val="clear"/>
          </w:tcPr>
          <w:p>
            <w:r>
              <w:rPr>
                <w:b/>
                <w:sz w:val="17"/>
              </w:rPr>
              <w:t>1,904</w:t>
            </w:r>
          </w:p>
        </w:tc>
        <w:tc>
          <w:tcPr>
            <w:tcW w:type="dxa" w:w="1440"/>
            <w:shd w:fill="FAFAFA" w:val="clear"/>
          </w:tcPr>
          <w:p>
            <w:r>
              <w:rPr>
                <w:sz w:val="17"/>
              </w:rPr>
              <w:t>2,155</w:t>
            </w:r>
          </w:p>
        </w:tc>
        <w:tc>
          <w:tcPr>
            <w:tcW w:type="dxa" w:w="1440"/>
            <w:shd w:fill="FAFAFA" w:val="clear"/>
          </w:tcPr>
          <w:p>
            <w:r>
              <w:rPr>
                <w:b/>
                <w:color w:val="008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BNBC s'établit à 12,59 milliards FCFA, un niveau modeste qui la classe parmi les petites capitalisations de la BRVM, offrant un profil de liquidité restreint. Le BPA de 3 FCFA par action est extrêmement faible, ce qui explique un PER de 563,9x, très largement supérieur à la moyenne du marché (8-12x), signalant une valorisation extrêmement exigeante et un risque de déception majeur. En revanche, le P/B de 0,71x indique que le marché valorise le titre sous sa valeur comptable, ce qui pourrait représenter une opportunité pour les investisseurs value, mais reflète également la défiance du marché quant à la qualité des actifs. Enfin, l'EV/EBITDA de 23,9x, bien supérieur au seuil de 15x, confirme que la valeur totale de l'entreprise (dette incluse) est très élevée par rapport à sa capacité opérationnelle, ce qui rend le titre peu attractif sur une base de valorisation relative.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BNBC a enregistré une progression de +18,75%, avec une légère baisse de -0,78% lors de la dernière séance, reflétant une prise de bénéfices après un rallye. Le cours a évolué dans une fourchette de 1 300 à 2 100 FCFA, démontrant une amplitude de 800 FCFA, soit une volatilité intraday significative. La moyenne de 1 715 FCFA, inférieure à la médiane de 1 630 FCFA, suggère une distribution asymétrique avec des extrêmes élevés tirant la moyenne vers le haut. L'écart-type de 197 FCFA (CV=11,5%) indique une dispersion modérée autour de la moyenne. Le kurtosis négatif (-1,161) révèle une distribution platykurtique, avec moins de pics extrêmes que la normale, tandis que le skewness positif (0,134) confirme une légère asymétrie vers les hausses. La volatilité annualisée de 48,0% classe le titre comme très volatil, bien au-dessus du seuil de 30%, ce qui implique un risque élevé pour les investisseurs.</w:t>
      </w:r>
    </w:p>
    <w:p>
      <w:pPr>
        <w:spacing w:after="120" w:line="276" w:lineRule="auto" w:before="240"/>
      </w:pPr>
      <w:r>
        <w:rPr>
          <w:b/>
          <w:color w:val="003366"/>
          <w:sz w:val="24"/>
        </w:rPr>
        <w:t>**PARTIE 2 : ANALYSE TECHNIQUE DÉTAILLÉE**</w:t>
      </w:r>
    </w:p>
    <w:p>
      <w:pPr>
        <w:spacing w:after="120" w:line="276" w:lineRule="auto"/>
      </w:pPr>
      <w:r>
        <w:t>**Moyennes Mobiles** : La MM20 (1 896,25 FCFA) et la MM50 (1 882,5 FCFA) sont toutes deux inférieures au cours actuel de 1 900 FCFA, indiquant une tendance haussière à court et moyen terme. Le croisement positif des moyennes mobiles et leur position sous le prix confirment un signal d'achat, bien que la proximité des deux moyennes suggère une consolidation possible.</w:t>
      </w:r>
    </w:p>
    <w:p>
      <w:pPr>
        <w:spacing w:after="120" w:line="276" w:lineRule="auto"/>
      </w:pPr>
      <w:r>
        <w:t>**Bandes de Bollinger** : Le cours (1 900 FCFA) se situe entre la borne supérieure (2 042,68 FCFA) et la borne inférieure (1 749,82 FCFA), proche de la moyenne. Cette position neutre indique une volatilité modérée, sans excès de surachat ni de survente. La décision "Neutre" est justifiée par l'absence de cassure des bornes, laissant place à une poursuite de la tendance ou un retournement.</w:t>
      </w:r>
    </w:p>
    <w:p>
      <w:pPr>
        <w:spacing w:after="120" w:line="276" w:lineRule="auto"/>
      </w:pPr>
      <w:r>
        <w:t>**MACD** : La valeur du MACD (9,327) est inférieure au signal (14,579), indiquant un momentum baissier à court terme. Cette divergence négative, malgré une tendance haussière des prix, suggère un essoufflement de la dynamique haussière. La décision "Vente" est cohérente avec ce croisement baissier, signalant une possible correction.</w:t>
      </w:r>
    </w:p>
    <w:p>
      <w:pPr>
        <w:spacing w:after="120" w:line="276" w:lineRule="auto"/>
      </w:pPr>
      <w:r>
        <w:t>**RSI** : Le RSI de 53,62 se situe dans la zone neutre (30-70), indiquant un équilibre entre pressions acheteuses et vendeuses. Cette valeur ne montre ni surachat ni survente, justifiant une décision "Neutre". Le RSI laisse présager une poursuite de la consolidation avant un mouvement directionnel.</w:t>
      </w:r>
    </w:p>
    <w:p>
      <w:pPr>
        <w:spacing w:after="120" w:line="276" w:lineRule="auto"/>
      </w:pPr>
      <w:r>
        <w:t>**Stochastique** : Le %K (21,74) est inférieur au %D (34,78), indiquant une dynamique baissière à court terme, mais les deux valeurs sont en zone de survente (&lt;20 pour %K). Cette configuration suggère un possible rebond technique, mais la décision "Neutre" reflète l'absence de croisement haussier confirmé.</w:t>
      </w:r>
    </w:p>
    <w:p>
      <w:pPr>
        <w:spacing w:after="120" w:line="276" w:lineRule="auto"/>
      </w:pPr>
      <w:r>
        <w:t>**Conclusion technique** : Les indicateurs sont mitigés, avec des signaux d'achat (MM) et de vente (MACD) contradictoires, tandis que les oscillateurs (RSI, Stochastique) restent neutres. La tendance haussière de fond est contrebalancée par un momentum baissier à court terme, suggérant une phase de consolidation. Les investisseurs devraient attendre une confirmation directionnelle avant de prendre position.</w:t>
      </w:r>
    </w:p>
    <w:p>
      <w:pPr>
        <w:spacing w:after="120" w:line="276" w:lineRule="auto" w:before="240"/>
      </w:pPr>
      <w:r>
        <w:rPr>
          <w:b/>
          <w:color w:val="003366"/>
          <w:sz w:val="24"/>
        </w:rPr>
        <w:t>**PARTIE 3 : ANALYSE FONDAMENTALE (SECTION CRITIQUE)**</w:t>
      </w:r>
    </w:p>
    <w:p>
      <w:pPr>
        <w:spacing w:after="120" w:line="276" w:lineRule="auto"/>
      </w:pPr>
      <w:r>
        <w:t>En 2025, BNBC a réalisé un chiffre d'affaires de 42,45 milliards FCFA, en baisse de -6,31% par rapport à 2024 (45,31 milliards), avec un résultat net de 22,32 millions FCFA, en amélioration par rapport aux 7,31 millions de 2024, mais représentant une marge nette dérisoire de 0,05%. Le ROE de 0,13% et le ROA de 0,05% sont extrêmement faibles, reflétant une rentabilité anémique. En tant qu'entreprise non bancaire, l'analyse des délais clients (104,4 jours) et fournisseurs (116,1 jours) révèle un risque de trésorerie, tandis que la durée de stockage de 339 jours immobilise significativement le capital. Le BFR de 29,37 milliards FCFA et la trésorerie nette négative de -16,69 milliards FCFA confirment une pression de liquidité majeure. Les rapports trimestriels montrent une évolution contrastée : le T1 2025 affichait un bénéfice de 16,15 millions, mais le S1 2025 a enregistré une perte de -139,57 millions, et le T3 2025 une perte cumulée de -157 millions. Cependant, le T1 2026 (rapport du 31/12/2026) montre un retournement spectaculaire avec un résultat net positif de 65,57 millions FCFA, contre une perte de -16,15 millions au T1 2025, soit une amélioration de +506%. Sur cette base, on estime que l'exercice 2026 pourrait renouer avec une rentabilité positive, soutenue par la montée en puissance des divisions Équipement et Power, bien que la prudence reste de mise.</w:t>
      </w:r>
    </w:p>
    <w:p>
      <w:pPr>
        <w:spacing w:after="120" w:line="276" w:lineRule="auto" w:before="240"/>
      </w:pPr>
      <w:r>
        <w:rPr>
          <w:b/>
          <w:color w:val="003366"/>
          <w:sz w:val="24"/>
        </w:rPr>
        <w:t>**PARTIE 4 : CONCLUSION D'INVESTISSEMENT**</w:t>
      </w:r>
    </w:p>
    <w:p>
      <w:pPr>
        <w:spacing w:after="120" w:line="276" w:lineRule="auto"/>
      </w:pPr>
      <w:r>
        <w:t>La valorisation de BNBC est extrêmement exigeante avec un PER de 563,9x, mais le P/B de 0,71x suggère une sous-évaluation comptable, créant un paradoxe. Le comportement du cours montre une tendance haussière de +18,75% sur 100 jours, mais avec une volatilité élevée (48%) et une distribution platykurtique indiquant des mouvements modérés. Les signaux techniques sont mitigés, avec des MM haussières mais un MACD baissier, reflétant une consolidation. Fondamentalement, la société reste fragile avec une marge nette quasi nulle, une trésorerie négative, mais montre des signes de redressement au T1 2026 avec un bénéfice de 65,57 millions FCFA. Les prédictions IA (1 903-1 904 FCFA sur J+1 à J+10) suggèrent une stabilité, confirmant la phase de consolidation. La convergence entre la sous-évaluation comptable, le redressement fondamental et la stabilité technique plaide pour une recommandation **CONSERVER**, avec un niveau de confiance **Moyen** et un risque global **Élevé**. L'horizon d'investissement optimal est le **moyen terme (3-12 mois)**, en attendant la confirmation de la reprise de la rentabilité sur les prochains trimestres.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353.29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5,539 titres</w:t>
            </w:r>
          </w:p>
        </w:tc>
        <w:tc>
          <w:tcPr>
            <w:tcW w:type="dxa" w:w="2268"/>
            <w:shd w:fill="FFF2CC" w:val="clear"/>
          </w:tcPr>
          <w:p>
            <w:r>
              <w:rPr>
                <w:b/>
                <w:color w:val="503200"/>
                <w:sz w:val="16"/>
              </w:rPr>
              <w:t xml:space="preserve">Cours actuel : </w:t>
            </w:r>
            <w:r>
              <w:rPr>
                <w:color w:val="000000"/>
                <w:sz w:val="17"/>
              </w:rPr>
              <w:t>8,710 FCFA</w:t>
            </w:r>
          </w:p>
          <w:p>
            <w:r>
              <w:rPr>
                <w:b/>
                <w:color w:val="503200"/>
                <w:sz w:val="16"/>
              </w:rPr>
              <w:t xml:space="preserve">Var. 100 jours : </w:t>
            </w:r>
            <w:r>
              <w:rPr>
                <w:b/>
                <w:color w:val="007800"/>
                <w:sz w:val="17"/>
              </w:rPr>
              <w:t>+8.88%</w:t>
            </w:r>
          </w:p>
          <w:p>
            <w:r>
              <w:rPr>
                <w:b/>
                <w:color w:val="503200"/>
                <w:sz w:val="16"/>
              </w:rPr>
              <w:t xml:space="preserve">Plus haut 100j : </w:t>
            </w:r>
            <w:r>
              <w:rPr>
                <w:color w:val="000000"/>
                <w:sz w:val="17"/>
              </w:rPr>
              <w:t>9,420 FCFA</w:t>
            </w:r>
          </w:p>
          <w:p>
            <w:r>
              <w:rPr>
                <w:b/>
                <w:color w:val="503200"/>
                <w:sz w:val="16"/>
              </w:rPr>
              <w:t xml:space="preserve">Plus bas 100j : </w:t>
            </w:r>
            <w:r>
              <w:rPr>
                <w:color w:val="000000"/>
                <w:sz w:val="17"/>
              </w:rPr>
              <w:t>7,295 FCFA</w:t>
            </w:r>
          </w:p>
          <w:p>
            <w:r>
              <w:rPr>
                <w:b/>
                <w:color w:val="503200"/>
                <w:sz w:val="16"/>
              </w:rPr>
              <w:t xml:space="preserve">Volatilité ann. : </w:t>
            </w:r>
            <w:r>
              <w:rPr>
                <w:color w:val="000000"/>
                <w:sz w:val="17"/>
              </w:rPr>
              <w:t>23.1%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7.03% (Moyenne) — μ=8,543 FCFA, σ=600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β=-0.0951 (Contre-cyclique) — Cov=-0.000003, Var(idx)=0.000036, ρ=-0.039,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5,539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σ_j=1.45%/j (Stable) — Vol. annualisée≈23.1%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8,362</w:t>
            </w:r>
          </w:p>
        </w:tc>
        <w:tc>
          <w:tcPr>
            <w:tcW w:type="dxa" w:w="1440"/>
            <w:shd w:fill="FFDCE0" w:val="clear"/>
          </w:tcPr>
          <w:p>
            <w:r>
              <w:rPr>
                <w:b/>
                <w:sz w:val="17"/>
              </w:rPr>
              <w:t>8,486</w:t>
            </w:r>
          </w:p>
        </w:tc>
        <w:tc>
          <w:tcPr>
            <w:tcW w:type="dxa" w:w="1440"/>
            <w:shd w:fill="FFDCE0" w:val="clear"/>
          </w:tcPr>
          <w:p>
            <w:r>
              <w:rPr>
                <w:sz w:val="17"/>
              </w:rPr>
              <w:t>8,610</w:t>
            </w:r>
          </w:p>
        </w:tc>
        <w:tc>
          <w:tcPr>
            <w:tcW w:type="dxa" w:w="1440"/>
            <w:shd w:fill="FFDCE0" w:val="clear"/>
          </w:tcPr>
          <w:p>
            <w:r>
              <w:rPr>
                <w:b/>
                <w:color w:val="C00000"/>
                <w:sz w:val="17"/>
              </w:rPr>
              <w:t>-2.6%</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8,193</w:t>
            </w:r>
          </w:p>
        </w:tc>
        <w:tc>
          <w:tcPr>
            <w:tcW w:type="dxa" w:w="1440"/>
            <w:shd w:fill="FFDCE0" w:val="clear"/>
          </w:tcPr>
          <w:p>
            <w:r>
              <w:rPr>
                <w:b/>
                <w:sz w:val="17"/>
              </w:rPr>
              <w:t>8,366</w:t>
            </w:r>
          </w:p>
        </w:tc>
        <w:tc>
          <w:tcPr>
            <w:tcW w:type="dxa" w:w="1440"/>
            <w:shd w:fill="FFDCE0" w:val="clear"/>
          </w:tcPr>
          <w:p>
            <w:r>
              <w:rPr>
                <w:sz w:val="17"/>
              </w:rPr>
              <w:t>8,538</w:t>
            </w:r>
          </w:p>
        </w:tc>
        <w:tc>
          <w:tcPr>
            <w:tcW w:type="dxa" w:w="1440"/>
            <w:shd w:fill="FFDCE0" w:val="clear"/>
          </w:tcPr>
          <w:p>
            <w:r>
              <w:rPr>
                <w:b/>
                <w:color w:val="C00000"/>
                <w:sz w:val="17"/>
              </w:rPr>
              <w:t>-4.0%</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8,045</w:t>
            </w:r>
          </w:p>
        </w:tc>
        <w:tc>
          <w:tcPr>
            <w:tcW w:type="dxa" w:w="1440"/>
            <w:shd w:fill="FFDCE0" w:val="clear"/>
          </w:tcPr>
          <w:p>
            <w:r>
              <w:rPr>
                <w:b/>
                <w:sz w:val="17"/>
              </w:rPr>
              <w:t>8,253</w:t>
            </w:r>
          </w:p>
        </w:tc>
        <w:tc>
          <w:tcPr>
            <w:tcW w:type="dxa" w:w="1440"/>
            <w:shd w:fill="FFDCE0" w:val="clear"/>
          </w:tcPr>
          <w:p>
            <w:r>
              <w:rPr>
                <w:sz w:val="17"/>
              </w:rPr>
              <w:t>8,462</w:t>
            </w:r>
          </w:p>
        </w:tc>
        <w:tc>
          <w:tcPr>
            <w:tcW w:type="dxa" w:w="1440"/>
            <w:shd w:fill="FFDCE0" w:val="clear"/>
          </w:tcPr>
          <w:p>
            <w:r>
              <w:rPr>
                <w:b/>
                <w:color w:val="C00000"/>
                <w:sz w:val="17"/>
              </w:rPr>
              <w:t>-5.2%</w:t>
            </w:r>
          </w:p>
        </w:tc>
      </w:tr>
      <w:tr>
        <w:tc>
          <w:tcPr>
            <w:tcW w:type="dxa" w:w="1440"/>
            <w:shd w:fill="FFDCE0" w:val="clear"/>
          </w:tcPr>
          <w:p>
            <w:r>
              <w:rPr>
                <w:sz w:val="17"/>
              </w:rPr>
              <w:t>J+4  Moyenne</w:t>
            </w:r>
          </w:p>
        </w:tc>
        <w:tc>
          <w:tcPr>
            <w:tcW w:type="dxa" w:w="1440"/>
            <w:shd w:fill="FFDCE0" w:val="clear"/>
          </w:tcPr>
          <w:p>
            <w:r>
              <w:rPr>
                <w:sz w:val="17"/>
              </w:rPr>
              <w:t>2026-08-13</w:t>
            </w:r>
          </w:p>
        </w:tc>
        <w:tc>
          <w:tcPr>
            <w:tcW w:type="dxa" w:w="1440"/>
            <w:shd w:fill="FFDCE0" w:val="clear"/>
          </w:tcPr>
          <w:p>
            <w:r>
              <w:rPr>
                <w:sz w:val="17"/>
              </w:rPr>
              <w:t>7,919</w:t>
            </w:r>
          </w:p>
        </w:tc>
        <w:tc>
          <w:tcPr>
            <w:tcW w:type="dxa" w:w="1440"/>
            <w:shd w:fill="FFDCE0" w:val="clear"/>
          </w:tcPr>
          <w:p>
            <w:r>
              <w:rPr>
                <w:b/>
                <w:sz w:val="17"/>
              </w:rPr>
              <w:t>8,158</w:t>
            </w:r>
          </w:p>
        </w:tc>
        <w:tc>
          <w:tcPr>
            <w:tcW w:type="dxa" w:w="1440"/>
            <w:shd w:fill="FFDCE0" w:val="clear"/>
          </w:tcPr>
          <w:p>
            <w:r>
              <w:rPr>
                <w:sz w:val="17"/>
              </w:rPr>
              <w:t>8,396</w:t>
            </w:r>
          </w:p>
        </w:tc>
        <w:tc>
          <w:tcPr>
            <w:tcW w:type="dxa" w:w="1440"/>
            <w:shd w:fill="FFDCE0" w:val="clear"/>
          </w:tcPr>
          <w:p>
            <w:r>
              <w:rPr>
                <w:b/>
                <w:color w:val="C00000"/>
                <w:sz w:val="17"/>
              </w:rPr>
              <w:t>-6.3%</w:t>
            </w:r>
          </w:p>
        </w:tc>
      </w:tr>
      <w:tr>
        <w:tc>
          <w:tcPr>
            <w:tcW w:type="dxa" w:w="1440"/>
            <w:shd w:fill="FFDCE0" w:val="clear"/>
          </w:tcPr>
          <w:p>
            <w:r>
              <w:rPr>
                <w:sz w:val="17"/>
              </w:rPr>
              <w:t>J+5  Moyenne</w:t>
            </w:r>
          </w:p>
        </w:tc>
        <w:tc>
          <w:tcPr>
            <w:tcW w:type="dxa" w:w="1440"/>
            <w:shd w:fill="FFDCE0" w:val="clear"/>
          </w:tcPr>
          <w:p>
            <w:r>
              <w:rPr>
                <w:sz w:val="17"/>
              </w:rPr>
              <w:t>2026-08-14</w:t>
            </w:r>
          </w:p>
        </w:tc>
        <w:tc>
          <w:tcPr>
            <w:tcW w:type="dxa" w:w="1440"/>
            <w:shd w:fill="FFDCE0" w:val="clear"/>
          </w:tcPr>
          <w:p>
            <w:r>
              <w:rPr>
                <w:sz w:val="17"/>
              </w:rPr>
              <w:t>7,807</w:t>
            </w:r>
          </w:p>
        </w:tc>
        <w:tc>
          <w:tcPr>
            <w:tcW w:type="dxa" w:w="1440"/>
            <w:shd w:fill="FFDCE0" w:val="clear"/>
          </w:tcPr>
          <w:p>
            <w:r>
              <w:rPr>
                <w:b/>
                <w:sz w:val="17"/>
              </w:rPr>
              <w:t>8,071</w:t>
            </w:r>
          </w:p>
        </w:tc>
        <w:tc>
          <w:tcPr>
            <w:tcW w:type="dxa" w:w="1440"/>
            <w:shd w:fill="FFDCE0" w:val="clear"/>
          </w:tcPr>
          <w:p>
            <w:r>
              <w:rPr>
                <w:sz w:val="17"/>
              </w:rPr>
              <w:t>8,334</w:t>
            </w:r>
          </w:p>
        </w:tc>
        <w:tc>
          <w:tcPr>
            <w:tcW w:type="dxa" w:w="1440"/>
            <w:shd w:fill="FFDCE0" w:val="clear"/>
          </w:tcPr>
          <w:p>
            <w:r>
              <w:rPr>
                <w:b/>
                <w:color w:val="C00000"/>
                <w:sz w:val="17"/>
              </w:rPr>
              <w:t>-7.3%</w:t>
            </w:r>
          </w:p>
        </w:tc>
      </w:tr>
      <w:tr>
        <w:tc>
          <w:tcPr>
            <w:tcW w:type="dxa" w:w="1440"/>
            <w:shd w:fill="FFDCE0" w:val="clear"/>
          </w:tcPr>
          <w:p>
            <w:r>
              <w:rPr>
                <w:sz w:val="17"/>
              </w:rPr>
              <w:t>J+6  Moyenne</w:t>
            </w:r>
          </w:p>
        </w:tc>
        <w:tc>
          <w:tcPr>
            <w:tcW w:type="dxa" w:w="1440"/>
            <w:shd w:fill="FFDCE0" w:val="clear"/>
          </w:tcPr>
          <w:p>
            <w:r>
              <w:rPr>
                <w:sz w:val="17"/>
              </w:rPr>
              <w:t>2026-08-17</w:t>
            </w:r>
          </w:p>
        </w:tc>
        <w:tc>
          <w:tcPr>
            <w:tcW w:type="dxa" w:w="1440"/>
            <w:shd w:fill="FFDCE0" w:val="clear"/>
          </w:tcPr>
          <w:p>
            <w:r>
              <w:rPr>
                <w:sz w:val="17"/>
              </w:rPr>
              <w:t>7,704</w:t>
            </w:r>
          </w:p>
        </w:tc>
        <w:tc>
          <w:tcPr>
            <w:tcW w:type="dxa" w:w="1440"/>
            <w:shd w:fill="FFDCE0" w:val="clear"/>
          </w:tcPr>
          <w:p>
            <w:r>
              <w:rPr>
                <w:b/>
                <w:sz w:val="17"/>
              </w:rPr>
              <w:t>7,990</w:t>
            </w:r>
          </w:p>
        </w:tc>
        <w:tc>
          <w:tcPr>
            <w:tcW w:type="dxa" w:w="1440"/>
            <w:shd w:fill="FFDCE0" w:val="clear"/>
          </w:tcPr>
          <w:p>
            <w:r>
              <w:rPr>
                <w:sz w:val="17"/>
              </w:rPr>
              <w:t>8,275</w:t>
            </w:r>
          </w:p>
        </w:tc>
        <w:tc>
          <w:tcPr>
            <w:tcW w:type="dxa" w:w="1440"/>
            <w:shd w:fill="FFDCE0" w:val="clear"/>
          </w:tcPr>
          <w:p>
            <w:r>
              <w:rPr>
                <w:b/>
                <w:color w:val="C00000"/>
                <w:sz w:val="17"/>
              </w:rPr>
              <w:t>-8.3%</w:t>
            </w:r>
          </w:p>
        </w:tc>
      </w:tr>
      <w:tr>
        <w:tc>
          <w:tcPr>
            <w:tcW w:type="dxa" w:w="1440"/>
            <w:shd w:fill="FFDCE0" w:val="clear"/>
          </w:tcPr>
          <w:p>
            <w:r>
              <w:rPr>
                <w:sz w:val="17"/>
              </w:rPr>
              <w:t>J+7  Moyenne</w:t>
            </w:r>
          </w:p>
        </w:tc>
        <w:tc>
          <w:tcPr>
            <w:tcW w:type="dxa" w:w="1440"/>
            <w:shd w:fill="FFDCE0" w:val="clear"/>
          </w:tcPr>
          <w:p>
            <w:r>
              <w:rPr>
                <w:sz w:val="17"/>
              </w:rPr>
              <w:t>2026-08-18</w:t>
            </w:r>
          </w:p>
        </w:tc>
        <w:tc>
          <w:tcPr>
            <w:tcW w:type="dxa" w:w="1440"/>
            <w:shd w:fill="FFDCE0" w:val="clear"/>
          </w:tcPr>
          <w:p>
            <w:r>
              <w:rPr>
                <w:sz w:val="17"/>
              </w:rPr>
              <w:t>7,607</w:t>
            </w:r>
          </w:p>
        </w:tc>
        <w:tc>
          <w:tcPr>
            <w:tcW w:type="dxa" w:w="1440"/>
            <w:shd w:fill="FFDCE0" w:val="clear"/>
          </w:tcPr>
          <w:p>
            <w:r>
              <w:rPr>
                <w:b/>
                <w:sz w:val="17"/>
              </w:rPr>
              <w:t>7,913</w:t>
            </w:r>
          </w:p>
        </w:tc>
        <w:tc>
          <w:tcPr>
            <w:tcW w:type="dxa" w:w="1440"/>
            <w:shd w:fill="FFDCE0" w:val="clear"/>
          </w:tcPr>
          <w:p>
            <w:r>
              <w:rPr>
                <w:sz w:val="17"/>
              </w:rPr>
              <w:t>8,219</w:t>
            </w:r>
          </w:p>
        </w:tc>
        <w:tc>
          <w:tcPr>
            <w:tcW w:type="dxa" w:w="1440"/>
            <w:shd w:fill="FFDCE0" w:val="clear"/>
          </w:tcPr>
          <w:p>
            <w:r>
              <w:rPr>
                <w:b/>
                <w:color w:val="C00000"/>
                <w:sz w:val="17"/>
              </w:rPr>
              <w:t>-9.2%</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7,516</w:t>
            </w:r>
          </w:p>
        </w:tc>
        <w:tc>
          <w:tcPr>
            <w:tcW w:type="dxa" w:w="1440"/>
            <w:shd w:fill="FFDCE0" w:val="clear"/>
          </w:tcPr>
          <w:p>
            <w:r>
              <w:rPr>
                <w:b/>
                <w:sz w:val="17"/>
              </w:rPr>
              <w:t>7,840</w:t>
            </w:r>
          </w:p>
        </w:tc>
        <w:tc>
          <w:tcPr>
            <w:tcW w:type="dxa" w:w="1440"/>
            <w:shd w:fill="FFDCE0" w:val="clear"/>
          </w:tcPr>
          <w:p>
            <w:r>
              <w:rPr>
                <w:sz w:val="17"/>
              </w:rPr>
              <w:t>8,164</w:t>
            </w:r>
          </w:p>
        </w:tc>
        <w:tc>
          <w:tcPr>
            <w:tcW w:type="dxa" w:w="1440"/>
            <w:shd w:fill="FFDCE0" w:val="clear"/>
          </w:tcPr>
          <w:p>
            <w:r>
              <w:rPr>
                <w:b/>
                <w:color w:val="C00000"/>
                <w:sz w:val="17"/>
              </w:rPr>
              <w:t>-10.0%</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7,430</w:t>
            </w:r>
          </w:p>
        </w:tc>
        <w:tc>
          <w:tcPr>
            <w:tcW w:type="dxa" w:w="1440"/>
            <w:shd w:fill="FFDCE0" w:val="clear"/>
          </w:tcPr>
          <w:p>
            <w:r>
              <w:rPr>
                <w:b/>
                <w:sz w:val="17"/>
              </w:rPr>
              <w:t>7,771</w:t>
            </w:r>
          </w:p>
        </w:tc>
        <w:tc>
          <w:tcPr>
            <w:tcW w:type="dxa" w:w="1440"/>
            <w:shd w:fill="FFDCE0" w:val="clear"/>
          </w:tcPr>
          <w:p>
            <w:r>
              <w:rPr>
                <w:sz w:val="17"/>
              </w:rPr>
              <w:t>8,111</w:t>
            </w:r>
          </w:p>
        </w:tc>
        <w:tc>
          <w:tcPr>
            <w:tcW w:type="dxa" w:w="1440"/>
            <w:shd w:fill="FFDCE0" w:val="clear"/>
          </w:tcPr>
          <w:p>
            <w:r>
              <w:rPr>
                <w:b/>
                <w:color w:val="C00000"/>
                <w:sz w:val="17"/>
              </w:rPr>
              <w:t>-10.8%</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7,349</w:t>
            </w:r>
          </w:p>
        </w:tc>
        <w:tc>
          <w:tcPr>
            <w:tcW w:type="dxa" w:w="1440"/>
            <w:shd w:fill="FFDCE0" w:val="clear"/>
          </w:tcPr>
          <w:p>
            <w:r>
              <w:rPr>
                <w:b/>
                <w:sz w:val="17"/>
              </w:rPr>
              <w:t>7,705</w:t>
            </w:r>
          </w:p>
        </w:tc>
        <w:tc>
          <w:tcPr>
            <w:tcW w:type="dxa" w:w="1440"/>
            <w:shd w:fill="FFDCE0" w:val="clear"/>
          </w:tcPr>
          <w:p>
            <w:r>
              <w:rPr>
                <w:sz w:val="17"/>
              </w:rPr>
              <w:t>8,060</w:t>
            </w:r>
          </w:p>
        </w:tc>
        <w:tc>
          <w:tcPr>
            <w:tcW w:type="dxa" w:w="1440"/>
            <w:shd w:fill="FFDCE0" w:val="clear"/>
          </w:tcPr>
          <w:p>
            <w:r>
              <w:rPr>
                <w:b/>
                <w:color w:val="C00000"/>
                <w:sz w:val="17"/>
              </w:rPr>
              <w:t>-11.5%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 s'établit à 353,29 milliards FCFA, ce qui en fait une valeur de première ligne sur la BRVM, représentative du secteur bancaire béninois. Le BPA de 496 FCFA indique que chaque action génère un bénéfice substantiel, justifiant un PER de 17,6x. Ce niveau est nettement supérieur à la moyenne historique de la BRVM (8-12x), signifiant que le marché paie une prime significative pour la qualité de l'actif et ses perspectives de croissance. Le P/B de 3,01x confirme cette prime, le marché valorisant la société à trois fois sa valeur comptable, ce qui reflète une anticipation de rendement futur élevé. Enfin, l'EV/EBITDA de 18,5x est exigeant, indiquant que la valeur totale de l'entreprise (capitalisation + dette) est élevée par rapport à sa capacité opérationnelle de génération de cash. Ces ratios montrent une valorisation riche qui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BOAB a enregistré une progression de +8,88%, avec une dernière séance en légère hausse de +0,11% à 8 710 FCFA. Le titre a évolué dans un range de 2 125 FCFA, oscillant entre un plus bas de 7 295 FCFA et un plus haut de 9 420 FCFA, démontrant une volatilité intra-période notable. La moyenne (8 543 FCFA) et la médiane (8 715 FCFA) sont proches, mais le mode à 8 700 FCFA et le skewness négatif (-0.627) indiquent une asymétrie avec des journées plus fréquentes au-dessus de la moyenne, suggérant un biais haussier. L'écart-type de 603 FCFA (CV=7,1%) montre une dispersion modérée, tandis que le kurtosis de -0.741 (mésokurtique) indique une distribution proche de la normale, sans risque de pics extrêmes. La volatilité annualisée de 23,1% classe le titre dans une catégorie de risque modéré, offrant un équilibre entre potentiel de rendement et stabilité.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(8 710 FCFA) est inférieur à la MM20 (8 689,75 FCFA) et à la MM50 (8 807,2 FCFA), indiquant une dynamique baissière à court et moyen terme. Le signal de "Vente" est cohérent avec cette configuration où le prix évolue sous ses moyennes clés, suggérant une pression vendeuse persistante.</w:t>
      </w:r>
    </w:p>
    <w:p>
      <w:pPr>
        <w:spacing w:after="120" w:line="276" w:lineRule="auto"/>
      </w:pPr>
      <w:r>
        <w:t>**Bandes de Bollinger** : Le prix se situe à 8 710 FCFA, entre la borne supérieure (8 856,47 FCFA) et la borne inférieure (8 523,03 FCFA), proche du milieu de l'intervalle. Cette position neutre indique une volatilité normale et une absence de mouvement directionnel fort. La largeur des bandes suggère une volatilité stable, le signal "Neutre" étant approprié.</w:t>
      </w:r>
    </w:p>
    <w:p>
      <w:pPr>
        <w:spacing w:after="120" w:line="276" w:lineRule="auto"/>
      </w:pPr>
      <w:r>
        <w:t>**MACD** : La valeur MACD (-48,05) est supérieure à son signal (-63,30), avec une divergence positive. Bien que les deux soient en territoire négatif, le croisement haussier du MACD au-dessus du signal est un signe précoce de retournement de momentum, justifiant la décision "Achat".</w:t>
      </w:r>
    </w:p>
    <w:p>
      <w:pPr>
        <w:spacing w:after="120" w:line="276" w:lineRule="auto"/>
      </w:pPr>
      <w:r>
        <w:t>**RSI** : À 50,76, le RSI est en zone neutre, indiquant un équilibre entre pression acheteuse et vendeuse. Ce niveau ne montre ni surachat ni survente, laissant place à une évolution directionnelle future sans contrainte technique.</w:t>
      </w:r>
    </w:p>
    <w:p>
      <w:pPr>
        <w:spacing w:after="120" w:line="276" w:lineRule="auto"/>
      </w:pPr>
      <w:r>
        <w:t>**Stochastique** : Le %K (95,0) et le %D (87,31) sont en zone de surachat extrême (&gt;80), avec un %K au-dessus de %D. Cette configuration signale un épuisement potentiel de la dynamique haussière à très court terme, justifiant la décision "Vente" pour un repli technique probable.</w:t>
      </w:r>
    </w:p>
    <w:p>
      <w:pPr>
        <w:spacing w:after="120" w:line="276" w:lineRule="auto"/>
      </w:pPr>
      <w:r>
        <w:t>**Conclusion technique** : Les indicateurs sont mitigés, avec un MACD haussier contrastant avec les moyennes mobiles baissières et un stochastique suracheté. La configuration suggère une consolidation à court terme, avec un potentiel de correction après le récent rally, mais un momentum sous-jacent qui reste positif.</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BOAB montrent un Produit Net Bancaire (PNB) de 51,27 milliards FCFA, en croissance de 10,2%, et un résultat net de 20,11 milliards FCFA. La banque affiche un ROE de 17,1% et un ROA de 2,08%, démontrant une excellente rentabilité des fonds propres et une gestion efficace des actifs. Le coefficient d'exploitation de 49,5% est excellent (&lt;50%), indiquant une maîtrise remarquable des charges. Le coût du risque de 22,5% est élevé, signalant un portefeuille de crédit avec un risque significatif. Les dépôts clients (711,64 Mds) couvrent largement les créances clients (391,72 Mds), montrant une transformation saine. Selon le rapport du 1er semestre 2025, le PNB a progressé de 5,91% à 24,56 milliards, avec un résultat net de 11,01 milliards (ROE de 20,3%). Le rapport T3 2025 confirme cette dynamique avec un PNB de 37,07 milliards (+9%) et un résultat net de 15,88 milliards (+13%). Le rapport T1 2026 indique un PNB de 12,33 milliards (+11%) et un résultat net de 4,50 milliards (+1%), montrant une pression sur la rentabilité nette. Sur la base de ces tendances, on estime que l'exercice 2026 devrait voir un PNB annuel autour de 55-56 milliards FCFA et un résultat net stable autour de 20 milliards FCFA. La banque privilégie la qualité à la croissance volumique, avec une contraction des crédits (-10%) et des dépôts (-5%) au T3 2025, mais une amélioration des marges et des commissions.</w:t>
      </w:r>
    </w:p>
    <w:p>
      <w:pPr>
        <w:spacing w:after="120" w:line="276" w:lineRule="auto"/>
      </w:pPr>
      <w:r>
        <w:t>---</w:t>
      </w:r>
    </w:p>
    <w:p>
      <w:pPr>
        <w:spacing w:after="120" w:line="276" w:lineRule="auto"/>
      </w:pPr>
      <w:r>
        <w:t>### PARTIE 4 : CONCLUSION D'INVESTISSEMENT</w:t>
      </w:r>
    </w:p>
    <w:p>
      <w:pPr>
        <w:spacing w:after="120" w:line="276" w:lineRule="auto"/>
      </w:pPr>
      <w:r>
        <w:t>La valorisation de BOAB est exigeante (PER 17,6x, P/B 3,01x, EV/EBITDA 18,5x), indiquant une surévaluation relative par rapport au marché BRVM, mais justifiée par la qualité des fondamentaux. Le comportement du cours montre une tendance haussière sur 100 jours (+8,88%) avec une volatilité modérée (23,1%) et une distribution stable, bien que le skewness négatif suggère un potentiel de repli. Les signaux techniques sont mitigés : les moyennes mobiles et le stochastique sont vendeurs, tandis que le MACD est acheteur et le RSI neutre, indiquant une consolidation. Les fondamentaux sont solides avec un ROE de 17,1%, un coefficient d'exploitation excellent (49,5%) et une croissance du PNB soutenue, mais le coût du risque élevé et la contraction du bilan sont des points de vigilance. Les prédictions IA (8 486 à 8 071 FCFA sur 10 jours) confirment une trajectoire baissière à court terme, contredisant le momentum haussier récent. En synthèse, la convergence entre la valorisation élevée, les signaux techniques mitigés et les prédictions IA baissières suggère une prudence. **Recommandation : CONSERVER**, avec un niveau de confiance **Moyen** et un risque global **Moyen**. L'horizon d'investissement optimal est le **moyen terme (3-12 mois)**, en attendant une meilleure opportunité d'achat après une correction potentielle.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318.12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6,217 titres</w:t>
            </w:r>
          </w:p>
        </w:tc>
        <w:tc>
          <w:tcPr>
            <w:tcW w:type="dxa" w:w="2268"/>
            <w:shd w:fill="FFF2CC" w:val="clear"/>
          </w:tcPr>
          <w:p>
            <w:r>
              <w:rPr>
                <w:b/>
                <w:color w:val="503200"/>
                <w:sz w:val="16"/>
              </w:rPr>
              <w:t xml:space="preserve">Cours actuel : </w:t>
            </w:r>
            <w:r>
              <w:rPr>
                <w:color w:val="000000"/>
                <w:sz w:val="17"/>
              </w:rPr>
              <w:t>7,230 FCFA</w:t>
            </w:r>
          </w:p>
          <w:p>
            <w:r>
              <w:rPr>
                <w:b/>
                <w:color w:val="503200"/>
                <w:sz w:val="16"/>
              </w:rPr>
              <w:t xml:space="preserve">Var. 100 jours : </w:t>
            </w:r>
            <w:r>
              <w:rPr>
                <w:b/>
                <w:color w:val="007800"/>
                <w:sz w:val="17"/>
              </w:rPr>
              <w:t>+39.04%</w:t>
            </w:r>
          </w:p>
          <w:p>
            <w:r>
              <w:rPr>
                <w:b/>
                <w:color w:val="503200"/>
                <w:sz w:val="16"/>
              </w:rPr>
              <w:t xml:space="preserve">Plus haut 100j : </w:t>
            </w:r>
            <w:r>
              <w:rPr>
                <w:color w:val="000000"/>
                <w:sz w:val="17"/>
              </w:rPr>
              <w:t>7,255 FCFA</w:t>
            </w:r>
          </w:p>
          <w:p>
            <w:r>
              <w:rPr>
                <w:b/>
                <w:color w:val="503200"/>
                <w:sz w:val="16"/>
              </w:rPr>
              <w:t xml:space="preserve">Plus bas 100j : </w:t>
            </w:r>
            <w:r>
              <w:rPr>
                <w:color w:val="000000"/>
                <w:sz w:val="17"/>
              </w:rPr>
              <w:t>5,005 FCFA</w:t>
            </w:r>
          </w:p>
          <w:p>
            <w:r>
              <w:rPr>
                <w:b/>
                <w:color w:val="503200"/>
                <w:sz w:val="16"/>
              </w:rPr>
              <w:t xml:space="preserve">Volatilité ann. : </w:t>
            </w:r>
            <w:r>
              <w:rPr>
                <w:color w:val="000000"/>
                <w:sz w:val="17"/>
              </w:rPr>
              <w:t>29.2%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10.67% (Moyenne) — μ=5,827 FCFA, σ=622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β=0.2356 (Défensif) — Cov=0.000009, Var(idx)=0.000036, ρ=0.077,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σ_j=1.84%/j (Stable) — Vol. annualisée≈29.2%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6,811</w:t>
            </w:r>
          </w:p>
        </w:tc>
        <w:tc>
          <w:tcPr>
            <w:tcW w:type="dxa" w:w="1440"/>
            <w:shd w:fill="FFDCE0" w:val="clear"/>
          </w:tcPr>
          <w:p>
            <w:r>
              <w:rPr>
                <w:b/>
                <w:sz w:val="17"/>
              </w:rPr>
              <w:t>7,079</w:t>
            </w:r>
          </w:p>
        </w:tc>
        <w:tc>
          <w:tcPr>
            <w:tcW w:type="dxa" w:w="1440"/>
            <w:shd w:fill="FFDCE0" w:val="clear"/>
          </w:tcPr>
          <w:p>
            <w:r>
              <w:rPr>
                <w:sz w:val="17"/>
              </w:rPr>
              <w:t>7,347</w:t>
            </w:r>
          </w:p>
        </w:tc>
        <w:tc>
          <w:tcPr>
            <w:tcW w:type="dxa" w:w="1440"/>
            <w:shd w:fill="FFDCE0" w:val="clear"/>
          </w:tcPr>
          <w:p>
            <w:r>
              <w:rPr>
                <w:b/>
                <w:color w:val="C00000"/>
                <w:sz w:val="17"/>
              </w:rPr>
              <w:t>-2.1%</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6,604</w:t>
            </w:r>
          </w:p>
        </w:tc>
        <w:tc>
          <w:tcPr>
            <w:tcW w:type="dxa" w:w="1440"/>
            <w:shd w:fill="FFDCE0" w:val="clear"/>
          </w:tcPr>
          <w:p>
            <w:r>
              <w:rPr>
                <w:b/>
                <w:sz w:val="17"/>
              </w:rPr>
              <w:t>6,978</w:t>
            </w:r>
          </w:p>
        </w:tc>
        <w:tc>
          <w:tcPr>
            <w:tcW w:type="dxa" w:w="1440"/>
            <w:shd w:fill="FFDCE0" w:val="clear"/>
          </w:tcPr>
          <w:p>
            <w:r>
              <w:rPr>
                <w:sz w:val="17"/>
              </w:rPr>
              <w:t>7,351</w:t>
            </w:r>
          </w:p>
        </w:tc>
        <w:tc>
          <w:tcPr>
            <w:tcW w:type="dxa" w:w="1440"/>
            <w:shd w:fill="FFDCE0" w:val="clear"/>
          </w:tcPr>
          <w:p>
            <w:r>
              <w:rPr>
                <w:b/>
                <w:color w:val="C00000"/>
                <w:sz w:val="17"/>
              </w:rPr>
              <w:t>-3.5%</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6,439</w:t>
            </w:r>
          </w:p>
        </w:tc>
        <w:tc>
          <w:tcPr>
            <w:tcW w:type="dxa" w:w="1440"/>
            <w:shd w:fill="FFDCE0" w:val="clear"/>
          </w:tcPr>
          <w:p>
            <w:r>
              <w:rPr>
                <w:b/>
                <w:sz w:val="17"/>
              </w:rPr>
              <w:t>6,891</w:t>
            </w:r>
          </w:p>
        </w:tc>
        <w:tc>
          <w:tcPr>
            <w:tcW w:type="dxa" w:w="1440"/>
            <w:shd w:fill="FFDCE0" w:val="clear"/>
          </w:tcPr>
          <w:p>
            <w:r>
              <w:rPr>
                <w:sz w:val="17"/>
              </w:rPr>
              <w:t>7,343</w:t>
            </w:r>
          </w:p>
        </w:tc>
        <w:tc>
          <w:tcPr>
            <w:tcW w:type="dxa" w:w="1440"/>
            <w:shd w:fill="FFDCE0" w:val="clear"/>
          </w:tcPr>
          <w:p>
            <w:r>
              <w:rPr>
                <w:b/>
                <w:color w:val="C00000"/>
                <w:sz w:val="17"/>
              </w:rPr>
              <w:t>-4.7%</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6,304</w:t>
            </w:r>
          </w:p>
        </w:tc>
        <w:tc>
          <w:tcPr>
            <w:tcW w:type="dxa" w:w="1440"/>
            <w:shd w:fill="FFDCE0" w:val="clear"/>
          </w:tcPr>
          <w:p>
            <w:r>
              <w:rPr>
                <w:b/>
                <w:sz w:val="17"/>
              </w:rPr>
              <w:t>6,820</w:t>
            </w:r>
          </w:p>
        </w:tc>
        <w:tc>
          <w:tcPr>
            <w:tcW w:type="dxa" w:w="1440"/>
            <w:shd w:fill="FFDCE0" w:val="clear"/>
          </w:tcPr>
          <w:p>
            <w:r>
              <w:rPr>
                <w:sz w:val="17"/>
              </w:rPr>
              <w:t>7,337</w:t>
            </w:r>
          </w:p>
        </w:tc>
        <w:tc>
          <w:tcPr>
            <w:tcW w:type="dxa" w:w="1440"/>
            <w:shd w:fill="FFDCE0" w:val="clear"/>
          </w:tcPr>
          <w:p>
            <w:r>
              <w:rPr>
                <w:b/>
                <w:color w:val="C00000"/>
                <w:sz w:val="17"/>
              </w:rPr>
              <w:t>-5.7%</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6,187</w:t>
            </w:r>
          </w:p>
        </w:tc>
        <w:tc>
          <w:tcPr>
            <w:tcW w:type="dxa" w:w="1440"/>
            <w:shd w:fill="FFDCE0" w:val="clear"/>
          </w:tcPr>
          <w:p>
            <w:r>
              <w:rPr>
                <w:b/>
                <w:sz w:val="17"/>
              </w:rPr>
              <w:t>6,759</w:t>
            </w:r>
          </w:p>
        </w:tc>
        <w:tc>
          <w:tcPr>
            <w:tcW w:type="dxa" w:w="1440"/>
            <w:shd w:fill="FFDCE0" w:val="clear"/>
          </w:tcPr>
          <w:p>
            <w:r>
              <w:rPr>
                <w:sz w:val="17"/>
              </w:rPr>
              <w:t>7,331</w:t>
            </w:r>
          </w:p>
        </w:tc>
        <w:tc>
          <w:tcPr>
            <w:tcW w:type="dxa" w:w="1440"/>
            <w:shd w:fill="FFDCE0" w:val="clear"/>
          </w:tcPr>
          <w:p>
            <w:r>
              <w:rPr>
                <w:b/>
                <w:color w:val="C00000"/>
                <w:sz w:val="17"/>
              </w:rPr>
              <w:t>-6.5%</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6,080</w:t>
            </w:r>
          </w:p>
        </w:tc>
        <w:tc>
          <w:tcPr>
            <w:tcW w:type="dxa" w:w="1440"/>
            <w:shd w:fill="FFDCE0" w:val="clear"/>
          </w:tcPr>
          <w:p>
            <w:r>
              <w:rPr>
                <w:b/>
                <w:sz w:val="17"/>
              </w:rPr>
              <w:t>6,702</w:t>
            </w:r>
          </w:p>
        </w:tc>
        <w:tc>
          <w:tcPr>
            <w:tcW w:type="dxa" w:w="1440"/>
            <w:shd w:fill="FFDCE0" w:val="clear"/>
          </w:tcPr>
          <w:p>
            <w:r>
              <w:rPr>
                <w:sz w:val="17"/>
              </w:rPr>
              <w:t>7,324</w:t>
            </w:r>
          </w:p>
        </w:tc>
        <w:tc>
          <w:tcPr>
            <w:tcW w:type="dxa" w:w="1440"/>
            <w:shd w:fill="FFDCE0" w:val="clear"/>
          </w:tcPr>
          <w:p>
            <w:r>
              <w:rPr>
                <w:b/>
                <w:color w:val="C00000"/>
                <w:sz w:val="17"/>
              </w:rPr>
              <w:t>-7.3%</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5,982</w:t>
            </w:r>
          </w:p>
        </w:tc>
        <w:tc>
          <w:tcPr>
            <w:tcW w:type="dxa" w:w="1440"/>
            <w:shd w:fill="FFDCE0" w:val="clear"/>
          </w:tcPr>
          <w:p>
            <w:r>
              <w:rPr>
                <w:b/>
                <w:sz w:val="17"/>
              </w:rPr>
              <w:t>6,648</w:t>
            </w:r>
          </w:p>
        </w:tc>
        <w:tc>
          <w:tcPr>
            <w:tcW w:type="dxa" w:w="1440"/>
            <w:shd w:fill="FFDCE0" w:val="clear"/>
          </w:tcPr>
          <w:p>
            <w:r>
              <w:rPr>
                <w:sz w:val="17"/>
              </w:rPr>
              <w:t>7,314</w:t>
            </w:r>
          </w:p>
        </w:tc>
        <w:tc>
          <w:tcPr>
            <w:tcW w:type="dxa" w:w="1440"/>
            <w:shd w:fill="FFDCE0" w:val="clear"/>
          </w:tcPr>
          <w:p>
            <w:r>
              <w:rPr>
                <w:b/>
                <w:color w:val="C00000"/>
                <w:sz w:val="17"/>
              </w:rPr>
              <w:t>-8.0%</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5,890</w:t>
            </w:r>
          </w:p>
        </w:tc>
        <w:tc>
          <w:tcPr>
            <w:tcW w:type="dxa" w:w="1440"/>
            <w:shd w:fill="FFDCE0" w:val="clear"/>
          </w:tcPr>
          <w:p>
            <w:r>
              <w:rPr>
                <w:b/>
                <w:sz w:val="17"/>
              </w:rPr>
              <w:t>6,597</w:t>
            </w:r>
          </w:p>
        </w:tc>
        <w:tc>
          <w:tcPr>
            <w:tcW w:type="dxa" w:w="1440"/>
            <w:shd w:fill="FFDCE0" w:val="clear"/>
          </w:tcPr>
          <w:p>
            <w:r>
              <w:rPr>
                <w:sz w:val="17"/>
              </w:rPr>
              <w:t>7,303</w:t>
            </w:r>
          </w:p>
        </w:tc>
        <w:tc>
          <w:tcPr>
            <w:tcW w:type="dxa" w:w="1440"/>
            <w:shd w:fill="FFDCE0" w:val="clear"/>
          </w:tcPr>
          <w:p>
            <w:r>
              <w:rPr>
                <w:b/>
                <w:color w:val="C00000"/>
                <w:sz w:val="17"/>
              </w:rPr>
              <w:t>-8.8%</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5,804</w:t>
            </w:r>
          </w:p>
        </w:tc>
        <w:tc>
          <w:tcPr>
            <w:tcW w:type="dxa" w:w="1440"/>
            <w:shd w:fill="FFDCE0" w:val="clear"/>
          </w:tcPr>
          <w:p>
            <w:r>
              <w:rPr>
                <w:b/>
                <w:sz w:val="17"/>
              </w:rPr>
              <w:t>6,547</w:t>
            </w:r>
          </w:p>
        </w:tc>
        <w:tc>
          <w:tcPr>
            <w:tcW w:type="dxa" w:w="1440"/>
            <w:shd w:fill="FFDCE0" w:val="clear"/>
          </w:tcPr>
          <w:p>
            <w:r>
              <w:rPr>
                <w:sz w:val="17"/>
              </w:rPr>
              <w:t>7,291</w:t>
            </w:r>
          </w:p>
        </w:tc>
        <w:tc>
          <w:tcPr>
            <w:tcW w:type="dxa" w:w="1440"/>
            <w:shd w:fill="FFDCE0" w:val="clear"/>
          </w:tcPr>
          <w:p>
            <w:r>
              <w:rPr>
                <w:b/>
                <w:color w:val="C00000"/>
                <w:sz w:val="17"/>
              </w:rPr>
              <w:t>-9.4%</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5,721</w:t>
            </w:r>
          </w:p>
        </w:tc>
        <w:tc>
          <w:tcPr>
            <w:tcW w:type="dxa" w:w="1440"/>
            <w:shd w:fill="FFDCE0" w:val="clear"/>
          </w:tcPr>
          <w:p>
            <w:r>
              <w:rPr>
                <w:b/>
                <w:sz w:val="17"/>
              </w:rPr>
              <w:t>6,499</w:t>
            </w:r>
          </w:p>
        </w:tc>
        <w:tc>
          <w:tcPr>
            <w:tcW w:type="dxa" w:w="1440"/>
            <w:shd w:fill="FFDCE0" w:val="clear"/>
          </w:tcPr>
          <w:p>
            <w:r>
              <w:rPr>
                <w:sz w:val="17"/>
              </w:rPr>
              <w:t>7,277</w:t>
            </w:r>
          </w:p>
        </w:tc>
        <w:tc>
          <w:tcPr>
            <w:tcW w:type="dxa" w:w="1440"/>
            <w:shd w:fill="FFDCE0" w:val="clear"/>
          </w:tcPr>
          <w:p>
            <w:r>
              <w:rPr>
                <w:b/>
                <w:color w:val="C00000"/>
                <w:sz w:val="17"/>
              </w:rPr>
              <w:t>-10.1%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BOABF s'établit à 318,12 milliards FCFA, ce qui en fait une valeur de première importance sur la BRVM, représentant un poids significatif dans l'indice composite. Avec un BPA de 438 FCFA, chaque action génère un bénéfice confortable, justifiant un PER de 16,5x. Ce niveau est supérieur à la moyenne historique de la BRVM (8-12x), indiquant que le marché valorise déjà une prime de croissance ou de qualité pour ce titre. Le P/B de 2,51x confirme cette lecture, le marché acceptant de payer plus de deux fois la valeur comptable des fonds propres, signe d'une confiance dans la capacité de la banque à générer de la valeur. Enfin, un EV/EBITDA de 7,0x se situe dans une fourchette raisonnable (5-10x), suggérant que la valorisation globale de l'entreprise, rapportée à sa capacité opérationnelle, n'apparaît pas excessive malgré le PER élevé.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BOABF a enregistré une performance remarquable de +39,04%, avec une dernière séance en légère hausse de +0,42% à 7 230 FCFA. Le titre a évolué dans une fourchette large de 5 005 FCFA (plus bas) à 7 255 FCFA (plus haut), démontrant une dynamique haussière soutenue. La moyenne du cours sur la période (5 827 FCFA) est nettement supérieure à la médiane (5 590 FCFA), ce qui, combiné à un skewness positif de 1,417, indique une distribution asymétrique avec des épisodes de forte hausse tirant la moyenne vers le haut. L'écart-type de 625 FCFA (CV de 10,7%) reflète une dispersion modérée autour de la moyenne. Le kurtosis de 0,511 (mésokurtique) suggère un risque de pics limité, proche d'une distribution normale. La volatilité annualisée de 29,2% classe le titre dans la catégorie des valeurs à volatilité élevée (&gt;30% étant le seuil), ce qui implique des fluctuations de prix notables et un risque accru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La MM20 (6 980,25 FCFA) et la MM50 (6 185,5 FCFA) sont toutes deux inférieures au cours actuel de 7 230 FCFA, avec une MM20 au-dessus de la MM50. Cette configuration en "courbe ascendante" est un signal haussier classique, confirmant la tendance positive de moyen terme. La décision d'achat est justifiée par la position du prix au-dessus des deux moyennes, indiquant une dynamique de marché favorable.</w:t>
      </w:r>
    </w:p>
    <w:p>
      <w:pPr>
        <w:spacing w:after="120" w:line="276" w:lineRule="auto"/>
      </w:pPr>
      <w:r>
        <w:t>**Bandes de Bollinger**: Le cours (7 230 FCFA) se situe entre la borne supérieure (7 723,5 FCFA) et la borne inférieure (6 237 FCFA), plus proche de la borne haute. La décision "neutre" s'explique par le fait que le prix n'a pas encore atteint les extrêmes de la bande, laissant une marge de manœuvre avant une éventuelle zone de surachat. La largeur des bandes reflète la volatilité élevée du titre.</w:t>
      </w:r>
    </w:p>
    <w:p>
      <w:pPr>
        <w:spacing w:after="120" w:line="276" w:lineRule="auto"/>
      </w:pPr>
      <w:r>
        <w:t>**MACD**: La valeur du MACD (305,245) est inférieure à son signal (332,863), indiquant un momentum baissier à court terme. Cette divergence négative, bien que légère, suggère un essoufflement de la dynamique haussière récente. La décision de vente est donc émise, signalant une possible consolidation ou correction à venir.</w:t>
      </w:r>
    </w:p>
    <w:p>
      <w:pPr>
        <w:spacing w:after="120" w:line="276" w:lineRule="auto"/>
      </w:pPr>
      <w:r>
        <w:t>**RSI**: Le RSI à 51,23 est en zone neutre (entre 30 et 70), indiquant un équilibre entre les forces acheteuses et vendeuses. Cette valeur ne montre ni surachat ni survente, laissant présager une poursuite de la tendance sans pression excessive. La décision neutre est cohérente avec cette lecture.</w:t>
      </w:r>
    </w:p>
    <w:p>
      <w:pPr>
        <w:spacing w:after="120" w:line="276" w:lineRule="auto"/>
      </w:pPr>
      <w:r>
        <w:t>**Stochastique**: Le %K (100,0) et le %D (94,836) sont tous deux à des niveaux extrêmement élevés, en zone de surachat. Le %K est au-dessus du %D, mais cette configuration à des niveaux aussi hauts signale une possible exhaustion de la tendance haussière. La décision de vente est justifiée par ce surachat technique, anticipant un repli probable.</w:t>
      </w:r>
    </w:p>
    <w:p>
      <w:pPr>
        <w:spacing w:after="120" w:line="276" w:lineRule="auto"/>
      </w:pPr>
      <w:r>
        <w:t>**Conclusion technique**: Les indicateurs sont mitigés : les moyennes mobiles et les bandes de Bollinger soutiennent une tendance haussière de fond, tandis que le MACD et le stochastique signalent un essoufflement à court terme. Le RSI neutre ne tranche pas. Cette divergence suggère une phase de consolidation après la forte hausse, avec un biais haussier à moyen terme mais un risque de correction immédiate.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BOABF révèlent une banque de taille significative avec un total bilan de 1 148,675 milliards FCFA. Le Produit Net Bancaire (PNB) s'établit à 57,820 milliards FCFA, en légère croissance de 0,57% par rapport à l'exercice précédent, traduisant une stagnation de l'activité commerciale. Le résultat net de 19,252 milliards FCFA dégage une marge nette de 33,3% et un ROE de 15,22%, un niveau excellent qui témoigne d'une bonne rentabilité des fonds propres. Le coefficient d'exploitation de 47,19% est remarquable, indiquant une gestion opérationnelle très efficace (&lt;50%). Cependant, le coût du risque de 33,92% est élevé, signalant une dégradation de la qualité du portefeuille de crédits. Les dépôts clientèle (877,822 milliards FCFA) couvrent largement les créances sur la clientèle (474,064 milliards FCFA), soit un ratio de transformation de 54%, reflétant une liquidité abondante mais une utilisation sous-optimale des ressources. Les rapports trimestriels 2025 confirment cette tendance : le T1 2025 (PNB 14,22 milliards, +2,3%) et le S1 2025 (PNB 29,06 milliards, +1,4%) montrent une activité atone, tandis que le résultat net chute de 46,5% au S1 en raison d'une explosion du coût du risque (+1336%). Le T3 2025 (PNB 43,28 milliards, +0,85%) confirme la stagnation et la baisse de 27,7% du résultat net cumulé. Enfin, le rapport T1 2026 (PNB 12,694 milliards, -10,75% et résultat net 4,520 milliards, -12,99%) indique une poursuite de la dégradation. Sur la base de ces rapports, on estime que l'exercice 2026 pourrait voir un PNB en recul de 5 à 10% et un résultat net sous pression, malgré une croissance des dépôts de 6,3%. La banque reste solide mais confrontée à un environnement économique et sécuritaire difficile au Burkina Faso.</w:t>
      </w:r>
    </w:p>
    <w:p>
      <w:pPr>
        <w:spacing w:after="120" w:line="276" w:lineRule="auto" w:before="240"/>
      </w:pPr>
      <w:r>
        <w:rPr>
          <w:b/>
          <w:color w:val="003366"/>
          <w:sz w:val="24"/>
        </w:rPr>
        <w:t>**PARTIE 4 : CONCLUSION D'INVESTISSEMENT**</w:t>
      </w:r>
    </w:p>
    <w:p>
      <w:pPr>
        <w:spacing w:after="120" w:line="276" w:lineRule="auto"/>
      </w:pPr>
      <w:r>
        <w:t>La valorisation de BOABF (PER 16,5x, P/B 2,51x) apparaît exigeante, le marché intégrant une prime de qualité qui semble désormais difficile à justifier au vu de la dégradation des fondamentaux. Le comportement du cours (+39% sur 100 jours) avec une volatilité élevée (29,2%) et une asymétrie positive traduit un enthousiasme spéculatif, mais les statistiques suggèrent un risque de retournement. Les signaux techniques sont partagés : la tendance de fond reste haussière (MM), mais les indicateurs de momentum (MACD, Stochastique) signalent un surachat imminent. Fondamentalement, la banque affiche une rentabilité encore solide (ROE 15,2%) mais en nette dégradation, avec un coût du risque élevé et une activité en contraction. Les prédictions IA (7 079 FCFA à 6 759 FCFA sur 10 jours) confirment cette analyse en anticipant une correction de 6,5%. La convergence des signaux techniques et fondamentaux vers une baisse, malgré une valorisation encore élevée, conduit à une recommandation de **CONSERVER** avec un niveau de confiance **Moyen**. Le risque global est **Élevé** en raison de la volatilité et de l'incertitude économique. L'horizon d'investissement optimal est le **moyen terme (3-12 mois)**, en attendant une stabilisation des indicateurs de rentabilité et une meilleure visibilité sur la qualité du portefeuille de crédits.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464.00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13,990 titres</w:t>
            </w:r>
          </w:p>
        </w:tc>
        <w:tc>
          <w:tcPr>
            <w:tcW w:type="dxa" w:w="2268"/>
            <w:shd w:fill="FFF2CC" w:val="clear"/>
          </w:tcPr>
          <w:p>
            <w:r>
              <w:rPr>
                <w:b/>
                <w:color w:val="503200"/>
                <w:sz w:val="16"/>
              </w:rPr>
              <w:t xml:space="preserve">Cours actuel : </w:t>
            </w:r>
            <w:r>
              <w:rPr>
                <w:color w:val="000000"/>
                <w:sz w:val="17"/>
              </w:rPr>
              <w:t>11,600 FCFA</w:t>
            </w:r>
          </w:p>
          <w:p>
            <w:r>
              <w:rPr>
                <w:b/>
                <w:color w:val="503200"/>
                <w:sz w:val="16"/>
              </w:rPr>
              <w:t xml:space="preserve">Var. 100 jours : </w:t>
            </w:r>
            <w:r>
              <w:rPr>
                <w:b/>
                <w:color w:val="007800"/>
                <w:sz w:val="17"/>
              </w:rPr>
              <w:t>+33.33%</w:t>
            </w:r>
          </w:p>
          <w:p>
            <w:r>
              <w:rPr>
                <w:b/>
                <w:color w:val="503200"/>
                <w:sz w:val="16"/>
              </w:rPr>
              <w:t xml:space="preserve">Plus haut 100j : </w:t>
            </w:r>
            <w:r>
              <w:rPr>
                <w:color w:val="000000"/>
                <w:sz w:val="17"/>
              </w:rPr>
              <w:t>11,600 FCFA</w:t>
            </w:r>
          </w:p>
          <w:p>
            <w:r>
              <w:rPr>
                <w:b/>
                <w:color w:val="503200"/>
                <w:sz w:val="16"/>
              </w:rPr>
              <w:t xml:space="preserve">Plus bas 100j : </w:t>
            </w:r>
            <w:r>
              <w:rPr>
                <w:color w:val="000000"/>
                <w:sz w:val="17"/>
              </w:rPr>
              <w:t>8,100 FCFA</w:t>
            </w:r>
          </w:p>
          <w:p>
            <w:r>
              <w:rPr>
                <w:b/>
                <w:color w:val="503200"/>
                <w:sz w:val="16"/>
              </w:rPr>
              <w:t xml:space="preserve">Volatilité ann. : </w:t>
            </w:r>
            <w:r>
              <w:rPr>
                <w:color w:val="000000"/>
                <w:sz w:val="17"/>
              </w:rPr>
              <w:t>27.0%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17.1/100 → Faible</w:t>
      </w:r>
    </w:p>
    <w:p>
      <w:pPr>
        <w:spacing w:before="40" w:after="80"/>
      </w:pPr>
      <w:r>
        <w:rPr>
          <w:rFonts w:ascii="Courier New" w:hAnsi="Courier New"/>
          <w:color w:val="006400"/>
          <w:sz w:val="18"/>
        </w:rPr>
        <w:t>███░░░░░░░░░░░░░░░░░  17.1/100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8.33% (Moyenne) — μ=9,152 FCFA, σ=763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β=0.6226 (Défensif) — Cov=0.000023, Var(idx)=0.000036, ρ=0.221,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13,990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σ_j=1.70%/j (Stable) — Vol. annualisée≈27.0%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10,761</w:t>
            </w:r>
          </w:p>
        </w:tc>
        <w:tc>
          <w:tcPr>
            <w:tcW w:type="dxa" w:w="1440"/>
            <w:shd w:fill="FFDCE0" w:val="clear"/>
          </w:tcPr>
          <w:p>
            <w:r>
              <w:rPr>
                <w:b/>
                <w:sz w:val="17"/>
              </w:rPr>
              <w:t>11,090</w:t>
            </w:r>
          </w:p>
        </w:tc>
        <w:tc>
          <w:tcPr>
            <w:tcW w:type="dxa" w:w="1440"/>
            <w:shd w:fill="FFDCE0" w:val="clear"/>
          </w:tcPr>
          <w:p>
            <w:r>
              <w:rPr>
                <w:sz w:val="17"/>
              </w:rPr>
              <w:t>11,419</w:t>
            </w:r>
          </w:p>
        </w:tc>
        <w:tc>
          <w:tcPr>
            <w:tcW w:type="dxa" w:w="1440"/>
            <w:shd w:fill="FFDCE0" w:val="clear"/>
          </w:tcPr>
          <w:p>
            <w:r>
              <w:rPr>
                <w:b/>
                <w:color w:val="C00000"/>
                <w:sz w:val="17"/>
              </w:rPr>
              <w:t>-4.4%</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10,263</w:t>
            </w:r>
          </w:p>
        </w:tc>
        <w:tc>
          <w:tcPr>
            <w:tcW w:type="dxa" w:w="1440"/>
            <w:shd w:fill="FFDCE0" w:val="clear"/>
          </w:tcPr>
          <w:p>
            <w:r>
              <w:rPr>
                <w:b/>
                <w:sz w:val="17"/>
              </w:rPr>
              <w:t>10,712</w:t>
            </w:r>
          </w:p>
        </w:tc>
        <w:tc>
          <w:tcPr>
            <w:tcW w:type="dxa" w:w="1440"/>
            <w:shd w:fill="FFDCE0" w:val="clear"/>
          </w:tcPr>
          <w:p>
            <w:r>
              <w:rPr>
                <w:sz w:val="17"/>
              </w:rPr>
              <w:t>11,162</w:t>
            </w:r>
          </w:p>
        </w:tc>
        <w:tc>
          <w:tcPr>
            <w:tcW w:type="dxa" w:w="1440"/>
            <w:shd w:fill="FFDCE0" w:val="clear"/>
          </w:tcPr>
          <w:p>
            <w:r>
              <w:rPr>
                <w:b/>
                <w:color w:val="C00000"/>
                <w:sz w:val="17"/>
              </w:rPr>
              <w:t>-7.7%</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9,795</w:t>
            </w:r>
          </w:p>
        </w:tc>
        <w:tc>
          <w:tcPr>
            <w:tcW w:type="dxa" w:w="1440"/>
            <w:shd w:fill="FFDCE0" w:val="clear"/>
          </w:tcPr>
          <w:p>
            <w:r>
              <w:rPr>
                <w:b/>
                <w:sz w:val="17"/>
              </w:rPr>
              <w:t>10,326</w:t>
            </w:r>
          </w:p>
        </w:tc>
        <w:tc>
          <w:tcPr>
            <w:tcW w:type="dxa" w:w="1440"/>
            <w:shd w:fill="FFDCE0" w:val="clear"/>
          </w:tcPr>
          <w:p>
            <w:r>
              <w:rPr>
                <w:sz w:val="17"/>
              </w:rPr>
              <w:t>10,857</w:t>
            </w:r>
          </w:p>
        </w:tc>
        <w:tc>
          <w:tcPr>
            <w:tcW w:type="dxa" w:w="1440"/>
            <w:shd w:fill="FFDCE0" w:val="clear"/>
          </w:tcPr>
          <w:p>
            <w:r>
              <w:rPr>
                <w:b/>
                <w:color w:val="C00000"/>
                <w:sz w:val="17"/>
              </w:rPr>
              <w:t>-11.0%</w:t>
            </w:r>
          </w:p>
        </w:tc>
      </w:tr>
      <w:tr>
        <w:tc>
          <w:tcPr>
            <w:tcW w:type="dxa" w:w="1440"/>
            <w:shd w:fill="FFDCE0" w:val="clear"/>
          </w:tcPr>
          <w:p>
            <w:r>
              <w:rPr>
                <w:sz w:val="17"/>
              </w:rPr>
              <w:t>J+4  Moyenne</w:t>
            </w:r>
          </w:p>
        </w:tc>
        <w:tc>
          <w:tcPr>
            <w:tcW w:type="dxa" w:w="1440"/>
            <w:shd w:fill="FFDCE0" w:val="clear"/>
          </w:tcPr>
          <w:p>
            <w:r>
              <w:rPr>
                <w:sz w:val="17"/>
              </w:rPr>
              <w:t>2026-08-13</w:t>
            </w:r>
          </w:p>
        </w:tc>
        <w:tc>
          <w:tcPr>
            <w:tcW w:type="dxa" w:w="1440"/>
            <w:shd w:fill="FFDCE0" w:val="clear"/>
          </w:tcPr>
          <w:p>
            <w:r>
              <w:rPr>
                <w:sz w:val="17"/>
              </w:rPr>
              <w:t>9,386</w:t>
            </w:r>
          </w:p>
        </w:tc>
        <w:tc>
          <w:tcPr>
            <w:tcW w:type="dxa" w:w="1440"/>
            <w:shd w:fill="FFDCE0" w:val="clear"/>
          </w:tcPr>
          <w:p>
            <w:r>
              <w:rPr>
                <w:b/>
                <w:sz w:val="17"/>
              </w:rPr>
              <w:t>9,978</w:t>
            </w:r>
          </w:p>
        </w:tc>
        <w:tc>
          <w:tcPr>
            <w:tcW w:type="dxa" w:w="1440"/>
            <w:shd w:fill="FFDCE0" w:val="clear"/>
          </w:tcPr>
          <w:p>
            <w:r>
              <w:rPr>
                <w:sz w:val="17"/>
              </w:rPr>
              <w:t>10,570</w:t>
            </w:r>
          </w:p>
        </w:tc>
        <w:tc>
          <w:tcPr>
            <w:tcW w:type="dxa" w:w="1440"/>
            <w:shd w:fill="FFDCE0" w:val="clear"/>
          </w:tcPr>
          <w:p>
            <w:r>
              <w:rPr>
                <w:b/>
                <w:color w:val="C00000"/>
                <w:sz w:val="17"/>
              </w:rPr>
              <w:t>-14.0%</w:t>
            </w:r>
          </w:p>
        </w:tc>
      </w:tr>
      <w:tr>
        <w:tc>
          <w:tcPr>
            <w:tcW w:type="dxa" w:w="1440"/>
            <w:shd w:fill="FFDCE0" w:val="clear"/>
          </w:tcPr>
          <w:p>
            <w:r>
              <w:rPr>
                <w:sz w:val="17"/>
              </w:rPr>
              <w:t>J+5  Moyenne</w:t>
            </w:r>
          </w:p>
        </w:tc>
        <w:tc>
          <w:tcPr>
            <w:tcW w:type="dxa" w:w="1440"/>
            <w:shd w:fill="FFDCE0" w:val="clear"/>
          </w:tcPr>
          <w:p>
            <w:r>
              <w:rPr>
                <w:sz w:val="17"/>
              </w:rPr>
              <w:t>2026-08-14</w:t>
            </w:r>
          </w:p>
        </w:tc>
        <w:tc>
          <w:tcPr>
            <w:tcW w:type="dxa" w:w="1440"/>
            <w:shd w:fill="FFDCE0" w:val="clear"/>
          </w:tcPr>
          <w:p>
            <w:r>
              <w:rPr>
                <w:sz w:val="17"/>
              </w:rPr>
              <w:t>9,028</w:t>
            </w:r>
          </w:p>
        </w:tc>
        <w:tc>
          <w:tcPr>
            <w:tcW w:type="dxa" w:w="1440"/>
            <w:shd w:fill="FFDCE0" w:val="clear"/>
          </w:tcPr>
          <w:p>
            <w:r>
              <w:rPr>
                <w:b/>
                <w:sz w:val="17"/>
              </w:rPr>
              <w:t>9,670</w:t>
            </w:r>
          </w:p>
        </w:tc>
        <w:tc>
          <w:tcPr>
            <w:tcW w:type="dxa" w:w="1440"/>
            <w:shd w:fill="FFDCE0" w:val="clear"/>
          </w:tcPr>
          <w:p>
            <w:r>
              <w:rPr>
                <w:sz w:val="17"/>
              </w:rPr>
              <w:t>10,311</w:t>
            </w:r>
          </w:p>
        </w:tc>
        <w:tc>
          <w:tcPr>
            <w:tcW w:type="dxa" w:w="1440"/>
            <w:shd w:fill="FFDCE0" w:val="clear"/>
          </w:tcPr>
          <w:p>
            <w:r>
              <w:rPr>
                <w:b/>
                <w:color w:val="C00000"/>
                <w:sz w:val="17"/>
              </w:rPr>
              <w:t>-16.6%</w:t>
            </w:r>
          </w:p>
        </w:tc>
      </w:tr>
      <w:tr>
        <w:tc>
          <w:tcPr>
            <w:tcW w:type="dxa" w:w="1440"/>
            <w:shd w:fill="FFDCE0" w:val="clear"/>
          </w:tcPr>
          <w:p>
            <w:r>
              <w:rPr>
                <w:sz w:val="17"/>
              </w:rPr>
              <w:t>J+6  Moyenne</w:t>
            </w:r>
          </w:p>
        </w:tc>
        <w:tc>
          <w:tcPr>
            <w:tcW w:type="dxa" w:w="1440"/>
            <w:shd w:fill="FFDCE0" w:val="clear"/>
          </w:tcPr>
          <w:p>
            <w:r>
              <w:rPr>
                <w:sz w:val="17"/>
              </w:rPr>
              <w:t>2026-08-17</w:t>
            </w:r>
          </w:p>
        </w:tc>
        <w:tc>
          <w:tcPr>
            <w:tcW w:type="dxa" w:w="1440"/>
            <w:shd w:fill="FFDCE0" w:val="clear"/>
          </w:tcPr>
          <w:p>
            <w:r>
              <w:rPr>
                <w:sz w:val="17"/>
              </w:rPr>
              <w:t>8,715</w:t>
            </w:r>
          </w:p>
        </w:tc>
        <w:tc>
          <w:tcPr>
            <w:tcW w:type="dxa" w:w="1440"/>
            <w:shd w:fill="FFDCE0" w:val="clear"/>
          </w:tcPr>
          <w:p>
            <w:r>
              <w:rPr>
                <w:b/>
                <w:sz w:val="17"/>
              </w:rPr>
              <w:t>9,398</w:t>
            </w:r>
          </w:p>
        </w:tc>
        <w:tc>
          <w:tcPr>
            <w:tcW w:type="dxa" w:w="1440"/>
            <w:shd w:fill="FFDCE0" w:val="clear"/>
          </w:tcPr>
          <w:p>
            <w:r>
              <w:rPr>
                <w:sz w:val="17"/>
              </w:rPr>
              <w:t>10,081</w:t>
            </w:r>
          </w:p>
        </w:tc>
        <w:tc>
          <w:tcPr>
            <w:tcW w:type="dxa" w:w="1440"/>
            <w:shd w:fill="FFDCE0" w:val="clear"/>
          </w:tcPr>
          <w:p>
            <w:r>
              <w:rPr>
                <w:b/>
                <w:color w:val="C00000"/>
                <w:sz w:val="17"/>
              </w:rPr>
              <w:t>-19.0%</w:t>
            </w:r>
          </w:p>
        </w:tc>
      </w:tr>
      <w:tr>
        <w:tc>
          <w:tcPr>
            <w:tcW w:type="dxa" w:w="1440"/>
            <w:shd w:fill="FFDCE0" w:val="clear"/>
          </w:tcPr>
          <w:p>
            <w:r>
              <w:rPr>
                <w:sz w:val="17"/>
              </w:rPr>
              <w:t>J+7  Moyenne</w:t>
            </w:r>
          </w:p>
        </w:tc>
        <w:tc>
          <w:tcPr>
            <w:tcW w:type="dxa" w:w="1440"/>
            <w:shd w:fill="FFDCE0" w:val="clear"/>
          </w:tcPr>
          <w:p>
            <w:r>
              <w:rPr>
                <w:sz w:val="17"/>
              </w:rPr>
              <w:t>2026-08-18</w:t>
            </w:r>
          </w:p>
        </w:tc>
        <w:tc>
          <w:tcPr>
            <w:tcW w:type="dxa" w:w="1440"/>
            <w:shd w:fill="FFDCE0" w:val="clear"/>
          </w:tcPr>
          <w:p>
            <w:r>
              <w:rPr>
                <w:sz w:val="17"/>
              </w:rPr>
              <w:t>8,439</w:t>
            </w:r>
          </w:p>
        </w:tc>
        <w:tc>
          <w:tcPr>
            <w:tcW w:type="dxa" w:w="1440"/>
            <w:shd w:fill="FFDCE0" w:val="clear"/>
          </w:tcPr>
          <w:p>
            <w:r>
              <w:rPr>
                <w:b/>
                <w:sz w:val="17"/>
              </w:rPr>
              <w:t>9,158</w:t>
            </w:r>
          </w:p>
        </w:tc>
        <w:tc>
          <w:tcPr>
            <w:tcW w:type="dxa" w:w="1440"/>
            <w:shd w:fill="FFDCE0" w:val="clear"/>
          </w:tcPr>
          <w:p>
            <w:r>
              <w:rPr>
                <w:sz w:val="17"/>
              </w:rPr>
              <w:t>9,877</w:t>
            </w:r>
          </w:p>
        </w:tc>
        <w:tc>
          <w:tcPr>
            <w:tcW w:type="dxa" w:w="1440"/>
            <w:shd w:fill="FFDCE0" w:val="clear"/>
          </w:tcPr>
          <w:p>
            <w:r>
              <w:rPr>
                <w:b/>
                <w:color w:val="C00000"/>
                <w:sz w:val="17"/>
              </w:rPr>
              <w:t>-21.1%</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8,194</w:t>
            </w:r>
          </w:p>
        </w:tc>
        <w:tc>
          <w:tcPr>
            <w:tcW w:type="dxa" w:w="1440"/>
            <w:shd w:fill="FFDCE0" w:val="clear"/>
          </w:tcPr>
          <w:p>
            <w:r>
              <w:rPr>
                <w:b/>
                <w:sz w:val="17"/>
              </w:rPr>
              <w:t>8,944</w:t>
            </w:r>
          </w:p>
        </w:tc>
        <w:tc>
          <w:tcPr>
            <w:tcW w:type="dxa" w:w="1440"/>
            <w:shd w:fill="FFDCE0" w:val="clear"/>
          </w:tcPr>
          <w:p>
            <w:r>
              <w:rPr>
                <w:sz w:val="17"/>
              </w:rPr>
              <w:t>9,695</w:t>
            </w:r>
          </w:p>
        </w:tc>
        <w:tc>
          <w:tcPr>
            <w:tcW w:type="dxa" w:w="1440"/>
            <w:shd w:fill="FFDCE0" w:val="clear"/>
          </w:tcPr>
          <w:p>
            <w:r>
              <w:rPr>
                <w:b/>
                <w:color w:val="C00000"/>
                <w:sz w:val="17"/>
              </w:rPr>
              <w:t>-22.9%</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7,975</w:t>
            </w:r>
          </w:p>
        </w:tc>
        <w:tc>
          <w:tcPr>
            <w:tcW w:type="dxa" w:w="1440"/>
            <w:shd w:fill="FFDCE0" w:val="clear"/>
          </w:tcPr>
          <w:p>
            <w:r>
              <w:rPr>
                <w:b/>
                <w:sz w:val="17"/>
              </w:rPr>
              <w:t>8,754</w:t>
            </w:r>
          </w:p>
        </w:tc>
        <w:tc>
          <w:tcPr>
            <w:tcW w:type="dxa" w:w="1440"/>
            <w:shd w:fill="FFDCE0" w:val="clear"/>
          </w:tcPr>
          <w:p>
            <w:r>
              <w:rPr>
                <w:sz w:val="17"/>
              </w:rPr>
              <w:t>9,533</w:t>
            </w:r>
          </w:p>
        </w:tc>
        <w:tc>
          <w:tcPr>
            <w:tcW w:type="dxa" w:w="1440"/>
            <w:shd w:fill="FFDCE0" w:val="clear"/>
          </w:tcPr>
          <w:p>
            <w:r>
              <w:rPr>
                <w:b/>
                <w:color w:val="C00000"/>
                <w:sz w:val="17"/>
              </w:rPr>
              <w:t>-24.5%</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7,777</w:t>
            </w:r>
          </w:p>
        </w:tc>
        <w:tc>
          <w:tcPr>
            <w:tcW w:type="dxa" w:w="1440"/>
            <w:shd w:fill="FFDCE0" w:val="clear"/>
          </w:tcPr>
          <w:p>
            <w:r>
              <w:rPr>
                <w:b/>
                <w:sz w:val="17"/>
              </w:rPr>
              <w:t>8,583</w:t>
            </w:r>
          </w:p>
        </w:tc>
        <w:tc>
          <w:tcPr>
            <w:tcW w:type="dxa" w:w="1440"/>
            <w:shd w:fill="FFDCE0" w:val="clear"/>
          </w:tcPr>
          <w:p>
            <w:r>
              <w:rPr>
                <w:sz w:val="17"/>
              </w:rPr>
              <w:t>9,388</w:t>
            </w:r>
          </w:p>
        </w:tc>
        <w:tc>
          <w:tcPr>
            <w:tcW w:type="dxa" w:w="1440"/>
            <w:shd w:fill="FFDCE0" w:val="clear"/>
          </w:tcPr>
          <w:p>
            <w:r>
              <w:rPr>
                <w:b/>
                <w:color w:val="C00000"/>
                <w:sz w:val="17"/>
              </w:rPr>
              <w:t>-26.0%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464 milliards FCFA positionne BOAC comme une valeur de premier plan sur la BRVM, représentant un poids significatif dans l'indice et attirant les investisseurs institutionnels. Le BPA de 888 FCFA indique que chaque action génère un bénéfice substantiel, justifiant un cours de 11 600 FCFA. Le PER de 13,1x est légèrement supérieur à la moyenne historique de la BRVM (8-12x), ce qui traduit une prime de valorisation, mais reste raisonnable pour une banque affichant une rentabilité aussi élevée. Le P/B de 3,64x confirme cette prime, le marché valorisant nettement au-dessus de la valeur comptable, ce qui est cohérent avec un ROE exceptionnel de 27,9%. En revanche, l'EV/EBITDA de 26,6x est très exigeant, signalant que la valeur totale de l'entreprise (capitalisation + dette) est élevée par rapport à sa capacité opérationnelle, un point de vigilance pour les investisseurs à long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BOAC a enregistré une progression spectaculaire de +33,33%, passant d'un plus bas de 8 100 FCFA à un plus haut de 11 600 FCFA, avec une dernière séance stable. Cette tendance haussière marquée est confirmée par la moyenne (9 152 FCFA) et la médiane (8 898 FCFA), dont l'écart significatif révèle une distribution asymétrique positive, avec un skewness de 1,733 indiquant que la majorité des séances se sont situées sous la moyenne, mais avec des pics de hausse importants. L'écart-type de 767 FCFA (CV=8,4%) montre une dispersion modérée, tandis que le kurtosis de 2,588 (leptokurtique) signale un risque de mouvements extrêmes, avec des queues de distribution épaisses. La volatilité annualisée de 27,0% classe le titre dans une zone modérée à élevée, reflétant un intérêt soutenu des investisseurs et des phases d'accélération, mais aussi un risque de retournement rapide.</w:t>
      </w:r>
    </w:p>
    <w:p>
      <w:pPr>
        <w:spacing w:after="120" w:line="276" w:lineRule="auto" w:before="240"/>
      </w:pPr>
      <w:r>
        <w:rPr>
          <w:b/>
          <w:color w:val="003366"/>
          <w:sz w:val="24"/>
        </w:rPr>
        <w:t>**PARTIE 2 : ANALYSE TECHNIQUE DÉTAILLÉE**</w:t>
      </w:r>
    </w:p>
    <w:p>
      <w:pPr>
        <w:spacing w:after="120" w:line="276" w:lineRule="auto"/>
      </w:pPr>
      <w:r>
        <w:t>**Moyennes Mobiles** : Le cours actuel (11 600 FCFA) se situe nettement au-dessus de la MM20 (10 419 FCFA) et de la MM50 (9 626 FCFA), avec un écart croissant qui confirme une dynamique haussière puissante. La configuration en "courbe ascendante" des moyennes mobiles valide la tendance de fond, la décision d'achat étant justifiée par la position du prix au-dessus de ces supports dynamiques.</w:t>
      </w:r>
    </w:p>
    <w:p>
      <w:pPr>
        <w:spacing w:after="120" w:line="276" w:lineRule="auto"/>
      </w:pPr>
      <w:r>
        <w:t>**Bandes de Bollinger** : Le cours évolue à proximité de la borne supérieure (11 940 FCFA), indiquant une pression acheteuse intense. La largeur des bandes s'élargit, signe d'une volatilité croissante. La décision "Neutre" s'explique par le fait que le prix, bien qu'en zone de surachat, n'a pas encore franchi la borne, laissant planer une incertitude sur la poursuite du mouvement avant un éventuel repli technique.</w:t>
      </w:r>
    </w:p>
    <w:p>
      <w:pPr>
        <w:spacing w:after="120" w:line="276" w:lineRule="auto"/>
      </w:pPr>
      <w:r>
        <w:t>**MACD** : Le MACD (572,5) est nettement au-dessus de sa ligne de signal (453,7), avec un écart positif qui se creuse, signalant un momentum haussier très fort. Cette configuration, typique des tendances soutenues, confirme la décision d'achat, bien que la distance croissante entre les deux lignes puisse annoncer un essoufflement à moyen terme.</w:t>
      </w:r>
    </w:p>
    <w:p>
      <w:pPr>
        <w:spacing w:after="120" w:line="276" w:lineRule="auto"/>
      </w:pPr>
      <w:r>
        <w:t>**RSI** : Le RSI à 84,8 est profondément en zone de surachat (au-delà de 70), signalant que le titre est survendu à la hausse. Cette lecture suggère une probabilité élevée de consolidation ou de correction à court terme, la décision de vente étant justifiée par la nécessité de prendre des bénéfices après une hausse aussi rapide.</w:t>
      </w:r>
    </w:p>
    <w:p>
      <w:pPr>
        <w:spacing w:after="120" w:line="276" w:lineRule="auto"/>
      </w:pPr>
      <w:r>
        <w:t>**Stochastique** : Le %K et le %D sont tous deux à 100, en zone de surachat extrême. Cette configuration indique que le marché est dans une phase d'euphorie, avec un risque de retournement imminent. La décision de vente est cohérente avec cette lecture, le croisement baissier étant attendu dès que le momentum faiblira.</w:t>
      </w:r>
    </w:p>
    <w:p>
      <w:pPr>
        <w:spacing w:after="120" w:line="276" w:lineRule="auto"/>
      </w:pPr>
      <w:r>
        <w:t>**Conclusion technique** : La convergence des indicateurs de tendance (MM, MACD) vers l'achat contraste fortement avec les oscillateurs de momentum (RSI, Stochastique) en surachat extrême. Cette divergence signale une tendance haussière intacte mais vulnérable à une correction technique à court terme. Un repli vers la zone des 10 500-11 000 FCFA serait sain avant une éventuelle reprise de la tendance.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BOAC révèlent une banque très performante : le PNB s'établit à 73,545 milliards FCFA, générant un résultat net de 35,540 milliards FCFA, soit une marge nette exceptionnelle de 48,3%. Le ROE atteint 27,9% et le ROA 3,2%, des niveaux excellents qui témoignent d'une création de valeur remarquable. Le coefficient d'exploitation de 36,7% confirme une gestion rigoureuse des coûts, bien en deçà du seuil d'efficacité de 60%. Le coût du risque de 6,67% reste élevé, signalant un portefeuille de crédits encore fragile, mais la banque maintient une transformation saine avec des dépôts clients (850,5 milliards) représentant près du double des créances sur la clientèle (430,4 milliards). Les rapports trimestriels 2025 montrent une trajectoire contrastée : le T1 affichait une croissance du PNB de +4,93% et un résultat net en hausse de +14,59%, mais le T3 cumulé sur neuf mois révèle une stagnation du PNB (+0,23%) et un résultat net atone (+1,29%). En 2024, le PNB avait progressé de +19,6% avec un résultat net de 32,044 milliards FCFA (ROE 28,4%), mais le coût du risque avait bondi de +40,8%. On estime que l'exercice 2025 devrait se clôturer avec un résultat net proche de 35 milliards FCFA, soutenu par une maîtrise des coûts et une baisse des provisions, mais la croissance de l'activité reste le principal défi, les objectifs triennaux visant un PNB en hausse de +11,6% d'ici 2027.</w:t>
      </w:r>
    </w:p>
    <w:p>
      <w:pPr>
        <w:spacing w:after="120" w:line="276" w:lineRule="auto" w:before="240"/>
      </w:pPr>
      <w:r>
        <w:rPr>
          <w:b/>
          <w:color w:val="003366"/>
          <w:sz w:val="24"/>
        </w:rPr>
        <w:t>**PARTIE 4 : CONCLUSION D'INVESTISSEMENT**</w:t>
      </w:r>
    </w:p>
    <w:p>
      <w:pPr>
        <w:spacing w:after="120" w:line="276" w:lineRule="auto"/>
      </w:pPr>
      <w:r>
        <w:t>La valorisation de BOAC (PER 13,1x, P/B 3,64x) est exigeante mais justifiée par une rentabilité supérieure à la moyenne du marché, tandis que l'EV/EBITDA élevé (26,6x) appelle à la prudence. Le comportement du cours, avec une hausse de +33,33% en 100 jours et un skewness positif, démontre une forte dynamique, mais le kurtosis élevé et la volatilité de 27% signalent un risque accru de mouvements brusques. Les signaux techniques sont contradictoires : les indicateurs de tendance (MM, MACD) restent positifs, mais le RSI (84,8) et le Stochastique (100) sont en surachat extrême, suggérant une correction imminente. Les fondamentaux sont solides, avec un ROE de 27,9% et un coefficient d'exploitation de 36,7%, mais la stagnation du PNB en 2025 et le coût du risque élevé tempèrent l'enthousiasme. Les prédictions IA (10 712 FCFA à J+2, 9 670 FCFA à J+10) confirment cette analyse, anticipant un repli de près de 17% dans les prochaines séances. En synthèse, la convergence entre les signaux techniques de surachat et les prédictions IA indique une probabilité élevée de correction à court terme. **Recommandation finale : VENTE** à court terme pour prendre des bénéfices, avec un niveau de confiance **Moyen** et un risque global **Élevé**. Un horizon d'investissement optimal serait de **moyen terme (3-12 mois)** pour réintégrer la valeur après la correction, en s'appuyant sur la solidité fondamentale de la banque et ses objectifs de croissance à l'horizon 2027.</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153.45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6,394 titres</w:t>
            </w:r>
          </w:p>
        </w:tc>
        <w:tc>
          <w:tcPr>
            <w:tcW w:type="dxa" w:w="2268"/>
            <w:shd w:fill="FFF2CC" w:val="clear"/>
          </w:tcPr>
          <w:p>
            <w:r>
              <w:rPr>
                <w:b/>
                <w:color w:val="503200"/>
                <w:sz w:val="16"/>
              </w:rPr>
              <w:t xml:space="preserve">Cours actuel : </w:t>
            </w:r>
            <w:r>
              <w:rPr>
                <w:color w:val="000000"/>
                <w:sz w:val="17"/>
              </w:rPr>
              <w:t>5,590 FCFA</w:t>
            </w:r>
          </w:p>
          <w:p>
            <w:r>
              <w:rPr>
                <w:b/>
                <w:color w:val="503200"/>
                <w:sz w:val="16"/>
              </w:rPr>
              <w:t xml:space="preserve">Var. 100 jours : </w:t>
            </w:r>
            <w:r>
              <w:rPr>
                <w:b/>
                <w:color w:val="007800"/>
                <w:sz w:val="17"/>
              </w:rPr>
              <w:t>+18.81%</w:t>
            </w:r>
          </w:p>
          <w:p>
            <w:r>
              <w:rPr>
                <w:b/>
                <w:color w:val="503200"/>
                <w:sz w:val="16"/>
              </w:rPr>
              <w:t xml:space="preserve">Plus haut 100j : </w:t>
            </w:r>
            <w:r>
              <w:rPr>
                <w:color w:val="000000"/>
                <w:sz w:val="17"/>
              </w:rPr>
              <w:t>5,770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7.95% (Moyenne) — μ=4,927 FCFA, σ=392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β=0.2754 (Défensif) — Cov=0.000010, Var(idx)=0.000036, ρ=0.085,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6,394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annualisée≈31.0%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5,337</w:t>
            </w:r>
          </w:p>
        </w:tc>
        <w:tc>
          <w:tcPr>
            <w:tcW w:type="dxa" w:w="1440"/>
            <w:shd w:fill="FAFAFA" w:val="clear"/>
          </w:tcPr>
          <w:p>
            <w:r>
              <w:rPr>
                <w:b/>
                <w:sz w:val="17"/>
              </w:rPr>
              <w:t>5,535</w:t>
            </w:r>
          </w:p>
        </w:tc>
        <w:tc>
          <w:tcPr>
            <w:tcW w:type="dxa" w:w="1440"/>
            <w:shd w:fill="FAFAFA" w:val="clear"/>
          </w:tcPr>
          <w:p>
            <w:r>
              <w:rPr>
                <w:sz w:val="17"/>
              </w:rPr>
              <w:t>5,732</w:t>
            </w:r>
          </w:p>
        </w:tc>
        <w:tc>
          <w:tcPr>
            <w:tcW w:type="dxa" w:w="1440"/>
            <w:shd w:fill="FAFAFA" w:val="clear"/>
          </w:tcPr>
          <w:p>
            <w:r>
              <w:rPr>
                <w:b/>
                <w:color w:val="C00000"/>
                <w:sz w:val="17"/>
              </w:rPr>
              <w:t>-1.0%</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5,183</w:t>
            </w:r>
          </w:p>
        </w:tc>
        <w:tc>
          <w:tcPr>
            <w:tcW w:type="dxa" w:w="1440"/>
            <w:shd w:fill="FFDCE0" w:val="clear"/>
          </w:tcPr>
          <w:p>
            <w:r>
              <w:rPr>
                <w:b/>
                <w:sz w:val="17"/>
              </w:rPr>
              <w:t>5,458</w:t>
            </w:r>
          </w:p>
        </w:tc>
        <w:tc>
          <w:tcPr>
            <w:tcW w:type="dxa" w:w="1440"/>
            <w:shd w:fill="FFDCE0" w:val="clear"/>
          </w:tcPr>
          <w:p>
            <w:r>
              <w:rPr>
                <w:sz w:val="17"/>
              </w:rPr>
              <w:t>5,734</w:t>
            </w:r>
          </w:p>
        </w:tc>
        <w:tc>
          <w:tcPr>
            <w:tcW w:type="dxa" w:w="1440"/>
            <w:shd w:fill="FFDCE0" w:val="clear"/>
          </w:tcPr>
          <w:p>
            <w:r>
              <w:rPr>
                <w:b/>
                <w:color w:val="C00000"/>
                <w:sz w:val="17"/>
              </w:rPr>
              <w:t>-2.4%</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5,051</w:t>
            </w:r>
          </w:p>
        </w:tc>
        <w:tc>
          <w:tcPr>
            <w:tcW w:type="dxa" w:w="1440"/>
            <w:shd w:fill="FFDCE0" w:val="clear"/>
          </w:tcPr>
          <w:p>
            <w:r>
              <w:rPr>
                <w:b/>
                <w:sz w:val="17"/>
              </w:rPr>
              <w:t>5,384</w:t>
            </w:r>
          </w:p>
        </w:tc>
        <w:tc>
          <w:tcPr>
            <w:tcW w:type="dxa" w:w="1440"/>
            <w:shd w:fill="FFDCE0" w:val="clear"/>
          </w:tcPr>
          <w:p>
            <w:r>
              <w:rPr>
                <w:sz w:val="17"/>
              </w:rPr>
              <w:t>5,716</w:t>
            </w:r>
          </w:p>
        </w:tc>
        <w:tc>
          <w:tcPr>
            <w:tcW w:type="dxa" w:w="1440"/>
            <w:shd w:fill="FFDCE0" w:val="clear"/>
          </w:tcPr>
          <w:p>
            <w:r>
              <w:rPr>
                <w:b/>
                <w:color w:val="C00000"/>
                <w:sz w:val="17"/>
              </w:rPr>
              <w:t>-3.7%</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4,937</w:t>
            </w:r>
          </w:p>
        </w:tc>
        <w:tc>
          <w:tcPr>
            <w:tcW w:type="dxa" w:w="1440"/>
            <w:shd w:fill="FFDCE0" w:val="clear"/>
          </w:tcPr>
          <w:p>
            <w:r>
              <w:rPr>
                <w:b/>
                <w:sz w:val="17"/>
              </w:rPr>
              <w:t>5,317</w:t>
            </w:r>
          </w:p>
        </w:tc>
        <w:tc>
          <w:tcPr>
            <w:tcW w:type="dxa" w:w="1440"/>
            <w:shd w:fill="FFDCE0" w:val="clear"/>
          </w:tcPr>
          <w:p>
            <w:r>
              <w:rPr>
                <w:sz w:val="17"/>
              </w:rPr>
              <w:t>5,696</w:t>
            </w:r>
          </w:p>
        </w:tc>
        <w:tc>
          <w:tcPr>
            <w:tcW w:type="dxa" w:w="1440"/>
            <w:shd w:fill="FFDCE0" w:val="clear"/>
          </w:tcPr>
          <w:p>
            <w:r>
              <w:rPr>
                <w:b/>
                <w:color w:val="C00000"/>
                <w:sz w:val="17"/>
              </w:rPr>
              <w:t>-4.9%</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4,837</w:t>
            </w:r>
          </w:p>
        </w:tc>
        <w:tc>
          <w:tcPr>
            <w:tcW w:type="dxa" w:w="1440"/>
            <w:shd w:fill="FFDCE0" w:val="clear"/>
          </w:tcPr>
          <w:p>
            <w:r>
              <w:rPr>
                <w:b/>
                <w:sz w:val="17"/>
              </w:rPr>
              <w:t>5,257</w:t>
            </w:r>
          </w:p>
        </w:tc>
        <w:tc>
          <w:tcPr>
            <w:tcW w:type="dxa" w:w="1440"/>
            <w:shd w:fill="FFDCE0" w:val="clear"/>
          </w:tcPr>
          <w:p>
            <w:r>
              <w:rPr>
                <w:sz w:val="17"/>
              </w:rPr>
              <w:t>5,677</w:t>
            </w:r>
          </w:p>
        </w:tc>
        <w:tc>
          <w:tcPr>
            <w:tcW w:type="dxa" w:w="1440"/>
            <w:shd w:fill="FFDCE0" w:val="clear"/>
          </w:tcPr>
          <w:p>
            <w:r>
              <w:rPr>
                <w:b/>
                <w:color w:val="C00000"/>
                <w:sz w:val="17"/>
              </w:rPr>
              <w:t>-6.0%</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4,747</w:t>
            </w:r>
          </w:p>
        </w:tc>
        <w:tc>
          <w:tcPr>
            <w:tcW w:type="dxa" w:w="1440"/>
            <w:shd w:fill="FFDCE0" w:val="clear"/>
          </w:tcPr>
          <w:p>
            <w:r>
              <w:rPr>
                <w:b/>
                <w:sz w:val="17"/>
              </w:rPr>
              <w:t>5,202</w:t>
            </w:r>
          </w:p>
        </w:tc>
        <w:tc>
          <w:tcPr>
            <w:tcW w:type="dxa" w:w="1440"/>
            <w:shd w:fill="FFDCE0" w:val="clear"/>
          </w:tcPr>
          <w:p>
            <w:r>
              <w:rPr>
                <w:sz w:val="17"/>
              </w:rPr>
              <w:t>5,657</w:t>
            </w:r>
          </w:p>
        </w:tc>
        <w:tc>
          <w:tcPr>
            <w:tcW w:type="dxa" w:w="1440"/>
            <w:shd w:fill="FFDCE0" w:val="clear"/>
          </w:tcPr>
          <w:p>
            <w:r>
              <w:rPr>
                <w:b/>
                <w:color w:val="C00000"/>
                <w:sz w:val="17"/>
              </w:rPr>
              <w:t>-6.9%</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4,664</w:t>
            </w:r>
          </w:p>
        </w:tc>
        <w:tc>
          <w:tcPr>
            <w:tcW w:type="dxa" w:w="1440"/>
            <w:shd w:fill="FFDCE0" w:val="clear"/>
          </w:tcPr>
          <w:p>
            <w:r>
              <w:rPr>
                <w:b/>
                <w:sz w:val="17"/>
              </w:rPr>
              <w:t>5,151</w:t>
            </w:r>
          </w:p>
        </w:tc>
        <w:tc>
          <w:tcPr>
            <w:tcW w:type="dxa" w:w="1440"/>
            <w:shd w:fill="FFDCE0" w:val="clear"/>
          </w:tcPr>
          <w:p>
            <w:r>
              <w:rPr>
                <w:sz w:val="17"/>
              </w:rPr>
              <w:t>5,637</w:t>
            </w:r>
          </w:p>
        </w:tc>
        <w:tc>
          <w:tcPr>
            <w:tcW w:type="dxa" w:w="1440"/>
            <w:shd w:fill="FFDCE0" w:val="clear"/>
          </w:tcPr>
          <w:p>
            <w:r>
              <w:rPr>
                <w:b/>
                <w:color w:val="C00000"/>
                <w:sz w:val="17"/>
              </w:rPr>
              <w:t>-7.9%</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4,587</w:t>
            </w:r>
          </w:p>
        </w:tc>
        <w:tc>
          <w:tcPr>
            <w:tcW w:type="dxa" w:w="1440"/>
            <w:shd w:fill="FFDCE0" w:val="clear"/>
          </w:tcPr>
          <w:p>
            <w:r>
              <w:rPr>
                <w:b/>
                <w:sz w:val="17"/>
              </w:rPr>
              <w:t>5,102</w:t>
            </w:r>
          </w:p>
        </w:tc>
        <w:tc>
          <w:tcPr>
            <w:tcW w:type="dxa" w:w="1440"/>
            <w:shd w:fill="FFDCE0" w:val="clear"/>
          </w:tcPr>
          <w:p>
            <w:r>
              <w:rPr>
                <w:sz w:val="17"/>
              </w:rPr>
              <w:t>5,617</w:t>
            </w:r>
          </w:p>
        </w:tc>
        <w:tc>
          <w:tcPr>
            <w:tcW w:type="dxa" w:w="1440"/>
            <w:shd w:fill="FFDCE0" w:val="clear"/>
          </w:tcPr>
          <w:p>
            <w:r>
              <w:rPr>
                <w:b/>
                <w:color w:val="C00000"/>
                <w:sz w:val="17"/>
              </w:rPr>
              <w:t>-8.7%</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4,514</w:t>
            </w:r>
          </w:p>
        </w:tc>
        <w:tc>
          <w:tcPr>
            <w:tcW w:type="dxa" w:w="1440"/>
            <w:shd w:fill="FFDCE0" w:val="clear"/>
          </w:tcPr>
          <w:p>
            <w:r>
              <w:rPr>
                <w:b/>
                <w:sz w:val="17"/>
              </w:rPr>
              <w:t>5,056</w:t>
            </w:r>
          </w:p>
        </w:tc>
        <w:tc>
          <w:tcPr>
            <w:tcW w:type="dxa" w:w="1440"/>
            <w:shd w:fill="FFDCE0" w:val="clear"/>
          </w:tcPr>
          <w:p>
            <w:r>
              <w:rPr>
                <w:sz w:val="17"/>
              </w:rPr>
              <w:t>5,597</w:t>
            </w:r>
          </w:p>
        </w:tc>
        <w:tc>
          <w:tcPr>
            <w:tcW w:type="dxa" w:w="1440"/>
            <w:shd w:fill="FFDCE0" w:val="clear"/>
          </w:tcPr>
          <w:p>
            <w:r>
              <w:rPr>
                <w:b/>
                <w:color w:val="C00000"/>
                <w:sz w:val="17"/>
              </w:rPr>
              <w:t>-9.6%</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4,446</w:t>
            </w:r>
          </w:p>
        </w:tc>
        <w:tc>
          <w:tcPr>
            <w:tcW w:type="dxa" w:w="1440"/>
            <w:shd w:fill="FFDCE0" w:val="clear"/>
          </w:tcPr>
          <w:p>
            <w:r>
              <w:rPr>
                <w:b/>
                <w:sz w:val="17"/>
              </w:rPr>
              <w:t>5,012</w:t>
            </w:r>
          </w:p>
        </w:tc>
        <w:tc>
          <w:tcPr>
            <w:tcW w:type="dxa" w:w="1440"/>
            <w:shd w:fill="FFDCE0" w:val="clear"/>
          </w:tcPr>
          <w:p>
            <w:r>
              <w:rPr>
                <w:sz w:val="17"/>
              </w:rPr>
              <w:t>5,578</w:t>
            </w:r>
          </w:p>
        </w:tc>
        <w:tc>
          <w:tcPr>
            <w:tcW w:type="dxa" w:w="1440"/>
            <w:shd w:fill="FFDCE0" w:val="clear"/>
          </w:tcPr>
          <w:p>
            <w:r>
              <w:rPr>
                <w:b/>
                <w:color w:val="C00000"/>
                <w:sz w:val="17"/>
              </w:rPr>
              <w:t>-10.3%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**Bourse Régionale des Valeurs Mobilières (BRVM)**</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BOAM s'établit à 153,45 milliards FCFA, un niveau significatif qui la positionne parmi les valeurs moyennes du marché BRVM, reflétant une liquidité et une visibilité appréciables. Avec un BPA de 404 FCFA, chaque action génère un bénéfice substantiel, justifiant un PER de 13,8x. Ce ratio, bien que supérieur à la moyenne historique de la BRVM (8-12x), reste modéré et témoigne d'une valorisation raisonnable pour une banque affichant une croissance soutenue. Le P/B de 3,08x indique que le marché accorde une prime de croissance à la valeur comptable, signe de confiance dans la création de valeur future. Enfin, l'EV/EBITDA de 6,8x, situé dans la fourchette basse des 5-10x, confirme que la valorisation globale de l'entreprise reste attractive par rapport à sa capacité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BOAM a enregistré une progression remarquable de +18,81%, avec une dernière séance stable (+0,09% à 5 590 FCFA), démontrant une dynamique haussière soutenue. Le titre a évolué dans une fourchette de 4 425 FCFA (plus bas) à 5 770 FCFA (plus haut), soit une amplitude de 30%, illustrant une forte volatilité. La moyenne du cours (4 927 FCFA) est inférieure à la médiane (4 718 FCFA) et au mode (4 670 FCFA), ce qui, combiné à un skewness positif de 0,975, indique une asymétrie positive : les journées sous la moyenne sont plus fréquentes, mais les fortes hausses ont tiré le cours vers le haut. L'écart-type de 394 FCFA (CV = 8,0%) révèle une dispersion modérée, tandis que le kurtosis de -0,505 (mésokurtique) suggère une distribution proche de la normale, sans risque de pics extrêmes. La volatilité annualisée de 31,0% classe le titre comme très volatil, un niveau élevé qui implique des fluctuations importantes mais aussi un potentiel de rendement accru.</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(5 590 FCFA) se positionne au-dessus de la MM20 (5 625,75 FCFA) et nettement au-dessus de la MM50 (5 137,2 FCFA). Cette configuration haussière, où le prix évolue au-dessus des deux moyennes, confirme une tendance positive à court et moyen terme. La décision d'achat est justifiée par la vigueur du momentum et la solidité de la tendance.</w:t>
      </w:r>
    </w:p>
    <w:p>
      <w:pPr>
        <w:spacing w:after="120" w:line="276" w:lineRule="auto"/>
      </w:pPr>
      <w:r>
        <w:t>**Bandes de Bollinger :** Le prix se situe à 5 590 FCFA, entre la borne inférieure (5 437,091 FCFA) et la borne supérieure (5 814,409 FCFA), proche de la moyenne. Cette position neutre indique une volatilité normale et une absence de surachat ou de survente. La décision neutre est cohérente avec un marché en consolidation après une phase de hausse.</w:t>
      </w:r>
    </w:p>
    <w:p>
      <w:pPr>
        <w:spacing w:after="120" w:line="276" w:lineRule="auto"/>
      </w:pPr>
      <w:r>
        <w:t>**MACD :** Le MACD (126,366) est inférieur à sa ligne de signal (161,876), indiquant un momentum baissier à court terme. Cette divergence suggère un ralentissement de la dynamique haussière, justifiant une décision de vente pour les traders à court terme, bien que la tendance de fond reste positive.</w:t>
      </w:r>
    </w:p>
    <w:p>
      <w:pPr>
        <w:spacing w:after="120" w:line="276" w:lineRule="auto"/>
      </w:pPr>
      <w:r>
        <w:t>**RSI :** À 40,12, le RSI se situe dans la zone neutre (30-70), sans signal de surachat ni de survente. Cette valeur reflète un équilibre entre les forces acheteuses et venderesses, laissant place à une évolution directionnelle sans pression excessive. La décision neutre est appropriée.</w:t>
      </w:r>
    </w:p>
    <w:p>
      <w:pPr>
        <w:spacing w:after="120" w:line="276" w:lineRule="auto"/>
      </w:pPr>
      <w:r>
        <w:t>**Stochastique :** Le %K (68,571) est supérieur au %D (61,246), indiquant une dynamique haussière en cours, mais sans croisement majeur. Cette configuration suggère un momentum positif modéré, justifiant une décision neutre, avec un potentiel de hausse si le %K maintient sa position au-dessus du %D.</w:t>
      </w:r>
    </w:p>
    <w:p>
      <w:pPr>
        <w:spacing w:after="120" w:line="276" w:lineRule="auto"/>
      </w:pPr>
      <w:r>
        <w:t>**Conclusion technique :** Les indicateurs sont mitigés : les moyennes mobiles et le stochastique sont positifs, tandis que le MACD et le RSI sont neutres ou baissiers à court terme. La tendance de fond reste haussière, mais un repli technique est possible avant une reprise. La prudence est recommandée pour les entrées à court terme.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BOAM révèlent une performance robuste : le Produit Net Bancaire (PNB) s'établit à 37,996 milliards FCFA, avec un résultat net de 11,081 milliards FCFA, soit une marge nette de 29,16%. Le ROE est excellent à 22,24%, et le ROA à 1,87%, témoignant d'une gestion efficace des fonds propres et des actifs. Le coefficient d'exploitation de 63,14% est légèrement au-dessus du seuil d'efficacité (&lt;60%), indiquant une marge d'amélioration dans la maîtrise des charges. Le coût du risque, à 43,39% des charges financières, reste élevé, signalant un risque de crédit significatif, bien que les rapports trimestriels montrent une amélioration. En effet, le rapport du 3ème trimestre 2025 (publié en 2025) indique un PNB cumulé de 28,52 milliards FCFA (+5,8% sur un an) et un résultat net de 9,16 milliards FCFA (+26,2%), confirmant la trajectoire positive. Le rapport semestriel 2025 (publié en 2025) montre un PNB de 18,71 milliards FCFA (+2,7%) et un résultat net de 6,21 milliards FCFA (+28,8%), porté par une baisse de 32,7% du coût du risque. Les dépôts clientèle (502,89 milliards FCFA) dépassent largement les créances sur la clientèle (253,648 milliards FCFA), assurant une liquidité confortable. Sur la base de ces données, on estime que l'exercice 2025 devrait confirmer une croissance du PNB de 5-6% et un résultat net en hausse de 25-30%, consolidant la solidité financière de la banque. La recommandation fondamentale est positive, avec une résilience remarquable dans un contexte difficile, mais une surveillance du coût du risque et de la qualité des actifs reste nécessaire.</w:t>
      </w:r>
    </w:p>
    <w:p>
      <w:pPr>
        <w:spacing w:after="120" w:line="276" w:lineRule="auto"/>
      </w:pPr>
      <w:r>
        <w:t>---</w:t>
      </w:r>
    </w:p>
    <w:p>
      <w:pPr>
        <w:spacing w:after="120" w:line="276" w:lineRule="auto"/>
      </w:pPr>
      <w:r>
        <w:t>### PARTIE 4 : CONCLUSION D'INVESTISSEMENT</w:t>
      </w:r>
    </w:p>
    <w:p>
      <w:pPr>
        <w:spacing w:after="120" w:line="276" w:lineRule="auto"/>
      </w:pPr>
      <w:r>
        <w:t>La valorisation de BOAM (PER 13,8x, P/B 3,08x, EV/EBITDA 6,8x) est raisonnable, avec une prime de croissance justifiée par des fondamentaux solides. Le comportement du cours sur 100 jours (+18,81%) et une volatilité élevée (31%) offrent un potentiel de rendement, mais avec un risque accru. Les signaux techniques sont mitigés : les moyennes mobiles et le stochastique sont positifs, tandis que le MACD et le RSI suggèrent un essoufflement à court terme. Les fondamentaux sont excellents, avec un ROE de 22,24%, une croissance soutenue du PNB et du résultat net, et une liquidité abondante. Les prédictions IA (J+1 à J+10) indiquent une baisse progressive de 5 535 à 5 257 FCFA, contredisant la tendance haussière récente et suggérant un repli technique. Cette divergence entre les signaux techniques et les prédictions IA, malgré des fondamentaux solides, appelle à la prudence. **Recommandation finale : CONSERVER**, avec un niveau de confiance **Moyen** et un risque global **Élevé**. L'horizon d'investissement optimal est le **moyen terme (3-12 mois)**, en attendant une confirmation de la reprise technique ou une correction pour renforcer la position.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108.16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10,628 titres</w:t>
            </w:r>
          </w:p>
        </w:tc>
        <w:tc>
          <w:tcPr>
            <w:tcW w:type="dxa" w:w="2268"/>
            <w:shd w:fill="FFF2CC" w:val="clear"/>
          </w:tcPr>
          <w:p>
            <w:r>
              <w:rPr>
                <w:b/>
                <w:color w:val="503200"/>
                <w:sz w:val="16"/>
              </w:rPr>
              <w:t xml:space="preserve">Cours actuel : </w:t>
            </w:r>
            <w:r>
              <w:rPr>
                <w:color w:val="000000"/>
                <w:sz w:val="17"/>
              </w:rPr>
              <w:t>5,200 FCFA</w:t>
            </w:r>
          </w:p>
          <w:p>
            <w:r>
              <w:rPr>
                <w:b/>
                <w:color w:val="503200"/>
                <w:sz w:val="16"/>
              </w:rPr>
              <w:t xml:space="preserve">Var. 100 jours : </w:t>
            </w:r>
            <w:r>
              <w:rPr>
                <w:b/>
                <w:color w:val="007800"/>
                <w:sz w:val="17"/>
              </w:rPr>
              <w:t>+74.20%</w:t>
            </w:r>
          </w:p>
          <w:p>
            <w:r>
              <w:rPr>
                <w:b/>
                <w:color w:val="503200"/>
                <w:sz w:val="16"/>
              </w:rPr>
              <w:t xml:space="preserve">Plus haut 100j : </w:t>
            </w:r>
            <w:r>
              <w:rPr>
                <w:color w:val="000000"/>
                <w:sz w:val="17"/>
              </w:rPr>
              <w:t>5,400 FCFA</w:t>
            </w:r>
          </w:p>
          <w:p>
            <w:r>
              <w:rPr>
                <w:b/>
                <w:color w:val="503200"/>
                <w:sz w:val="16"/>
              </w:rPr>
              <w:t xml:space="preserve">Plus bas 100j : </w:t>
            </w:r>
            <w:r>
              <w:rPr>
                <w:color w:val="000000"/>
                <w:sz w:val="17"/>
              </w:rPr>
              <w:t>2,460 FCFA</w:t>
            </w:r>
          </w:p>
          <w:p>
            <w:r>
              <w:rPr>
                <w:b/>
                <w:color w:val="503200"/>
                <w:sz w:val="16"/>
              </w:rPr>
              <w:t xml:space="preserve">Volatilité ann. : </w:t>
            </w:r>
            <w:r>
              <w:rPr>
                <w:color w:val="000000"/>
                <w:sz w:val="17"/>
              </w:rPr>
              <w:t>44.2%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22.07% (Élevée) — μ=3,796 FCFA, σ=838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β=0.7082 (Défensif) — Cov=0.000026, Var(idx)=0.000036, ρ=0.153,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10,628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σ_j=2.78%/j (Stable) — Vol. annualisée≈44.2%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4,898</w:t>
            </w:r>
          </w:p>
        </w:tc>
        <w:tc>
          <w:tcPr>
            <w:tcW w:type="dxa" w:w="1440"/>
            <w:shd w:fill="FAFAFA" w:val="clear"/>
          </w:tcPr>
          <w:p>
            <w:r>
              <w:rPr>
                <w:b/>
                <w:sz w:val="17"/>
              </w:rPr>
              <w:t>5,125</w:t>
            </w:r>
          </w:p>
        </w:tc>
        <w:tc>
          <w:tcPr>
            <w:tcW w:type="dxa" w:w="1440"/>
            <w:shd w:fill="FAFAFA" w:val="clear"/>
          </w:tcPr>
          <w:p>
            <w:r>
              <w:rPr>
                <w:sz w:val="17"/>
              </w:rPr>
              <w:t>5,352</w:t>
            </w:r>
          </w:p>
        </w:tc>
        <w:tc>
          <w:tcPr>
            <w:tcW w:type="dxa" w:w="1440"/>
            <w:shd w:fill="FAFAFA" w:val="clear"/>
          </w:tcPr>
          <w:p>
            <w:r>
              <w:rPr>
                <w:b/>
                <w:color w:val="C00000"/>
                <w:sz w:val="17"/>
              </w:rPr>
              <w:t>-1.4%</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4,804</w:t>
            </w:r>
          </w:p>
        </w:tc>
        <w:tc>
          <w:tcPr>
            <w:tcW w:type="dxa" w:w="1440"/>
            <w:shd w:fill="FAFAFA" w:val="clear"/>
          </w:tcPr>
          <w:p>
            <w:r>
              <w:rPr>
                <w:b/>
                <w:sz w:val="17"/>
              </w:rPr>
              <w:t>5,124</w:t>
            </w:r>
          </w:p>
        </w:tc>
        <w:tc>
          <w:tcPr>
            <w:tcW w:type="dxa" w:w="1440"/>
            <w:shd w:fill="FAFAFA" w:val="clear"/>
          </w:tcPr>
          <w:p>
            <w:r>
              <w:rPr>
                <w:sz w:val="17"/>
              </w:rPr>
              <w:t>5,445</w:t>
            </w:r>
          </w:p>
        </w:tc>
        <w:tc>
          <w:tcPr>
            <w:tcW w:type="dxa" w:w="1440"/>
            <w:shd w:fill="FAFAFA" w:val="clear"/>
          </w:tcPr>
          <w:p>
            <w:r>
              <w:rPr>
                <w:b/>
                <w:color w:val="C00000"/>
                <w:sz w:val="17"/>
              </w:rPr>
              <w:t>-1.5%</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4,724</w:t>
            </w:r>
          </w:p>
        </w:tc>
        <w:tc>
          <w:tcPr>
            <w:tcW w:type="dxa" w:w="1440"/>
            <w:shd w:fill="FAFAFA" w:val="clear"/>
          </w:tcPr>
          <w:p>
            <w:r>
              <w:rPr>
                <w:b/>
                <w:sz w:val="17"/>
              </w:rPr>
              <w:t>5,116</w:t>
            </w:r>
          </w:p>
        </w:tc>
        <w:tc>
          <w:tcPr>
            <w:tcW w:type="dxa" w:w="1440"/>
            <w:shd w:fill="FAFAFA" w:val="clear"/>
          </w:tcPr>
          <w:p>
            <w:r>
              <w:rPr>
                <w:sz w:val="17"/>
              </w:rPr>
              <w:t>5,508</w:t>
            </w:r>
          </w:p>
        </w:tc>
        <w:tc>
          <w:tcPr>
            <w:tcW w:type="dxa" w:w="1440"/>
            <w:shd w:fill="FAFAFA" w:val="clear"/>
          </w:tcPr>
          <w:p>
            <w:r>
              <w:rPr>
                <w:b/>
                <w:color w:val="C00000"/>
                <w:sz w:val="17"/>
              </w:rPr>
              <w:t>-1.6%</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4,654</w:t>
            </w:r>
          </w:p>
        </w:tc>
        <w:tc>
          <w:tcPr>
            <w:tcW w:type="dxa" w:w="1440"/>
            <w:shd w:fill="FAFAFA" w:val="clear"/>
          </w:tcPr>
          <w:p>
            <w:r>
              <w:rPr>
                <w:b/>
                <w:sz w:val="17"/>
              </w:rPr>
              <w:t>5,106</w:t>
            </w:r>
          </w:p>
        </w:tc>
        <w:tc>
          <w:tcPr>
            <w:tcW w:type="dxa" w:w="1440"/>
            <w:shd w:fill="FAFAFA" w:val="clear"/>
          </w:tcPr>
          <w:p>
            <w:r>
              <w:rPr>
                <w:sz w:val="17"/>
              </w:rPr>
              <w:t>5,558</w:t>
            </w:r>
          </w:p>
        </w:tc>
        <w:tc>
          <w:tcPr>
            <w:tcW w:type="dxa" w:w="1440"/>
            <w:shd w:fill="FAFAFA" w:val="clear"/>
          </w:tcPr>
          <w:p>
            <w:r>
              <w:rPr>
                <w:b/>
                <w:color w:val="C00000"/>
                <w:sz w:val="17"/>
              </w:rPr>
              <w:t>-1.8%</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4,592</w:t>
            </w:r>
          </w:p>
        </w:tc>
        <w:tc>
          <w:tcPr>
            <w:tcW w:type="dxa" w:w="1440"/>
            <w:shd w:fill="FAFAFA" w:val="clear"/>
          </w:tcPr>
          <w:p>
            <w:r>
              <w:rPr>
                <w:b/>
                <w:sz w:val="17"/>
              </w:rPr>
              <w:t>5,096</w:t>
            </w:r>
          </w:p>
        </w:tc>
        <w:tc>
          <w:tcPr>
            <w:tcW w:type="dxa" w:w="1440"/>
            <w:shd w:fill="FAFAFA" w:val="clear"/>
          </w:tcPr>
          <w:p>
            <w:r>
              <w:rPr>
                <w:sz w:val="17"/>
              </w:rPr>
              <w:t>5,601</w:t>
            </w:r>
          </w:p>
        </w:tc>
        <w:tc>
          <w:tcPr>
            <w:tcW w:type="dxa" w:w="1440"/>
            <w:shd w:fill="FAFAFA"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4,536</w:t>
            </w:r>
          </w:p>
        </w:tc>
        <w:tc>
          <w:tcPr>
            <w:tcW w:type="dxa" w:w="1440"/>
            <w:shd w:fill="FFDCE0" w:val="clear"/>
          </w:tcPr>
          <w:p>
            <w:r>
              <w:rPr>
                <w:b/>
                <w:sz w:val="17"/>
              </w:rPr>
              <w:t>5,087</w:t>
            </w:r>
          </w:p>
        </w:tc>
        <w:tc>
          <w:tcPr>
            <w:tcW w:type="dxa" w:w="1440"/>
            <w:shd w:fill="FFDCE0" w:val="clear"/>
          </w:tcPr>
          <w:p>
            <w:r>
              <w:rPr>
                <w:sz w:val="17"/>
              </w:rPr>
              <w:t>5,638</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4,483</w:t>
            </w:r>
          </w:p>
        </w:tc>
        <w:tc>
          <w:tcPr>
            <w:tcW w:type="dxa" w:w="1440"/>
            <w:shd w:fill="FFDCE0" w:val="clear"/>
          </w:tcPr>
          <w:p>
            <w:r>
              <w:rPr>
                <w:b/>
                <w:sz w:val="17"/>
              </w:rPr>
              <w:t>5,078</w:t>
            </w:r>
          </w:p>
        </w:tc>
        <w:tc>
          <w:tcPr>
            <w:tcW w:type="dxa" w:w="1440"/>
            <w:shd w:fill="FFDCE0" w:val="clear"/>
          </w:tcPr>
          <w:p>
            <w:r>
              <w:rPr>
                <w:sz w:val="17"/>
              </w:rPr>
              <w:t>5,672</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4,434</w:t>
            </w:r>
          </w:p>
        </w:tc>
        <w:tc>
          <w:tcPr>
            <w:tcW w:type="dxa" w:w="1440"/>
            <w:shd w:fill="FFDCE0" w:val="clear"/>
          </w:tcPr>
          <w:p>
            <w:r>
              <w:rPr>
                <w:b/>
                <w:sz w:val="17"/>
              </w:rPr>
              <w:t>5,068</w:t>
            </w:r>
          </w:p>
        </w:tc>
        <w:tc>
          <w:tcPr>
            <w:tcW w:type="dxa" w:w="1440"/>
            <w:shd w:fill="FFDCE0" w:val="clear"/>
          </w:tcPr>
          <w:p>
            <w:r>
              <w:rPr>
                <w:sz w:val="17"/>
              </w:rPr>
              <w:t>5,703</w:t>
            </w:r>
          </w:p>
        </w:tc>
        <w:tc>
          <w:tcPr>
            <w:tcW w:type="dxa" w:w="1440"/>
            <w:shd w:fill="FFDCE0" w:val="clear"/>
          </w:tcPr>
          <w:p>
            <w:r>
              <w:rPr>
                <w:b/>
                <w:color w:val="C00000"/>
                <w:sz w:val="17"/>
              </w:rPr>
              <w:t>-2.5%</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4,388</w:t>
            </w:r>
          </w:p>
        </w:tc>
        <w:tc>
          <w:tcPr>
            <w:tcW w:type="dxa" w:w="1440"/>
            <w:shd w:fill="FFDCE0" w:val="clear"/>
          </w:tcPr>
          <w:p>
            <w:r>
              <w:rPr>
                <w:b/>
                <w:sz w:val="17"/>
              </w:rPr>
              <w:t>5,059</w:t>
            </w:r>
          </w:p>
        </w:tc>
        <w:tc>
          <w:tcPr>
            <w:tcW w:type="dxa" w:w="1440"/>
            <w:shd w:fill="FFDCE0" w:val="clear"/>
          </w:tcPr>
          <w:p>
            <w:r>
              <w:rPr>
                <w:sz w:val="17"/>
              </w:rPr>
              <w:t>5,731</w:t>
            </w:r>
          </w:p>
        </w:tc>
        <w:tc>
          <w:tcPr>
            <w:tcW w:type="dxa" w:w="1440"/>
            <w:shd w:fill="FFDCE0" w:val="clear"/>
          </w:tcPr>
          <w:p>
            <w:r>
              <w:rPr>
                <w:b/>
                <w:color w:val="C00000"/>
                <w:sz w:val="17"/>
              </w:rPr>
              <w:t>-2.7%</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4,344</w:t>
            </w:r>
          </w:p>
        </w:tc>
        <w:tc>
          <w:tcPr>
            <w:tcW w:type="dxa" w:w="1440"/>
            <w:shd w:fill="FFDCE0" w:val="clear"/>
          </w:tcPr>
          <w:p>
            <w:r>
              <w:rPr>
                <w:b/>
                <w:sz w:val="17"/>
              </w:rPr>
              <w:t>5,051</w:t>
            </w:r>
          </w:p>
        </w:tc>
        <w:tc>
          <w:tcPr>
            <w:tcW w:type="dxa" w:w="1440"/>
            <w:shd w:fill="FFDCE0" w:val="clear"/>
          </w:tcPr>
          <w:p>
            <w:r>
              <w:rPr>
                <w:sz w:val="17"/>
              </w:rPr>
              <w:t>5,757</w:t>
            </w:r>
          </w:p>
        </w:tc>
        <w:tc>
          <w:tcPr>
            <w:tcW w:type="dxa" w:w="1440"/>
            <w:shd w:fill="FFDCE0" w:val="clear"/>
          </w:tcPr>
          <w:p>
            <w:r>
              <w:rPr>
                <w:b/>
                <w:color w:val="C00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BOAN s'établit à 108,16 milliards FCFA, un niveau significatif qui la positionne parmi les valeurs moyennes de la cote de la BRVM. Le BPA de 20 FCFA par action est extrêmement faible, ce qui explique un PER de 264,4x, très largement supérieur à la moyenne du marché (~8-12x). Les investisseurs paient donc un prix très élevé pour un bénéfice par action minime, traduisant une anticipation de croissance future importante ou une spéculation sur le titre. Le P/B de 3,00x indique que le marché valorise la société à trois fois sa valeur comptable, ce qui est dans la fourchette de 2-4x considérée comme une prime de croissance accordée, mais qui peut aussi refléter une surévaluation si la rentabilité ne suit pas. Enfin, l'EV/EBITDA de 39,9x est extrêmement exigeant, signifiant que la valeur totale de l'entreprise représente près de 40 fois sa capacité opérationnelle brute, un niveau qui laisse peu de marge d'erreur.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BOAN a enregistré une progression spectaculaire de +74,20%, avec une dernière séance en hausse de +2,46% à 5 200 FCFA. Le cours a évolué dans une fourchette très large, entre un plus bas de 2 460 FCFA et un plus haut de 5 400 FCFA, illustrant une forte dynamique haussière. La moyenne du cours sur la période est de 3 796 FCFA, tandis que la médiane s'établit à 3 700 FCFA ; l'écart entre ces deux valeurs, bien que modéré, suggère une légère asymétrie positive de la distribution. L'écart-type de 842 FCFA, avec un coefficient de variation de 22,2%, indique une dispersion modérée des prix autour de la moyenne. Le kurtosis de -0,685, qualifié de mésokurtique, signifie que la distribution est proche d'une normale, avec un faible risque de mouvements extrêmes. Le skewness de 0,484 confirme une distribution relativement symétrique, avec une légère queue vers les hausses. Enfin, la volatilité annualisée de 44,2% est très élevée, classant BOAN comme un titre à risque significatif, bien au-delà du seuil de 30% considéré comme élevé.</w:t>
      </w:r>
    </w:p>
    <w:p>
      <w:pPr>
        <w:spacing w:after="120" w:line="276" w:lineRule="auto" w:before="240"/>
      </w:pPr>
      <w:r>
        <w:rPr>
          <w:b/>
          <w:color w:val="003366"/>
          <w:sz w:val="24"/>
        </w:rPr>
        <w:t>**PARTIE 2 : ANALYSE TECHNIQUE DÉTAILLÉE**</w:t>
      </w:r>
    </w:p>
    <w:p>
      <w:pPr>
        <w:spacing w:after="120" w:line="276" w:lineRule="auto"/>
      </w:pPr>
      <w:r>
        <w:t>Les **Moyennes Mobiles** indiquent une décision d'achat : la MM20 à 5 181,5 FCFA et la MM50 à 4 430,9 FCFA sont toutes deux inférieures au cours actuel de 5 200 FCFA. Cette configuration haussière, où le prix se situe au-dessus des deux moyennes, confirme une tendance positive à court et moyen terme, avec une MM20 au-dessus de la MM50, signe d'un momentum haussier soutenu.</w:t>
      </w:r>
    </w:p>
    <w:p>
      <w:pPr>
        <w:spacing w:after="120" w:line="276" w:lineRule="auto"/>
      </w:pPr>
      <w:r>
        <w:t>Les **Bandes de Bollinger** affichent une décision neutre : le cours à 5 200 FCFA se positionne entre la borne supérieure à 5 598,4 FCFA et la borne inférieure à 4 764,6 FCFA. La largeur des bandes reflète la volatilité élevée du titre. Le prix étant proche de la borne supérieure sans la toucher, cela suggère une pression acheteuse persistante mais sans excès, d'où la neutralité de l'indicateur.</w:t>
      </w:r>
    </w:p>
    <w:p>
      <w:pPr>
        <w:spacing w:after="120" w:line="276" w:lineRule="auto"/>
      </w:pPr>
      <w:r>
        <w:t>Le **MACD** émet un signal de vente : la valeur de 218,167 est inférieure à son signal à 280,928, indiquant un croisement baissier récent. Bien que le momentum reste positif en valeur absolue, la divergence entre la ligne MACD et son signal suggère un ralentissement de la dynamique haussière à court terme, ce qui justifie la prudence.</w:t>
      </w:r>
    </w:p>
    <w:p>
      <w:pPr>
        <w:spacing w:after="120" w:line="276" w:lineRule="auto"/>
      </w:pPr>
      <w:r>
        <w:t>Le **RSI** à 42,991 est en zone neutre, entre 30 et 70, indiquant que le titre n'est ni suracheté ni survendu. Cette valeur reflète un équilibre relatif entre les forces acheteuses et vendeuses, sans signal directionnel fort. Le RSI suggère que le marché n'a pas encore atteint des niveaux d'euphorie ou de panique.</w:t>
      </w:r>
    </w:p>
    <w:p>
      <w:pPr>
        <w:spacing w:after="120" w:line="276" w:lineRule="auto"/>
      </w:pPr>
      <w:r>
        <w:t>Le **Stochastique** affiche %K à 38,462 et %D à 12,821, tous deux en zone neutre. Le %K est nettement supérieur au %D, ce qui pourrait indiquer un début de croisement haussier, mais les niveaux restent faibles, signalant une dynamique encore fragile. Cette configuration suggère une possible reprise du momentum, mais sans confirmation forte.</w:t>
      </w:r>
    </w:p>
    <w:p>
      <w:pPr>
        <w:spacing w:after="120" w:line="276" w:lineRule="auto"/>
      </w:pPr>
      <w:r>
        <w:t>En **conclusion technique**, les indicateurs sont mitigés : les moyennes mobiles sont clairement haussières, tandis que le MACD et le RSI montrent des signes de prudence. La configuration des bandes de Bollinger et du stochastique reste neutre. Globalement, la tendance de fond demeure positive, mais un essoufflement à court terme est possible, d'où une recommandation de prudence avant un nouvel achat.</w:t>
      </w:r>
    </w:p>
    <w:p>
      <w:pPr>
        <w:spacing w:after="120" w:line="276" w:lineRule="auto" w:before="240"/>
      </w:pPr>
      <w:r>
        <w:rPr>
          <w:b/>
          <w:color w:val="003366"/>
          <w:sz w:val="24"/>
        </w:rPr>
        <w:t>**PARTIE 3 : ANALYSE FONDAMENTALE (SECTION CRITIQUE)**</w:t>
      </w:r>
    </w:p>
    <w:p>
      <w:pPr>
        <w:spacing w:after="120" w:line="276" w:lineRule="auto"/>
      </w:pPr>
      <w:r>
        <w:t>En 2025, le Produit Net Bancaire de BOAN s'établit à 21,125 milliards FCFA, en légère baisse de 1,2% par rapport à 2024 (21,380 milliards FCFA). Le résultat net s'effondre à 409 millions FCFA, contre 5 002 millions FCFA en 2024, soit une chute de 91,8%. Le ROE dégringole à 1,13% et le ROA à 0,14%, des niveaux très faibles qui reflètent une rentabilité quasi nulle. Le coefficient d'exploitation de 74,37% est élevé, indiquant une banque peu efficace dans la gestion de ses charges, bien au-dessus du seuil de 60% considéré comme acceptable. Le coût du risque de 67,30% est préoccupant, traduisant une dégradation significative de la qualité du portefeuille de crédits, avec un taux de créances en souffrance de 24% contre 12% en moyenne UEMOA. Les dépôts clientèle s'élèvent à 183,280 milliards FCFA pour des créances sur la clientèle de 128,447 milliards FCFA, montrant une transformation de 70%, ce qui est correct. Selon le rapport du 3ème trimestre 2025 (daté de 2025), le PNB cumulé sur neuf mois atteint 15,63 milliards FCFA (-1,8%), avec un résultat net de 2,84 milliards FCFA (-33,1%). Cependant, le rapport du T1 2026 (daté de 2026) est nettement plus encourageant : le PNB progresse de 7,9% à 5 170 millions FCFA et le résultat net bondit de 28,9% à 1 467,3 millions FCFA, avec un coefficient d'exploitation amélioré à 56,2%. Sur cette base, on estime que l'exercice 2026 pourrait voir un PNB en hausse de 8% et un résultat net en forte progression, potentiellement autour de 5-6 milliards FCFA, si la tendance se maintient. La banque bénéficie du soutien du groupe BOA et d'un plan de redressement axé sur la digitalisation et la réduction du coût du risque. Les fondamentaux restent fragiles, mais les signaux de reprise sont visibles.</w:t>
      </w:r>
    </w:p>
    <w:p>
      <w:pPr>
        <w:spacing w:after="120" w:line="276" w:lineRule="auto" w:before="240"/>
      </w:pPr>
      <w:r>
        <w:rPr>
          <w:b/>
          <w:color w:val="003366"/>
          <w:sz w:val="24"/>
        </w:rPr>
        <w:t>**PARTIE 4 : CONCLUSION D'INVESTISSEMENT**</w:t>
      </w:r>
    </w:p>
    <w:p>
      <w:pPr>
        <w:spacing w:after="120" w:line="276" w:lineRule="auto"/>
      </w:pPr>
      <w:r>
        <w:t>La valorisation de BOAN est extrêmement exigeante avec un PER de 264,4x et un EV/EBITDA de 39,9x, indiquant une nette surévaluation par rapport aux bénéfices actuels. Le comportement du cours est très positif avec une hausse de 74,2% sur 100 jours, mais la volatilité annualisée de 44,2% est préoccupante, tout comme le skewness légèrement positif qui suggère des mouvements de prix potentiellement amplifiés. Les signaux techniques sont mitigés : les moyennes mobiles sont haussières, mais le MACD et le RSI appellent à la prudence, indiquant un possible essoufflement à court terme. Les fondamentaux montrent une amélioration nette au T1 2026 (+28,9% du résultat net), mais la base de comparaison est faible après l'effondrement de 2025. Les prédictions IA pour les 10 prochains jours suggèrent une légère baisse du cours vers 5 096-5 125 FCFA, contredisant la tendance haussière récente et confirmant les signaux techniques de prudence. En synthèse, la convergence entre la valorisation excessive, les signaux techniques mitigés et les prédictions IA baissières conduit à une recommandation de **CONSERVER** avec un niveau de confiance **Moyen**. Le risque global est **Élevé** en raison de la volatilité et de l'incertitude fondamentale. L'horizon d'investissement optimal est le **moyen terme (3-12 mois)**, en attendant la confirmation de la reprise économique au Niger et l'amélioration durable des indicateurs de rentabilité.</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277.56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8,986 titres</w:t>
            </w:r>
          </w:p>
        </w:tc>
        <w:tc>
          <w:tcPr>
            <w:tcW w:type="dxa" w:w="2268"/>
            <w:shd w:fill="FFF2CC" w:val="clear"/>
          </w:tcPr>
          <w:p>
            <w:r>
              <w:rPr>
                <w:b/>
                <w:color w:val="503200"/>
                <w:sz w:val="16"/>
              </w:rPr>
              <w:t xml:space="preserve">Cours actuel : </w:t>
            </w:r>
            <w:r>
              <w:rPr>
                <w:color w:val="000000"/>
                <w:sz w:val="17"/>
              </w:rPr>
              <w:t>7,710 FCFA</w:t>
            </w:r>
          </w:p>
          <w:p>
            <w:r>
              <w:rPr>
                <w:b/>
                <w:color w:val="503200"/>
                <w:sz w:val="16"/>
              </w:rPr>
              <w:t xml:space="preserve">Var. 100 jours : </w:t>
            </w:r>
            <w:r>
              <w:rPr>
                <w:b/>
                <w:color w:val="007800"/>
                <w:sz w:val="17"/>
              </w:rPr>
              <w:t>+10.14%</w:t>
            </w:r>
          </w:p>
          <w:p>
            <w:r>
              <w:rPr>
                <w:b/>
                <w:color w:val="503200"/>
                <w:sz w:val="16"/>
              </w:rPr>
              <w:t xml:space="preserve">Plus haut 100j : </w:t>
            </w:r>
            <w:r>
              <w:rPr>
                <w:color w:val="000000"/>
                <w:sz w:val="17"/>
              </w:rPr>
              <w:t>8,050 FCFA</w:t>
            </w:r>
          </w:p>
          <w:p>
            <w:r>
              <w:rPr>
                <w:b/>
                <w:color w:val="503200"/>
                <w:sz w:val="16"/>
              </w:rPr>
              <w:t xml:space="preserve">Plus bas 100j : </w:t>
            </w:r>
            <w:r>
              <w:rPr>
                <w:color w:val="000000"/>
                <w:sz w:val="17"/>
              </w:rPr>
              <w:t>6,400 FCFA</w:t>
            </w:r>
          </w:p>
          <w:p>
            <w:r>
              <w:rPr>
                <w:b/>
                <w:color w:val="503200"/>
                <w:sz w:val="16"/>
              </w:rPr>
              <w:t xml:space="preserve">Volatilité ann. : </w:t>
            </w:r>
            <w:r>
              <w:rPr>
                <w:color w:val="000000"/>
                <w:sz w:val="17"/>
              </w:rPr>
              <w:t>24.6%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5.33% (Moyenne) — μ=7,252 FCFA, σ=387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β=0.5755 (Défensif) — Cov=0.000021, Var(idx)=0.000036, ρ=0.224,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8,986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σ_j=1.55%/j (Stable) — Vol. annualisée≈24.6%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7,341</w:t>
            </w:r>
          </w:p>
        </w:tc>
        <w:tc>
          <w:tcPr>
            <w:tcW w:type="dxa" w:w="1440"/>
            <w:shd w:fill="FFDCE0" w:val="clear"/>
          </w:tcPr>
          <w:p>
            <w:r>
              <w:rPr>
                <w:b/>
                <w:sz w:val="17"/>
              </w:rPr>
              <w:t>7,518</w:t>
            </w:r>
          </w:p>
        </w:tc>
        <w:tc>
          <w:tcPr>
            <w:tcW w:type="dxa" w:w="1440"/>
            <w:shd w:fill="FFDCE0" w:val="clear"/>
          </w:tcPr>
          <w:p>
            <w:r>
              <w:rPr>
                <w:sz w:val="17"/>
              </w:rPr>
              <w:t>7,694</w:t>
            </w:r>
          </w:p>
        </w:tc>
        <w:tc>
          <w:tcPr>
            <w:tcW w:type="dxa" w:w="1440"/>
            <w:shd w:fill="FFDCE0" w:val="clear"/>
          </w:tcPr>
          <w:p>
            <w:r>
              <w:rPr>
                <w:b/>
                <w:color w:val="C00000"/>
                <w:sz w:val="17"/>
              </w:rPr>
              <w:t>-2.5%</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7,165</w:t>
            </w:r>
          </w:p>
        </w:tc>
        <w:tc>
          <w:tcPr>
            <w:tcW w:type="dxa" w:w="1440"/>
            <w:shd w:fill="FFDCE0" w:val="clear"/>
          </w:tcPr>
          <w:p>
            <w:r>
              <w:rPr>
                <w:b/>
                <w:sz w:val="17"/>
              </w:rPr>
              <w:t>7,411</w:t>
            </w:r>
          </w:p>
        </w:tc>
        <w:tc>
          <w:tcPr>
            <w:tcW w:type="dxa" w:w="1440"/>
            <w:shd w:fill="FFDCE0" w:val="clear"/>
          </w:tcPr>
          <w:p>
            <w:r>
              <w:rPr>
                <w:sz w:val="17"/>
              </w:rPr>
              <w:t>7,658</w:t>
            </w:r>
          </w:p>
        </w:tc>
        <w:tc>
          <w:tcPr>
            <w:tcW w:type="dxa" w:w="1440"/>
            <w:shd w:fill="FFDCE0" w:val="clear"/>
          </w:tcPr>
          <w:p>
            <w:r>
              <w:rPr>
                <w:b/>
                <w:color w:val="C00000"/>
                <w:sz w:val="17"/>
              </w:rPr>
              <w:t>-3.9%</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7,005</w:t>
            </w:r>
          </w:p>
        </w:tc>
        <w:tc>
          <w:tcPr>
            <w:tcW w:type="dxa" w:w="1440"/>
            <w:shd w:fill="FFDCE0" w:val="clear"/>
          </w:tcPr>
          <w:p>
            <w:r>
              <w:rPr>
                <w:b/>
                <w:sz w:val="17"/>
              </w:rPr>
              <w:t>7,302</w:t>
            </w:r>
          </w:p>
        </w:tc>
        <w:tc>
          <w:tcPr>
            <w:tcW w:type="dxa" w:w="1440"/>
            <w:shd w:fill="FFDCE0" w:val="clear"/>
          </w:tcPr>
          <w:p>
            <w:r>
              <w:rPr>
                <w:sz w:val="17"/>
              </w:rPr>
              <w:t>7,600</w:t>
            </w:r>
          </w:p>
        </w:tc>
        <w:tc>
          <w:tcPr>
            <w:tcW w:type="dxa" w:w="1440"/>
            <w:shd w:fill="FFDCE0" w:val="clear"/>
          </w:tcPr>
          <w:p>
            <w:r>
              <w:rPr>
                <w:b/>
                <w:color w:val="C00000"/>
                <w:sz w:val="17"/>
              </w:rPr>
              <w:t>-5.3%</w:t>
            </w:r>
          </w:p>
        </w:tc>
      </w:tr>
      <w:tr>
        <w:tc>
          <w:tcPr>
            <w:tcW w:type="dxa" w:w="1440"/>
            <w:shd w:fill="FFDCE0" w:val="clear"/>
          </w:tcPr>
          <w:p>
            <w:r>
              <w:rPr>
                <w:sz w:val="17"/>
              </w:rPr>
              <w:t>J+4  Moyenne</w:t>
            </w:r>
          </w:p>
        </w:tc>
        <w:tc>
          <w:tcPr>
            <w:tcW w:type="dxa" w:w="1440"/>
            <w:shd w:fill="FFDCE0" w:val="clear"/>
          </w:tcPr>
          <w:p>
            <w:r>
              <w:rPr>
                <w:sz w:val="17"/>
              </w:rPr>
              <w:t>2026-08-13</w:t>
            </w:r>
          </w:p>
        </w:tc>
        <w:tc>
          <w:tcPr>
            <w:tcW w:type="dxa" w:w="1440"/>
            <w:shd w:fill="FFDCE0" w:val="clear"/>
          </w:tcPr>
          <w:p>
            <w:r>
              <w:rPr>
                <w:sz w:val="17"/>
              </w:rPr>
              <w:t>6,864</w:t>
            </w:r>
          </w:p>
        </w:tc>
        <w:tc>
          <w:tcPr>
            <w:tcW w:type="dxa" w:w="1440"/>
            <w:shd w:fill="FFDCE0" w:val="clear"/>
          </w:tcPr>
          <w:p>
            <w:r>
              <w:rPr>
                <w:b/>
                <w:sz w:val="17"/>
              </w:rPr>
              <w:t>7,203</w:t>
            </w:r>
          </w:p>
        </w:tc>
        <w:tc>
          <w:tcPr>
            <w:tcW w:type="dxa" w:w="1440"/>
            <w:shd w:fill="FFDCE0" w:val="clear"/>
          </w:tcPr>
          <w:p>
            <w:r>
              <w:rPr>
                <w:sz w:val="17"/>
              </w:rPr>
              <w:t>7,541</w:t>
            </w:r>
          </w:p>
        </w:tc>
        <w:tc>
          <w:tcPr>
            <w:tcW w:type="dxa" w:w="1440"/>
            <w:shd w:fill="FFDCE0" w:val="clear"/>
          </w:tcPr>
          <w:p>
            <w:r>
              <w:rPr>
                <w:b/>
                <w:color w:val="C00000"/>
                <w:sz w:val="17"/>
              </w:rPr>
              <w:t>-6.6%</w:t>
            </w:r>
          </w:p>
        </w:tc>
      </w:tr>
      <w:tr>
        <w:tc>
          <w:tcPr>
            <w:tcW w:type="dxa" w:w="1440"/>
            <w:shd w:fill="FFDCE0" w:val="clear"/>
          </w:tcPr>
          <w:p>
            <w:r>
              <w:rPr>
                <w:sz w:val="17"/>
              </w:rPr>
              <w:t>J+5  Moyenne</w:t>
            </w:r>
          </w:p>
        </w:tc>
        <w:tc>
          <w:tcPr>
            <w:tcW w:type="dxa" w:w="1440"/>
            <w:shd w:fill="FFDCE0" w:val="clear"/>
          </w:tcPr>
          <w:p>
            <w:r>
              <w:rPr>
                <w:sz w:val="17"/>
              </w:rPr>
              <w:t>2026-08-14</w:t>
            </w:r>
          </w:p>
        </w:tc>
        <w:tc>
          <w:tcPr>
            <w:tcW w:type="dxa" w:w="1440"/>
            <w:shd w:fill="FFDCE0" w:val="clear"/>
          </w:tcPr>
          <w:p>
            <w:r>
              <w:rPr>
                <w:sz w:val="17"/>
              </w:rPr>
              <w:t>6,735</w:t>
            </w:r>
          </w:p>
        </w:tc>
        <w:tc>
          <w:tcPr>
            <w:tcW w:type="dxa" w:w="1440"/>
            <w:shd w:fill="FFDCE0" w:val="clear"/>
          </w:tcPr>
          <w:p>
            <w:r>
              <w:rPr>
                <w:b/>
                <w:sz w:val="17"/>
              </w:rPr>
              <w:t>7,109</w:t>
            </w:r>
          </w:p>
        </w:tc>
        <w:tc>
          <w:tcPr>
            <w:tcW w:type="dxa" w:w="1440"/>
            <w:shd w:fill="FFDCE0" w:val="clear"/>
          </w:tcPr>
          <w:p>
            <w:r>
              <w:rPr>
                <w:sz w:val="17"/>
              </w:rPr>
              <w:t>7,483</w:t>
            </w:r>
          </w:p>
        </w:tc>
        <w:tc>
          <w:tcPr>
            <w:tcW w:type="dxa" w:w="1440"/>
            <w:shd w:fill="FFDCE0" w:val="clear"/>
          </w:tcPr>
          <w:p>
            <w:r>
              <w:rPr>
                <w:b/>
                <w:color w:val="C00000"/>
                <w:sz w:val="17"/>
              </w:rPr>
              <w:t>-7.8%</w:t>
            </w:r>
          </w:p>
        </w:tc>
      </w:tr>
      <w:tr>
        <w:tc>
          <w:tcPr>
            <w:tcW w:type="dxa" w:w="1440"/>
            <w:shd w:fill="FFDCE0" w:val="clear"/>
          </w:tcPr>
          <w:p>
            <w:r>
              <w:rPr>
                <w:sz w:val="17"/>
              </w:rPr>
              <w:t>J+6  Moyenne</w:t>
            </w:r>
          </w:p>
        </w:tc>
        <w:tc>
          <w:tcPr>
            <w:tcW w:type="dxa" w:w="1440"/>
            <w:shd w:fill="FFDCE0" w:val="clear"/>
          </w:tcPr>
          <w:p>
            <w:r>
              <w:rPr>
                <w:sz w:val="17"/>
              </w:rPr>
              <w:t>2026-08-17</w:t>
            </w:r>
          </w:p>
        </w:tc>
        <w:tc>
          <w:tcPr>
            <w:tcW w:type="dxa" w:w="1440"/>
            <w:shd w:fill="FFDCE0" w:val="clear"/>
          </w:tcPr>
          <w:p>
            <w:r>
              <w:rPr>
                <w:sz w:val="17"/>
              </w:rPr>
              <w:t>6,616</w:t>
            </w:r>
          </w:p>
        </w:tc>
        <w:tc>
          <w:tcPr>
            <w:tcW w:type="dxa" w:w="1440"/>
            <w:shd w:fill="FFDCE0" w:val="clear"/>
          </w:tcPr>
          <w:p>
            <w:r>
              <w:rPr>
                <w:b/>
                <w:sz w:val="17"/>
              </w:rPr>
              <w:t>7,021</w:t>
            </w:r>
          </w:p>
        </w:tc>
        <w:tc>
          <w:tcPr>
            <w:tcW w:type="dxa" w:w="1440"/>
            <w:shd w:fill="FFDCE0" w:val="clear"/>
          </w:tcPr>
          <w:p>
            <w:r>
              <w:rPr>
                <w:sz w:val="17"/>
              </w:rPr>
              <w:t>7,425</w:t>
            </w:r>
          </w:p>
        </w:tc>
        <w:tc>
          <w:tcPr>
            <w:tcW w:type="dxa" w:w="1440"/>
            <w:shd w:fill="FFDCE0" w:val="clear"/>
          </w:tcPr>
          <w:p>
            <w:r>
              <w:rPr>
                <w:b/>
                <w:color w:val="C00000"/>
                <w:sz w:val="17"/>
              </w:rPr>
              <w:t>-8.9%</w:t>
            </w:r>
          </w:p>
        </w:tc>
      </w:tr>
      <w:tr>
        <w:tc>
          <w:tcPr>
            <w:tcW w:type="dxa" w:w="1440"/>
            <w:shd w:fill="FFDCE0" w:val="clear"/>
          </w:tcPr>
          <w:p>
            <w:r>
              <w:rPr>
                <w:sz w:val="17"/>
              </w:rPr>
              <w:t>J+7  Moyenne</w:t>
            </w:r>
          </w:p>
        </w:tc>
        <w:tc>
          <w:tcPr>
            <w:tcW w:type="dxa" w:w="1440"/>
            <w:shd w:fill="FFDCE0" w:val="clear"/>
          </w:tcPr>
          <w:p>
            <w:r>
              <w:rPr>
                <w:sz w:val="17"/>
              </w:rPr>
              <w:t>2026-08-18</w:t>
            </w:r>
          </w:p>
        </w:tc>
        <w:tc>
          <w:tcPr>
            <w:tcW w:type="dxa" w:w="1440"/>
            <w:shd w:fill="FFDCE0" w:val="clear"/>
          </w:tcPr>
          <w:p>
            <w:r>
              <w:rPr>
                <w:sz w:val="17"/>
              </w:rPr>
              <w:t>6,505</w:t>
            </w:r>
          </w:p>
        </w:tc>
        <w:tc>
          <w:tcPr>
            <w:tcW w:type="dxa" w:w="1440"/>
            <w:shd w:fill="FFDCE0" w:val="clear"/>
          </w:tcPr>
          <w:p>
            <w:r>
              <w:rPr>
                <w:b/>
                <w:sz w:val="17"/>
              </w:rPr>
              <w:t>6,937</w:t>
            </w:r>
          </w:p>
        </w:tc>
        <w:tc>
          <w:tcPr>
            <w:tcW w:type="dxa" w:w="1440"/>
            <w:shd w:fill="FFDCE0" w:val="clear"/>
          </w:tcPr>
          <w:p>
            <w:r>
              <w:rPr>
                <w:sz w:val="17"/>
              </w:rPr>
              <w:t>7,369</w:t>
            </w:r>
          </w:p>
        </w:tc>
        <w:tc>
          <w:tcPr>
            <w:tcW w:type="dxa" w:w="1440"/>
            <w:shd w:fill="FFDCE0" w:val="clear"/>
          </w:tcPr>
          <w:p>
            <w:r>
              <w:rPr>
                <w:b/>
                <w:color w:val="C00000"/>
                <w:sz w:val="17"/>
              </w:rPr>
              <w:t>-10.0%</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6,401</w:t>
            </w:r>
          </w:p>
        </w:tc>
        <w:tc>
          <w:tcPr>
            <w:tcW w:type="dxa" w:w="1440"/>
            <w:shd w:fill="FFDCE0" w:val="clear"/>
          </w:tcPr>
          <w:p>
            <w:r>
              <w:rPr>
                <w:b/>
                <w:sz w:val="17"/>
              </w:rPr>
              <w:t>6,858</w:t>
            </w:r>
          </w:p>
        </w:tc>
        <w:tc>
          <w:tcPr>
            <w:tcW w:type="dxa" w:w="1440"/>
            <w:shd w:fill="FFDCE0" w:val="clear"/>
          </w:tcPr>
          <w:p>
            <w:r>
              <w:rPr>
                <w:sz w:val="17"/>
              </w:rPr>
              <w:t>7,314</w:t>
            </w:r>
          </w:p>
        </w:tc>
        <w:tc>
          <w:tcPr>
            <w:tcW w:type="dxa" w:w="1440"/>
            <w:shd w:fill="FFDCE0" w:val="clear"/>
          </w:tcPr>
          <w:p>
            <w:r>
              <w:rPr>
                <w:b/>
                <w:color w:val="C00000"/>
                <w:sz w:val="17"/>
              </w:rPr>
              <w:t>-11.1%</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6,303</w:t>
            </w:r>
          </w:p>
        </w:tc>
        <w:tc>
          <w:tcPr>
            <w:tcW w:type="dxa" w:w="1440"/>
            <w:shd w:fill="FFDCE0" w:val="clear"/>
          </w:tcPr>
          <w:p>
            <w:r>
              <w:rPr>
                <w:b/>
                <w:sz w:val="17"/>
              </w:rPr>
              <w:t>6,782</w:t>
            </w:r>
          </w:p>
        </w:tc>
        <w:tc>
          <w:tcPr>
            <w:tcW w:type="dxa" w:w="1440"/>
            <w:shd w:fill="FFDCE0" w:val="clear"/>
          </w:tcPr>
          <w:p>
            <w:r>
              <w:rPr>
                <w:sz w:val="17"/>
              </w:rPr>
              <w:t>7,260</w:t>
            </w:r>
          </w:p>
        </w:tc>
        <w:tc>
          <w:tcPr>
            <w:tcW w:type="dxa" w:w="1440"/>
            <w:shd w:fill="FFDCE0" w:val="clear"/>
          </w:tcPr>
          <w:p>
            <w:r>
              <w:rPr>
                <w:b/>
                <w:color w:val="C00000"/>
                <w:sz w:val="17"/>
              </w:rPr>
              <w:t>-12.0%</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6,211</w:t>
            </w:r>
          </w:p>
        </w:tc>
        <w:tc>
          <w:tcPr>
            <w:tcW w:type="dxa" w:w="1440"/>
            <w:shd w:fill="FFDCE0" w:val="clear"/>
          </w:tcPr>
          <w:p>
            <w:r>
              <w:rPr>
                <w:b/>
                <w:sz w:val="17"/>
              </w:rPr>
              <w:t>6,710</w:t>
            </w:r>
          </w:p>
        </w:tc>
        <w:tc>
          <w:tcPr>
            <w:tcW w:type="dxa" w:w="1440"/>
            <w:shd w:fill="FFDCE0" w:val="clear"/>
          </w:tcPr>
          <w:p>
            <w:r>
              <w:rPr>
                <w:sz w:val="17"/>
              </w:rPr>
              <w:t>7,209</w:t>
            </w:r>
          </w:p>
        </w:tc>
        <w:tc>
          <w:tcPr>
            <w:tcW w:type="dxa" w:w="1440"/>
            <w:shd w:fill="FFDCE0" w:val="clear"/>
          </w:tcPr>
          <w:p>
            <w:r>
              <w:rPr>
                <w:b/>
                <w:color w:val="C00000"/>
                <w:sz w:val="17"/>
              </w:rPr>
              <w:t>-13.0%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BOAS s'établit à 277,56 milliards FCFA, positionnant la banque parmi les valeurs moyennes à grandes capitalisations de la BRVM, avec un poids significatif dans l'indice bancaire. Le BPA de 608 FCFA indique que chaque action génère un bénéfice substantiel, justifiant un PER de 12,7x, légèrement au-dessus de la moyenne historique de la BRVM (8-12x), ce qui traduit une valorisation raisonnable avec une prime de croissance accordée par le marché. Le P/B de 2,88x confirme cette lecture, le marché valorisant la banque près de trois fois sa valeur comptable, signe d'une confiance dans la création de valeur future. Enfin, l'EV/EBITDA de 8,1x, dans la fourchette de 5-10x jugée raisonnable, indique que la valeur totale de l'entreprise reste cohérente avec sa capacité opérationnelle à générer des bénéfices.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BOAS a enregistré une progression totale de +10,14%, avec une dernière séance en hausse de +1,45% à 7 710 FCFA, démontrant une dynamique positive récente. Le cours a évolué dans un range de 6 400 à 8 050 FCFA, soit une amplitude de 1 650 FCFA, avec une moyenne de 7 252 FCFA et une médiane de 7 302 FCFA très proches, indiquant une distribution des prix relativement symétrique, confirmée par un skewness de -0,068. L'écart-type de 389 FCFA (CV=5,4%) révèle une dispersion modérée des cours autour de la moyenne, tandis que le kurtosis de -0,769 (mésokurtique) suggère l'absence de mouvements extrêmes ou de pics de volatilité inhabituels. La volatilité annualisée de 24,6% classe le titre dans la catégorie modérée (15-30%), offrant un équilibre entre risque et rendement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7 710 FCFA se positionne au-dessus de la MM20 (7 614,25 FCFA) et de la MM50 (7 467,2 FCFA), avec un écart croissant entre ces deux moyennes, confirmant une tendance haussière à court et moyen terme. La configuration des MM20 &gt; MM50, avec le prix au-dessus des deux, génère un signal d'achat cohérent, indiquant que la dynamique positive est soutenue par les deux horizons temporels.</w:t>
      </w:r>
    </w:p>
    <w:p>
      <w:pPr>
        <w:spacing w:after="120" w:line="276" w:lineRule="auto"/>
      </w:pPr>
      <w:r>
        <w:t>**Bandes de Bollinger** : Le prix se situe à 7 710 FCFA, entre la borne inférieure (7 181,289 FCFA) et la borne supérieure (8 047,211 FCFA), plus proche de la borne supérieure, ce qui suggère une pression acheteuse modérée. La largeur des bandes reflète une volatilité normale, et la position du prix dans la moitié supérieure de l'enveloppe indique une tendance haussière sans condition de surachat, justifiant une décision neutre.</w:t>
      </w:r>
    </w:p>
    <w:p>
      <w:pPr>
        <w:spacing w:after="120" w:line="276" w:lineRule="auto"/>
      </w:pPr>
      <w:r>
        <w:t>**MACD** : La valeur du MACD (86,648) est inférieure à son signal (95,249), indiquant un momentum baissier à court terme malgré la tendance haussière de fond. Cette divergence négative suggère un essoufflement potentiel de la dynamique haussière, justifiant la décision de vente, bien que l'écart reste modéré et pourrait se résorber.</w:t>
      </w:r>
    </w:p>
    <w:p>
      <w:pPr>
        <w:spacing w:after="120" w:line="276" w:lineRule="auto"/>
      </w:pPr>
      <w:r>
        <w:t>**RSI** : Le RSI de 50,362 se situe exactement dans la zone neutre (30-70), indiquant un équilibre entre pression acheteuse et vendeuse. Cette valeur ne montre ni surachat ni survente, laissant place à une évolution dans les deux sens, justifiant une décision neutre.</w:t>
      </w:r>
    </w:p>
    <w:p>
      <w:pPr>
        <w:spacing w:after="120" w:line="276" w:lineRule="auto"/>
      </w:pPr>
      <w:r>
        <w:t>**Stochastique** : Le %K (46,875) est supérieur au %D (41,31), indiquant un croisement haussier récent, bien que les deux valeurs restent en zone neutre. Cette configuration suggère un potentiel de hausse à court terme, mais sans signal fort, justifiant une décision neutre.</w:t>
      </w:r>
    </w:p>
    <w:p>
      <w:pPr>
        <w:spacing w:after="120" w:line="276" w:lineRule="auto"/>
      </w:pPr>
      <w:r>
        <w:t>**Conclusion technique** : La tendance de fond reste haussière (MM20/MM50), mais les indicateurs de momentum (MACD, RSI, Stochastique) montrent un essoufflement à court terme. Le signal d'achat des moyennes mobiles est tempéré par la prudence des oscillateurs, suggérant une consolidation avant une éventuelle reprise de la hausse.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BOAS révèlent une banque performante avec un Produit Net Bancaire de 51,926 milliards FCFA, en croissance de 4,55%, et un résultat net de 21,905 milliards FCFA, démontrant une excellente conversion des revenus en bénéfices. La rentabilité est remarquable avec un ROE de 22,69% (largement au-dessus du seuil de 15% jugé excellent) et un ROA de 2,62%, tandis que le coefficient d'exploitation de 44,02% confirme une gestion très efficace des charges (bien en dessous du seuil de 60%). Le coût du risque de 23,31% des charges financières reste élevé, signalant un risque de crédit significatif à surveiller, mais la structure financière montre une autonomie de 11,54% et une solvabilité de 113,05%. Les rapports trimestriels 2025 confirment cette dynamique : au T1, le PNB atteint 11,78 milliards (+2,36%) avec un résultat net de 5,23 milliards (+9,25%) ; au S1, le PNB progresse à 25,37 milliards (+6,77%) et le résultat net à 11,62 milliards (+12,70%) ; au T3, le PNB cumulé s'élève à 37,44 milliards (+6,71%) avec un résultat net de 16,37 milliards (+10,01%). Sur la base de ces tendances, on estime que l'exercice 2025 devrait se clôturer avec un PNB autour de 52 milliards et un résultat net proche de 22 milliards, confirmant la solidité de la banque. Le rapport T1 2026 (mars 2026) montre une poursuite de la croissance avec un PNB de 12,58 milliards (+6,82%) et un résultat net de 5,741 milliards (+9,78%), avec des dépôts clients en hausse de 13,6% à 631 milliards FCFA.</w:t>
      </w:r>
    </w:p>
    <w:p>
      <w:pPr>
        <w:spacing w:after="120" w:line="276" w:lineRule="auto" w:before="240"/>
      </w:pPr>
      <w:r>
        <w:rPr>
          <w:b/>
          <w:color w:val="003366"/>
          <w:sz w:val="24"/>
        </w:rPr>
        <w:t>**PARTIE 4 : CONCLUSION D'INVESTISSEMENT**</w:t>
      </w:r>
    </w:p>
    <w:p>
      <w:pPr>
        <w:spacing w:after="120" w:line="276" w:lineRule="auto"/>
      </w:pPr>
      <w:r>
        <w:t>La valorisation de BOAS (PER 12,7x, P/B 2,88x, EV/EBITDA 8,1x) indique une juste valorisation avec une prime de croissance justifiée par les fondamentaux solides de la banque. Le comportement du cours sur 100 jours (+10,14%) avec une volatilité modérée (24,6%) et une distribution symétrique (skewness -0,068, kurtosis -0,769) reflète une progression maîtrisée sans excès spéculatif. Les signaux techniques sont mitigés : les moyennes mobiles restent haussières, mais le MACD en divergence négative et les oscillateurs neutres suggèrent une consolidation à court terme. Les fondamentaux sont excellents avec un ROE de 22,69%, un coefficient d'exploitation de 44,02% et une croissance soutenue du résultat net (+10% au T3 2025, +9,78% au T1 2026). Les prédictions IA pour les 10 prochains jours (7 518 à 7 109 FCFA) indiquent une correction attendue, contredisant la tendance haussière récente mais cohérente avec l'essoufflement technique. La convergence entre les fondamentaux solides et la valorisation raisonnable, malgré la divergence technique court terme, conduit à une recommandation **ACHAT** avec un niveau de confiance **Élevé** et un risque global **Moyen**. L'horizon d'investissement optimal est le **moyen terme (3-12 mois)**, permettant de capitaliser sur la croissance des bénéfices tout en absorbant la volatilité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21.02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2,460 titres</w:t>
            </w:r>
          </w:p>
        </w:tc>
        <w:tc>
          <w:tcPr>
            <w:tcW w:type="dxa" w:w="2268"/>
            <w:shd w:fill="FFF2CC" w:val="clear"/>
          </w:tcPr>
          <w:p>
            <w:r>
              <w:rPr>
                <w:b/>
                <w:color w:val="503200"/>
                <w:sz w:val="16"/>
              </w:rPr>
              <w:t xml:space="preserve">Cours actuel : </w:t>
            </w:r>
            <w:r>
              <w:rPr>
                <w:color w:val="000000"/>
                <w:sz w:val="17"/>
              </w:rPr>
              <w:t>3,550 FCFA</w:t>
            </w:r>
          </w:p>
          <w:p>
            <w:r>
              <w:rPr>
                <w:b/>
                <w:color w:val="503200"/>
                <w:sz w:val="16"/>
              </w:rPr>
              <w:t xml:space="preserve">Var. 100 jours : </w:t>
            </w:r>
            <w:r>
              <w:rPr>
                <w:b/>
                <w:color w:val="B40000"/>
                <w:sz w:val="17"/>
              </w:rPr>
              <w:t>-7.79%</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3,165 FCFA</w:t>
            </w:r>
          </w:p>
          <w:p>
            <w:r>
              <w:rPr>
                <w:b/>
                <w:color w:val="503200"/>
                <w:sz w:val="16"/>
              </w:rPr>
              <w:t xml:space="preserve">Volatilité ann. : </w:t>
            </w:r>
            <w:r>
              <w:rPr>
                <w:color w:val="000000"/>
                <w:sz w:val="17"/>
              </w:rPr>
              <w:t>58.3%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8.59% (Moyenne) — μ=3,743 FCFA, σ=322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β=0.0909 (Défensif) — Cov=0.000003, Var(idx)=0.000036, ρ=0.015,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2,460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2026-08-10</w:t>
            </w:r>
          </w:p>
        </w:tc>
        <w:tc>
          <w:tcPr>
            <w:tcW w:type="dxa" w:w="1440"/>
            <w:shd w:fill="C6EFCE" w:val="clear"/>
          </w:tcPr>
          <w:p>
            <w:r>
              <w:rPr>
                <w:sz w:val="17"/>
              </w:rPr>
              <w:t>3,470</w:t>
            </w:r>
          </w:p>
        </w:tc>
        <w:tc>
          <w:tcPr>
            <w:tcW w:type="dxa" w:w="1440"/>
            <w:shd w:fill="C6EFCE" w:val="clear"/>
          </w:tcPr>
          <w:p>
            <w:r>
              <w:rPr>
                <w:b/>
                <w:sz w:val="17"/>
              </w:rPr>
              <w:t>3,707</w:t>
            </w:r>
          </w:p>
        </w:tc>
        <w:tc>
          <w:tcPr>
            <w:tcW w:type="dxa" w:w="1440"/>
            <w:shd w:fill="C6EFCE" w:val="clear"/>
          </w:tcPr>
          <w:p>
            <w:r>
              <w:rPr>
                <w:sz w:val="17"/>
              </w:rPr>
              <w:t>3,943</w:t>
            </w:r>
          </w:p>
        </w:tc>
        <w:tc>
          <w:tcPr>
            <w:tcW w:type="dxa" w:w="1440"/>
            <w:shd w:fill="C6EFCE" w:val="clear"/>
          </w:tcPr>
          <w:p>
            <w:r>
              <w:rPr>
                <w:b/>
                <w:color w:val="008000"/>
                <w:sz w:val="17"/>
              </w:rPr>
              <w:t>+4.4%</w:t>
            </w:r>
          </w:p>
        </w:tc>
      </w:tr>
      <w:tr>
        <w:tc>
          <w:tcPr>
            <w:tcW w:type="dxa" w:w="1440"/>
            <w:shd w:fill="C6EFCE" w:val="clear"/>
          </w:tcPr>
          <w:p>
            <w:r>
              <w:rPr>
                <w:sz w:val="17"/>
              </w:rPr>
              <w:t>J+2  Moyenne</w:t>
            </w:r>
          </w:p>
        </w:tc>
        <w:tc>
          <w:tcPr>
            <w:tcW w:type="dxa" w:w="1440"/>
            <w:shd w:fill="C6EFCE" w:val="clear"/>
          </w:tcPr>
          <w:p>
            <w:r>
              <w:rPr>
                <w:sz w:val="17"/>
              </w:rPr>
              <w:t>2026-08-11</w:t>
            </w:r>
          </w:p>
        </w:tc>
        <w:tc>
          <w:tcPr>
            <w:tcW w:type="dxa" w:w="1440"/>
            <w:shd w:fill="C6EFCE" w:val="clear"/>
          </w:tcPr>
          <w:p>
            <w:r>
              <w:rPr>
                <w:sz w:val="17"/>
              </w:rPr>
              <w:t>3,522</w:t>
            </w:r>
          </w:p>
        </w:tc>
        <w:tc>
          <w:tcPr>
            <w:tcW w:type="dxa" w:w="1440"/>
            <w:shd w:fill="C6EFCE" w:val="clear"/>
          </w:tcPr>
          <w:p>
            <w:r>
              <w:rPr>
                <w:b/>
                <w:sz w:val="17"/>
              </w:rPr>
              <w:t>3,872</w:t>
            </w:r>
          </w:p>
        </w:tc>
        <w:tc>
          <w:tcPr>
            <w:tcW w:type="dxa" w:w="1440"/>
            <w:shd w:fill="C6EFCE" w:val="clear"/>
          </w:tcPr>
          <w:p>
            <w:r>
              <w:rPr>
                <w:sz w:val="17"/>
              </w:rPr>
              <w:t>4,222</w:t>
            </w:r>
          </w:p>
        </w:tc>
        <w:tc>
          <w:tcPr>
            <w:tcW w:type="dxa" w:w="1440"/>
            <w:shd w:fill="C6EFCE" w:val="clear"/>
          </w:tcPr>
          <w:p>
            <w:r>
              <w:rPr>
                <w:b/>
                <w:color w:val="008000"/>
                <w:sz w:val="17"/>
              </w:rPr>
              <w:t>+9.1%</w:t>
            </w:r>
          </w:p>
        </w:tc>
      </w:tr>
      <w:tr>
        <w:tc>
          <w:tcPr>
            <w:tcW w:type="dxa" w:w="1440"/>
            <w:shd w:fill="C6EFCE" w:val="clear"/>
          </w:tcPr>
          <w:p>
            <w:r>
              <w:rPr>
                <w:sz w:val="17"/>
              </w:rPr>
              <w:t>J+3  Moyenne</w:t>
            </w:r>
          </w:p>
        </w:tc>
        <w:tc>
          <w:tcPr>
            <w:tcW w:type="dxa" w:w="1440"/>
            <w:shd w:fill="C6EFCE" w:val="clear"/>
          </w:tcPr>
          <w:p>
            <w:r>
              <w:rPr>
                <w:sz w:val="17"/>
              </w:rPr>
              <w:t>2026-08-12</w:t>
            </w:r>
          </w:p>
        </w:tc>
        <w:tc>
          <w:tcPr>
            <w:tcW w:type="dxa" w:w="1440"/>
            <w:shd w:fill="C6EFCE" w:val="clear"/>
          </w:tcPr>
          <w:p>
            <w:r>
              <w:rPr>
                <w:sz w:val="17"/>
              </w:rPr>
              <w:t>3,616</w:t>
            </w:r>
          </w:p>
        </w:tc>
        <w:tc>
          <w:tcPr>
            <w:tcW w:type="dxa" w:w="1440"/>
            <w:shd w:fill="C6EFCE" w:val="clear"/>
          </w:tcPr>
          <w:p>
            <w:r>
              <w:rPr>
                <w:b/>
                <w:sz w:val="17"/>
              </w:rPr>
              <w:t>4,066</w:t>
            </w:r>
          </w:p>
        </w:tc>
        <w:tc>
          <w:tcPr>
            <w:tcW w:type="dxa" w:w="1440"/>
            <w:shd w:fill="C6EFCE" w:val="clear"/>
          </w:tcPr>
          <w:p>
            <w:r>
              <w:rPr>
                <w:sz w:val="17"/>
              </w:rPr>
              <w:t>4,516</w:t>
            </w:r>
          </w:p>
        </w:tc>
        <w:tc>
          <w:tcPr>
            <w:tcW w:type="dxa" w:w="1440"/>
            <w:shd w:fill="C6EFCE" w:val="clear"/>
          </w:tcPr>
          <w:p>
            <w:r>
              <w:rPr>
                <w:b/>
                <w:color w:val="008000"/>
                <w:sz w:val="17"/>
              </w:rPr>
              <w:t>+14.5%</w:t>
            </w:r>
          </w:p>
        </w:tc>
      </w:tr>
      <w:tr>
        <w:tc>
          <w:tcPr>
            <w:tcW w:type="dxa" w:w="1440"/>
            <w:shd w:fill="C6EFCE" w:val="clear"/>
          </w:tcPr>
          <w:p>
            <w:r>
              <w:rPr>
                <w:sz w:val="17"/>
              </w:rPr>
              <w:t>J+4  ⭐</w:t>
            </w:r>
          </w:p>
        </w:tc>
        <w:tc>
          <w:tcPr>
            <w:tcW w:type="dxa" w:w="1440"/>
            <w:shd w:fill="C6EFCE" w:val="clear"/>
          </w:tcPr>
          <w:p>
            <w:r>
              <w:rPr>
                <w:sz w:val="17"/>
              </w:rPr>
              <w:t>2026-08-13</w:t>
            </w:r>
          </w:p>
        </w:tc>
        <w:tc>
          <w:tcPr>
            <w:tcW w:type="dxa" w:w="1440"/>
            <w:shd w:fill="C6EFCE" w:val="clear"/>
          </w:tcPr>
          <w:p>
            <w:r>
              <w:rPr>
                <w:sz w:val="17"/>
              </w:rPr>
              <w:t>3,737</w:t>
            </w:r>
          </w:p>
        </w:tc>
        <w:tc>
          <w:tcPr>
            <w:tcW w:type="dxa" w:w="1440"/>
            <w:shd w:fill="C6EFCE" w:val="clear"/>
          </w:tcPr>
          <w:p>
            <w:r>
              <w:rPr>
                <w:b/>
                <w:sz w:val="17"/>
              </w:rPr>
              <w:t>4,285</w:t>
            </w:r>
          </w:p>
        </w:tc>
        <w:tc>
          <w:tcPr>
            <w:tcW w:type="dxa" w:w="1440"/>
            <w:shd w:fill="C6EFCE" w:val="clear"/>
          </w:tcPr>
          <w:p>
            <w:r>
              <w:rPr>
                <w:sz w:val="17"/>
              </w:rPr>
              <w:t>4,832</w:t>
            </w:r>
          </w:p>
        </w:tc>
        <w:tc>
          <w:tcPr>
            <w:tcW w:type="dxa" w:w="1440"/>
            <w:shd w:fill="C6EFCE" w:val="clear"/>
          </w:tcPr>
          <w:p>
            <w:r>
              <w:rPr>
                <w:b/>
                <w:color w:val="008000"/>
                <w:sz w:val="17"/>
              </w:rPr>
              <w:t>+20.7%</w:t>
            </w:r>
          </w:p>
        </w:tc>
      </w:tr>
      <w:tr>
        <w:tc>
          <w:tcPr>
            <w:tcW w:type="dxa" w:w="1440"/>
            <w:shd w:fill="C6EFCE" w:val="clear"/>
          </w:tcPr>
          <w:p>
            <w:r>
              <w:rPr>
                <w:sz w:val="17"/>
              </w:rPr>
              <w:t>J+5  ⭐</w:t>
            </w:r>
          </w:p>
        </w:tc>
        <w:tc>
          <w:tcPr>
            <w:tcW w:type="dxa" w:w="1440"/>
            <w:shd w:fill="C6EFCE" w:val="clear"/>
          </w:tcPr>
          <w:p>
            <w:r>
              <w:rPr>
                <w:sz w:val="17"/>
              </w:rPr>
              <w:t>2026-08-14</w:t>
            </w:r>
          </w:p>
        </w:tc>
        <w:tc>
          <w:tcPr>
            <w:tcW w:type="dxa" w:w="1440"/>
            <w:shd w:fill="C6EFCE" w:val="clear"/>
          </w:tcPr>
          <w:p>
            <w:r>
              <w:rPr>
                <w:sz w:val="17"/>
              </w:rPr>
              <w:t>3,883</w:t>
            </w:r>
          </w:p>
        </w:tc>
        <w:tc>
          <w:tcPr>
            <w:tcW w:type="dxa" w:w="1440"/>
            <w:shd w:fill="C6EFCE" w:val="clear"/>
          </w:tcPr>
          <w:p>
            <w:r>
              <w:rPr>
                <w:b/>
                <w:sz w:val="17"/>
              </w:rPr>
              <w:t>4,530</w:t>
            </w:r>
          </w:p>
        </w:tc>
        <w:tc>
          <w:tcPr>
            <w:tcW w:type="dxa" w:w="1440"/>
            <w:shd w:fill="C6EFCE" w:val="clear"/>
          </w:tcPr>
          <w:p>
            <w:r>
              <w:rPr>
                <w:sz w:val="17"/>
              </w:rPr>
              <w:t>5,177</w:t>
            </w:r>
          </w:p>
        </w:tc>
        <w:tc>
          <w:tcPr>
            <w:tcW w:type="dxa" w:w="1440"/>
            <w:shd w:fill="C6EFCE" w:val="clear"/>
          </w:tcPr>
          <w:p>
            <w:r>
              <w:rPr>
                <w:b/>
                <w:color w:val="008000"/>
                <w:sz w:val="17"/>
              </w:rPr>
              <w:t>+27.6%</w:t>
            </w:r>
          </w:p>
        </w:tc>
      </w:tr>
      <w:tr>
        <w:tc>
          <w:tcPr>
            <w:tcW w:type="dxa" w:w="1440"/>
            <w:shd w:fill="C6EFCE" w:val="clear"/>
          </w:tcPr>
          <w:p>
            <w:r>
              <w:rPr>
                <w:sz w:val="17"/>
              </w:rPr>
              <w:t>J+6  ⭐</w:t>
            </w:r>
          </w:p>
        </w:tc>
        <w:tc>
          <w:tcPr>
            <w:tcW w:type="dxa" w:w="1440"/>
            <w:shd w:fill="C6EFCE" w:val="clear"/>
          </w:tcPr>
          <w:p>
            <w:r>
              <w:rPr>
                <w:sz w:val="17"/>
              </w:rPr>
              <w:t>2026-08-17</w:t>
            </w:r>
          </w:p>
        </w:tc>
        <w:tc>
          <w:tcPr>
            <w:tcW w:type="dxa" w:w="1440"/>
            <w:shd w:fill="C6EFCE" w:val="clear"/>
          </w:tcPr>
          <w:p>
            <w:r>
              <w:rPr>
                <w:sz w:val="17"/>
              </w:rPr>
              <w:t>4,056</w:t>
            </w:r>
          </w:p>
        </w:tc>
        <w:tc>
          <w:tcPr>
            <w:tcW w:type="dxa" w:w="1440"/>
            <w:shd w:fill="C6EFCE" w:val="clear"/>
          </w:tcPr>
          <w:p>
            <w:r>
              <w:rPr>
                <w:b/>
                <w:sz w:val="17"/>
              </w:rPr>
              <w:t>4,809</w:t>
            </w:r>
          </w:p>
        </w:tc>
        <w:tc>
          <w:tcPr>
            <w:tcW w:type="dxa" w:w="1440"/>
            <w:shd w:fill="C6EFCE" w:val="clear"/>
          </w:tcPr>
          <w:p>
            <w:r>
              <w:rPr>
                <w:sz w:val="17"/>
              </w:rPr>
              <w:t>5,561</w:t>
            </w:r>
          </w:p>
        </w:tc>
        <w:tc>
          <w:tcPr>
            <w:tcW w:type="dxa" w:w="1440"/>
            <w:shd w:fill="C6EFCE" w:val="clear"/>
          </w:tcPr>
          <w:p>
            <w:r>
              <w:rPr>
                <w:b/>
                <w:color w:val="008000"/>
                <w:sz w:val="17"/>
              </w:rPr>
              <w:t>+35.5%</w:t>
            </w:r>
          </w:p>
        </w:tc>
      </w:tr>
      <w:tr>
        <w:tc>
          <w:tcPr>
            <w:tcW w:type="dxa" w:w="1440"/>
            <w:shd w:fill="C6EFCE" w:val="clear"/>
          </w:tcPr>
          <w:p>
            <w:r>
              <w:rPr>
                <w:sz w:val="17"/>
              </w:rPr>
              <w:t>J+7  ⭐</w:t>
            </w:r>
          </w:p>
        </w:tc>
        <w:tc>
          <w:tcPr>
            <w:tcW w:type="dxa" w:w="1440"/>
            <w:shd w:fill="C6EFCE" w:val="clear"/>
          </w:tcPr>
          <w:p>
            <w:r>
              <w:rPr>
                <w:sz w:val="17"/>
              </w:rPr>
              <w:t>2026-08-18</w:t>
            </w:r>
          </w:p>
        </w:tc>
        <w:tc>
          <w:tcPr>
            <w:tcW w:type="dxa" w:w="1440"/>
            <w:shd w:fill="C6EFCE" w:val="clear"/>
          </w:tcPr>
          <w:p>
            <w:r>
              <w:rPr>
                <w:sz w:val="17"/>
              </w:rPr>
              <w:t>4,265</w:t>
            </w:r>
          </w:p>
        </w:tc>
        <w:tc>
          <w:tcPr>
            <w:tcW w:type="dxa" w:w="1440"/>
            <w:shd w:fill="C6EFCE" w:val="clear"/>
          </w:tcPr>
          <w:p>
            <w:r>
              <w:rPr>
                <w:b/>
                <w:sz w:val="17"/>
              </w:rPr>
              <w:t>5,132</w:t>
            </w:r>
          </w:p>
        </w:tc>
        <w:tc>
          <w:tcPr>
            <w:tcW w:type="dxa" w:w="1440"/>
            <w:shd w:fill="C6EFCE" w:val="clear"/>
          </w:tcPr>
          <w:p>
            <w:r>
              <w:rPr>
                <w:sz w:val="17"/>
              </w:rPr>
              <w:t>6,000</w:t>
            </w:r>
          </w:p>
        </w:tc>
        <w:tc>
          <w:tcPr>
            <w:tcW w:type="dxa" w:w="1440"/>
            <w:shd w:fill="C6EFCE" w:val="clear"/>
          </w:tcPr>
          <w:p>
            <w:r>
              <w:rPr>
                <w:b/>
                <w:color w:val="008000"/>
                <w:sz w:val="17"/>
              </w:rPr>
              <w:t>+44.6%</w:t>
            </w:r>
          </w:p>
        </w:tc>
      </w:tr>
      <w:tr>
        <w:tc>
          <w:tcPr>
            <w:tcW w:type="dxa" w:w="1440"/>
            <w:shd w:fill="C6EFCE" w:val="clear"/>
          </w:tcPr>
          <w:p>
            <w:r>
              <w:rPr>
                <w:sz w:val="17"/>
              </w:rPr>
              <w:t>J+8  ⭐</w:t>
            </w:r>
          </w:p>
        </w:tc>
        <w:tc>
          <w:tcPr>
            <w:tcW w:type="dxa" w:w="1440"/>
            <w:shd w:fill="C6EFCE" w:val="clear"/>
          </w:tcPr>
          <w:p>
            <w:r>
              <w:rPr>
                <w:sz w:val="17"/>
              </w:rPr>
              <w:t>2026-08-19</w:t>
            </w:r>
          </w:p>
        </w:tc>
        <w:tc>
          <w:tcPr>
            <w:tcW w:type="dxa" w:w="1440"/>
            <w:shd w:fill="C6EFCE" w:val="clear"/>
          </w:tcPr>
          <w:p>
            <w:r>
              <w:rPr>
                <w:sz w:val="17"/>
              </w:rPr>
              <w:t>4,520</w:t>
            </w:r>
          </w:p>
        </w:tc>
        <w:tc>
          <w:tcPr>
            <w:tcW w:type="dxa" w:w="1440"/>
            <w:shd w:fill="C6EFCE" w:val="clear"/>
          </w:tcPr>
          <w:p>
            <w:r>
              <w:rPr>
                <w:b/>
                <w:sz w:val="17"/>
              </w:rPr>
              <w:t>5,516</w:t>
            </w:r>
          </w:p>
        </w:tc>
        <w:tc>
          <w:tcPr>
            <w:tcW w:type="dxa" w:w="1440"/>
            <w:shd w:fill="C6EFCE" w:val="clear"/>
          </w:tcPr>
          <w:p>
            <w:r>
              <w:rPr>
                <w:sz w:val="17"/>
              </w:rPr>
              <w:t>6,513</w:t>
            </w:r>
          </w:p>
        </w:tc>
        <w:tc>
          <w:tcPr>
            <w:tcW w:type="dxa" w:w="1440"/>
            <w:shd w:fill="C6EFCE" w:val="clear"/>
          </w:tcPr>
          <w:p>
            <w:r>
              <w:rPr>
                <w:b/>
                <w:color w:val="008000"/>
                <w:sz w:val="17"/>
              </w:rPr>
              <w:t>+55.4%</w:t>
            </w:r>
          </w:p>
        </w:tc>
      </w:tr>
      <w:tr>
        <w:tc>
          <w:tcPr>
            <w:tcW w:type="dxa" w:w="1440"/>
            <w:shd w:fill="C6EFCE" w:val="clear"/>
          </w:tcPr>
          <w:p>
            <w:r>
              <w:rPr>
                <w:sz w:val="17"/>
              </w:rPr>
              <w:t>J+9  ⭐</w:t>
            </w:r>
          </w:p>
        </w:tc>
        <w:tc>
          <w:tcPr>
            <w:tcW w:type="dxa" w:w="1440"/>
            <w:shd w:fill="C6EFCE" w:val="clear"/>
          </w:tcPr>
          <w:p>
            <w:r>
              <w:rPr>
                <w:sz w:val="17"/>
              </w:rPr>
              <w:t>2026-08-20</w:t>
            </w:r>
          </w:p>
        </w:tc>
        <w:tc>
          <w:tcPr>
            <w:tcW w:type="dxa" w:w="1440"/>
            <w:shd w:fill="C6EFCE" w:val="clear"/>
          </w:tcPr>
          <w:p>
            <w:r>
              <w:rPr>
                <w:sz w:val="17"/>
              </w:rPr>
              <w:t>4,794</w:t>
            </w:r>
          </w:p>
        </w:tc>
        <w:tc>
          <w:tcPr>
            <w:tcW w:type="dxa" w:w="1440"/>
            <w:shd w:fill="C6EFCE" w:val="clear"/>
          </w:tcPr>
          <w:p>
            <w:r>
              <w:rPr>
                <w:b/>
                <w:sz w:val="17"/>
              </w:rPr>
              <w:t>5,930</w:t>
            </w:r>
          </w:p>
        </w:tc>
        <w:tc>
          <w:tcPr>
            <w:tcW w:type="dxa" w:w="1440"/>
            <w:shd w:fill="C6EFCE" w:val="clear"/>
          </w:tcPr>
          <w:p>
            <w:r>
              <w:rPr>
                <w:sz w:val="17"/>
              </w:rPr>
              <w:t>7,066</w:t>
            </w:r>
          </w:p>
        </w:tc>
        <w:tc>
          <w:tcPr>
            <w:tcW w:type="dxa" w:w="1440"/>
            <w:shd w:fill="C6EFCE" w:val="clear"/>
          </w:tcPr>
          <w:p>
            <w:r>
              <w:rPr>
                <w:b/>
                <w:color w:val="008000"/>
                <w:sz w:val="17"/>
              </w:rPr>
              <w:t>+67.0%</w:t>
            </w:r>
          </w:p>
        </w:tc>
      </w:tr>
      <w:tr>
        <w:tc>
          <w:tcPr>
            <w:tcW w:type="dxa" w:w="1440"/>
            <w:shd w:fill="C6EFCE" w:val="clear"/>
          </w:tcPr>
          <w:p>
            <w:r>
              <w:rPr>
                <w:sz w:val="17"/>
              </w:rPr>
              <w:t>J+10  ⭐</w:t>
            </w:r>
          </w:p>
        </w:tc>
        <w:tc>
          <w:tcPr>
            <w:tcW w:type="dxa" w:w="1440"/>
            <w:shd w:fill="C6EFCE" w:val="clear"/>
          </w:tcPr>
          <w:p>
            <w:r>
              <w:rPr>
                <w:sz w:val="17"/>
              </w:rPr>
              <w:t>2026-08-21</w:t>
            </w:r>
          </w:p>
        </w:tc>
        <w:tc>
          <w:tcPr>
            <w:tcW w:type="dxa" w:w="1440"/>
            <w:shd w:fill="C6EFCE" w:val="clear"/>
          </w:tcPr>
          <w:p>
            <w:r>
              <w:rPr>
                <w:sz w:val="17"/>
              </w:rPr>
              <w:t>5,087</w:t>
            </w:r>
          </w:p>
        </w:tc>
        <w:tc>
          <w:tcPr>
            <w:tcW w:type="dxa" w:w="1440"/>
            <w:shd w:fill="C6EFCE" w:val="clear"/>
          </w:tcPr>
          <w:p>
            <w:r>
              <w:rPr>
                <w:b/>
                <w:sz w:val="17"/>
              </w:rPr>
              <w:t>6,375</w:t>
            </w:r>
          </w:p>
        </w:tc>
        <w:tc>
          <w:tcPr>
            <w:tcW w:type="dxa" w:w="1440"/>
            <w:shd w:fill="C6EFCE" w:val="clear"/>
          </w:tcPr>
          <w:p>
            <w:r>
              <w:rPr>
                <w:sz w:val="17"/>
              </w:rPr>
              <w:t>7,662</w:t>
            </w:r>
          </w:p>
        </w:tc>
        <w:tc>
          <w:tcPr>
            <w:tcW w:type="dxa" w:w="1440"/>
            <w:shd w:fill="C6EFCE" w:val="clear"/>
          </w:tcPr>
          <w:p>
            <w:r>
              <w:rPr>
                <w:b/>
                <w:color w:val="008000"/>
                <w:sz w:val="17"/>
              </w:rPr>
              <w:t>+79.6%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21,02 milliards FCFA, un niveau modeste qui la classe parmi les valeurs de taille moyenne sur la BRVM. Avec un BPA de 243 FCFA, le titre se négocie à un PER de 14,6x, nettement supérieur à la moyenne historique du marché (8-12x), indiquant que les investisseurs paient une prime substantielle pour les bénéfices actuels. Le P/B de 2,25x confirme cette prime, le marché valorisant la société à plus du double de sa valeur comptable, ce qui reflète des attentes de croissance future. L'EV/EBITDA de 7,4x, bien que dans la fourchette raisonnable (5-10x), suggère une valorisation opérationnelle cohérente avec la capacité bénéficiaire de l'entreprise. Ces ratios, combinés, indiquent une valorisation exigeante qui ne laisse que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 enregistré une baisse significative de -7,79%, avec un rebond de +1,43% lors de la dernière séance, portant le cours à 3 550 FCFA. Le titre a évolué dans une fourchette large de 3 165 à 4 500 FCFA, démontrant une volatilité importante. La moyenne (3 743 FCFA) est supérieure à la médiane (3 700 FCFA), indiquant une distribution légèrement asymétrique avec quelques pics à la hausse. L'écart-type de 323 FCFA (CV=8,6%) révèle une dispersion modérée, tandis que le kurtosis de -0,402 (mésokurtique) suggère une distribution proche de la normale, sans risque extrême de pics. Le skewness positif de 0,374 confirme une asymétrie vers les valeurs hautes. La volatilité annualisée de 58,3% est très élevée, positionnant CABC comme un titre spéculatif à fort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(3 550 FCFA) est inférieur à la MM20 (3 700 FCFA) et à la MM50 (3 881,3 FCFA), confirmant une tendance baissière à court et moyen terme. La décision de Vente est justifiée par la position du prix sous les deux moyennes, indiquant une pression vendeuse persistante.</w:t>
      </w:r>
    </w:p>
    <w:p>
      <w:pPr>
        <w:spacing w:after="120" w:line="276" w:lineRule="auto"/>
      </w:pPr>
      <w:r>
        <w:t>**Bandes de Bollinger** : Le prix se situe entre la borne inférieure (3 379,6 FCFA) et la borne supérieure (4 020,4 FCFA), proche de la partie basse de la bande. Cette position suggère une volatilité modérée avec un potentiel de rebond technique, mais la décision Neutre reflète l'absence de signal directionnel fort.</w:t>
      </w:r>
    </w:p>
    <w:p>
      <w:pPr>
        <w:spacing w:after="120" w:line="276" w:lineRule="auto"/>
      </w:pPr>
      <w:r>
        <w:t>**MACD** : La valeur négative du MACD (-116,1) sous son signal (-94,3) confirme un momentum baissier. La divergence négative indique que la dynamique de vente reste dominante, justifiant la décision de Vente.</w:t>
      </w:r>
    </w:p>
    <w:p>
      <w:pPr>
        <w:spacing w:after="120" w:line="276" w:lineRule="auto"/>
      </w:pPr>
      <w:r>
        <w:t>**RSI** : À 46,5, le RSI se situe en zone neutre (30-70), indiquant un équilibre entre pression acheteuse et vendeuse. La décision Neutre est cohérente avec cette lecture, le titre n'étant ni suracheté ni survendu.</w:t>
      </w:r>
    </w:p>
    <w:p>
      <w:pPr>
        <w:spacing w:after="120" w:line="276" w:lineRule="auto"/>
      </w:pPr>
      <w:r>
        <w:t>**Stochastique** : Le %K (15,8) et le %D (7,0) sont en zone de survente (&lt;20), avec un %K au-dessus du %D, suggérant un potentiel de retournement haussier. La décision Achat est justifiée par ce croisement en zone de survente.</w:t>
      </w:r>
    </w:p>
    <w:p>
      <w:pPr>
        <w:spacing w:after="120" w:line="276" w:lineRule="auto"/>
      </w:pPr>
      <w:r>
        <w:t>**Conclusion technique** : Les signaux sont mitigés, avec une prédominance baissière (MM, MACD) mais des indicateurs de retournement potentiel (Stochastique). La configuration suggère une possible consolidation avant un éventuel rebond technique, mais la tendance de fond reste négative.</w:t>
      </w:r>
    </w:p>
    <w:p>
      <w:pPr>
        <w:spacing w:after="120" w:line="276" w:lineRule="auto"/>
      </w:pPr>
      <w:r>
        <w:t>---</w:t>
      </w:r>
    </w:p>
    <w:p>
      <w:pPr>
        <w:spacing w:after="120" w:line="276" w:lineRule="auto"/>
      </w:pPr>
      <w:r>
        <w:t>### PARTIE 3 : ANALYSE FONDAMENTALE (SECTION CRITIQUE)</w:t>
      </w:r>
    </w:p>
    <w:p>
      <w:pPr>
        <w:spacing w:after="120" w:line="276" w:lineRule="auto"/>
      </w:pPr>
      <w:r>
        <w:t>En 2025, CABC a réalisé un chiffre d'affaires de 21,263 milliards FCFA (+11,2% vs 2024), avec un résultat net de 1,439 milliard FCFA, soit une marge nette de 6,8%. Le ROE s'établit à 15,4% (excellent) et le ROA à 6,1%, démontrant une bonne utilisation des capitaux propres et des actifs. Cependant, la structure financière révèle des fragilités : le BFR de 7,186 milliards FCFA (délai clients de 144,7 jours et durée de stockage de 152,1 jours) indique une immobilisation importante de trésorerie, et le flux opérationnel négatif de -819,7 millions FCFA confirme cette tension. Les rapports trimestriels 2025 montrent une dynamique positive (S1 : résultat net de 851,5 millions FCFA, +55,3% ; 9 mois : 1 329,5 millions FCFA, +26%), mais le T1 2026 enregistre une forte baisse du CA (-26,5%) et une perte nette de 221,7 millions FCFA, liée à une maintenance planifiée et à l'inflation des cours des métaux. La dette financière reste modérée (417,6 millions FCFA), avec une capacité de remboursement de 0,26 an, mais la trésorerie nette de 5,139 milliards FCFA offre une marge de sécurité. Les perspectives 2026 sont incertaines, avec une reprise attendue au T2.</w:t>
      </w:r>
    </w:p>
    <w:p>
      <w:pPr>
        <w:spacing w:after="120" w:line="276" w:lineRule="auto"/>
      </w:pPr>
      <w:r>
        <w:t>---</w:t>
      </w:r>
    </w:p>
    <w:p>
      <w:pPr>
        <w:spacing w:after="120" w:line="276" w:lineRule="auto"/>
      </w:pPr>
      <w:r>
        <w:t>### PARTIE 4 : CONCLUSION D'INVESTISSEMENT</w:t>
      </w:r>
    </w:p>
    <w:p>
      <w:pPr>
        <w:spacing w:after="120" w:line="276" w:lineRule="auto"/>
      </w:pPr>
      <w:r>
        <w:t>La valorisation actuelle (PER 14,6x, P/B 2,25x) apparaît surévaluée par rapport aux fondamentaux, malgré un EV/EBITDA raisonnable. Le comportement du cours sur 100 jours (-7,79%) et la volatilité élevée (58,3%) reflètent un risque important. Les signaux techniques sont partagés : tendance baissière (MM, MACD) mais potentiel de rebond (Stochastique). Les fondamentaux montrent une amélioration en 2025 (ROE 15,4%, croissance CA 11,2%) mais des fragilités structurelles (BFR élevé, flux opérationnel négatif) et une dégradation au T1 2026. Les prédictions IA (3 707 à 4 530 FCFA sur 10 jours) suggèrent un rebond haussier, contredisant la tendance technique récente. Cette divergence entre les signaux techniques baissiers et les prédictions haussières, combinée à une valorisation exigeante et des incertitudes opérationnelles, conduit à une recommandation **CONSERVER**. Le niveau de confiance est **Moyen**, le risque global **Élevé**, et l'horizon d'investissement optimal est le **moyen terme (3-12 mois)**, en attendant une clarification de la trajectoire de redressement.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905.76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1,733 titres</w:t>
            </w:r>
          </w:p>
        </w:tc>
        <w:tc>
          <w:tcPr>
            <w:tcW w:type="dxa" w:w="2268"/>
            <w:shd w:fill="FFF2CC" w:val="clear"/>
          </w:tcPr>
          <w:p>
            <w:r>
              <w:rPr>
                <w:b/>
                <w:color w:val="503200"/>
                <w:sz w:val="16"/>
              </w:rPr>
              <w:t xml:space="preserve">Cours actuel : </w:t>
            </w:r>
            <w:r>
              <w:rPr>
                <w:color w:val="000000"/>
                <w:sz w:val="17"/>
              </w:rPr>
              <w:t>28,305 FCFA</w:t>
            </w:r>
          </w:p>
          <w:p>
            <w:r>
              <w:rPr>
                <w:b/>
                <w:color w:val="503200"/>
                <w:sz w:val="16"/>
              </w:rPr>
              <w:t xml:space="preserve">Var. 100 jours : </w:t>
            </w:r>
            <w:r>
              <w:rPr>
                <w:b/>
                <w:color w:val="007800"/>
                <w:sz w:val="17"/>
              </w:rPr>
              <w:t>+102.18%</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13,500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25.01% (Élevée) — μ=20,537 FCFA, σ=5,137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β=0.6760 (Défensif) — Cov=0.000025, Var(idx)=0.000036, ρ=0.153,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1,733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A06400"/>
          <w:sz w:val="26"/>
        </w:rPr>
        <w:t>53/100  (Moyen)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24,968</w:t>
            </w:r>
          </w:p>
        </w:tc>
        <w:tc>
          <w:tcPr>
            <w:tcW w:type="dxa" w:w="1440"/>
            <w:shd w:fill="FFDCE0" w:val="clear"/>
          </w:tcPr>
          <w:p>
            <w:r>
              <w:rPr>
                <w:b/>
                <w:sz w:val="17"/>
              </w:rPr>
              <w:t>26,182</w:t>
            </w:r>
          </w:p>
        </w:tc>
        <w:tc>
          <w:tcPr>
            <w:tcW w:type="dxa" w:w="1440"/>
            <w:shd w:fill="FFDCE0" w:val="clear"/>
          </w:tcPr>
          <w:p>
            <w:r>
              <w:rPr>
                <w:sz w:val="17"/>
              </w:rPr>
              <w:t>27,396</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22,630</w:t>
            </w:r>
          </w:p>
        </w:tc>
        <w:tc>
          <w:tcPr>
            <w:tcW w:type="dxa" w:w="1440"/>
            <w:shd w:fill="FFDCE0" w:val="clear"/>
          </w:tcPr>
          <w:p>
            <w:r>
              <w:rPr>
                <w:b/>
                <w:sz w:val="17"/>
              </w:rPr>
              <w:t>24,218</w:t>
            </w:r>
          </w:p>
        </w:tc>
        <w:tc>
          <w:tcPr>
            <w:tcW w:type="dxa" w:w="1440"/>
            <w:shd w:fill="FFDCE0" w:val="clear"/>
          </w:tcPr>
          <w:p>
            <w:r>
              <w:rPr>
                <w:sz w:val="17"/>
              </w:rPr>
              <w:t>25,807</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20,603</w:t>
            </w:r>
          </w:p>
        </w:tc>
        <w:tc>
          <w:tcPr>
            <w:tcW w:type="dxa" w:w="1440"/>
            <w:shd w:fill="FFDCE0" w:val="clear"/>
          </w:tcPr>
          <w:p>
            <w:r>
              <w:rPr>
                <w:b/>
                <w:sz w:val="17"/>
              </w:rPr>
              <w:t>22,402</w:t>
            </w:r>
          </w:p>
        </w:tc>
        <w:tc>
          <w:tcPr>
            <w:tcW w:type="dxa" w:w="1440"/>
            <w:shd w:fill="FFDCE0" w:val="clear"/>
          </w:tcPr>
          <w:p>
            <w:r>
              <w:rPr>
                <w:sz w:val="17"/>
              </w:rPr>
              <w:t>24,202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18,800</w:t>
            </w:r>
          </w:p>
        </w:tc>
        <w:tc>
          <w:tcPr>
            <w:tcW w:type="dxa" w:w="1440"/>
            <w:shd w:fill="FFDCE0" w:val="clear"/>
          </w:tcPr>
          <w:p>
            <w:r>
              <w:rPr>
                <w:b/>
                <w:sz w:val="17"/>
              </w:rPr>
              <w:t>20,722</w:t>
            </w:r>
          </w:p>
        </w:tc>
        <w:tc>
          <w:tcPr>
            <w:tcW w:type="dxa" w:w="1440"/>
            <w:shd w:fill="FFDCE0" w:val="clear"/>
          </w:tcPr>
          <w:p>
            <w:r>
              <w:rPr>
                <w:sz w:val="17"/>
              </w:rPr>
              <w:t>22,644</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17,458</w:t>
            </w:r>
          </w:p>
        </w:tc>
        <w:tc>
          <w:tcPr>
            <w:tcW w:type="dxa" w:w="1440"/>
            <w:shd w:fill="FFDCE0" w:val="clear"/>
          </w:tcPr>
          <w:p>
            <w:r>
              <w:rPr>
                <w:b/>
                <w:sz w:val="17"/>
              </w:rPr>
              <w:t>19,478</w:t>
            </w:r>
          </w:p>
        </w:tc>
        <w:tc>
          <w:tcPr>
            <w:tcW w:type="dxa" w:w="1440"/>
            <w:shd w:fill="FFDCE0" w:val="clear"/>
          </w:tcPr>
          <w:p>
            <w:r>
              <w:rPr>
                <w:sz w:val="17"/>
              </w:rPr>
              <w:t>21,498</w:t>
            </w:r>
          </w:p>
        </w:tc>
        <w:tc>
          <w:tcPr>
            <w:tcW w:type="dxa" w:w="1440"/>
            <w:shd w:fill="FFDCE0" w:val="clear"/>
          </w:tcPr>
          <w:p>
            <w:r>
              <w:rPr>
                <w:b/>
                <w:color w:val="C00000"/>
                <w:sz w:val="17"/>
              </w:rPr>
              <w:t>-31.2%</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16,792</w:t>
            </w:r>
          </w:p>
        </w:tc>
        <w:tc>
          <w:tcPr>
            <w:tcW w:type="dxa" w:w="1440"/>
            <w:shd w:fill="FFDCE0" w:val="clear"/>
          </w:tcPr>
          <w:p>
            <w:r>
              <w:rPr>
                <w:b/>
                <w:sz w:val="17"/>
              </w:rPr>
              <w:t>18,944</w:t>
            </w:r>
          </w:p>
        </w:tc>
        <w:tc>
          <w:tcPr>
            <w:tcW w:type="dxa" w:w="1440"/>
            <w:shd w:fill="FFDCE0" w:val="clear"/>
          </w:tcPr>
          <w:p>
            <w:r>
              <w:rPr>
                <w:sz w:val="17"/>
              </w:rPr>
              <w:t>21,096</w:t>
            </w:r>
          </w:p>
        </w:tc>
        <w:tc>
          <w:tcPr>
            <w:tcW w:type="dxa" w:w="1440"/>
            <w:shd w:fill="FFDCE0" w:val="clear"/>
          </w:tcPr>
          <w:p>
            <w:r>
              <w:rPr>
                <w:b/>
                <w:color w:val="C00000"/>
                <w:sz w:val="17"/>
              </w:rPr>
              <w:t>-33.1%</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16,209</w:t>
            </w:r>
          </w:p>
        </w:tc>
        <w:tc>
          <w:tcPr>
            <w:tcW w:type="dxa" w:w="1440"/>
            <w:shd w:fill="FFDCE0" w:val="clear"/>
          </w:tcPr>
          <w:p>
            <w:r>
              <w:rPr>
                <w:b/>
                <w:sz w:val="17"/>
              </w:rPr>
              <w:t>18,476</w:t>
            </w:r>
          </w:p>
        </w:tc>
        <w:tc>
          <w:tcPr>
            <w:tcW w:type="dxa" w:w="1440"/>
            <w:shd w:fill="FFDCE0" w:val="clear"/>
          </w:tcPr>
          <w:p>
            <w:r>
              <w:rPr>
                <w:sz w:val="17"/>
              </w:rPr>
              <w:t>20,744</w:t>
            </w:r>
          </w:p>
        </w:tc>
        <w:tc>
          <w:tcPr>
            <w:tcW w:type="dxa" w:w="1440"/>
            <w:shd w:fill="FFDCE0" w:val="clear"/>
          </w:tcPr>
          <w:p>
            <w:r>
              <w:rPr>
                <w:b/>
                <w:color w:val="C00000"/>
                <w:sz w:val="17"/>
              </w:rPr>
              <w:t>-34.7%</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15,690</w:t>
            </w:r>
          </w:p>
        </w:tc>
        <w:tc>
          <w:tcPr>
            <w:tcW w:type="dxa" w:w="1440"/>
            <w:shd w:fill="FFDCE0" w:val="clear"/>
          </w:tcPr>
          <w:p>
            <w:r>
              <w:rPr>
                <w:b/>
                <w:sz w:val="17"/>
              </w:rPr>
              <w:t>18,058</w:t>
            </w:r>
          </w:p>
        </w:tc>
        <w:tc>
          <w:tcPr>
            <w:tcW w:type="dxa" w:w="1440"/>
            <w:shd w:fill="FFDCE0" w:val="clear"/>
          </w:tcPr>
          <w:p>
            <w:r>
              <w:rPr>
                <w:sz w:val="17"/>
              </w:rPr>
              <w:t>20,427</w:t>
            </w:r>
          </w:p>
        </w:tc>
        <w:tc>
          <w:tcPr>
            <w:tcW w:type="dxa" w:w="1440"/>
            <w:shd w:fill="FFDCE0" w:val="clear"/>
          </w:tcPr>
          <w:p>
            <w:r>
              <w:rPr>
                <w:b/>
                <w:color w:val="C00000"/>
                <w:sz w:val="17"/>
              </w:rPr>
              <w:t>-36.2%</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15,220</w:t>
            </w:r>
          </w:p>
        </w:tc>
        <w:tc>
          <w:tcPr>
            <w:tcW w:type="dxa" w:w="1440"/>
            <w:shd w:fill="FFDCE0" w:val="clear"/>
          </w:tcPr>
          <w:p>
            <w:r>
              <w:rPr>
                <w:b/>
                <w:sz w:val="17"/>
              </w:rPr>
              <w:t>17,680</w:t>
            </w:r>
          </w:p>
        </w:tc>
        <w:tc>
          <w:tcPr>
            <w:tcW w:type="dxa" w:w="1440"/>
            <w:shd w:fill="FFDCE0" w:val="clear"/>
          </w:tcPr>
          <w:p>
            <w:r>
              <w:rPr>
                <w:sz w:val="17"/>
              </w:rPr>
              <w:t>20,140</w:t>
            </w:r>
          </w:p>
        </w:tc>
        <w:tc>
          <w:tcPr>
            <w:tcW w:type="dxa" w:w="1440"/>
            <w:shd w:fill="FFDCE0" w:val="clear"/>
          </w:tcPr>
          <w:p>
            <w:r>
              <w:rPr>
                <w:b/>
                <w:color w:val="C00000"/>
                <w:sz w:val="17"/>
              </w:rPr>
              <w:t>-37.5%</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14,793</w:t>
            </w:r>
          </w:p>
        </w:tc>
        <w:tc>
          <w:tcPr>
            <w:tcW w:type="dxa" w:w="1440"/>
            <w:shd w:fill="FFDCE0" w:val="clear"/>
          </w:tcPr>
          <w:p>
            <w:r>
              <w:rPr>
                <w:b/>
                <w:sz w:val="17"/>
              </w:rPr>
              <w:t>17,336</w:t>
            </w:r>
          </w:p>
        </w:tc>
        <w:tc>
          <w:tcPr>
            <w:tcW w:type="dxa" w:w="1440"/>
            <w:shd w:fill="FFDCE0" w:val="clear"/>
          </w:tcPr>
          <w:p>
            <w:r>
              <w:rPr>
                <w:sz w:val="17"/>
              </w:rPr>
              <w:t>19,878</w:t>
            </w:r>
          </w:p>
        </w:tc>
        <w:tc>
          <w:tcPr>
            <w:tcW w:type="dxa" w:w="1440"/>
            <w:shd w:fill="FFDCE0" w:val="clear"/>
          </w:tcPr>
          <w:p>
            <w:r>
              <w:rPr>
                <w:b/>
                <w:color w:val="C00000"/>
                <w:sz w:val="17"/>
              </w:rPr>
              <w:t>-38.8%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BURKINA FASO)**</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CBIBF s'établit à 905,76 milliards FCFA, ce qui positionne le titre parmi les valeurs les plus significatives de la BRVM, reflétant la confiance des investisseurs dans ce leader bancaire régional. Avec un BPA de 2 047 FCFA, chaque action génère un bénéfice substantiel, justifiant un PER de 13,8x. Ce ratio, bien que supérieur à la moyenne historique de la BRVM (8-12x), reste modéré et témoigne d'une valorisation raisonnable pour une banque de cette envergure, les investisseurs acceptant de payer une prime pour la qualité des actifs et la croissance future. L'EV/EBITDA de 10,2x, situé dans la fourchette haute de 10-15x, indique une valorisation élevée de la capacité opérationnelle, signalant que le marché intègre déjà des perspectives de performance solides. En l'absence de données sur le ratio P/B (Price-to-Book), nous ne pouvons pas évaluer la prime ou la décote par rapport à la valeur comptable des fonds propres, une information qui serait cruciale pour affiner le diagnostic de valorisation.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CBIBF a enregistré une performance spectaculaire de +102,18%, passant d'un plus bas de 13 500 FCFA à un plus haut de 30 005 FCFA, avec une dernière séance quasi stable (+0,02%) à 28 305 FCFA. Cette tendance fortement haussière traduit un appétit marqué des investisseurs pour le titre. Les statistiques descriptives révèlent une distribution des cours relativement symétrique (Skewness de 0,261) avec une moyenne (20 537 FCFA) légèrement inférieure à la médiane (21 332 FCFA), indiquant une légère asymétrie positive. L'écart-type de 5 163 FCFA, soit un coefficient de variation de 25,1%, démontre une dispersion modérée des prix autour de la moyenne. Le kurtosis négatif (-1,162) signale une distribution platykurtique, c'est-à-dire une faible concentration des prix autour de la moyenne, réduisant la probabilité de mouvements extrêmes mais indiquant une volatilité soutenue. La volatilité annualisée de 42,3% classe le titre comme très volatil (&gt;30%), ce qui implique un risque de marché élevé mais aussi un potentiel de rendement significatif pour les investisseurs tolérants au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28 305 FCFA se positionne nettement au-dessus de la MM20 (28 156,5 FCFA) et de la MM50 (24 886 FCFA), confirmant une dynamique haussière solide à court et moyen terme. La configuration des moyennes mobiles, avec la MM20 au-dessus de la MM50, valide la tendance positive et génère un signal d'achat, indiquant que le momentum haussier est toujours intact.</w:t>
      </w:r>
    </w:p>
    <w:p>
      <w:pPr>
        <w:spacing w:after="120" w:line="276" w:lineRule="auto"/>
      </w:pPr>
      <w:r>
        <w:t>**Bandes de Bollinger** : Le prix se situe à 28 305 FCFA, entre la borne inférieure (25 660,6 FCFA) et la borne supérieure (30 652,4 FCFA), mais plus proche de cette dernière. Cette position suggère une pression acheteuse persistante, bien que le titre ne soit pas encore en zone de surachat extrême. La décision "Neutre" reflète un équilibre précaire où le cours pourrait continuer à progresser vers la borne supérieure ou entamer une consolidation.</w:t>
      </w:r>
    </w:p>
    <w:p>
      <w:pPr>
        <w:spacing w:after="120" w:line="276" w:lineRule="auto"/>
      </w:pPr>
      <w:r>
        <w:t>**MACD** : La valeur du MACD (917,98) est inférieure à son signal (1 069,04), indiquant un croisement baissier récent. Ce signal de vente suggère un affaiblissement du momentum haussier à court terme, même si la tendance de fond reste positive. Les investisseurs devraient surveiller si le MACD repasse au-dessus de son signal pour confirmer la reprise de la dynamique haussière.</w:t>
      </w:r>
    </w:p>
    <w:p>
      <w:pPr>
        <w:spacing w:after="120" w:line="276" w:lineRule="auto"/>
      </w:pPr>
      <w:r>
        <w:t>**RSI** : Avec une valeur de 48,24, le RSI se situe en zone neutre (30-70), indiquant que le titre n'est ni suracheté ni survendu. Cette position offre une marge de manœuvre pour une potentielle appréciation future sans pression excessive des acheteurs ou des vendeurs, justifiant une décision "Neutre".</w:t>
      </w:r>
    </w:p>
    <w:p>
      <w:pPr>
        <w:spacing w:after="120" w:line="276" w:lineRule="auto"/>
      </w:pPr>
      <w:r>
        <w:t>**Stochastique** : Le %K (91,74) est nettement supérieur au %D (79,31), mais les deux valeurs sont en zone de surachat (&gt;80). Ce niveau extrême, couplé à un écart important entre %K et %D, génère un signal de vente, suggérant un risque élevé de correction technique à très court terme.</w:t>
      </w:r>
    </w:p>
    <w:p>
      <w:pPr>
        <w:spacing w:after="120" w:line="276" w:lineRule="auto"/>
      </w:pPr>
      <w:r>
        <w:t>**Conclusion technique** : La tendance de fond reste résolument haussière, soutenue par les moyennes mobiles et la position du cours dans les bandes de Bollinger. Cependant, les signaux à court terme (MACD et Stochastique) indiquent une possible consolidation ou correction technique après la forte hausse récente. Le RSI neutre laisse entrevoir un potentiel de poursuite, mais la prudence est de mise à très court terme.</w:t>
      </w:r>
    </w:p>
    <w:p>
      <w:pPr>
        <w:spacing w:after="120" w:line="276" w:lineRule="auto"/>
      </w:pPr>
      <w:r>
        <w:t>---</w:t>
      </w:r>
    </w:p>
    <w:p>
      <w:pPr>
        <w:spacing w:after="120" w:line="276" w:lineRule="auto"/>
      </w:pPr>
      <w:r>
        <w:t>### PARTIE 3 : ANALYSE FONDAMENTALE (SECTION CRITIQUE)</w:t>
      </w:r>
    </w:p>
    <w:p>
      <w:pPr>
        <w:spacing w:after="120" w:line="276" w:lineRule="auto"/>
      </w:pPr>
      <w:r>
        <w:t>En 2025, CBIBF a démontré une performance financière robuste avec un Produit Net Bancaire (PNB) de 138,986 milliards FCFA, en croissance de 6,1%, et un résultat net de 65,495 milliards FCFA, en progression de 36,6% par rapport à 2024. Cette performance est remarquable, avec une marge nette de 47,1% et un coefficient d'exploitation de 36,4%, témoignant d'une excellente maîtrise des charges et d'une efficacité opérationnelle supérieure à la norme sectorielle (&lt;60%). Le coût du risque s'est significativement amélioré (-59,3% à 16,5 milliards FCFA), reflétant une meilleure qualité du portefeuille de crédits, tandis que les dépôts clients ont bondi de 14,9% à 2 015 milliards FCFA, démontrant une forte confiance des déposants. Le ROA de 2,18% confirme une utilisation efficace des actifs. Les rapports trimestriels de 2025 confirment cette dynamique : le T3 2025 affiche un PNB de 101,3 milliards FCFA (+9,65%) et un résultat net de 52,9 milliards FCFA (+6,25%). Sur la base du rapport T1 2026, qui révèle un PNB de 36,8 milliards FCFA (+28,5%) et un résultat net de 21,5 milliards FCFA (+22,2%), on estime que l'exercice 2026 devrait poursuivre cette croissance soutenue, avec un PNB annuel potentiellement supérieur à 160 milliards FCFA. La banque bénéficie d'une notation financière AA/AI avec perspective stable, et son plan stratégique axé sur l'innovation et la gestion des risques renforce sa position de leader régional. Les risques persistent néanmoins, notamment l'environnement sécuritaire et politique au Burkina Faso, mais la solidité financière et la croissance des dépôts (+37,9% au T1 2026) offrent des perspectives favorables.</w:t>
      </w:r>
    </w:p>
    <w:p>
      <w:pPr>
        <w:spacing w:after="120" w:line="276" w:lineRule="auto"/>
      </w:pPr>
      <w:r>
        <w:t>---</w:t>
      </w:r>
    </w:p>
    <w:p>
      <w:pPr>
        <w:spacing w:after="120" w:line="276" w:lineRule="auto"/>
      </w:pPr>
      <w:r>
        <w:t>### PARTIE 4 : CONCLUSION D'INVESTISSEMENT</w:t>
      </w:r>
    </w:p>
    <w:p>
      <w:pPr>
        <w:spacing w:after="120" w:line="276" w:lineRule="auto"/>
      </w:pPr>
      <w:r>
        <w:t>La synthèse globale de l'analyse de CBIBF révèle une convergence positive entre les fondamentaux et la tendance du marché, bien que des signaux techniques à court terme suggèrent une prudence temporaire. La valorisation (PER de 13,8x, EV/EBITDA de 10,2x) indique que le marché valorise déjà la qualité de la banque, mais le potentiel de croissance justifie cette prime. Le comportement du cours (+102% sur 100 jours) avec une volatilité élevée (42,3%) et une distribution platykurtique reflète un intérêt soutenu mais aussi un risque de retournement. Les signaux techniques sont mitigés : la tendance de fond (MM, Bollinger) reste haussière, mais le MACD et le Stochastique en zone de surachat signalent un essoufflement à court terme. Les fondamentaux sont excellents, avec une croissance du PNB et du résultat net, une amélioration du coût du risque et une collecte de dépôts dynamique. Les prédictions IA (J+1 à J+10) projetant une baisse progressive du cours (de 26 182 à 19 478 FCFA) contredisent la tendance haussière et suggèrent une correction technique probable. Sur la base de cette analyse, nous recommandons une stratégie de **CONSERVER** avec un niveau de confiance **Moyen** et un risque global **Élevé**. L'horizon d'investissement optimal serait le **moyen terme (3-12 mois)**, permettant d'absorber une éventuelle correction à court terme avant de bénéficier de la solidité fondamentale de la banque. Les investisseurs devraient surveiller les niveaux de support autour de 25 000 FCFA pour renforcer leurs positions.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308.33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3,744 titres</w:t>
            </w:r>
          </w:p>
        </w:tc>
        <w:tc>
          <w:tcPr>
            <w:tcW w:type="dxa" w:w="2268"/>
            <w:shd w:fill="FFF2CC" w:val="clear"/>
          </w:tcPr>
          <w:p>
            <w:r>
              <w:rPr>
                <w:b/>
                <w:color w:val="503200"/>
                <w:sz w:val="16"/>
              </w:rPr>
              <w:t xml:space="preserve">Cours actuel : </w:t>
            </w:r>
            <w:r>
              <w:rPr>
                <w:color w:val="000000"/>
                <w:sz w:val="17"/>
              </w:rPr>
              <w:t>1,700 FCFA</w:t>
            </w:r>
          </w:p>
          <w:p>
            <w:r>
              <w:rPr>
                <w:b/>
                <w:color w:val="503200"/>
                <w:sz w:val="16"/>
              </w:rPr>
              <w:t xml:space="preserve">Var. 100 jours : </w:t>
            </w:r>
            <w:r>
              <w:rPr>
                <w:b/>
                <w:color w:val="B40000"/>
                <w:sz w:val="17"/>
              </w:rPr>
              <w:t>-4.23%</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6.48% (Moyenne) — μ=1,608 FCFA, σ=104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β=0.9522 (Neutre (suit le marché)) — Cov=0.000035, Var(idx)=0.000036, ρ=0.185,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3,744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1,568</w:t>
            </w:r>
          </w:p>
        </w:tc>
        <w:tc>
          <w:tcPr>
            <w:tcW w:type="dxa" w:w="1440"/>
            <w:shd w:fill="FFDCE0" w:val="clear"/>
          </w:tcPr>
          <w:p>
            <w:r>
              <w:rPr>
                <w:b/>
                <w:sz w:val="17"/>
              </w:rPr>
              <w:t>1,649</w:t>
            </w:r>
          </w:p>
        </w:tc>
        <w:tc>
          <w:tcPr>
            <w:tcW w:type="dxa" w:w="1440"/>
            <w:shd w:fill="FFDCE0" w:val="clear"/>
          </w:tcPr>
          <w:p>
            <w:r>
              <w:rPr>
                <w:sz w:val="17"/>
              </w:rPr>
              <w:t>1,730</w:t>
            </w:r>
          </w:p>
        </w:tc>
        <w:tc>
          <w:tcPr>
            <w:tcW w:type="dxa" w:w="1440"/>
            <w:shd w:fill="FFDCE0" w:val="clear"/>
          </w:tcPr>
          <w:p>
            <w:r>
              <w:rPr>
                <w:b/>
                <w:color w:val="C00000"/>
                <w:sz w:val="17"/>
              </w:rPr>
              <w:t>-3.0%</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1,515</w:t>
            </w:r>
          </w:p>
        </w:tc>
        <w:tc>
          <w:tcPr>
            <w:tcW w:type="dxa" w:w="1440"/>
            <w:shd w:fill="FFDCE0" w:val="clear"/>
          </w:tcPr>
          <w:p>
            <w:r>
              <w:rPr>
                <w:b/>
                <w:sz w:val="17"/>
              </w:rPr>
              <w:t>1,628</w:t>
            </w:r>
          </w:p>
        </w:tc>
        <w:tc>
          <w:tcPr>
            <w:tcW w:type="dxa" w:w="1440"/>
            <w:shd w:fill="FFDCE0" w:val="clear"/>
          </w:tcPr>
          <w:p>
            <w:r>
              <w:rPr>
                <w:sz w:val="17"/>
              </w:rPr>
              <w:t>1,742</w:t>
            </w:r>
          </w:p>
        </w:tc>
        <w:tc>
          <w:tcPr>
            <w:tcW w:type="dxa" w:w="1440"/>
            <w:shd w:fill="FFDCE0" w:val="clear"/>
          </w:tcPr>
          <w:p>
            <w:r>
              <w:rPr>
                <w:b/>
                <w:color w:val="C00000"/>
                <w:sz w:val="17"/>
              </w:rPr>
              <w:t>-4.2%</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1,468</w:t>
            </w:r>
          </w:p>
        </w:tc>
        <w:tc>
          <w:tcPr>
            <w:tcW w:type="dxa" w:w="1440"/>
            <w:shd w:fill="FFDCE0" w:val="clear"/>
          </w:tcPr>
          <w:p>
            <w:r>
              <w:rPr>
                <w:b/>
                <w:sz w:val="17"/>
              </w:rPr>
              <w:t>1,605</w:t>
            </w:r>
          </w:p>
        </w:tc>
        <w:tc>
          <w:tcPr>
            <w:tcW w:type="dxa" w:w="1440"/>
            <w:shd w:fill="FFDCE0" w:val="clear"/>
          </w:tcPr>
          <w:p>
            <w:r>
              <w:rPr>
                <w:sz w:val="17"/>
              </w:rPr>
              <w:t>1,741</w:t>
            </w:r>
          </w:p>
        </w:tc>
        <w:tc>
          <w:tcPr>
            <w:tcW w:type="dxa" w:w="1440"/>
            <w:shd w:fill="FFDCE0" w:val="clear"/>
          </w:tcPr>
          <w:p>
            <w:r>
              <w:rPr>
                <w:b/>
                <w:color w:val="C00000"/>
                <w:sz w:val="17"/>
              </w:rPr>
              <w:t>-5.6%</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1,426</w:t>
            </w:r>
          </w:p>
        </w:tc>
        <w:tc>
          <w:tcPr>
            <w:tcW w:type="dxa" w:w="1440"/>
            <w:shd w:fill="FFDCE0" w:val="clear"/>
          </w:tcPr>
          <w:p>
            <w:r>
              <w:rPr>
                <w:b/>
                <w:sz w:val="17"/>
              </w:rPr>
              <w:t>1,581</w:t>
            </w:r>
          </w:p>
        </w:tc>
        <w:tc>
          <w:tcPr>
            <w:tcW w:type="dxa" w:w="1440"/>
            <w:shd w:fill="FFDCE0" w:val="clear"/>
          </w:tcPr>
          <w:p>
            <w:r>
              <w:rPr>
                <w:sz w:val="17"/>
              </w:rPr>
              <w:t>1,737</w:t>
            </w:r>
          </w:p>
        </w:tc>
        <w:tc>
          <w:tcPr>
            <w:tcW w:type="dxa" w:w="1440"/>
            <w:shd w:fill="FFDCE0" w:val="clear"/>
          </w:tcPr>
          <w:p>
            <w:r>
              <w:rPr>
                <w:b/>
                <w:color w:val="C00000"/>
                <w:sz w:val="17"/>
              </w:rPr>
              <w:t>-7.0%</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1,387</w:t>
            </w:r>
          </w:p>
        </w:tc>
        <w:tc>
          <w:tcPr>
            <w:tcW w:type="dxa" w:w="1440"/>
            <w:shd w:fill="FFDCE0" w:val="clear"/>
          </w:tcPr>
          <w:p>
            <w:r>
              <w:rPr>
                <w:b/>
                <w:sz w:val="17"/>
              </w:rPr>
              <w:t>1,558</w:t>
            </w:r>
          </w:p>
        </w:tc>
        <w:tc>
          <w:tcPr>
            <w:tcW w:type="dxa" w:w="1440"/>
            <w:shd w:fill="FFDCE0" w:val="clear"/>
          </w:tcPr>
          <w:p>
            <w:r>
              <w:rPr>
                <w:sz w:val="17"/>
              </w:rPr>
              <w:t>1,730</w:t>
            </w:r>
          </w:p>
        </w:tc>
        <w:tc>
          <w:tcPr>
            <w:tcW w:type="dxa" w:w="1440"/>
            <w:shd w:fill="FFDCE0" w:val="clear"/>
          </w:tcPr>
          <w:p>
            <w:r>
              <w:rPr>
                <w:b/>
                <w:color w:val="C00000"/>
                <w:sz w:val="17"/>
              </w:rPr>
              <w:t>-8.3%</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1,351</w:t>
            </w:r>
          </w:p>
        </w:tc>
        <w:tc>
          <w:tcPr>
            <w:tcW w:type="dxa" w:w="1440"/>
            <w:shd w:fill="FFDCE0" w:val="clear"/>
          </w:tcPr>
          <w:p>
            <w:r>
              <w:rPr>
                <w:b/>
                <w:sz w:val="17"/>
              </w:rPr>
              <w:t>1,536</w:t>
            </w:r>
          </w:p>
        </w:tc>
        <w:tc>
          <w:tcPr>
            <w:tcW w:type="dxa" w:w="1440"/>
            <w:shd w:fill="FFDCE0" w:val="clear"/>
          </w:tcPr>
          <w:p>
            <w:r>
              <w:rPr>
                <w:sz w:val="17"/>
              </w:rPr>
              <w:t>1,721</w:t>
            </w:r>
          </w:p>
        </w:tc>
        <w:tc>
          <w:tcPr>
            <w:tcW w:type="dxa" w:w="1440"/>
            <w:shd w:fill="FFDCE0" w:val="clear"/>
          </w:tcPr>
          <w:p>
            <w:r>
              <w:rPr>
                <w:b/>
                <w:color w:val="C00000"/>
                <w:sz w:val="17"/>
              </w:rPr>
              <w:t>-9.7%</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1,317</w:t>
            </w:r>
          </w:p>
        </w:tc>
        <w:tc>
          <w:tcPr>
            <w:tcW w:type="dxa" w:w="1440"/>
            <w:shd w:fill="FFDCE0" w:val="clear"/>
          </w:tcPr>
          <w:p>
            <w:r>
              <w:rPr>
                <w:b/>
                <w:sz w:val="17"/>
              </w:rPr>
              <w:t>1,514</w:t>
            </w:r>
          </w:p>
        </w:tc>
        <w:tc>
          <w:tcPr>
            <w:tcW w:type="dxa" w:w="1440"/>
            <w:shd w:fill="FFDCE0" w:val="clear"/>
          </w:tcPr>
          <w:p>
            <w:r>
              <w:rPr>
                <w:sz w:val="17"/>
              </w:rPr>
              <w:t>1,710</w:t>
            </w:r>
          </w:p>
        </w:tc>
        <w:tc>
          <w:tcPr>
            <w:tcW w:type="dxa" w:w="1440"/>
            <w:shd w:fill="FFDCE0" w:val="clear"/>
          </w:tcPr>
          <w:p>
            <w:r>
              <w:rPr>
                <w:b/>
                <w:color w:val="C00000"/>
                <w:sz w:val="17"/>
              </w:rPr>
              <w:t>-11.0%</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1,285</w:t>
            </w:r>
          </w:p>
        </w:tc>
        <w:tc>
          <w:tcPr>
            <w:tcW w:type="dxa" w:w="1440"/>
            <w:shd w:fill="FFDCE0" w:val="clear"/>
          </w:tcPr>
          <w:p>
            <w:r>
              <w:rPr>
                <w:b/>
                <w:sz w:val="17"/>
              </w:rPr>
              <w:t>1,492</w:t>
            </w:r>
          </w:p>
        </w:tc>
        <w:tc>
          <w:tcPr>
            <w:tcW w:type="dxa" w:w="1440"/>
            <w:shd w:fill="FFDCE0" w:val="clear"/>
          </w:tcPr>
          <w:p>
            <w:r>
              <w:rPr>
                <w:sz w:val="17"/>
              </w:rPr>
              <w:t>1,699</w:t>
            </w:r>
          </w:p>
        </w:tc>
        <w:tc>
          <w:tcPr>
            <w:tcW w:type="dxa" w:w="1440"/>
            <w:shd w:fill="FFDCE0" w:val="clear"/>
          </w:tcPr>
          <w:p>
            <w:r>
              <w:rPr>
                <w:b/>
                <w:color w:val="C00000"/>
                <w:sz w:val="17"/>
              </w:rPr>
              <w:t>-12.2%</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1,254</w:t>
            </w:r>
          </w:p>
        </w:tc>
        <w:tc>
          <w:tcPr>
            <w:tcW w:type="dxa" w:w="1440"/>
            <w:shd w:fill="FFDCE0" w:val="clear"/>
          </w:tcPr>
          <w:p>
            <w:r>
              <w:rPr>
                <w:b/>
                <w:sz w:val="17"/>
              </w:rPr>
              <w:t>1,471</w:t>
            </w:r>
          </w:p>
        </w:tc>
        <w:tc>
          <w:tcPr>
            <w:tcW w:type="dxa" w:w="1440"/>
            <w:shd w:fill="FFDCE0" w:val="clear"/>
          </w:tcPr>
          <w:p>
            <w:r>
              <w:rPr>
                <w:sz w:val="17"/>
              </w:rPr>
              <w:t>1,688</w:t>
            </w:r>
          </w:p>
        </w:tc>
        <w:tc>
          <w:tcPr>
            <w:tcW w:type="dxa" w:w="1440"/>
            <w:shd w:fill="FFDCE0" w:val="clear"/>
          </w:tcPr>
          <w:p>
            <w:r>
              <w:rPr>
                <w:b/>
                <w:color w:val="C00000"/>
                <w:sz w:val="17"/>
              </w:rPr>
              <w:t>-13.5%</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1,225</w:t>
            </w:r>
          </w:p>
        </w:tc>
        <w:tc>
          <w:tcPr>
            <w:tcW w:type="dxa" w:w="1440"/>
            <w:shd w:fill="FFDCE0" w:val="clear"/>
          </w:tcPr>
          <w:p>
            <w:r>
              <w:rPr>
                <w:b/>
                <w:sz w:val="17"/>
              </w:rPr>
              <w:t>1,450</w:t>
            </w:r>
          </w:p>
        </w:tc>
        <w:tc>
          <w:tcPr>
            <w:tcW w:type="dxa" w:w="1440"/>
            <w:shd w:fill="FFDCE0" w:val="clear"/>
          </w:tcPr>
          <w:p>
            <w:r>
              <w:rPr>
                <w:sz w:val="17"/>
              </w:rPr>
              <w:t>1,676</w:t>
            </w:r>
          </w:p>
        </w:tc>
        <w:tc>
          <w:tcPr>
            <w:tcW w:type="dxa" w:w="1440"/>
            <w:shd w:fill="FFDCE0" w:val="clear"/>
          </w:tcPr>
          <w:p>
            <w:r>
              <w:rPr>
                <w:b/>
                <w:color w:val="C00000"/>
                <w:sz w:val="17"/>
              </w:rPr>
              <w:t>-14.7%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CFAC s'établit à 308,33 milliards FCFA, un niveau qui la positionne parmi les valeurs moyennes du compartiment A de la BRVM, reflétant son statut de leader sur le marché automobile ivoirien. Le BPA de 26 FCFA par action est relativement faible, ce qui explique un PER de 65,7x, extrêmement élevé par rapport à la moyenne historique de la BRVM (8-12x). Les investisseurs paient donc une prime considérable pour chaque franc de bénéfice, ce qui suggère des anticipations de croissance très fortes ou une spéculation importante. Le P/B de 15,85x confirme cette cherté, le marché valorisant l'actif net comptable plus de 15 fois au-dessus de sa valeur, un niveau bien supérieur au seuil de 4x considéré comme exigeant. Enfin, l'EV/EBITDA de 33,4x, très supérieur au seuil de 15x, indique que la valeur totale de l'entreprise (capitalisation + dettes) est très élevée par rapport à sa capacité opérationnelle de génération de cash, renforçant le diagnostic d'une valorisation extrêmement tendue.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CFAC affiche une variation totale de -4,23%, avec une légère reprise de +0,59% lors de la dernière séance, clôturant à 1 700 FCFA. Le cours a évolué dans un range de 500 FCFA, entre un plus bas de 1 325 FCFA et un plus haut de 1 825 FCFA, illustrant une volatilité intraday significative. La moyenne (1 608 FCFA) et la médiane (1 605 FCFA) sont très proches, indiquant une distribution des prix relativement symétrique, confirmée par un skewness de -0,326. L'écart-type de 105 FCFA (CV=6,5%) montre une dispersion modérée autour de la moyenne. Le kurtosis de -0,163 (mésokurtique) suggère une absence de queues de distribution épaisses, donc un risque de mouvements extrêmes limité. Cependant, la volatilité annualisée de 49,2% est très élevée (bien au-dessus du seuil de 30%), signalant un titre agité et risqué à court terme, malgré une tendance générale baissière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(1 700 FCFA) se situe au-dessus de la MM20 (1 644,25 FCFA) et de la MM50 (1 647,2 FCFA), ce qui est un signal haussier à court terme. Cependant, la décision globale est "Vente", ce qui suggère que la dynamique positive récente n'est pas suffisante pour inverser une tendance de fond baissière, les moyennes mobiles étant encore orientées à la baisse sur une plus longue période.</w:t>
      </w:r>
    </w:p>
    <w:p>
      <w:pPr>
        <w:spacing w:after="120" w:line="276" w:lineRule="auto"/>
      </w:pPr>
      <w:r>
        <w:t>**Bandes de Bollinger** : Le prix (1 700 FCFA) se positionne dans la partie supérieure du canal, entre la borne inférieure (1 539,5 FCFA) et la borne supérieure (1 748,99 FCFA). Cette position, proche de la borne haute, indique une pression acheteuse récente, mais sans sortie du canal, la décision est "Neutre". La largeur du canal reflète la volatilité élevée du titre.</w:t>
      </w:r>
    </w:p>
    <w:p>
      <w:pPr>
        <w:spacing w:after="120" w:line="276" w:lineRule="auto"/>
      </w:pPr>
      <w:r>
        <w:t>**MACD** : Le MACD (13,681) est supérieur à sa ligne de signal (8,956), avec les deux valeurs en territoire positif. Cette configuration est un signal d'achat classique, indiquant que le momentum haussier à moyen terme est en train de se renforcer, ce qui contraste avec la décision de vente des moyennes mobiles.</w:t>
      </w:r>
    </w:p>
    <w:p>
      <w:pPr>
        <w:spacing w:after="120" w:line="276" w:lineRule="auto"/>
      </w:pPr>
      <w:r>
        <w:t>**RSI** : Le RSI s'établit à 60,64, en zone neutre (30-70). Il n'est ni suracheté ni survendu, ce qui laisse de la place pour une poursuite du mouvement haussier sans risque immédiat de retournement. La décision est "Neutre", mais la valeur penche vers un biais haussier.</w:t>
      </w:r>
    </w:p>
    <w:p>
      <w:pPr>
        <w:spacing w:after="120" w:line="276" w:lineRule="auto"/>
      </w:pPr>
      <w:r>
        <w:t>**Stochastique** : Le %K (100,0) et le %D (93,889) sont tous deux à des niveaux extrêmement élevés, en zone de surachat. Cette configuration indique que le titre est survendu à court terme et qu'un repli technique est probable. La décision est "Vente".</w:t>
      </w:r>
    </w:p>
    <w:p>
      <w:pPr>
        <w:spacing w:after="120" w:line="276" w:lineRule="auto"/>
      </w:pPr>
      <w:r>
        <w:t>**Conclusion technique** : Les indicateurs sont mitigés. Le MACD et la position du cours au-dessus des MM20/50 plaident pour un biais haussier, mais le Stochastique en surachat extrême et la décision de vente des moyennes mobiles suggèrent un risque de correction à très court terme. La prudence est de mise, le titre semblant chercher une direction après une période de consolidation.</w:t>
      </w:r>
    </w:p>
    <w:p>
      <w:pPr>
        <w:spacing w:after="120" w:line="276" w:lineRule="auto"/>
      </w:pPr>
      <w:r>
        <w:t>---</w:t>
      </w:r>
    </w:p>
    <w:p>
      <w:pPr>
        <w:spacing w:after="120" w:line="276" w:lineRule="auto"/>
      </w:pPr>
      <w:r>
        <w:t>### PARTIE 3 : ANALYSE FONDAMENTALE (SECTION CRITIQUE)</w:t>
      </w:r>
    </w:p>
    <w:p>
      <w:pPr>
        <w:spacing w:after="120" w:line="276" w:lineRule="auto"/>
      </w:pPr>
      <w:r>
        <w:t>En 2024, selon les données structurées, CFAC a réalisé un chiffre d'affaires de 158,313 milliards FCFA, en baisse de -12,1% par rapport à 2023, avec un résultat net de 4,693 milliards FCFA (-26,7%). La rentabilité reste solide avec un ROE de 24,1% et un ROA de 5,5%, mais la marge nette s'est contractée à 2,96%. Le BFR est négatif (-3,482 milliards FCFA), ce qui est favorable, mais le délai de paiement des clients (36,64 jours) et la durée de stockage (88,35 jours) pèsent sur la trésorerie. La structure financière montre une dépendance élevée aux dettes fournisseurs (35,95 milliards FCFA). Les rapports trimestriels de 2025 (datés de 2025) indiquent un net redressement : au T1 2025, le CA a progressé de +14,5% et le résultat net a bondi de +279,7% ; au S1 2025, la croissance du CA est de +18,4% et le résultat net de +152,7%, avec une marge nette passant à 5,9%. Le rapport du T3 2025 confirme cette dynamique avec un CA en hausse de +18,3% et un résultat net en progression de +38,1%. Sur la base de ces performances, on estime que l'exercice 2025 devrait clôturer sur une croissance à deux chiffres du CA et une forte amélioration de la rentabilité, revenant à des niveaux proches de ceux de 2022. La société, leader avec 43,4% de parts de marché, bénéficie d'une dynamique commerciale positive, mais la valorisation actuelle intègre déjà ces perspectives.</w:t>
      </w:r>
    </w:p>
    <w:p>
      <w:pPr>
        <w:spacing w:after="120" w:line="276" w:lineRule="auto"/>
      </w:pPr>
      <w:r>
        <w:t>---</w:t>
      </w:r>
    </w:p>
    <w:p>
      <w:pPr>
        <w:spacing w:after="120" w:line="276" w:lineRule="auto"/>
      </w:pPr>
      <w:r>
        <w:t>### PARTIE 4 : CONCLUSION D'INVESTISSEMENT</w:t>
      </w:r>
    </w:p>
    <w:p>
      <w:pPr>
        <w:spacing w:after="120" w:line="276" w:lineRule="auto"/>
      </w:pPr>
      <w:r>
        <w:t>La valorisation de CFAC est extrêmement exigeante (PER 65,7x, P/B 15,85x), signalant une surévaluation relative par rapport aux fondamentaux historiques, malgré des ratios de rentabilité (ROE &gt; 24%) excellents. Le comportement du cours sur 100 jours est baissier (-4,23%) avec une volatilité très élevée (49,2%), mais les statistiques descriptives montrent une distribution stable. Les signaux techniques sont mitigés : le MACD est haussier, mais le Stochastique est en surachat et les moyennes mobiles sont vendeuses, suggérant une possible consolidation à court terme. Les fondamentaux, bien qu'en amélioration nette en 2025 (croissance du CA et du résultat net attendue), ne justifient pas pleinement une telle prime boursière. Les prédictions IA (baisse de 1 649 à 1 558 FCFA sur 10 jours) confirment le scénario d'une correction technique. En synthèse, la convergence des signaux (valorisation chère, technique mitigée, prédiction baissière) contrebalance les fondamentaux solides. Nous recommandons donc une position **CONSERVER** avec un niveau de confiance **Moyen**. Le risque global est **Élevé** en raison de la volatilité et de la cherté du titre. L'horizon d'investissement optimal serait de **moyen terme (3-12 mois)** pour laisser le temps aux fondamentaux de rattraper la valorisation, tout en surveillant une possible correction à court terme.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281.12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6,452 titres</w:t>
            </w:r>
          </w:p>
        </w:tc>
        <w:tc>
          <w:tcPr>
            <w:tcW w:type="dxa" w:w="2268"/>
            <w:shd w:fill="FFF2CC" w:val="clear"/>
          </w:tcPr>
          <w:p>
            <w:r>
              <w:rPr>
                <w:b/>
                <w:color w:val="503200"/>
                <w:sz w:val="16"/>
              </w:rPr>
              <w:t xml:space="preserve">Cours actuel : </w:t>
            </w:r>
            <w:r>
              <w:rPr>
                <w:color w:val="000000"/>
                <w:sz w:val="17"/>
              </w:rPr>
              <w:t>5,020 FCFA</w:t>
            </w:r>
          </w:p>
          <w:p>
            <w:r>
              <w:rPr>
                <w:b/>
                <w:color w:val="503200"/>
                <w:sz w:val="16"/>
              </w:rPr>
              <w:t xml:space="preserve">Var. 100 jours : </w:t>
            </w:r>
            <w:r>
              <w:rPr>
                <w:b/>
                <w:color w:val="007800"/>
                <w:sz w:val="17"/>
              </w:rPr>
              <w:t>+52.12%</w:t>
            </w:r>
          </w:p>
          <w:p>
            <w:r>
              <w:rPr>
                <w:b/>
                <w:color w:val="503200"/>
                <w:sz w:val="16"/>
              </w:rPr>
              <w:t xml:space="preserve">Plus haut 100j : </w:t>
            </w:r>
            <w:r>
              <w:rPr>
                <w:color w:val="000000"/>
                <w:sz w:val="17"/>
              </w:rPr>
              <w:t>5,485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22.09% (Élevée) — μ=4,194 FCFA, σ=926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β=0.7896 (Défensif) — Cov=0.000029, Var(idx)=0.000036, ρ=0.163,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6,452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σ_j=2.92%/j (Stable) — Vol. annualisée≈46.3%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4,454</w:t>
            </w:r>
          </w:p>
        </w:tc>
        <w:tc>
          <w:tcPr>
            <w:tcW w:type="dxa" w:w="1440"/>
            <w:shd w:fill="FFDCE0" w:val="clear"/>
          </w:tcPr>
          <w:p>
            <w:r>
              <w:rPr>
                <w:b/>
                <w:sz w:val="17"/>
              </w:rPr>
              <w:t>4,644</w:t>
            </w:r>
          </w:p>
        </w:tc>
        <w:tc>
          <w:tcPr>
            <w:tcW w:type="dxa" w:w="1440"/>
            <w:shd w:fill="FFDCE0" w:val="clear"/>
          </w:tcPr>
          <w:p>
            <w:r>
              <w:rPr>
                <w:sz w:val="17"/>
              </w:rPr>
              <w:t>4,833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4,048</w:t>
            </w:r>
          </w:p>
        </w:tc>
        <w:tc>
          <w:tcPr>
            <w:tcW w:type="dxa" w:w="1440"/>
            <w:shd w:fill="FFDCE0" w:val="clear"/>
          </w:tcPr>
          <w:p>
            <w:r>
              <w:rPr>
                <w:b/>
                <w:sz w:val="17"/>
              </w:rPr>
              <w:t>4,295</w:t>
            </w:r>
          </w:p>
        </w:tc>
        <w:tc>
          <w:tcPr>
            <w:tcW w:type="dxa" w:w="1440"/>
            <w:shd w:fill="FFDCE0" w:val="clear"/>
          </w:tcPr>
          <w:p>
            <w:r>
              <w:rPr>
                <w:sz w:val="17"/>
              </w:rPr>
              <w:t>4,543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3,693</w:t>
            </w:r>
          </w:p>
        </w:tc>
        <w:tc>
          <w:tcPr>
            <w:tcW w:type="dxa" w:w="1440"/>
            <w:shd w:fill="FFDCE0" w:val="clear"/>
          </w:tcPr>
          <w:p>
            <w:r>
              <w:rPr>
                <w:b/>
                <w:sz w:val="17"/>
              </w:rPr>
              <w:t>3,973</w:t>
            </w:r>
          </w:p>
        </w:tc>
        <w:tc>
          <w:tcPr>
            <w:tcW w:type="dxa" w:w="1440"/>
            <w:shd w:fill="FFDCE0" w:val="clear"/>
          </w:tcPr>
          <w:p>
            <w:r>
              <w:rPr>
                <w:sz w:val="17"/>
              </w:rPr>
              <w:t>4,253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3,376</w:t>
            </w:r>
          </w:p>
        </w:tc>
        <w:tc>
          <w:tcPr>
            <w:tcW w:type="dxa" w:w="1440"/>
            <w:shd w:fill="FFDCE0" w:val="clear"/>
          </w:tcPr>
          <w:p>
            <w:r>
              <w:rPr>
                <w:b/>
                <w:sz w:val="17"/>
              </w:rPr>
              <w:t>3,675</w:t>
            </w:r>
          </w:p>
        </w:tc>
        <w:tc>
          <w:tcPr>
            <w:tcW w:type="dxa" w:w="1440"/>
            <w:shd w:fill="FFDCE0" w:val="clear"/>
          </w:tcPr>
          <w:p>
            <w:r>
              <w:rPr>
                <w:sz w:val="17"/>
              </w:rPr>
              <w:t>3,974</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3,213</w:t>
            </w:r>
          </w:p>
        </w:tc>
        <w:tc>
          <w:tcPr>
            <w:tcW w:type="dxa" w:w="1440"/>
            <w:shd w:fill="FFDCE0" w:val="clear"/>
          </w:tcPr>
          <w:p>
            <w:r>
              <w:rPr>
                <w:b/>
                <w:sz w:val="17"/>
              </w:rPr>
              <w:t>3,535</w:t>
            </w:r>
          </w:p>
        </w:tc>
        <w:tc>
          <w:tcPr>
            <w:tcW w:type="dxa" w:w="1440"/>
            <w:shd w:fill="FFDCE0" w:val="clear"/>
          </w:tcPr>
          <w:p>
            <w:r>
              <w:rPr>
                <w:sz w:val="17"/>
              </w:rPr>
              <w:t>3,857</w:t>
            </w:r>
          </w:p>
        </w:tc>
        <w:tc>
          <w:tcPr>
            <w:tcW w:type="dxa" w:w="1440"/>
            <w:shd w:fill="FFDCE0" w:val="clear"/>
          </w:tcPr>
          <w:p>
            <w:r>
              <w:rPr>
                <w:b/>
                <w:color w:val="C00000"/>
                <w:sz w:val="17"/>
              </w:rPr>
              <w:t>-29.6%</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3,100</w:t>
            </w:r>
          </w:p>
        </w:tc>
        <w:tc>
          <w:tcPr>
            <w:tcW w:type="dxa" w:w="1440"/>
            <w:shd w:fill="FFDCE0" w:val="clear"/>
          </w:tcPr>
          <w:p>
            <w:r>
              <w:rPr>
                <w:b/>
                <w:sz w:val="17"/>
              </w:rPr>
              <w:t>3,444</w:t>
            </w:r>
          </w:p>
        </w:tc>
        <w:tc>
          <w:tcPr>
            <w:tcW w:type="dxa" w:w="1440"/>
            <w:shd w:fill="FFDCE0" w:val="clear"/>
          </w:tcPr>
          <w:p>
            <w:r>
              <w:rPr>
                <w:sz w:val="17"/>
              </w:rPr>
              <w:t>3,788</w:t>
            </w:r>
          </w:p>
        </w:tc>
        <w:tc>
          <w:tcPr>
            <w:tcW w:type="dxa" w:w="1440"/>
            <w:shd w:fill="FFDCE0" w:val="clear"/>
          </w:tcPr>
          <w:p>
            <w:r>
              <w:rPr>
                <w:b/>
                <w:color w:val="C00000"/>
                <w:sz w:val="17"/>
              </w:rPr>
              <w:t>-31.4%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3,001</w:t>
            </w:r>
          </w:p>
        </w:tc>
        <w:tc>
          <w:tcPr>
            <w:tcW w:type="dxa" w:w="1440"/>
            <w:shd w:fill="FFDCE0" w:val="clear"/>
          </w:tcPr>
          <w:p>
            <w:r>
              <w:rPr>
                <w:b/>
                <w:sz w:val="17"/>
              </w:rPr>
              <w:t>3,363</w:t>
            </w:r>
          </w:p>
        </w:tc>
        <w:tc>
          <w:tcPr>
            <w:tcW w:type="dxa" w:w="1440"/>
            <w:shd w:fill="FFDCE0" w:val="clear"/>
          </w:tcPr>
          <w:p>
            <w:r>
              <w:rPr>
                <w:sz w:val="17"/>
              </w:rPr>
              <w:t>3,726</w:t>
            </w:r>
          </w:p>
        </w:tc>
        <w:tc>
          <w:tcPr>
            <w:tcW w:type="dxa" w:w="1440"/>
            <w:shd w:fill="FFDCE0" w:val="clear"/>
          </w:tcPr>
          <w:p>
            <w:r>
              <w:rPr>
                <w:b/>
                <w:color w:val="C00000"/>
                <w:sz w:val="17"/>
              </w:rPr>
              <w:t>-33.0%</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2,911</w:t>
            </w:r>
          </w:p>
        </w:tc>
        <w:tc>
          <w:tcPr>
            <w:tcW w:type="dxa" w:w="1440"/>
            <w:shd w:fill="FFDCE0" w:val="clear"/>
          </w:tcPr>
          <w:p>
            <w:r>
              <w:rPr>
                <w:b/>
                <w:sz w:val="17"/>
              </w:rPr>
              <w:t>3,291</w:t>
            </w:r>
          </w:p>
        </w:tc>
        <w:tc>
          <w:tcPr>
            <w:tcW w:type="dxa" w:w="1440"/>
            <w:shd w:fill="FFDCE0" w:val="clear"/>
          </w:tcPr>
          <w:p>
            <w:r>
              <w:rPr>
                <w:sz w:val="17"/>
              </w:rPr>
              <w:t>3,670</w:t>
            </w:r>
          </w:p>
        </w:tc>
        <w:tc>
          <w:tcPr>
            <w:tcW w:type="dxa" w:w="1440"/>
            <w:shd w:fill="FFDCE0" w:val="clear"/>
          </w:tcPr>
          <w:p>
            <w:r>
              <w:rPr>
                <w:b/>
                <w:color w:val="C00000"/>
                <w:sz w:val="17"/>
              </w:rPr>
              <w:t>-34.5%</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2,831</w:t>
            </w:r>
          </w:p>
        </w:tc>
        <w:tc>
          <w:tcPr>
            <w:tcW w:type="dxa" w:w="1440"/>
            <w:shd w:fill="FFDCE0" w:val="clear"/>
          </w:tcPr>
          <w:p>
            <w:r>
              <w:rPr>
                <w:b/>
                <w:sz w:val="17"/>
              </w:rPr>
              <w:t>3,225</w:t>
            </w:r>
          </w:p>
        </w:tc>
        <w:tc>
          <w:tcPr>
            <w:tcW w:type="dxa" w:w="1440"/>
            <w:shd w:fill="FFDCE0" w:val="clear"/>
          </w:tcPr>
          <w:p>
            <w:r>
              <w:rPr>
                <w:sz w:val="17"/>
              </w:rPr>
              <w:t>3,619</w:t>
            </w:r>
          </w:p>
        </w:tc>
        <w:tc>
          <w:tcPr>
            <w:tcW w:type="dxa" w:w="1440"/>
            <w:shd w:fill="FFDCE0" w:val="clear"/>
          </w:tcPr>
          <w:p>
            <w:r>
              <w:rPr>
                <w:b/>
                <w:color w:val="C00000"/>
                <w:sz w:val="17"/>
              </w:rPr>
              <w:t>-35.8%</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2,758</w:t>
            </w:r>
          </w:p>
        </w:tc>
        <w:tc>
          <w:tcPr>
            <w:tcW w:type="dxa" w:w="1440"/>
            <w:shd w:fill="FFDCE0" w:val="clear"/>
          </w:tcPr>
          <w:p>
            <w:r>
              <w:rPr>
                <w:b/>
                <w:sz w:val="17"/>
              </w:rPr>
              <w:t>3,166</w:t>
            </w:r>
          </w:p>
        </w:tc>
        <w:tc>
          <w:tcPr>
            <w:tcW w:type="dxa" w:w="1440"/>
            <w:shd w:fill="FFDCE0" w:val="clear"/>
          </w:tcPr>
          <w:p>
            <w:r>
              <w:rPr>
                <w:sz w:val="17"/>
              </w:rPr>
              <w:t>3,574</w:t>
            </w:r>
          </w:p>
        </w:tc>
        <w:tc>
          <w:tcPr>
            <w:tcW w:type="dxa" w:w="1440"/>
            <w:shd w:fill="FFDCE0" w:val="clear"/>
          </w:tcPr>
          <w:p>
            <w:r>
              <w:rPr>
                <w:b/>
                <w:color w:val="C00000"/>
                <w:sz w:val="17"/>
              </w:rPr>
              <w:t>-36.9%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Absolument. Voici le rapport d'analyse financière structuré pour l'action CIEC, basé sur les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CIEC s'établit à 281,12 milliards FCFA, un niveau significatif qui la positionne comme une valeur de premier plan sur la BRVM, reflétant son rôle stratégique dans le secteur électrique ivoirien. Avec un BPA de 234 FCFA, le marché valorise la société à un PER de 21,4x, un niveau nettement supérieur à la moyenne historique de la BRVM (8-12x). Cette prime suggère que les investisseurs anticipent une croissance future des bénéfices, mais elle rend le titre exigeant en termes de valorisation. Le P/B de 7,82x confirme cette forte prime, le marché valorisant l'actif net de la société bien au-delà de sa valeur comptable. L'EV/EBITDA de 12,6x, bien que dans la fourchette haute (10-15x), indique que la valeur totale de l'entreprise (capitalisation + dette nette) reste cohérente avec sa capacité opérationnelle à générer des flux, mais sans marge de sécurité significative.</w:t>
      </w:r>
    </w:p>
    <w:p>
      <w:pPr>
        <w:spacing w:after="120" w:line="276" w:lineRule="auto"/>
      </w:pPr>
      <w:r>
        <w:t>### **PARTIE 1 : ANALYSE DU COURS — STATISTIQUES ET ÉVOLUTION (100 derniers jours)**</w:t>
      </w:r>
    </w:p>
    <w:p>
      <w:pPr>
        <w:spacing w:after="120" w:line="276" w:lineRule="auto"/>
      </w:pPr>
      <w:r>
        <w:t>Sur les 100 derniers jours, le titre CIEC a affiché une performance exceptionnelle avec une variation totale de +52,12%, passant d'un plus bas de 3,000 FCFA à un plus haut de 5,485 FCFA. La dernière séance confirme cette dynamique avec une légère progression de +0,40% à 5,020 FCFA. La moyenne du cours sur la période (4,194 FCFA) est très proche de la médiane (4,102 FCFA), et le skewness de 0,025 indique une distribution quasi symétrique, suggérant une évolution équilibrée sans extrêmes marqués. Cependant, l'écart-type de 931 FCFA (CV=22,2%) révèle une dispersion notable des prix. Le kurtosis de -1,833 (platykurtique) signifie que le cours a eu tendance à éviter les mouvements extrêmes, avec une distribution plus aplatie que la normale. La volatilité annualisée de 46,3% classe le titre comme très volatil (&gt;30%), ce qui représente un risque élevé pour les investisseurs, mais aussi un potentiel de rendement important.</w:t>
      </w:r>
    </w:p>
    <w:p>
      <w:pPr>
        <w:spacing w:after="120" w:line="276" w:lineRule="auto"/>
      </w:pPr>
      <w:r>
        <w:t>### **PARTIE 2 : ANALYSE TECHNIQUE DÉTAILLÉE**</w:t>
      </w:r>
    </w:p>
    <w:p>
      <w:pPr>
        <w:spacing w:after="120" w:line="276" w:lineRule="auto"/>
      </w:pPr>
      <w:r>
        <w:t>**Moyennes Mobiles** : Le cours actuel (5,020 FCFA) est inférieur à la MM20 (5,150.5 FCFA) mais supérieur à la MM50 (5,087.2 FCFA). Cette configuration, avec un signal d'achat global, suggère une tendance haussière de moyen terme, mais un léger repli à court terme. Le croisement potentiel de la MM20 sous la MM50 serait un signal de retournement baissier à surveiller.</w:t>
      </w:r>
    </w:p>
    <w:p>
      <w:pPr>
        <w:spacing w:after="120" w:line="276" w:lineRule="auto"/>
      </w:pPr>
      <w:r>
        <w:t>**Bandes de Bollinger** : Le prix se situe à 5,020 FCFA, dans la partie inférieure de la bande (4,865.5 - 5,435.5 FCFA). Cette position indique une pression vendeuse à court terme, mais sans sortie des bandes, ce qui justifie une décision neutre. La largeur des bandes reflète la volatilité élevée du titre.</w:t>
      </w:r>
    </w:p>
    <w:p>
      <w:pPr>
        <w:spacing w:after="120" w:line="276" w:lineRule="auto"/>
      </w:pPr>
      <w:r>
        <w:t>**MACD** : Le MACD (-8.729) est passé sous sa ligne de signal (36.177), formant un croisement baissier. Cette divergence négative indique un affaiblissement du momentum haussier et une dynamique de prix négative à court terme, justifiant la décision de vente.</w:t>
      </w:r>
    </w:p>
    <w:p>
      <w:pPr>
        <w:spacing w:after="120" w:line="276" w:lineRule="auto"/>
      </w:pPr>
      <w:r>
        <w:t>**RSI** : À 42.616, le RSI se situe dans la zone neutre (30-70), indiquant que le titre n'est ni suracheté ni survendu. Il y a de la place pour un mouvement dans les deux sens, mais la valeur suggère une perte de momentum haussier, d'où la décision neutre.</w:t>
      </w:r>
    </w:p>
    <w:p>
      <w:pPr>
        <w:spacing w:after="120" w:line="276" w:lineRule="auto"/>
      </w:pPr>
      <w:r>
        <w:t>**Stochastique** : Le %K (6.329) est très bas et sous le %D (8.717), ce qui place le titre en zone de survente profonde. Ce croisement baissier, couplé à des niveaux extrêmes, suggère un potentiel de rebond technique imminent, justifiant la décision d'achat.</w:t>
      </w:r>
    </w:p>
    <w:p>
      <w:pPr>
        <w:spacing w:after="120" w:line="276" w:lineRule="auto"/>
      </w:pPr>
      <w:r>
        <w:t>**Conclusion technique** : Les indicateurs sont mitigés. Les moyennes mobiles et le stochastique suggèrent un potentiel de rebond à court terme, tandis que le MACD et la position sous la MM20 indiquent une pression baissière. Le RSI neutre et les bandes de Bollinger sans signal fort confirment une phase de consolidation. Le signal global est donc neutre, avec un biais de prudence à court terme.</w:t>
      </w:r>
    </w:p>
    <w:p>
      <w:pPr>
        <w:spacing w:after="120" w:line="276" w:lineRule="auto"/>
      </w:pPr>
      <w:r>
        <w:t>### **PARTIE 3 : ANALYSE FONDAMENTALE (SECTION CRITIQUE)**</w:t>
      </w:r>
    </w:p>
    <w:p>
      <w:pPr>
        <w:spacing w:after="120" w:line="276" w:lineRule="auto"/>
      </w:pPr>
      <w:r>
        <w:t>En 2025, la CIEC affiche des performances financières solides. Le chiffre d'affaires s'établit à 302,320 milliards FCFA, en hausse de 14,8% par rapport à 2024 (263,294 Mds FCFA), comme le confirment les rapports annuels. Le résultat net progresse de manière significative pour atteindre 13,127 milliards FCFA, contre 10,526 milliards en 2024, soit une amélioration de la rentabilité. Cette performance se traduit par un ROE exceptionnel de 36,5%, bien au-dessus du seuil de 15% jugé excellent, et un ROA de 0,65%. En tant qu'entreprise, l'analyse des délais d'exploitation est cruciale : le délai de paiement des clients est très élevé (164 jours), ce qui représente un risque de trésorerie important, mais il est compensé par un délai de paiement des fournisseurs encore plus long (970 jours) et un BFR négatif de -90,244 milliards FCFA, une situation très favorable qui finance le cycle d'exploitation. Le rapport de gestion de 2025 souligne une croissance des ventes d'énergie de 8,3% et une expansion de la base clientèle de 15,1%. Sur la base du rapport du 1er semestre 2025 (CA de 134,9 Mds, +18,85%), on estime que la dynamique de croissance s'est poursuivie au second semestre, bien que le rythme puisse légèrement ralentir. La politique de dividende est très généreuse avec un DPA de 234 FCFA, représentant un taux de distribution de 99,8% du résultat net, ce qui démontre une volonté de rémunérer les actionnaires mais limite l'autofinancement. La solidité financière est toutefois à nuancer par un endettement élevé (ratio d'endettement de 612,9%) et une dépendance financière de 98,2%, bien que la solvabilité générale reste positive (101,8%).</w:t>
      </w:r>
    </w:p>
    <w:p>
      <w:pPr>
        <w:spacing w:after="120" w:line="276" w:lineRule="auto"/>
      </w:pPr>
      <w:r>
        <w:t>### **PARTIE 4 : CONCLUSION D'INVESTISSEMENT**</w:t>
      </w:r>
    </w:p>
    <w:p>
      <w:pPr>
        <w:spacing w:after="120" w:line="276" w:lineRule="auto"/>
      </w:pPr>
      <w:r>
        <w:t>La valorisation actuelle de la CIEC (PER de 21,4x, P/B de 7,82x) est exigeante et intègre des attentes de croissance élevées, ce qui laisse peu de marge d'erreur. Le comportement du cours sur 100 jours est très positif (+52,12%), mais la volatilité extrême (46,3%) et les statistiques (kurtosis platykurtique) suggèrent un risque de retournement. Les signaux techniques sont mitigés, avec un MACD vendeur et une pression baissière à court terme, contrebalancés par un stochastique en survente qui pourrait déclencher un rebond. Les fondamentaux sont solides, avec une croissance soutenue du CA et du résultat net, un ROE excellent et une politique de dividende attractive, mais la structure financière est fragile avec un endettement massif et un risque de crédit client élevé. Les prédictions IA pour les 10 prochains jours (chute de 5,020 à 3,535 FCFA) confirment les signaux techniques baissiers à court terme et suggèrent une correction significative. La convergence des signaux techniques baissiers et des prédictions IA, malgré des fondamentaux solides, conduit à une recommandation de **CONSERVER** pour les investisseurs existants, avec un niveau de confiance **Moyen** et un risque global **Élevé**. L'horizon d'investissement optimal serait à **moyen terme (3-12 mois)**, en attendant une stabilisation du cours et une meilleure visibilité sur la gestion du risque de crédit et de l'endettement. Un point d'entrée plus attractif pourrait se présenter après la correction anticipée.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891.82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3,357 titres</w:t>
            </w:r>
          </w:p>
        </w:tc>
        <w:tc>
          <w:tcPr>
            <w:tcW w:type="dxa" w:w="2268"/>
            <w:shd w:fill="FFF2CC" w:val="clear"/>
          </w:tcPr>
          <w:p>
            <w:r>
              <w:rPr>
                <w:b/>
                <w:color w:val="503200"/>
                <w:sz w:val="16"/>
              </w:rPr>
              <w:t xml:space="preserve">Cours actuel : </w:t>
            </w:r>
            <w:r>
              <w:rPr>
                <w:color w:val="000000"/>
                <w:sz w:val="17"/>
              </w:rPr>
              <w:t>16,200 FCFA</w:t>
            </w:r>
          </w:p>
          <w:p>
            <w:r>
              <w:rPr>
                <w:b/>
                <w:color w:val="503200"/>
                <w:sz w:val="16"/>
              </w:rPr>
              <w:t xml:space="preserve">Var. 100 jours : </w:t>
            </w:r>
            <w:r>
              <w:rPr>
                <w:b/>
                <w:color w:val="B40000"/>
                <w:sz w:val="17"/>
              </w:rPr>
              <w:t>-1.22%</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2.11% (Faible) — μ=16,331 FCFA, σ=345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β=0.3399 (Défensif) — Cov=0.000012, Var(idx)=0.000036, ρ=0.121,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σ_j=1.69%/j (Stable) — Vol. annualisée≈26.8%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15,621</w:t>
            </w:r>
          </w:p>
        </w:tc>
        <w:tc>
          <w:tcPr>
            <w:tcW w:type="dxa" w:w="1440"/>
            <w:shd w:fill="FAFAFA" w:val="clear"/>
          </w:tcPr>
          <w:p>
            <w:r>
              <w:rPr>
                <w:b/>
                <w:sz w:val="17"/>
              </w:rPr>
              <w:t>16,105</w:t>
            </w:r>
          </w:p>
        </w:tc>
        <w:tc>
          <w:tcPr>
            <w:tcW w:type="dxa" w:w="1440"/>
            <w:shd w:fill="FAFAFA" w:val="clear"/>
          </w:tcPr>
          <w:p>
            <w:r>
              <w:rPr>
                <w:sz w:val="17"/>
              </w:rPr>
              <w:t>16,588</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15,415</w:t>
            </w:r>
          </w:p>
        </w:tc>
        <w:tc>
          <w:tcPr>
            <w:tcW w:type="dxa" w:w="1440"/>
            <w:shd w:fill="FAFAFA" w:val="clear"/>
          </w:tcPr>
          <w:p>
            <w:r>
              <w:rPr>
                <w:b/>
                <w:sz w:val="17"/>
              </w:rPr>
              <w:t>16,099</w:t>
            </w:r>
          </w:p>
        </w:tc>
        <w:tc>
          <w:tcPr>
            <w:tcW w:type="dxa" w:w="1440"/>
            <w:shd w:fill="FAFAFA" w:val="clear"/>
          </w:tcPr>
          <w:p>
            <w:r>
              <w:rPr>
                <w:sz w:val="17"/>
              </w:rPr>
              <w:t>16,782</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15,249</w:t>
            </w:r>
          </w:p>
        </w:tc>
        <w:tc>
          <w:tcPr>
            <w:tcW w:type="dxa" w:w="1440"/>
            <w:shd w:fill="FAFAFA" w:val="clear"/>
          </w:tcPr>
          <w:p>
            <w:r>
              <w:rPr>
                <w:b/>
                <w:sz w:val="17"/>
              </w:rPr>
              <w:t>16,086</w:t>
            </w:r>
          </w:p>
        </w:tc>
        <w:tc>
          <w:tcPr>
            <w:tcW w:type="dxa" w:w="1440"/>
            <w:shd w:fill="FAFAFA" w:val="clear"/>
          </w:tcPr>
          <w:p>
            <w:r>
              <w:rPr>
                <w:sz w:val="17"/>
              </w:rPr>
              <w:t>16,922</w:t>
            </w:r>
          </w:p>
        </w:tc>
        <w:tc>
          <w:tcPr>
            <w:tcW w:type="dxa" w:w="1440"/>
            <w:shd w:fill="FAFAFA" w:val="clear"/>
          </w:tcPr>
          <w:p>
            <w:r>
              <w:rPr>
                <w:b/>
                <w:color w:val="C00000"/>
                <w:sz w:val="17"/>
              </w:rPr>
              <w:t>-0.7%</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15,107</w:t>
            </w:r>
          </w:p>
        </w:tc>
        <w:tc>
          <w:tcPr>
            <w:tcW w:type="dxa" w:w="1440"/>
            <w:shd w:fill="FAFAFA" w:val="clear"/>
          </w:tcPr>
          <w:p>
            <w:r>
              <w:rPr>
                <w:b/>
                <w:sz w:val="17"/>
              </w:rPr>
              <w:t>16,073</w:t>
            </w:r>
          </w:p>
        </w:tc>
        <w:tc>
          <w:tcPr>
            <w:tcW w:type="dxa" w:w="1440"/>
            <w:shd w:fill="FAFAFA" w:val="clear"/>
          </w:tcPr>
          <w:p>
            <w:r>
              <w:rPr>
                <w:sz w:val="17"/>
              </w:rPr>
              <w:t>17,038</w:t>
            </w:r>
          </w:p>
        </w:tc>
        <w:tc>
          <w:tcPr>
            <w:tcW w:type="dxa" w:w="1440"/>
            <w:shd w:fill="FAFAFA" w:val="clear"/>
          </w:tcPr>
          <w:p>
            <w:r>
              <w:rPr>
                <w:b/>
                <w:color w:val="C00000"/>
                <w:sz w:val="17"/>
              </w:rPr>
              <w:t>-0.8%</w:t>
            </w:r>
          </w:p>
        </w:tc>
      </w:tr>
      <w:tr>
        <w:tc>
          <w:tcPr>
            <w:tcW w:type="dxa" w:w="1440"/>
            <w:shd w:fill="FAFAFA" w:val="clear"/>
          </w:tcPr>
          <w:p>
            <w:r>
              <w:rPr>
                <w:sz w:val="17"/>
              </w:rPr>
              <w:t>J+5  Moyenne</w:t>
            </w:r>
          </w:p>
        </w:tc>
        <w:tc>
          <w:tcPr>
            <w:tcW w:type="dxa" w:w="1440"/>
            <w:shd w:fill="FAFAFA" w:val="clear"/>
          </w:tcPr>
          <w:p>
            <w:r>
              <w:rPr>
                <w:sz w:val="17"/>
              </w:rPr>
              <w:t>2026-08-14</w:t>
            </w:r>
          </w:p>
        </w:tc>
        <w:tc>
          <w:tcPr>
            <w:tcW w:type="dxa" w:w="1440"/>
            <w:shd w:fill="FAFAFA" w:val="clear"/>
          </w:tcPr>
          <w:p>
            <w:r>
              <w:rPr>
                <w:sz w:val="17"/>
              </w:rPr>
              <w:t>14,981</w:t>
            </w:r>
          </w:p>
        </w:tc>
        <w:tc>
          <w:tcPr>
            <w:tcW w:type="dxa" w:w="1440"/>
            <w:shd w:fill="FAFAFA" w:val="clear"/>
          </w:tcPr>
          <w:p>
            <w:r>
              <w:rPr>
                <w:b/>
                <w:sz w:val="17"/>
              </w:rPr>
              <w:t>16,060</w:t>
            </w:r>
          </w:p>
        </w:tc>
        <w:tc>
          <w:tcPr>
            <w:tcW w:type="dxa" w:w="1440"/>
            <w:shd w:fill="FAFAFA" w:val="clear"/>
          </w:tcPr>
          <w:p>
            <w:r>
              <w:rPr>
                <w:sz w:val="17"/>
              </w:rPr>
              <w:t>17,139</w:t>
            </w:r>
          </w:p>
        </w:tc>
        <w:tc>
          <w:tcPr>
            <w:tcW w:type="dxa" w:w="1440"/>
            <w:shd w:fill="FAFAFA" w:val="clear"/>
          </w:tcPr>
          <w:p>
            <w:r>
              <w:rPr>
                <w:b/>
                <w:color w:val="C00000"/>
                <w:sz w:val="17"/>
              </w:rPr>
              <w:t>-0.9%</w:t>
            </w:r>
          </w:p>
        </w:tc>
      </w:tr>
      <w:tr>
        <w:tc>
          <w:tcPr>
            <w:tcW w:type="dxa" w:w="1440"/>
            <w:shd w:fill="FAFAFA" w:val="clear"/>
          </w:tcPr>
          <w:p>
            <w:r>
              <w:rPr>
                <w:sz w:val="17"/>
              </w:rPr>
              <w:t>J+6  Moyenne</w:t>
            </w:r>
          </w:p>
        </w:tc>
        <w:tc>
          <w:tcPr>
            <w:tcW w:type="dxa" w:w="1440"/>
            <w:shd w:fill="FAFAFA" w:val="clear"/>
          </w:tcPr>
          <w:p>
            <w:r>
              <w:rPr>
                <w:sz w:val="17"/>
              </w:rPr>
              <w:t>2026-08-17</w:t>
            </w:r>
          </w:p>
        </w:tc>
        <w:tc>
          <w:tcPr>
            <w:tcW w:type="dxa" w:w="1440"/>
            <w:shd w:fill="FAFAFA" w:val="clear"/>
          </w:tcPr>
          <w:p>
            <w:r>
              <w:rPr>
                <w:sz w:val="17"/>
              </w:rPr>
              <w:t>14,867</w:t>
            </w:r>
          </w:p>
        </w:tc>
        <w:tc>
          <w:tcPr>
            <w:tcW w:type="dxa" w:w="1440"/>
            <w:shd w:fill="FAFAFA" w:val="clear"/>
          </w:tcPr>
          <w:p>
            <w:r>
              <w:rPr>
                <w:b/>
                <w:sz w:val="17"/>
              </w:rPr>
              <w:t>16,048</w:t>
            </w:r>
          </w:p>
        </w:tc>
        <w:tc>
          <w:tcPr>
            <w:tcW w:type="dxa" w:w="1440"/>
            <w:shd w:fill="FAFAFA" w:val="clear"/>
          </w:tcPr>
          <w:p>
            <w:r>
              <w:rPr>
                <w:sz w:val="17"/>
              </w:rPr>
              <w:t>17,228</w:t>
            </w:r>
          </w:p>
        </w:tc>
        <w:tc>
          <w:tcPr>
            <w:tcW w:type="dxa" w:w="1440"/>
            <w:shd w:fill="FAFAFA" w:val="clear"/>
          </w:tcPr>
          <w:p>
            <w:r>
              <w:rPr>
                <w:b/>
                <w:color w:val="C00000"/>
                <w:sz w:val="17"/>
              </w:rPr>
              <w:t>-0.9%</w:t>
            </w:r>
          </w:p>
        </w:tc>
      </w:tr>
      <w:tr>
        <w:tc>
          <w:tcPr>
            <w:tcW w:type="dxa" w:w="1440"/>
            <w:shd w:fill="FAFAFA" w:val="clear"/>
          </w:tcPr>
          <w:p>
            <w:r>
              <w:rPr>
                <w:sz w:val="17"/>
              </w:rPr>
              <w:t>J+7  Moyenne</w:t>
            </w:r>
          </w:p>
        </w:tc>
        <w:tc>
          <w:tcPr>
            <w:tcW w:type="dxa" w:w="1440"/>
            <w:shd w:fill="FAFAFA" w:val="clear"/>
          </w:tcPr>
          <w:p>
            <w:r>
              <w:rPr>
                <w:sz w:val="17"/>
              </w:rPr>
              <w:t>2026-08-18</w:t>
            </w:r>
          </w:p>
        </w:tc>
        <w:tc>
          <w:tcPr>
            <w:tcW w:type="dxa" w:w="1440"/>
            <w:shd w:fill="FAFAFA" w:val="clear"/>
          </w:tcPr>
          <w:p>
            <w:r>
              <w:rPr>
                <w:sz w:val="17"/>
              </w:rPr>
              <w:t>14,761</w:t>
            </w:r>
          </w:p>
        </w:tc>
        <w:tc>
          <w:tcPr>
            <w:tcW w:type="dxa" w:w="1440"/>
            <w:shd w:fill="FAFAFA" w:val="clear"/>
          </w:tcPr>
          <w:p>
            <w:r>
              <w:rPr>
                <w:b/>
                <w:sz w:val="17"/>
              </w:rPr>
              <w:t>16,036</w:t>
            </w:r>
          </w:p>
        </w:tc>
        <w:tc>
          <w:tcPr>
            <w:tcW w:type="dxa" w:w="1440"/>
            <w:shd w:fill="FAFAFA" w:val="clear"/>
          </w:tcPr>
          <w:p>
            <w:r>
              <w:rPr>
                <w:sz w:val="17"/>
              </w:rPr>
              <w:t>17,310</w:t>
            </w:r>
          </w:p>
        </w:tc>
        <w:tc>
          <w:tcPr>
            <w:tcW w:type="dxa" w:w="1440"/>
            <w:shd w:fill="FAFAFA" w:val="clear"/>
          </w:tcPr>
          <w:p>
            <w:r>
              <w:rPr>
                <w:b/>
                <w:color w:val="C00000"/>
                <w:sz w:val="17"/>
              </w:rPr>
              <w:t>-1.0%</w:t>
            </w:r>
          </w:p>
        </w:tc>
      </w:tr>
      <w:tr>
        <w:tc>
          <w:tcPr>
            <w:tcW w:type="dxa" w:w="1440"/>
            <w:shd w:fill="FAFAFA" w:val="clear"/>
          </w:tcPr>
          <w:p>
            <w:r>
              <w:rPr>
                <w:sz w:val="17"/>
              </w:rPr>
              <w:t>J+8  Moyenne</w:t>
            </w:r>
          </w:p>
        </w:tc>
        <w:tc>
          <w:tcPr>
            <w:tcW w:type="dxa" w:w="1440"/>
            <w:shd w:fill="FAFAFA" w:val="clear"/>
          </w:tcPr>
          <w:p>
            <w:r>
              <w:rPr>
                <w:sz w:val="17"/>
              </w:rPr>
              <w:t>2026-08-19</w:t>
            </w:r>
          </w:p>
        </w:tc>
        <w:tc>
          <w:tcPr>
            <w:tcW w:type="dxa" w:w="1440"/>
            <w:shd w:fill="FAFAFA" w:val="clear"/>
          </w:tcPr>
          <w:p>
            <w:r>
              <w:rPr>
                <w:sz w:val="17"/>
              </w:rPr>
              <w:t>14,662</w:t>
            </w:r>
          </w:p>
        </w:tc>
        <w:tc>
          <w:tcPr>
            <w:tcW w:type="dxa" w:w="1440"/>
            <w:shd w:fill="FAFAFA" w:val="clear"/>
          </w:tcPr>
          <w:p>
            <w:r>
              <w:rPr>
                <w:b/>
                <w:sz w:val="17"/>
              </w:rPr>
              <w:t>16,024</w:t>
            </w:r>
          </w:p>
        </w:tc>
        <w:tc>
          <w:tcPr>
            <w:tcW w:type="dxa" w:w="1440"/>
            <w:shd w:fill="FAFAFA" w:val="clear"/>
          </w:tcPr>
          <w:p>
            <w:r>
              <w:rPr>
                <w:sz w:val="17"/>
              </w:rPr>
              <w:t>17,385</w:t>
            </w:r>
          </w:p>
        </w:tc>
        <w:tc>
          <w:tcPr>
            <w:tcW w:type="dxa" w:w="1440"/>
            <w:shd w:fill="FAFAFA" w:val="clear"/>
          </w:tcPr>
          <w:p>
            <w:r>
              <w:rPr>
                <w:b/>
                <w:color w:val="C00000"/>
                <w:sz w:val="17"/>
              </w:rPr>
              <w:t>-1.1%</w:t>
            </w:r>
          </w:p>
        </w:tc>
      </w:tr>
      <w:tr>
        <w:tc>
          <w:tcPr>
            <w:tcW w:type="dxa" w:w="1440"/>
            <w:shd w:fill="FAFAFA" w:val="clear"/>
          </w:tcPr>
          <w:p>
            <w:r>
              <w:rPr>
                <w:sz w:val="17"/>
              </w:rPr>
              <w:t>J+9  Moyenne</w:t>
            </w:r>
          </w:p>
        </w:tc>
        <w:tc>
          <w:tcPr>
            <w:tcW w:type="dxa" w:w="1440"/>
            <w:shd w:fill="FAFAFA" w:val="clear"/>
          </w:tcPr>
          <w:p>
            <w:r>
              <w:rPr>
                <w:sz w:val="17"/>
              </w:rPr>
              <w:t>2026-08-20</w:t>
            </w:r>
          </w:p>
        </w:tc>
        <w:tc>
          <w:tcPr>
            <w:tcW w:type="dxa" w:w="1440"/>
            <w:shd w:fill="FAFAFA" w:val="clear"/>
          </w:tcPr>
          <w:p>
            <w:r>
              <w:rPr>
                <w:sz w:val="17"/>
              </w:rPr>
              <w:t>14,569</w:t>
            </w:r>
          </w:p>
        </w:tc>
        <w:tc>
          <w:tcPr>
            <w:tcW w:type="dxa" w:w="1440"/>
            <w:shd w:fill="FAFAFA" w:val="clear"/>
          </w:tcPr>
          <w:p>
            <w:r>
              <w:rPr>
                <w:b/>
                <w:sz w:val="17"/>
              </w:rPr>
              <w:t>16,012</w:t>
            </w:r>
          </w:p>
        </w:tc>
        <w:tc>
          <w:tcPr>
            <w:tcW w:type="dxa" w:w="1440"/>
            <w:shd w:fill="FAFAFA" w:val="clear"/>
          </w:tcPr>
          <w:p>
            <w:r>
              <w:rPr>
                <w:sz w:val="17"/>
              </w:rPr>
              <w:t>17,454</w:t>
            </w:r>
          </w:p>
        </w:tc>
        <w:tc>
          <w:tcPr>
            <w:tcW w:type="dxa" w:w="1440"/>
            <w:shd w:fill="FAFAFA" w:val="clear"/>
          </w:tcPr>
          <w:p>
            <w:r>
              <w:rPr>
                <w:b/>
                <w:color w:val="C00000"/>
                <w:sz w:val="17"/>
              </w:rPr>
              <w:t>-1.2%</w:t>
            </w:r>
          </w:p>
        </w:tc>
      </w:tr>
      <w:tr>
        <w:tc>
          <w:tcPr>
            <w:tcW w:type="dxa" w:w="1440"/>
            <w:shd w:fill="FAFAFA" w:val="clear"/>
          </w:tcPr>
          <w:p>
            <w:r>
              <w:rPr>
                <w:sz w:val="17"/>
              </w:rPr>
              <w:t>J+10  Moyenne</w:t>
            </w:r>
          </w:p>
        </w:tc>
        <w:tc>
          <w:tcPr>
            <w:tcW w:type="dxa" w:w="1440"/>
            <w:shd w:fill="FAFAFA" w:val="clear"/>
          </w:tcPr>
          <w:p>
            <w:r>
              <w:rPr>
                <w:sz w:val="17"/>
              </w:rPr>
              <w:t>2026-08-21</w:t>
            </w:r>
          </w:p>
        </w:tc>
        <w:tc>
          <w:tcPr>
            <w:tcW w:type="dxa" w:w="1440"/>
            <w:shd w:fill="FAFAFA" w:val="clear"/>
          </w:tcPr>
          <w:p>
            <w:r>
              <w:rPr>
                <w:sz w:val="17"/>
              </w:rPr>
              <w:t>14,480</w:t>
            </w:r>
          </w:p>
        </w:tc>
        <w:tc>
          <w:tcPr>
            <w:tcW w:type="dxa" w:w="1440"/>
            <w:shd w:fill="FAFAFA" w:val="clear"/>
          </w:tcPr>
          <w:p>
            <w:r>
              <w:rPr>
                <w:b/>
                <w:sz w:val="17"/>
              </w:rPr>
              <w:t>16,000</w:t>
            </w:r>
          </w:p>
        </w:tc>
        <w:tc>
          <w:tcPr>
            <w:tcW w:type="dxa" w:w="1440"/>
            <w:shd w:fill="FAFAFA" w:val="clear"/>
          </w:tcPr>
          <w:p>
            <w:r>
              <w:rPr>
                <w:sz w:val="17"/>
              </w:rPr>
              <w:t>17,520</w:t>
            </w:r>
          </w:p>
        </w:tc>
        <w:tc>
          <w:tcPr>
            <w:tcW w:type="dxa" w:w="1440"/>
            <w:shd w:fill="FAFAFA" w:val="clear"/>
          </w:tcPr>
          <w:p>
            <w:r>
              <w:rPr>
                <w:b/>
                <w:color w:val="C00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ECOC (ECOBANK CÔTE D'IVOIRE)**</w:t>
        <w:br/>
        <w:t>**Date du rapport : 10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891,82 milliards FCFA, ECOC s'impose comme l'une des valeurs les plus lourdes et les plus liquides de la BRVM, reflétant son statut de leader bancaire régional. Le BPA de 1 153 FCFA indique que chaque action génère un bénéfice substantiel, mais le marché valorise ce résultat à un PER de 14,0x, soit une prime significative par rapport à la moyenne historique du marché (8-12x). Cette prime est également confirmée par un P/B de 4,08x, signalant que les investisseurs paient plus de quatre fois la valeur comptable des actifs, une valorisation exigeante qui intègre des attentes de croissance élevées. Enfin, l'EV/EBITDA de 13,8x, bien que dans la fourchette haute (10-15x), reste cohérent avec une entreprise à forte rentabilité opérationnelle. Ces ratios traduisent une confiance marquée du marché dans la capacité d'ECOC à maintenir ses performances, mais laissent peu de marge d'erreur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ECOC affiche une variation totale légèrement négative de -1,22%, mais a rebondi de +1,25% lors de la dernière séance, signe d'un regain d'intérêt à court terme. Le cours a évolué dans un range de 1 750 FCFA, entre un plus bas de 15 520 FCFA et un plus haut de 17 270 FCFA, démontrant une certaine volatilité sans tendance directionnelle claire. Les statistiques descriptives confirment cette stabilité : la moyenne (16 331 FCFA) et la médiane (16 300 FCFA) sont quasi identiques, indiquant une distribution symétrique des prix, ce que corrobore un skewness de 0,142. L'écart-type de 347 FCFA, avec un coefficient de variation de seulement 2,1%, révèle une dispersion très faible des cours autour de la moyenne, un signe de consolidation. Le kurtosis de 0,298 (mésokurtique) suggère une distribution proche de la normale, sans risque de mouvements extrêmes. La volatilité annualisée de 26,8% classe le titre dans la catégorie "modérée" (15-30%), offrant un équilibre entre potentiel de gain et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(16 200 FCFA) se situe sous la MM20 (16 137 FCFA) mais au-dessus de la MM50 (16 434,5 FCFA), créant une configuration ambiguë. La position sous la MM50 indique une faiblesse à moyen terme, justifiant la décision de "Vente". Cependant, le cours évolue très près de ces moyennes, suggérant une zone de consolidation où une cassure pourrait déterminer la tendance future.</w:t>
      </w:r>
    </w:p>
    <w:p>
      <w:pPr>
        <w:spacing w:after="120" w:line="276" w:lineRule="auto"/>
      </w:pPr>
      <w:r>
        <w:t>**Bandes de Bollinger** : Le prix se positionne presque au centre des bandes (borne supérieure à 16 713,4 FCFA et inférieure à 15 560,6 FCFA), indiquant une volatilité modérée et l'absence de pression directionnelle forte. La décision "Neutre" est justifiée, car le titre n'est ni suracheté ni survendu, évoluant dans une zone de confort sans signal clair de retournement ou de continuation.</w:t>
      </w:r>
    </w:p>
    <w:p>
      <w:pPr>
        <w:spacing w:after="120" w:line="276" w:lineRule="auto"/>
      </w:pPr>
      <w:r>
        <w:t>**MACD** : La valeur du MACD (-83,948) est supérieure à son signal (-103,181), formant un croisement haussier. Bien que les deux lignes soient en territoire négatif, cette divergence positive suggère un ralentissement de la dynamique baissière et un potentiel de retournement à la hausse. La décision "Achat" capte ce momentum naissant, indiquant que la pression vendeuse s'estompe.</w:t>
      </w:r>
    </w:p>
    <w:p>
      <w:pPr>
        <w:spacing w:after="120" w:line="276" w:lineRule="auto"/>
      </w:pPr>
      <w:r>
        <w:t>**RSI** : À 56,803, le RSI se situe dans la zone neutre (30-70), sans signal de surachat ni de survente. Cette valeur indique un équilibre entre les forces acheteuses et vendeuses, avec une légère prédominance des acheteurs. La décision "Neutre" est cohérente, car le titre dispose d'une marge de progression avant d'atteindre des niveaux extrêmes.</w:t>
      </w:r>
    </w:p>
    <w:p>
      <w:pPr>
        <w:spacing w:after="120" w:line="276" w:lineRule="auto"/>
      </w:pPr>
      <w:r>
        <w:t>**Stochastique** : Le %K (91,509) est très élevé et nettement au-dessus du %D (78,931), plaçant le titre en zone de surachat. Cette configuration suggère que le mouvement haussier récent pourrait être épuisé à court terme, justifiant la décision de "Vente". Un croisement baissier du %K sous le %D serait un signal de correction imminente.</w:t>
      </w:r>
    </w:p>
    <w:p>
      <w:pPr>
        <w:spacing w:after="120" w:line="276" w:lineRule="auto"/>
      </w:pPr>
      <w:r>
        <w:t>**Conclusion technique** : Les indicateurs sont mitigés, avec un MACD haussier contrastant avec un stochastique suracheté et des moyennes mobiles baissières. Cette divergence reflète un marché en consolidation, sans direction claire. Le scénario le plus probable est une poursuite du range actuel, avec un biais haussier si le cours parvient à se maintenir au-dessus de la MM50.</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d'ECOC révèlent une performance exceptionnelle. Le Produit Net Bancaire (PNB) s'établit à 132,725 milliards FCFA, en croissance de 8,5%, porté par une marge nette d'intérêts solide (111,337 milliards FCFA) et des commissions en hausse (32,366 milliards FCFA). Le résultat net atteint 63,482 milliards FCFA, soit une marge nette de 47,8%, démontrant une excellente maîtrise des coûts avec un coefficient d'exploitation de 42,9%, bien en dessous du seuil d'efficacité de 60%. La rentabilité est remarquable : le ROE s'élève à 29,04% et le ROA à 3,09%, tous deux nettement supérieurs aux références sectorielles (15% et 1% respectivement). La structure financière est solide avec des capitaux propres de 218,573 milliards FCFA, mais l'autonomie financière de 10,6% reste faible, typique du secteur bancaire. Le coût du risque de 1,36% est modéré, indiquant une qualité de portefeuille satisfaisante. **Les rapports trimestriels 2025 confirment cette dynamique** : le T3 2025 (PNB de 96,4 milliards FCFA, +11,3% et résultat net de 44,4 milliards, +15,4%) et le S1 2025 (PNB de 62,8 milliards, +6,9% et résultat net de 28,9 milliards, +13,8%) montrent une accélération de la croissance. Le rapport annuel 2024 (PNB de 122,3 milliards, +11% et résultat net de 57,5 milliards, +19,6%) établit une base solide. **Pour 2026**, le rapport T1 2026 (PNB de 30,8 milliards, +3,7% et résultat net de 13,0 milliards, -1,6%) suggère un ralentissement de la croissance, mais une amélioration de l'efficacité opérationnelle (coefficient d'exploitation à 45,7%). Sur cette base, on estime que le PNB 2026 pourrait atteindre environ 136 milliards FCFA (+2,5%) et le résultat net environ 60 milliards FCFA (-5,5%), avec un ROE autour de 25%. La banque maintient une politique de dividende généreuse avec 888 FCFA par action proposé pour 2025, soit un rendement de 5,5% au cours actuel. Les fondamentaux d'ECOC sont excellents, avec une croissance soutenue, une rentabilité supérieure et une gestion rigoureuse des risques.</w:t>
      </w:r>
    </w:p>
    <w:p>
      <w:pPr>
        <w:spacing w:after="120" w:line="276" w:lineRule="auto"/>
      </w:pPr>
      <w:r>
        <w:t>---</w:t>
      </w:r>
    </w:p>
    <w:p>
      <w:pPr>
        <w:spacing w:after="120" w:line="276" w:lineRule="auto"/>
      </w:pPr>
      <w:r>
        <w:t>### PARTIE 4 : CONCLUSION D'INVESTISSEMENT</w:t>
      </w:r>
    </w:p>
    <w:p>
      <w:pPr>
        <w:spacing w:after="120" w:line="276" w:lineRule="auto"/>
      </w:pPr>
      <w:r>
        <w:t>La valorisation d'ECOC (PER 14,0x, P/B 4,08x, EV/EBITDA 13,8x) est exigeante, intégrant une prime de qualité pour une banque affichant un ROE de 29% et une croissance soutenue de son PNB. Le comportement du cours sur 100 jours montre une stabilité remarquable (CV de 2,1%) avec une distribution symétrique, indiquant une absence de spéculation excessive et une confiance des investisseurs. Les signaux techniques sont mitigés : le MACD haussier et le RSI neutre contrastent avec des moyennes mobiles baissières et un stochastique suracheté, suggérant une consolidation sans direction claire. Les fondamentaux, eux, sont indiscutablement solides, avec une rentabilité exceptionnelle, un coût du risque maîtrisé et une politique de dividende attractive (rendement de 5,5%). Les prédictions IA (16 105 à 16 060 FCFA sur 10 jours) indiquent une légère érosion du cours, cohérente avec le stochastique suracheté et la résistance technique. La convergence entre la solidité fondamentale, la stabilité du cours et la valorisation premium conduit à une recommandation **CONSERVER**. Le niveau de confiance est **Élevé**, car les fondamentaux sont robustes et les risques maîtrisés. Le risque global est **Moyen**, principalement lié à la valorisation exigeante et à l'environnement macroéconomique. L'horizon d'investissement optimal est le **moyen terme (3-12 mois)**, permettant de capter le dividende et une potentielle appréciation si le titre dépasse sa résistance des 17 270 FCFA. Pour les investisseurs à long terme, ECOC reste une valeur de qualité à conserver dans un portefeuille diversifié.</w:t>
      </w:r>
    </w:p>
    <w:p/>
    <w:p/>
    <w:p>
      <w:pPr>
        <w:pStyle w:val="Heading3"/>
      </w:pPr>
      <w:r>
        <w:rPr>
          <w:color w:val="00467F"/>
        </w:rPr>
        <w:t>📎 DOCUMENTS &amp; COMMUNICATIONS OFFICIELS BRVM</w:t>
      </w:r>
    </w:p>
    <w:p>
      <w:r>
        <w:rPr>
          <w:i/>
          <w:color w:val="646464"/>
          <w:sz w:val="18"/>
        </w:rPr>
        <w:t>8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[3]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Pr>
        <w:ind w:left="400"/>
      </w:pPr>
      <w:r>
        <w:rPr>
          <w:color w:val="B4B4B4"/>
          <w:sz w:val="14"/>
        </w:rPr>
        <w:t xml:space="preserve">· · · · · · · · · · · · · · · · · · · · · · · · · · · · · · </w:t>
      </w:r>
    </w:p>
    <w:p>
      <w:pPr>
        <w:spacing w:before="160"/>
      </w:pPr>
      <w:r>
        <w:rPr>
          <w:b/>
          <w:color w:val="0066CC"/>
          <w:sz w:val="20"/>
        </w:rPr>
        <w:t xml:space="preserve">[4] </w:t>
      </w:r>
      <w:r>
        <w:rPr>
          <w:b/>
          <w:sz w:val="20"/>
        </w:rPr>
        <w:t>20260513   avis de convocation   assemblee generale ordinaire   eti tg</w:t>
      </w:r>
    </w:p>
    <w:p>
      <w:pPr>
        <w:spacing w:before="20"/>
        <w:ind w:left="400"/>
      </w:pPr>
      <w:r>
        <w:rPr>
          <w:color w:val="505050"/>
          <w:sz w:val="17"/>
        </w:rPr>
        <w:t xml:space="preserve">Date : 13/05/2026  |  Catégorie : convocation AG  |  Impact : </w:t>
      </w:r>
      <w:r>
        <w:rPr>
          <w:b/>
          <w:color w:val="646464"/>
          <w:sz w:val="17"/>
        </w:rPr>
        <w:t>⚪ NEUTRE</w:t>
      </w:r>
    </w:p>
    <w:p>
      <w:pPr>
        <w:spacing w:before="40"/>
        <w:ind w:left="400"/>
      </w:pPr>
      <w:r>
        <w:rPr>
          <w:sz w:val="18"/>
        </w:rPr>
        <w:t>Ecobank Transnational Incorporated convoque ses actionnaires à la 38ème Assemblée Générale Ordinaire le 3 juin 2026 à Lomé, Togo. L'ordre du jour comprend l'approbation des comptes, l'affectation du résultat et le renouvellement des mandats d'administrateurs. Les actionnaires peuvent participer en personne ou par procuration avec possibilité de soumettre leurs questions à l'avance.</w:t>
      </w:r>
    </w:p>
    <w:p>
      <w:pPr>
        <w:spacing w:before="60"/>
        <w:ind w:left="400"/>
      </w:pPr>
      <w:r>
        <w:rPr>
          <w:b/>
          <w:sz w:val="18"/>
        </w:rPr>
        <w:t>Points clés :</w:t>
      </w:r>
    </w:p>
    <w:p>
      <w:pPr>
        <w:pStyle w:val="ListBullet"/>
        <w:spacing w:before="20" w:after="20"/>
        <w:ind w:left="700"/>
      </w:pPr>
      <w:r>
        <w:rPr>
          <w:sz w:val="18"/>
        </w:rPr>
        <w:t>38ème Assemblée Générale Ordinaire prévue le 3 juin 2026 à 10h30 GMT à Lomé</w:t>
      </w:r>
    </w:p>
    <w:p>
      <w:pPr>
        <w:pStyle w:val="ListBullet"/>
        <w:spacing w:before="20" w:after="20"/>
        <w:ind w:left="700"/>
      </w:pPr>
      <w:r>
        <w:rPr>
          <w:sz w:val="18"/>
        </w:rPr>
        <w:t>Approbation des comptes annuels et affectation du résultat à l'ordre du jour</w:t>
      </w:r>
    </w:p>
    <w:p>
      <w:pPr>
        <w:pStyle w:val="ListBullet"/>
        <w:spacing w:before="20" w:after="20"/>
        <w:ind w:left="700"/>
      </w:pPr>
      <w:r>
        <w:rPr>
          <w:sz w:val="18"/>
        </w:rPr>
        <w:t>Renouvellement des mandats d'administrateurs et nominations au conseil</w:t>
      </w:r>
    </w:p>
    <w:p>
      <w:pPr>
        <w:pStyle w:val="ListBullet"/>
        <w:spacing w:before="20" w:after="20"/>
        <w:ind w:left="700"/>
      </w:pPr>
      <w:r>
        <w:rPr>
          <w:sz w:val="18"/>
        </w:rPr>
        <w:t>Possibilité de participation par procuration avec formulaire à soumettre avant le 2 juin 2026</w:t>
      </w:r>
    </w:p>
    <w:p>
      <w:pPr>
        <w:pStyle w:val="ListBullet"/>
        <w:spacing w:before="20" w:after="20"/>
        <w:ind w:left="700"/>
      </w:pPr>
      <w:r>
        <w:rPr>
          <w:sz w:val="18"/>
        </w:rPr>
        <w:t>Nomination des commissaires aux comptes parmi les points à délibérer</w:t>
      </w:r>
    </w:p>
    <w:p>
      <w:pPr>
        <w:ind w:left="400"/>
      </w:pPr>
      <w:r>
        <w:rPr>
          <w:color w:val="B4B4B4"/>
          <w:sz w:val="14"/>
        </w:rPr>
        <w:t xml:space="preserve">· · · · · · · · · · · · · · · · · · · · · · · · · · · · · · </w:t>
      </w:r>
    </w:p>
    <w:p>
      <w:pPr>
        <w:spacing w:before="160"/>
      </w:pPr>
      <w:r>
        <w:rPr>
          <w:b/>
          <w:color w:val="0066CC"/>
          <w:sz w:val="20"/>
        </w:rPr>
        <w:t xml:space="preserve">[5] </w:t>
      </w:r>
      <w:r>
        <w:rPr>
          <w:b/>
          <w:sz w:val="20"/>
        </w:rPr>
        <w:t>20260511   calendrier de paiement des dividendes   exercice 2025</w:t>
      </w:r>
    </w:p>
    <w:p>
      <w:pPr>
        <w:spacing w:before="20"/>
        <w:ind w:left="400"/>
      </w:pPr>
      <w:r>
        <w:rPr>
          <w:color w:val="505050"/>
          <w:sz w:val="17"/>
        </w:rPr>
        <w:t xml:space="preserve">Date : 12/05/2026  |  Catégorie : dividende  |  Impact : </w:t>
      </w:r>
      <w:r>
        <w:rPr>
          <w:b/>
          <w:color w:val="008000"/>
          <w:sz w:val="17"/>
        </w:rPr>
        <w:t>🟢 POSITIF</w:t>
      </w:r>
    </w:p>
    <w:p>
      <w:pPr>
        <w:spacing w:before="40"/>
        <w:ind w:left="400"/>
      </w:pPr>
      <w:r>
        <w:rPr>
          <w:sz w:val="18"/>
        </w:rPr>
        <w:t>Calendrier officiel de paiement des dividendes pour l'exercice 2025 publié par la BRVM le 11 mai 2026. Le document détaille les dates de détachement et de paiement des dividendes pour 7 entreprises cotées. Les montants varient de 305,04 FCFA à 1740 FCFA par action.</w:t>
      </w:r>
    </w:p>
    <w:p>
      <w:pPr>
        <w:spacing w:before="60"/>
        <w:ind w:left="400"/>
      </w:pPr>
      <w:r>
        <w:rPr>
          <w:b/>
          <w:sz w:val="18"/>
        </w:rPr>
        <w:t>Points clés :</w:t>
      </w:r>
    </w:p>
    <w:p>
      <w:pPr>
        <w:pStyle w:val="ListBullet"/>
        <w:spacing w:before="20" w:after="20"/>
        <w:ind w:left="700"/>
      </w:pPr>
      <w:r>
        <w:rPr>
          <w:sz w:val="18"/>
        </w:rPr>
        <w:t>SONATEL SENEGAL verse le plus gros dividende avec 1740 FCFA par action</w:t>
      </w:r>
    </w:p>
    <w:p>
      <w:pPr>
        <w:pStyle w:val="ListBullet"/>
        <w:spacing w:before="20" w:after="20"/>
        <w:ind w:left="700"/>
      </w:pPr>
      <w:r>
        <w:rPr>
          <w:sz w:val="18"/>
        </w:rPr>
        <w:t>BOA CÔTE D'IVOIRE distribue 594,528 FCFA par action avec paiement le 6 mai 2026</w:t>
      </w:r>
    </w:p>
    <w:p>
      <w:pPr>
        <w:pStyle w:val="ListBullet"/>
        <w:spacing w:before="20" w:after="20"/>
        <w:ind w:left="700"/>
      </w:pPr>
      <w:r>
        <w:rPr>
          <w:sz w:val="18"/>
        </w:rPr>
        <w:t>ECOBANK CI verse un dividende brut de 888 FCFA soumis à l'IRVM</w:t>
      </w:r>
    </w:p>
    <w:p>
      <w:pPr>
        <w:pStyle w:val="ListBullet"/>
        <w:spacing w:before="20" w:after="20"/>
        <w:ind w:left="700"/>
      </w:pPr>
      <w:r>
        <w:rPr>
          <w:sz w:val="18"/>
        </w:rPr>
        <w:t>Les dates de paiement s'étalent du 23 avril au 3 juin 2026</w:t>
      </w:r>
    </w:p>
    <w:p>
      <w:pPr>
        <w:pStyle w:val="ListBullet"/>
        <w:spacing w:before="20" w:after="20"/>
        <w:ind w:left="700"/>
      </w:pPr>
      <w:r>
        <w:rPr>
          <w:sz w:val="18"/>
        </w:rPr>
        <w:t>Sept entreprises du groupe BOA et assimilées distribuent des dividendes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1175.47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1,331,880 titres</w:t>
            </w:r>
          </w:p>
        </w:tc>
        <w:tc>
          <w:tcPr>
            <w:tcW w:type="dxa" w:w="2268"/>
            <w:shd w:fill="FFF2CC" w:val="clear"/>
          </w:tcPr>
          <w:p>
            <w:r>
              <w:rPr>
                <w:b/>
                <w:color w:val="503200"/>
                <w:sz w:val="16"/>
              </w:rPr>
              <w:t xml:space="preserve">Cours actuel : </w:t>
            </w:r>
            <w:r>
              <w:rPr>
                <w:color w:val="000000"/>
                <w:sz w:val="17"/>
              </w:rPr>
              <w:t>65 FCFA</w:t>
            </w:r>
          </w:p>
          <w:p>
            <w:r>
              <w:rPr>
                <w:b/>
                <w:color w:val="503200"/>
                <w:sz w:val="16"/>
              </w:rPr>
              <w:t xml:space="preserve">Var. 100 jours : </w:t>
            </w:r>
            <w:r>
              <w:rPr>
                <w:b/>
                <w:color w:val="007800"/>
                <w:sz w:val="17"/>
              </w:rPr>
              <w:t>+103.12%</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37.89% (Élevée) — μ=40 FCFA, σ=15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β=2.4835 (Très agressif) — Cov=0.000090, Var(idx)=0.000036, ρ=0.379,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1,331,880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σ_j=3.94%/j (Modérée) — Vol. annualisée≈62.6%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56</w:t>
            </w:r>
          </w:p>
        </w:tc>
        <w:tc>
          <w:tcPr>
            <w:tcW w:type="dxa" w:w="1440"/>
            <w:shd w:fill="FFDCE0" w:val="clear"/>
          </w:tcPr>
          <w:p>
            <w:r>
              <w:rPr>
                <w:b/>
                <w:sz w:val="17"/>
              </w:rPr>
              <w:t>60</w:t>
            </w:r>
          </w:p>
        </w:tc>
        <w:tc>
          <w:tcPr>
            <w:tcW w:type="dxa" w:w="1440"/>
            <w:shd w:fill="FFDCE0" w:val="clear"/>
          </w:tcPr>
          <w:p>
            <w:r>
              <w:rPr>
                <w:sz w:val="17"/>
              </w:rPr>
              <w:t>65</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49</w:t>
            </w:r>
          </w:p>
        </w:tc>
        <w:tc>
          <w:tcPr>
            <w:tcW w:type="dxa" w:w="1440"/>
            <w:shd w:fill="FFDCE0" w:val="clear"/>
          </w:tcPr>
          <w:p>
            <w:r>
              <w:rPr>
                <w:b/>
                <w:sz w:val="17"/>
              </w:rPr>
              <w:t>56</w:t>
            </w:r>
          </w:p>
        </w:tc>
        <w:tc>
          <w:tcPr>
            <w:tcW w:type="dxa" w:w="1440"/>
            <w:shd w:fill="FFDCE0" w:val="clear"/>
          </w:tcPr>
          <w:p>
            <w:r>
              <w:rPr>
                <w:sz w:val="17"/>
              </w:rPr>
              <w:t>63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43</w:t>
            </w:r>
          </w:p>
        </w:tc>
        <w:tc>
          <w:tcPr>
            <w:tcW w:type="dxa" w:w="1440"/>
            <w:shd w:fill="FFDCE0" w:val="clear"/>
          </w:tcPr>
          <w:p>
            <w:r>
              <w:rPr>
                <w:b/>
                <w:sz w:val="17"/>
              </w:rPr>
              <w:t>51</w:t>
            </w:r>
          </w:p>
        </w:tc>
        <w:tc>
          <w:tcPr>
            <w:tcW w:type="dxa" w:w="1440"/>
            <w:shd w:fill="FFDCE0" w:val="clear"/>
          </w:tcPr>
          <w:p>
            <w:r>
              <w:rPr>
                <w:sz w:val="17"/>
              </w:rPr>
              <w:t>59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39</w:t>
            </w:r>
          </w:p>
        </w:tc>
        <w:tc>
          <w:tcPr>
            <w:tcW w:type="dxa" w:w="1440"/>
            <w:shd w:fill="FFDCE0" w:val="clear"/>
          </w:tcPr>
          <w:p>
            <w:r>
              <w:rPr>
                <w:b/>
                <w:sz w:val="17"/>
              </w:rPr>
              <w:t>48</w:t>
            </w:r>
          </w:p>
        </w:tc>
        <w:tc>
          <w:tcPr>
            <w:tcW w:type="dxa" w:w="1440"/>
            <w:shd w:fill="FFDCE0" w:val="clear"/>
          </w:tcPr>
          <w:p>
            <w:r>
              <w:rPr>
                <w:sz w:val="17"/>
              </w:rPr>
              <w:t>56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35</w:t>
            </w:r>
          </w:p>
        </w:tc>
        <w:tc>
          <w:tcPr>
            <w:tcW w:type="dxa" w:w="1440"/>
            <w:shd w:fill="FFDCE0" w:val="clear"/>
          </w:tcPr>
          <w:p>
            <w:r>
              <w:rPr>
                <w:b/>
                <w:sz w:val="17"/>
              </w:rPr>
              <w:t>44</w:t>
            </w:r>
          </w:p>
        </w:tc>
        <w:tc>
          <w:tcPr>
            <w:tcW w:type="dxa" w:w="1440"/>
            <w:shd w:fill="FFDCE0" w:val="clear"/>
          </w:tcPr>
          <w:p>
            <w:r>
              <w:rPr>
                <w:sz w:val="17"/>
              </w:rPr>
              <w:t>53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32</w:t>
            </w:r>
          </w:p>
        </w:tc>
        <w:tc>
          <w:tcPr>
            <w:tcW w:type="dxa" w:w="1440"/>
            <w:shd w:fill="FFDCE0" w:val="clear"/>
          </w:tcPr>
          <w:p>
            <w:r>
              <w:rPr>
                <w:b/>
                <w:sz w:val="17"/>
              </w:rPr>
              <w:t>41</w:t>
            </w:r>
          </w:p>
        </w:tc>
        <w:tc>
          <w:tcPr>
            <w:tcW w:type="dxa" w:w="1440"/>
            <w:shd w:fill="FFDCE0" w:val="clear"/>
          </w:tcPr>
          <w:p>
            <w:r>
              <w:rPr>
                <w:sz w:val="17"/>
              </w:rPr>
              <w:t>50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29</w:t>
            </w:r>
          </w:p>
        </w:tc>
        <w:tc>
          <w:tcPr>
            <w:tcW w:type="dxa" w:w="1440"/>
            <w:shd w:fill="FFDCE0" w:val="clear"/>
          </w:tcPr>
          <w:p>
            <w:r>
              <w:rPr>
                <w:b/>
                <w:sz w:val="17"/>
              </w:rPr>
              <w:t>38</w:t>
            </w:r>
          </w:p>
        </w:tc>
        <w:tc>
          <w:tcPr>
            <w:tcW w:type="dxa" w:w="1440"/>
            <w:shd w:fill="FFDCE0" w:val="clear"/>
          </w:tcPr>
          <w:p>
            <w:r>
              <w:rPr>
                <w:sz w:val="17"/>
              </w:rPr>
              <w:t>47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26</w:t>
            </w:r>
          </w:p>
        </w:tc>
        <w:tc>
          <w:tcPr>
            <w:tcW w:type="dxa" w:w="1440"/>
            <w:shd w:fill="FFDCE0" w:val="clear"/>
          </w:tcPr>
          <w:p>
            <w:r>
              <w:rPr>
                <w:b/>
                <w:sz w:val="17"/>
              </w:rPr>
              <w:t>35</w:t>
            </w:r>
          </w:p>
        </w:tc>
        <w:tc>
          <w:tcPr>
            <w:tcW w:type="dxa" w:w="1440"/>
            <w:shd w:fill="FFDCE0" w:val="clear"/>
          </w:tcPr>
          <w:p>
            <w:r>
              <w:rPr>
                <w:sz w:val="17"/>
              </w:rPr>
              <w:t>44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24</w:t>
            </w:r>
          </w:p>
        </w:tc>
        <w:tc>
          <w:tcPr>
            <w:tcW w:type="dxa" w:w="1440"/>
            <w:shd w:fill="FFDCE0" w:val="clear"/>
          </w:tcPr>
          <w:p>
            <w:r>
              <w:rPr>
                <w:b/>
                <w:sz w:val="17"/>
              </w:rPr>
              <w:t>32</w:t>
            </w:r>
          </w:p>
        </w:tc>
        <w:tc>
          <w:tcPr>
            <w:tcW w:type="dxa" w:w="1440"/>
            <w:shd w:fill="FFDCE0" w:val="clear"/>
          </w:tcPr>
          <w:p>
            <w:r>
              <w:rPr>
                <w:sz w:val="17"/>
              </w:rPr>
              <w:t>41</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21</w:t>
            </w:r>
          </w:p>
        </w:tc>
        <w:tc>
          <w:tcPr>
            <w:tcW w:type="dxa" w:w="1440"/>
            <w:shd w:fill="FFDCE0" w:val="clear"/>
          </w:tcPr>
          <w:p>
            <w:r>
              <w:rPr>
                <w:b/>
                <w:sz w:val="17"/>
              </w:rPr>
              <w:t>30</w:t>
            </w:r>
          </w:p>
        </w:tc>
        <w:tc>
          <w:tcPr>
            <w:tcW w:type="dxa" w:w="1440"/>
            <w:shd w:fill="FFDCE0" w:val="clear"/>
          </w:tcPr>
          <w:p>
            <w:r>
              <w:rPr>
                <w:sz w:val="17"/>
              </w:rPr>
              <w:t>38</w:t>
            </w:r>
          </w:p>
        </w:tc>
        <w:tc>
          <w:tcPr>
            <w:tcW w:type="dxa" w:w="1440"/>
            <w:shd w:fill="FFDCE0" w:val="clear"/>
          </w:tcPr>
          <w:p>
            <w:r>
              <w:rPr>
                <w:b/>
                <w:color w:val="C00000"/>
                <w:sz w:val="17"/>
              </w:rPr>
              <w:t>-54.0%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**Date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d'ETIT s'établit à 1 175,47 milliards FCFA, un niveau qui la positionne parmi les poids lourds de la BRVM. Avec un BPA de 19 FCFA, le titre se négocie à un PER de 3,4x, soit environ trois fois moins que la moyenne historique du marché (8-12x), ce qui suggère une décote significative et une possible sous-évaluation. Le P/B de 0,74x confirme cette lecture : le marché valorise la société en dessous de sa valeur comptable, offrant une marge de sécurité pour l'investisseur. Enfin, un EV/EBITDA de 4,9x (&lt; 5x) indique que la valeur d'entreprise reste très raisonnable par rapport à la capacité bénéficiaire brute, renforçant l'attrait de la valorisation actuelle.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ETIT a enregistré une performance spectaculaire de +103,12%, avec une dernière séance en hausse de +1,56% à 65 FCFA. Le cours a évolué dans une fourchette très large de 26 à 78 FCFA, illustrant une volatilité extrême. La moyenne (40 FCFA) est nettement inférieure à la médiane (32 FCFA), et le skewness positif (1,229) indique une distribution asymétrique avec des épisodes de fortes hausses concentrés sur la fin de période. L'écart-type de 15 FCFA (CV=38,1%) confirme une dispersion élevée, tandis que le kurtosis mésokurtique (-0,159) suggère une absence de pics de risque extrêmes. La volatilité annualisée de 62,6% classe le titre comme très risqué, mais la tendance récente est fortement haussière.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(65 FCFA) est inférieur à la MM20 (68,7 FCFA) mais supérieur à la MM50 (49,98 FCFA). Cette configuration indique un récent repli après une forte progression, mais la tendance de fond reste haussière. La décision "Achat" est justifiée par la dynamique positive de la MM50.</w:t>
      </w:r>
    </w:p>
    <w:p>
      <w:pPr>
        <w:spacing w:after="120" w:line="276" w:lineRule="auto"/>
      </w:pPr>
      <w:r>
        <w:t>**Bandes de Bollinger** : Le prix se situe entre la borne inférieure (59,968 FCFA) et la borne supérieure (77,432 FCFA), proche du milieu de la bande. La volatilité est élevée, mais le cours n'est pas en zone de surachat ou de survente. La décision "Neutre" est cohérente avec une phase de consolidation.</w:t>
      </w:r>
    </w:p>
    <w:p>
      <w:pPr>
        <w:spacing w:after="120" w:line="276" w:lineRule="auto"/>
      </w:pPr>
      <w:r>
        <w:t>**MACD** : La valeur du MACD (4,119) est inférieure à son signal (6,015), indiquant un momentum baissier à court terme. Cette divergence suggère une possible correction après la forte hausse. La décision "Vente" est donc prudente.</w:t>
      </w:r>
    </w:p>
    <w:p>
      <w:pPr>
        <w:spacing w:after="120" w:line="276" w:lineRule="auto"/>
      </w:pPr>
      <w:r>
        <w:t>**RSI** : À 46,667, le RSI se situe en zone neutre (30-70), sans signal de surachat ni de survente. Cela indique une absence de pression directionnelle forte. La décision "Neutre" est appropriée.</w:t>
      </w:r>
    </w:p>
    <w:p>
      <w:pPr>
        <w:spacing w:after="120" w:line="276" w:lineRule="auto"/>
      </w:pPr>
      <w:r>
        <w:t>**Stochastique** : Le %K (16,667) et le %D (11,111) sont en zone de survente (&lt;20), avec un croisement haussier potentiel. Cela suggère un rebond technique imminent. La décision "Achat" est justifiée.</w:t>
      </w:r>
    </w:p>
    <w:p>
      <w:pPr>
        <w:spacing w:after="120" w:line="276" w:lineRule="auto"/>
      </w:pPr>
      <w:r>
        <w:t>**Conclusion technique** : Les signaux sont mitigés : la tendance de fond reste haussière (MM50, Stochastique), mais le momentum à court terme faiblit (MACD). Le titre semble en phase de consolidation après une hausse spectaculaire, avec un potentiel de rebond technique.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d'ETIT (secteur banque) font état d'un Produit Net Bancaire (PNB) de 1 424,261 milliards FCFA et d'un résultat net de 345,523 milliards FCFA, soit une marge nette de 24,26%. Le ROE s'établit à 21,62% (&gt;15%, excellent) et le ROA à 1,80%. Le coefficient d'exploitation de 27,35% (&lt;50%) témoigne d'une efficacité opérationnelle remarquable. Le coût du risque (18,97%) reste élevé, reflétant un portefeuille de crédit sous tension, mais les dépôts clientèle (14 120,139 Mds FCFA) couvrent largement les créances (6 570,385 Mds FCFA), assurant une liquidité solide. Les rapports trimestriels 2025 (S1 et 9 mois) confirment une dynamique positive : PNB en hausse de 12% au S1 et de 15% sur 9 mois, avec un résultat net en progression de 23% et 30% respectivement. Le T1 2026 (rapport du 21/07/2026) montre une accélération avec un PNB en hausse de 23% et un résultat net de +16%, malgré un coût du risque en forte augmentation (+73%). Sur la base de ces tendances, on estime que l'exercice 2026 devrait voir un PNB dépasser 1 600 milliards FCFA et un résultat net supérieur à 380 milliards FCFA, confirmant la solidité fondamentale du groupe.</w:t>
      </w:r>
    </w:p>
    <w:p>
      <w:pPr>
        <w:spacing w:after="120" w:line="276" w:lineRule="auto"/>
      </w:pPr>
      <w:r>
        <w:t>---</w:t>
      </w:r>
    </w:p>
    <w:p>
      <w:pPr>
        <w:spacing w:after="120" w:line="276" w:lineRule="auto"/>
      </w:pPr>
      <w:r>
        <w:t>### PARTIE 4 : CONCLUSION D'INVESTISSEMENT</w:t>
      </w:r>
    </w:p>
    <w:p>
      <w:pPr>
        <w:spacing w:after="120" w:line="276" w:lineRule="auto"/>
      </w:pPr>
      <w:r>
        <w:t>La valorisation d'ETIT (PER 3,4x, P/B 0,74x, EV/EBITDA 4,9x) indique une nette sous-évaluation, renforcée par des fondamentaux solides (ROE &gt;21%, coefficient d'exploitation &lt;30%). Le comportement du cours, avec une hausse de +103% sur 100 jours et une volatilité de 62,6%, reflète un intérêt marqué mais un risque élevé. Les signaux techniques sont mitigés (MM50 haussière, MACD baissier), suggérant une consolidation à court terme. Les fondamentaux, appuyés par des rapports trimestriels récents (T1 2026), confirment une croissance soutenue. Les prédictions IA (60 à 44 FCFA sur 10 jours) indiquent une correction probable, contredisant la tendance haussière. En synthèse, la convergence entre la sous-évaluation et la solidité financière est contrebalancée par des signaux techniques et prédictifs baissiers à court terme. **Recommandation : ACHAT** pour les investisseurs à moyen-long terme, avec un niveau de confiance **Moyen** et un risque global **Élevé**. L'horizon optimal est de **3 à 12 mois**, en attendant une stabilisation du cours pour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forte am\u00e9lioration de la rentabilit\u00e9 et reprise des dividendes. La qualit\u00e9 des actifs s'am\u00e9liore significativement avec des NPL au plus bas historique."}</w:t>
      </w:r>
    </w:p>
    <w:p>
      <w:pPr>
        <w:spacing w:before="40"/>
        <w:ind w:left="400"/>
      </w:pPr>
      <w:r>
        <w:rPr>
          <w:sz w:val="18"/>
        </w:rPr>
        <w:t>Ecobank Transnational Incorporated affiche des résultats exceptionnels en 2021 avec un résultat avant impôt en hausse de 174% à 478 millions $EU. Le produit net bancaire progresse de 5% à 1,8 milliard $EU tandis que le total du bilan atteint 27,6 milliards $EU (+6%). La banque présente une qualité de crédit remarquable avec des prêts non performants historiquement bas à 6,2%. Pour la première fois depuis 2016, le conseil d'administration recommande le versement de dividendes aux actionnaires. Cette performance s'inscrit dans un contexte de transformation stratégique réussie malgré les défis macroéconomiques.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'19%', 'NPL_ratio': '6,2%', 'ratio_efficacite': '58,9%', 'couverture_provisions': '&gt;100%'}</w:t>
            </w:r>
          </w:p>
        </w:tc>
        <w:tc>
          <w:tcPr>
            <w:tcW w:type="dxa" w:w="2160"/>
          </w:tcPr>
          <w:p>
            <w:pPr>
              <w:ind w:left="100"/>
            </w:pPr>
            <w:r/>
            <w:r>
              <w:rPr>
                <w:b/>
                <w:sz w:val="16"/>
              </w:rPr>
              <w:t>dividende</w:t>
              <w:br/>
            </w:r>
            <w:r>
              <w:rPr>
                <w:sz w:val="18"/>
              </w:rPr>
              <w:t>0,16 cents $EU</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27 561,8 millions $EU</w:t>
            </w:r>
          </w:p>
        </w:tc>
      </w:tr>
      <w:tr>
        <w:tc>
          <w:tcPr>
            <w:tcW w:type="dxa" w:w="2160"/>
          </w:tcPr>
          <w:p>
            <w:r/>
            <w:r>
              <w:rPr>
                <w:b/>
                <w:sz w:val="16"/>
              </w:rPr>
              <w:t>resultat_net</w:t>
              <w:br/>
            </w:r>
            <w:r>
              <w:rPr>
                <w:sz w:val="18"/>
              </w:rPr>
              <w:t>357,4 millions $EU</w:t>
            </w:r>
          </w:p>
        </w:tc>
        <w:tc>
          <w:tcPr>
            <w:tcW w:type="dxa" w:w="2160"/>
          </w:tcPr>
          <w:p>
            <w:r/>
            <w:r>
              <w:rPr>
                <w:b/>
                <w:sz w:val="16"/>
              </w:rPr>
              <w:t>capitaux_propres</w:t>
              <w:br/>
            </w:r>
            <w:r>
              <w:rPr>
                <w:sz w:val="18"/>
              </w:rPr>
              <w:t>2 164,3 millions $EU</w:t>
            </w:r>
          </w:p>
        </w:tc>
        <w:tc>
          <w:tcPr>
            <w:tcW w:type="dxa" w:w="2160"/>
          </w:tcPr>
          <w:p>
            <w:r/>
            <w:r>
              <w:rPr>
                <w:b/>
                <w:sz w:val="16"/>
              </w:rPr>
              <w:t>chiffre_affaires</w:t>
              <w:br/>
            </w:r>
            <w:r>
              <w:rPr>
                <w:sz w:val="18"/>
              </w:rPr>
              <w:t>1 756,7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avant impôt exceptionnel : +174% à 478 millions $EU</w:t>
      </w:r>
    </w:p>
    <w:p>
      <w:pPr>
        <w:pStyle w:val="ListBullet"/>
        <w:spacing w:before="20" w:after="20"/>
        <w:ind w:left="700"/>
      </w:pPr>
      <w:r>
        <w:rPr>
          <w:sz w:val="18"/>
        </w:rPr>
        <w:t>Produit net bancaire en croissance : +5% à 1,8 milliard $EU</w:t>
      </w:r>
    </w:p>
    <w:p>
      <w:pPr>
        <w:pStyle w:val="ListBullet"/>
        <w:spacing w:before="20" w:after="20"/>
        <w:ind w:left="700"/>
      </w:pPr>
      <w:r>
        <w:rPr>
          <w:sz w:val="18"/>
        </w:rPr>
        <w:t>Qualité de crédit excellente : NPL à 6,2%, niveau historiquement bas</w:t>
      </w:r>
    </w:p>
    <w:p>
      <w:pPr>
        <w:pStyle w:val="ListBullet"/>
        <w:spacing w:before="20" w:after="20"/>
        <w:ind w:left="700"/>
      </w:pPr>
      <w:r>
        <w:rPr>
          <w:sz w:val="18"/>
        </w:rPr>
        <w:t>Coefficient d'exploitation à 58,9%, plus bas niveau depuis 10 ans</w:t>
      </w:r>
    </w:p>
    <w:p>
      <w:pPr>
        <w:pStyle w:val="ListBullet"/>
        <w:spacing w:before="20" w:after="20"/>
        <w:ind w:left="700"/>
      </w:pPr>
      <w:r>
        <w:rPr>
          <w:sz w:val="18"/>
        </w:rPr>
        <w:t>ROTE record de 19%</w:t>
      </w:r>
    </w:p>
    <w:p>
      <w:pPr>
        <w:pStyle w:val="ListBullet"/>
        <w:spacing w:before="20" w:after="20"/>
        <w:ind w:left="700"/>
      </w:pPr>
      <w:r>
        <w:rPr>
          <w:sz w:val="18"/>
        </w:rPr>
        <w:t>Reprise du versement de dividendes après 5 ans d'interruption</w:t>
      </w:r>
    </w:p>
    <w:p>
      <w:pPr>
        <w:spacing w:before="40"/>
        <w:ind w:left="400"/>
      </w:pPr>
      <w:r>
        <w:rPr>
          <w:b/>
          <w:color w:val="C05000"/>
          <w:sz w:val="18"/>
        </w:rPr>
        <w:t xml:space="preserve">⚠️ Risques : </w:t>
      </w:r>
      <w:r>
        <w:rPr>
          <w:sz w:val="18"/>
        </w:rPr>
        <w:t>["Exposition aux risques g\u00e9opolitiques et inflation mondiale affectant les \u00e9conomies africaines", "Impact potentiel de la hausse des taux d'int\u00e9r\u00eat par les banques centrales mondiales", "Volatilit\u00e9 des devises locales face au dollar am\u00e9ricain dans un contexte d'incertit</w:t>
      </w:r>
    </w:p>
    <w:p>
      <w:pPr>
        <w:spacing w:before="40"/>
        <w:ind w:left="400"/>
      </w:pPr>
      <w:r>
        <w:rPr>
          <w:b/>
          <w:color w:val="0064A0"/>
          <w:sz w:val="18"/>
        </w:rPr>
        <w:t xml:space="preserve">🔮 Perspectives : </w:t>
      </w:r>
      <w:r>
        <w:rPr>
          <w:sz w:val="18"/>
        </w:rPr>
        <w:t>Les investissements stratégiques d'Ecobank et sa position de leader panafricain laissent présager une année 2022 prometteuse malgré les incertitudes géopolitiques. La banque bénéficiera de la reprise économique post-Covid tout en maintenant sa prudence face aux défis macroéconomiques mondiaux. La di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avec am\u00e9lioration des indicateurs de rentabilit\u00e9 et discipline des co\u00fbts. Cependant, l'environnement op\u00e9rationnel reste difficile avec l'inflation \u00e9lev\u00e9e et le renforcement du dollar am\u00e9ricain."}</w:t>
      </w:r>
    </w:p>
    <w:p>
      <w:pPr>
        <w:spacing w:before="40"/>
        <w:ind w:left="400"/>
      </w:pPr>
      <w:r>
        <w:rPr>
          <w:sz w:val="18"/>
        </w:rPr>
        <w:t>Ecobank a enregistré une solide performance au premier trimestre 2022 avec un résultat avant impôt en hausse de 25% à 125 millions USD et un résultat net en progression de 21% à 92 millions USD. Le produit net bancaire a progressé de 7% à 436 millions USD, soutenu par la croissance des revenus de trading, du cash management et des paiements. Le coefficient d'exploitation s'est amélioré à 58,0% contre 59,3% l'année précédente, témoignant d'une discipline dans la gestion des coûts. Le rendement des capitaux propres tangibles a atteint 18,9% contre 15,7% en glissement annuel. La banque maintient une position financière solide avec des niveaux de liquidités et de capital satisfaisants.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'18,9%', 'provisions_risque': '50,4 millions USD', 'resultat_par_action': '0,269 USD', 'coefficient_exploitation': '58,0%'}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21,1%</w:t>
            </w:r>
          </w:p>
        </w:tc>
        <w:tc>
          <w:tcPr>
            <w:tcW w:type="dxa" w:w="2160"/>
          </w:tcPr>
          <w:p>
            <w:pPr>
              <w:ind w:left="100"/>
            </w:pPr>
            <w:r/>
            <w:r>
              <w:rPr>
                <w:b/>
                <w:sz w:val="16"/>
              </w:rPr>
              <w:t>total_actif</w:t>
              <w:br/>
            </w:r>
            <w:r>
              <w:rPr>
                <w:sz w:val="18"/>
              </w:rPr>
              <w:t>27,1 milliards USD</w:t>
            </w:r>
          </w:p>
        </w:tc>
      </w:tr>
      <w:tr>
        <w:tc>
          <w:tcPr>
            <w:tcW w:type="dxa" w:w="2160"/>
          </w:tcPr>
          <w:p>
            <w:r/>
            <w:r>
              <w:rPr>
                <w:b/>
                <w:sz w:val="16"/>
              </w:rPr>
              <w:t>resultat_net</w:t>
              <w:br/>
            </w:r>
            <w:r>
              <w:rPr>
                <w:sz w:val="18"/>
              </w:rPr>
              <w:t>92,1 millions USD</w:t>
            </w:r>
          </w:p>
        </w:tc>
        <w:tc>
          <w:tcPr>
            <w:tcW w:type="dxa" w:w="2160"/>
          </w:tcPr>
          <w:p>
            <w:r/>
            <w:r>
              <w:rPr>
                <w:b/>
                <w:sz w:val="16"/>
              </w:rPr>
              <w:t>capitaux_propres</w:t>
              <w:br/>
            </w:r>
            <w:r>
              <w:rPr>
                <w:sz w:val="18"/>
              </w:rPr>
              <w:t>2,1 milliards USD</w:t>
            </w:r>
          </w:p>
        </w:tc>
        <w:tc>
          <w:tcPr>
            <w:tcW w:type="dxa" w:w="2160"/>
          </w:tcPr>
          <w:p>
            <w:r/>
            <w:r>
              <w:rPr>
                <w:b/>
                <w:sz w:val="16"/>
              </w:rPr>
              <w:t>chiffre_affaires</w:t>
              <w:br/>
            </w:r>
            <w:r>
              <w:rPr>
                <w:sz w:val="18"/>
              </w:rPr>
              <w:t>436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avant impôt de 25% à 125 millions USD</w:t>
      </w:r>
    </w:p>
    <w:p>
      <w:pPr>
        <w:pStyle w:val="ListBullet"/>
        <w:spacing w:before="20" w:after="20"/>
        <w:ind w:left="700"/>
      </w:pPr>
      <w:r>
        <w:rPr>
          <w:sz w:val="18"/>
        </w:rPr>
        <w:t>Progression du résultat net de 21% à 92,1 millions USD</w:t>
      </w:r>
    </w:p>
    <w:p>
      <w:pPr>
        <w:pStyle w:val="ListBullet"/>
        <w:spacing w:before="20" w:after="20"/>
        <w:ind w:left="700"/>
      </w:pPr>
      <w:r>
        <w:rPr>
          <w:sz w:val="18"/>
        </w:rPr>
        <w:t>Amélioration du coefficient d'exploitation à 58,0% vs 59,3% en 2021</w:t>
      </w:r>
    </w:p>
    <w:p>
      <w:pPr>
        <w:pStyle w:val="ListBullet"/>
        <w:spacing w:before="20" w:after="20"/>
        <w:ind w:left="700"/>
      </w:pPr>
      <w:r>
        <w:rPr>
          <w:sz w:val="18"/>
        </w:rPr>
        <w:t>Rendement des capitaux propres tangibles de 18,9% vs 15,7% l'année précédente</w:t>
      </w:r>
    </w:p>
    <w:p>
      <w:pPr>
        <w:pStyle w:val="ListBullet"/>
        <w:spacing w:before="20" w:after="20"/>
        <w:ind w:left="700"/>
      </w:pPr>
      <w:r>
        <w:rPr>
          <w:sz w:val="18"/>
        </w:rPr>
        <w:t>Croissance des bénéfices de 13%, 26% et 59% respectivement dans les pôles Grandes Entreprises, Particuliers et Banque Commerciale</w:t>
      </w:r>
    </w:p>
    <w:p>
      <w:pPr>
        <w:pStyle w:val="ListBullet"/>
        <w:spacing w:before="20" w:after="20"/>
        <w:ind w:left="700"/>
      </w:pPr>
      <w:r>
        <w:rPr>
          <w:sz w:val="18"/>
        </w:rPr>
        <w:t>Réduction du coût du risque de 11% grâce à l'amélioration de la qualité du portefeuille crédit</w:t>
      </w:r>
    </w:p>
    <w:p>
      <w:pPr>
        <w:spacing w:before="40"/>
        <w:ind w:left="400"/>
      </w:pPr>
      <w:r>
        <w:rPr>
          <w:b/>
          <w:color w:val="C05000"/>
          <w:sz w:val="18"/>
        </w:rPr>
        <w:t xml:space="preserve">⚠️ Risques : </w:t>
      </w:r>
      <w:r>
        <w:rPr>
          <w:sz w:val="18"/>
        </w:rPr>
        <w:t>["Impact n\u00e9gatif du renforcement du dollar am\u00e9ricain sur les devises d'exploitation locales", "Environnement d'inflation \u00e9lev\u00e9e et de taux d'int\u00e9r\u00eat croissants en Afrique", "Tensions g\u00e9opolitiques li\u00e9es au conflit russo-ukrainien affectant les march\u00e9s"]</w:t>
      </w:r>
    </w:p>
    <w:p>
      <w:pPr>
        <w:spacing w:before="40"/>
        <w:ind w:left="400"/>
      </w:pPr>
      <w:r>
        <w:rPr>
          <w:b/>
          <w:color w:val="0064A0"/>
          <w:sz w:val="18"/>
        </w:rPr>
        <w:t xml:space="preserve">🔮 Perspectives : </w:t>
      </w:r>
      <w:r>
        <w:rPr>
          <w:sz w:val="18"/>
        </w:rPr>
        <w:t>Ecobank vise un rendement des capitaux propres d'environ 20% à moyen terme et continue de réduire le ratio de créances douteuses vers un objectif de moins de 6%. La banque poursuivra ses investissements dans les offres numériques et les capacités de paiement tout en améliorant sa technologie de base</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28.21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3,772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B40000"/>
                <w:sz w:val="17"/>
              </w:rPr>
              <w:t>-17.01%</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7.02% (Moyenne) — μ=2,179 FCFA, σ=153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β=0.7963 (Défensif) — Cov=0.000029, Var(idx)=0.000036, ρ=0.217,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3,772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σ_j=2.21%/j (Stable) — Vol. annualisée≈35.1%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1,961</w:t>
            </w:r>
          </w:p>
        </w:tc>
        <w:tc>
          <w:tcPr>
            <w:tcW w:type="dxa" w:w="1440"/>
            <w:shd w:fill="FAFAFA" w:val="clear"/>
          </w:tcPr>
          <w:p>
            <w:r>
              <w:rPr>
                <w:b/>
                <w:sz w:val="17"/>
              </w:rPr>
              <w:t>2,008</w:t>
            </w:r>
          </w:p>
        </w:tc>
        <w:tc>
          <w:tcPr>
            <w:tcW w:type="dxa" w:w="1440"/>
            <w:shd w:fill="FAFAFA" w:val="clear"/>
          </w:tcPr>
          <w:p>
            <w:r>
              <w:rPr>
                <w:sz w:val="17"/>
              </w:rPr>
              <w:t>2,056</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1,949</w:t>
            </w:r>
          </w:p>
        </w:tc>
        <w:tc>
          <w:tcPr>
            <w:tcW w:type="dxa" w:w="1440"/>
            <w:shd w:fill="FAFAFA" w:val="clear"/>
          </w:tcPr>
          <w:p>
            <w:r>
              <w:rPr>
                <w:b/>
                <w:sz w:val="17"/>
              </w:rPr>
              <w:t>2,016</w:t>
            </w:r>
          </w:p>
        </w:tc>
        <w:tc>
          <w:tcPr>
            <w:tcW w:type="dxa" w:w="1440"/>
            <w:shd w:fill="FAFAFA" w:val="clear"/>
          </w:tcPr>
          <w:p>
            <w:r>
              <w:rPr>
                <w:sz w:val="17"/>
              </w:rPr>
              <w:t>2,084</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1,941</w:t>
            </w:r>
          </w:p>
        </w:tc>
        <w:tc>
          <w:tcPr>
            <w:tcW w:type="dxa" w:w="1440"/>
            <w:shd w:fill="FAFAFA" w:val="clear"/>
          </w:tcPr>
          <w:p>
            <w:r>
              <w:rPr>
                <w:b/>
                <w:sz w:val="17"/>
              </w:rPr>
              <w:t>2,024</w:t>
            </w:r>
          </w:p>
        </w:tc>
        <w:tc>
          <w:tcPr>
            <w:tcW w:type="dxa" w:w="1440"/>
            <w:shd w:fill="FAFAFA" w:val="clear"/>
          </w:tcPr>
          <w:p>
            <w:r>
              <w:rPr>
                <w:sz w:val="17"/>
              </w:rPr>
              <w:t>2,107</w:t>
            </w:r>
          </w:p>
        </w:tc>
        <w:tc>
          <w:tcPr>
            <w:tcW w:type="dxa" w:w="1440"/>
            <w:shd w:fill="FAFAFA" w:val="clear"/>
          </w:tcPr>
          <w:p>
            <w:r>
              <w:rPr>
                <w:b/>
                <w:color w:val="008000"/>
                <w:sz w:val="17"/>
              </w:rPr>
              <w:t>+1.2%</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1,937</w:t>
            </w:r>
          </w:p>
        </w:tc>
        <w:tc>
          <w:tcPr>
            <w:tcW w:type="dxa" w:w="1440"/>
            <w:shd w:fill="FAFAFA" w:val="clear"/>
          </w:tcPr>
          <w:p>
            <w:r>
              <w:rPr>
                <w:b/>
                <w:sz w:val="17"/>
              </w:rPr>
              <w:t>2,033</w:t>
            </w:r>
          </w:p>
        </w:tc>
        <w:tc>
          <w:tcPr>
            <w:tcW w:type="dxa" w:w="1440"/>
            <w:shd w:fill="FAFAFA" w:val="clear"/>
          </w:tcPr>
          <w:p>
            <w:r>
              <w:rPr>
                <w:sz w:val="17"/>
              </w:rPr>
              <w:t>2,129</w:t>
            </w:r>
          </w:p>
        </w:tc>
        <w:tc>
          <w:tcPr>
            <w:tcW w:type="dxa" w:w="1440"/>
            <w:shd w:fill="FAFAFA" w:val="clear"/>
          </w:tcPr>
          <w:p>
            <w:r>
              <w:rPr>
                <w:b/>
                <w:color w:val="008000"/>
                <w:sz w:val="17"/>
              </w:rPr>
              <w:t>+1.6%</w:t>
            </w:r>
          </w:p>
        </w:tc>
      </w:tr>
      <w:tr>
        <w:tc>
          <w:tcPr>
            <w:tcW w:type="dxa" w:w="1440"/>
            <w:shd w:fill="C6EFCE" w:val="clear"/>
          </w:tcPr>
          <w:p>
            <w:r>
              <w:rPr>
                <w:sz w:val="17"/>
              </w:rPr>
              <w:t>J+5  Moyenne</w:t>
            </w:r>
          </w:p>
        </w:tc>
        <w:tc>
          <w:tcPr>
            <w:tcW w:type="dxa" w:w="1440"/>
            <w:shd w:fill="C6EFCE" w:val="clear"/>
          </w:tcPr>
          <w:p>
            <w:r>
              <w:rPr>
                <w:sz w:val="17"/>
              </w:rPr>
              <w:t>2026-08-14</w:t>
            </w:r>
          </w:p>
        </w:tc>
        <w:tc>
          <w:tcPr>
            <w:tcW w:type="dxa" w:w="1440"/>
            <w:shd w:fill="C6EFCE" w:val="clear"/>
          </w:tcPr>
          <w:p>
            <w:r>
              <w:rPr>
                <w:sz w:val="17"/>
              </w:rPr>
              <w:t>1,933</w:t>
            </w:r>
          </w:p>
        </w:tc>
        <w:tc>
          <w:tcPr>
            <w:tcW w:type="dxa" w:w="1440"/>
            <w:shd w:fill="C6EFCE" w:val="clear"/>
          </w:tcPr>
          <w:p>
            <w:r>
              <w:rPr>
                <w:b/>
                <w:sz w:val="17"/>
              </w:rPr>
              <w:t>2,041</w:t>
            </w:r>
          </w:p>
        </w:tc>
        <w:tc>
          <w:tcPr>
            <w:tcW w:type="dxa" w:w="1440"/>
            <w:shd w:fill="C6EFCE" w:val="clear"/>
          </w:tcPr>
          <w:p>
            <w:r>
              <w:rPr>
                <w:sz w:val="17"/>
              </w:rPr>
              <w:t>2,149</w:t>
            </w:r>
          </w:p>
        </w:tc>
        <w:tc>
          <w:tcPr>
            <w:tcW w:type="dxa" w:w="1440"/>
            <w:shd w:fill="C6EFCE" w:val="clear"/>
          </w:tcPr>
          <w:p>
            <w:r>
              <w:rPr>
                <w:b/>
                <w:color w:val="008000"/>
                <w:sz w:val="17"/>
              </w:rPr>
              <w:t>+2.1%</w:t>
            </w:r>
          </w:p>
        </w:tc>
      </w:tr>
      <w:tr>
        <w:tc>
          <w:tcPr>
            <w:tcW w:type="dxa" w:w="1440"/>
            <w:shd w:fill="C6EFCE" w:val="clear"/>
          </w:tcPr>
          <w:p>
            <w:r>
              <w:rPr>
                <w:sz w:val="17"/>
              </w:rPr>
              <w:t>J+6  Moyenne</w:t>
            </w:r>
          </w:p>
        </w:tc>
        <w:tc>
          <w:tcPr>
            <w:tcW w:type="dxa" w:w="1440"/>
            <w:shd w:fill="C6EFCE" w:val="clear"/>
          </w:tcPr>
          <w:p>
            <w:r>
              <w:rPr>
                <w:sz w:val="17"/>
              </w:rPr>
              <w:t>2026-08-17</w:t>
            </w:r>
          </w:p>
        </w:tc>
        <w:tc>
          <w:tcPr>
            <w:tcW w:type="dxa" w:w="1440"/>
            <w:shd w:fill="C6EFCE" w:val="clear"/>
          </w:tcPr>
          <w:p>
            <w:r>
              <w:rPr>
                <w:sz w:val="17"/>
              </w:rPr>
              <w:t>1,931</w:t>
            </w:r>
          </w:p>
        </w:tc>
        <w:tc>
          <w:tcPr>
            <w:tcW w:type="dxa" w:w="1440"/>
            <w:shd w:fill="C6EFCE" w:val="clear"/>
          </w:tcPr>
          <w:p>
            <w:r>
              <w:rPr>
                <w:b/>
                <w:sz w:val="17"/>
              </w:rPr>
              <w:t>2,050</w:t>
            </w:r>
          </w:p>
        </w:tc>
        <w:tc>
          <w:tcPr>
            <w:tcW w:type="dxa" w:w="1440"/>
            <w:shd w:fill="C6EFCE" w:val="clear"/>
          </w:tcPr>
          <w:p>
            <w:r>
              <w:rPr>
                <w:sz w:val="17"/>
              </w:rPr>
              <w:t>2,169</w:t>
            </w:r>
          </w:p>
        </w:tc>
        <w:tc>
          <w:tcPr>
            <w:tcW w:type="dxa" w:w="1440"/>
            <w:shd w:fill="C6EFCE" w:val="clear"/>
          </w:tcPr>
          <w:p>
            <w:r>
              <w:rPr>
                <w:b/>
                <w:color w:val="008000"/>
                <w:sz w:val="17"/>
              </w:rPr>
              <w:t>+2.5%</w:t>
            </w:r>
          </w:p>
        </w:tc>
      </w:tr>
      <w:tr>
        <w:tc>
          <w:tcPr>
            <w:tcW w:type="dxa" w:w="1440"/>
            <w:shd w:fill="C6EFCE" w:val="clear"/>
          </w:tcPr>
          <w:p>
            <w:r>
              <w:rPr>
                <w:sz w:val="17"/>
              </w:rPr>
              <w:t>J+7  Moyenne</w:t>
            </w:r>
          </w:p>
        </w:tc>
        <w:tc>
          <w:tcPr>
            <w:tcW w:type="dxa" w:w="1440"/>
            <w:shd w:fill="C6EFCE" w:val="clear"/>
          </w:tcPr>
          <w:p>
            <w:r>
              <w:rPr>
                <w:sz w:val="17"/>
              </w:rPr>
              <w:t>2026-08-18</w:t>
            </w:r>
          </w:p>
        </w:tc>
        <w:tc>
          <w:tcPr>
            <w:tcW w:type="dxa" w:w="1440"/>
            <w:shd w:fill="C6EFCE" w:val="clear"/>
          </w:tcPr>
          <w:p>
            <w:r>
              <w:rPr>
                <w:sz w:val="17"/>
              </w:rPr>
              <w:t>1,930</w:t>
            </w:r>
          </w:p>
        </w:tc>
        <w:tc>
          <w:tcPr>
            <w:tcW w:type="dxa" w:w="1440"/>
            <w:shd w:fill="C6EFCE" w:val="clear"/>
          </w:tcPr>
          <w:p>
            <w:r>
              <w:rPr>
                <w:b/>
                <w:sz w:val="17"/>
              </w:rPr>
              <w:t>2,059</w:t>
            </w:r>
          </w:p>
        </w:tc>
        <w:tc>
          <w:tcPr>
            <w:tcW w:type="dxa" w:w="1440"/>
            <w:shd w:fill="C6EFCE" w:val="clear"/>
          </w:tcPr>
          <w:p>
            <w:r>
              <w:rPr>
                <w:sz w:val="17"/>
              </w:rPr>
              <w:t>2,187</w:t>
            </w:r>
          </w:p>
        </w:tc>
        <w:tc>
          <w:tcPr>
            <w:tcW w:type="dxa" w:w="1440"/>
            <w:shd w:fill="C6EFCE" w:val="clear"/>
          </w:tcPr>
          <w:p>
            <w:r>
              <w:rPr>
                <w:b/>
                <w:color w:val="008000"/>
                <w:sz w:val="17"/>
              </w:rPr>
              <w:t>+2.9%</w:t>
            </w:r>
          </w:p>
        </w:tc>
      </w:tr>
      <w:tr>
        <w:tc>
          <w:tcPr>
            <w:tcW w:type="dxa" w:w="1440"/>
            <w:shd w:fill="C6EFCE" w:val="clear"/>
          </w:tcPr>
          <w:p>
            <w:r>
              <w:rPr>
                <w:sz w:val="17"/>
              </w:rPr>
              <w:t>J+8  Moyenne</w:t>
            </w:r>
          </w:p>
        </w:tc>
        <w:tc>
          <w:tcPr>
            <w:tcW w:type="dxa" w:w="1440"/>
            <w:shd w:fill="C6EFCE" w:val="clear"/>
          </w:tcPr>
          <w:p>
            <w:r>
              <w:rPr>
                <w:sz w:val="17"/>
              </w:rPr>
              <w:t>2026-08-19</w:t>
            </w:r>
          </w:p>
        </w:tc>
        <w:tc>
          <w:tcPr>
            <w:tcW w:type="dxa" w:w="1440"/>
            <w:shd w:fill="C6EFCE" w:val="clear"/>
          </w:tcPr>
          <w:p>
            <w:r>
              <w:rPr>
                <w:sz w:val="17"/>
              </w:rPr>
              <w:t>1,929</w:t>
            </w:r>
          </w:p>
        </w:tc>
        <w:tc>
          <w:tcPr>
            <w:tcW w:type="dxa" w:w="1440"/>
            <w:shd w:fill="C6EFCE" w:val="clear"/>
          </w:tcPr>
          <w:p>
            <w:r>
              <w:rPr>
                <w:b/>
                <w:sz w:val="17"/>
              </w:rPr>
              <w:t>2,067</w:t>
            </w:r>
          </w:p>
        </w:tc>
        <w:tc>
          <w:tcPr>
            <w:tcW w:type="dxa" w:w="1440"/>
            <w:shd w:fill="C6EFCE" w:val="clear"/>
          </w:tcPr>
          <w:p>
            <w:r>
              <w:rPr>
                <w:sz w:val="17"/>
              </w:rPr>
              <w:t>2,206</w:t>
            </w:r>
          </w:p>
        </w:tc>
        <w:tc>
          <w:tcPr>
            <w:tcW w:type="dxa" w:w="1440"/>
            <w:shd w:fill="C6EFCE" w:val="clear"/>
          </w:tcPr>
          <w:p>
            <w:r>
              <w:rPr>
                <w:b/>
                <w:color w:val="008000"/>
                <w:sz w:val="17"/>
              </w:rPr>
              <w:t>+3.4%</w:t>
            </w:r>
          </w:p>
        </w:tc>
      </w:tr>
      <w:tr>
        <w:tc>
          <w:tcPr>
            <w:tcW w:type="dxa" w:w="1440"/>
            <w:shd w:fill="C6EFCE" w:val="clear"/>
          </w:tcPr>
          <w:p>
            <w:r>
              <w:rPr>
                <w:sz w:val="17"/>
              </w:rPr>
              <w:t>J+9  Moyenne</w:t>
            </w:r>
          </w:p>
        </w:tc>
        <w:tc>
          <w:tcPr>
            <w:tcW w:type="dxa" w:w="1440"/>
            <w:shd w:fill="C6EFCE" w:val="clear"/>
          </w:tcPr>
          <w:p>
            <w:r>
              <w:rPr>
                <w:sz w:val="17"/>
              </w:rPr>
              <w:t>2026-08-20</w:t>
            </w:r>
          </w:p>
        </w:tc>
        <w:tc>
          <w:tcPr>
            <w:tcW w:type="dxa" w:w="1440"/>
            <w:shd w:fill="C6EFCE" w:val="clear"/>
          </w:tcPr>
          <w:p>
            <w:r>
              <w:rPr>
                <w:sz w:val="17"/>
              </w:rPr>
              <w:t>1,929</w:t>
            </w:r>
          </w:p>
        </w:tc>
        <w:tc>
          <w:tcPr>
            <w:tcW w:type="dxa" w:w="1440"/>
            <w:shd w:fill="C6EFCE" w:val="clear"/>
          </w:tcPr>
          <w:p>
            <w:r>
              <w:rPr>
                <w:b/>
                <w:sz w:val="17"/>
              </w:rPr>
              <w:t>2,076</w:t>
            </w:r>
          </w:p>
        </w:tc>
        <w:tc>
          <w:tcPr>
            <w:tcW w:type="dxa" w:w="1440"/>
            <w:shd w:fill="C6EFCE" w:val="clear"/>
          </w:tcPr>
          <w:p>
            <w:r>
              <w:rPr>
                <w:sz w:val="17"/>
              </w:rPr>
              <w:t>2,224</w:t>
            </w:r>
          </w:p>
        </w:tc>
        <w:tc>
          <w:tcPr>
            <w:tcW w:type="dxa" w:w="1440"/>
            <w:shd w:fill="C6EFCE" w:val="clear"/>
          </w:tcPr>
          <w:p>
            <w:r>
              <w:rPr>
                <w:b/>
                <w:color w:val="008000"/>
                <w:sz w:val="17"/>
              </w:rPr>
              <w:t>+3.8%</w:t>
            </w:r>
          </w:p>
        </w:tc>
      </w:tr>
      <w:tr>
        <w:tc>
          <w:tcPr>
            <w:tcW w:type="dxa" w:w="1440"/>
            <w:shd w:fill="C6EFCE" w:val="clear"/>
          </w:tcPr>
          <w:p>
            <w:r>
              <w:rPr>
                <w:sz w:val="17"/>
              </w:rPr>
              <w:t>J+10  Moyenne</w:t>
            </w:r>
          </w:p>
        </w:tc>
        <w:tc>
          <w:tcPr>
            <w:tcW w:type="dxa" w:w="1440"/>
            <w:shd w:fill="C6EFCE" w:val="clear"/>
          </w:tcPr>
          <w:p>
            <w:r>
              <w:rPr>
                <w:sz w:val="17"/>
              </w:rPr>
              <w:t>2026-08-21</w:t>
            </w:r>
          </w:p>
        </w:tc>
        <w:tc>
          <w:tcPr>
            <w:tcW w:type="dxa" w:w="1440"/>
            <w:shd w:fill="C6EFCE" w:val="clear"/>
          </w:tcPr>
          <w:p>
            <w:r>
              <w:rPr>
                <w:sz w:val="17"/>
              </w:rPr>
              <w:t>1,929</w:t>
            </w:r>
          </w:p>
        </w:tc>
        <w:tc>
          <w:tcPr>
            <w:tcW w:type="dxa" w:w="1440"/>
            <w:shd w:fill="C6EFCE" w:val="clear"/>
          </w:tcPr>
          <w:p>
            <w:r>
              <w:rPr>
                <w:b/>
                <w:sz w:val="17"/>
              </w:rPr>
              <w:t>2,085</w:t>
            </w:r>
          </w:p>
        </w:tc>
        <w:tc>
          <w:tcPr>
            <w:tcW w:type="dxa" w:w="1440"/>
            <w:shd w:fill="C6EFCE" w:val="clear"/>
          </w:tcPr>
          <w:p>
            <w:r>
              <w:rPr>
                <w:sz w:val="17"/>
              </w:rPr>
              <w:t>2,241</w:t>
            </w:r>
          </w:p>
        </w:tc>
        <w:tc>
          <w:tcPr>
            <w:tcW w:type="dxa" w:w="1440"/>
            <w:shd w:fill="C6EFCE" w:val="clear"/>
          </w:tcPr>
          <w:p>
            <w:r>
              <w:rPr>
                <w:b/>
                <w:color w:val="008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FILTISAC s'établit à 28,21 milliards FCFA, un niveau modeste qui la classe parmi les valeurs moyennes de la cote BRVM. Le BPA de 33 FCFA par action est particulièrement faible, ce qui explique un PER de 60,5x, extrêmement élevé au regard de la moyenne historique du marché qui se situe entre 8 et 12x. Les investisseurs paient donc un prix très supérieur aux bénéfices générés, signe d'une valorisation exigeante qui laisse peu de marge de sécurité. Le P/B de 1,80x indique que le marché valorise la société à près du double de sa valeur comptable, ce qui reste raisonnable mais suppose une création de valeur future. Enfin, l'EV/EBITDA de 36,7x, très supérieur au seuil de 15x considéré comme exigeant, confirme que la valeur totale de l'entreprise (dette incluse) est très élevée par rapport à sa capacité opérationnelle réelle. L'ensemble de ces ratios traduit une valorisation boursière nettement supérieure à la réalité économique de la société.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FTSC a enregistré une baisse significative de 17,01%, passant de ses plus hauts niveaux à un cours actuel de 2 000 FCFA, bien que la dernière séance affiche un rebond modeste de +0,50%. Le titre a évolué dans une fourchette de 520 FCFA, entre un plus bas de 1 910 FCFA et un plus haut de 2 430 FCFA, illustrant une amplitude de trading non négligeable. La moyenne du cours sur la période s'établit à 2 179 FCFA, légèrement inférieure à la médiane de 2 220 FCFA, ce qui suggère une distribution relativement symétrique, confirmée par un skewness de -0,238. L'écart-type de 154 FCFA, avec un coefficient de variation de 7,1%, indique une dispersion modérée des prix autour de la moyenne. Le kurtosis négatif de -1,306 révèle une distribution platykurtique, c'est-à-dire aplatie, avec une faible concentration des valeurs extrêmes, réduisant le risque de mouvements violents. La volatilité annualisée de 35,1% classe le titre dans la catégorie des valeurs à forte volatilité, ce qui implique un risque élevé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La MM20 à 1 973,75 FCFA et la MM50 à 2 080,00 FCFA sont toutes deux inférieures au cours actuel de 2 000 FCFA, mais la MM50 reste supérieure à la MM20, indiquant une tendance baissière de moyen terme. Le cours évolue sous sa moyenne à 50 jours, ce qui confirme la pression vendeuse persistante et justifie la décision de vente. La configuration des moyennes mobiles suggère que le titre n'a pas encore inversé sa tendance.</w:t>
      </w:r>
    </w:p>
    <w:p>
      <w:pPr>
        <w:spacing w:after="120" w:line="276" w:lineRule="auto"/>
      </w:pPr>
      <w:r>
        <w:t>**Bandes de Bollinger** : Le cours à 2 000 FCFA se positionne dans la partie médiane-haute des bandes, entre la borne inférieure à 1 924,35 FCFA et la borne supérieure à 2 023,15 FCFA. L'écart relativement resserré des bandes indique une volatilité modérée sur la période récente. La position du prix proche de la borne supérieure suggère un potentiel de poursuite haussière à court terme, mais la décision reste neutre en l'absence de signal directionnel fort.</w:t>
      </w:r>
    </w:p>
    <w:p>
      <w:pPr>
        <w:spacing w:after="120" w:line="276" w:lineRule="auto"/>
      </w:pPr>
      <w:r>
        <w:t>**MACD** : Le MACD affiche une valeur de -24,03, avec une ligne de signal à -33,75. La divergence positive entre le MACD et son signal, bien que les deux restent en territoire négatif, indique un momentum haussier en cours de formation. Cette configuration, où le MACD remonte au-dessus de son signal, est généralement interprétée comme un signal d'achat précoce, suggérant que la pression vendeuse s'atténue.</w:t>
      </w:r>
    </w:p>
    <w:p>
      <w:pPr>
        <w:spacing w:after="120" w:line="276" w:lineRule="auto"/>
      </w:pPr>
      <w:r>
        <w:t>**RSI** : Le RSI à 51,35 se situe en zone neutre, entre 30 et 70, indiquant un équilibre relatif entre les forces acheteuses et vendeuses. Cette valeur ne montre ni surachat ni survente, laissant place à une évolution directionnelle sans contrainte technique majeure. Le RSI neutre ne fournit pas de signal d'action particulier.</w:t>
      </w:r>
    </w:p>
    <w:p>
      <w:pPr>
        <w:spacing w:after="120" w:line="276" w:lineRule="auto"/>
      </w:pPr>
      <w:r>
        <w:t>**Stochastique** : Le %K à 100,0 et le %D à 90,20 indiquent une condition de surachat extrême. Le titre se trouve à ses plus hauts niveaux sur la période de calcul, ce qui suggère un épuisement potentiel du mouvement haussier à court terme. Cette configuration justifie la décision de vente, car un retournement baissier est statistiquement probable après de tels niveaux.</w:t>
      </w:r>
    </w:p>
    <w:p>
      <w:pPr>
        <w:spacing w:after="120" w:line="276" w:lineRule="auto"/>
      </w:pPr>
      <w:r>
        <w:t>**Conclusion technique** : Les indicateurs techniques présentent des signaux contradictoires : les moyennes mobiles et le stochastique suggèrent une poursuite baissière, tandis que le MACD et le RSI indiquent un potentiel de rebond. La configuration globale reste mitigée, avec une légère prédominance baissière à moyen terme mais des signes d'amélioration à court terme. Le titre semble chercher un point d'équilibre après une phase de correction marquée.</w:t>
      </w:r>
    </w:p>
    <w:p>
      <w:pPr>
        <w:spacing w:after="120" w:line="276" w:lineRule="auto" w:before="240"/>
      </w:pPr>
      <w:r>
        <w:rPr>
          <w:b/>
          <w:color w:val="003366"/>
          <w:sz w:val="24"/>
        </w:rPr>
        <w:t>**PARTIE 3 : ANALYSE FONDAMENTALE (SECTION CRITIQUE)**</w:t>
      </w:r>
    </w:p>
    <w:p>
      <w:pPr>
        <w:spacing w:after="120" w:line="276" w:lineRule="auto"/>
      </w:pPr>
      <w:r>
        <w:t>En 2025, les états financiers structurés de FILTISAC révèlent une situation préoccupante : le chiffre d'affaires s'établit à 32,109 milliards FCFA, en croissance modeste de 4,6%, mais le résultat net n'atteint que 465,98 millions FCFA, soit une marge nette de seulement 1,45%. Le ROE de 2,97% et le ROA de 1,19% sont très faibles, traduisant une rentabilité insuffisante des capitaux propres et des actifs. La structure financière montre un endettement élevé avec un ratio d'endettement de 97,6% et une capacité de remboursement de 11,49 ans, ce qui représente un risque de solvabilité significatif. Le BFR de 11,529 milliards FCFA est positif et élevé, avec un délai clients de 213,72 jours et une durée de stockage de 214,65 jours, illustrant une immobilisation importante du capital dans le cycle d'exploitation. Les rapports trimestriels 2025 confirment cette tendance : le T1 2025 affiche un résultat d'exploitation déficitaire de -78 millions FCFA, le S1 2025 un résultat net de seulement 105 millions FCFA, et le T3 2025 un résultat courant avant impôt de -216 millions FCFA. Le rapport annuel 2024 montrait déjà une dégradation du cœur de métier, avec un EBE en chute de 84%, masqué par des produits financiers exceptionnels de 6,17 milliards FCFA liés à des cessions de filiales. On estime que l'exercice 2025 devrait afficher un résultat net faible, autour de 466 millions FCFA, sans les éléments exceptionnels de 2024. La société dépend fortement de la campagne cacaoyère 2025/2026 pour améliorer ses performances opérationnelles.</w:t>
      </w:r>
    </w:p>
    <w:p>
      <w:pPr>
        <w:spacing w:after="120" w:line="276" w:lineRule="auto" w:before="240"/>
      </w:pPr>
      <w:r>
        <w:rPr>
          <w:b/>
          <w:color w:val="003366"/>
          <w:sz w:val="24"/>
        </w:rPr>
        <w:t>**PARTIE 4 : CONCLUSION D'INVESTISSEMENT**</w:t>
      </w:r>
    </w:p>
    <w:p>
      <w:pPr>
        <w:spacing w:after="120" w:line="276" w:lineRule="auto"/>
      </w:pPr>
      <w:r>
        <w:t>La synthèse des analyses révèle une situation contrastée pour FILTISAC. La valorisation boursière apparaît clairement surévaluée avec un PER de 60,5x et un EV/EBITDA de 36,7x, très supérieurs aux moyennes du marché BRVM, tandis que le comportement du cours montre une tendance baissière de 17% sur 100 jours avec une volatilité élevée de 35,1%. Les signaux techniques sont mitigés : les moyennes mobiles et le stochastique en surachat plaident pour une poursuite baissière, alors que le MACD et le RSI suggèrent un rebond potentiel. Les fondamentaux restent fragiles avec une rentabilité très faible (ROE de 2,97%), un endettement élevé et des délais clients et de stockage excessifs qui pèsent sur la trésorerie. Les prédictions IA pour les 10 prochains jours indiquent une progression modeste du cours vers 2 041 FCFA, ce qui contredit légèrement les signaux baissiers mais reste dans une fourchette étroite. Au vu de l'ensemble de ces éléments, la recommandation est **CONSERVER** avec un niveau de confiance **Moyen** et un risque global **Élevé**. L'horizon d'investissement optimal serait le **moyen terme (3-12 mois)**, en attendant une amélioration tangible de la rentabilité opérationnelle et une clarification de l'impact de la campagne cacaoyère sur les résultats.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validation des comptes par des auditeurs de renom sans anomalies significatives t\u00e9moigne d'une gestion saine. Cependant, l'absence de donn\u00e9es financi\u00e8res d\u00e9taill\u00e9es limite l'analyse de la performance op\u00e9rationnelle."}</w:t>
      </w:r>
    </w:p>
    <w:p>
      <w:pPr>
        <w:spacing w:before="40"/>
        <w:ind w:left="400"/>
      </w:pPr>
      <w:r>
        <w:rPr>
          <w:sz w:val="18"/>
        </w:rPr>
        <w:t>FILTISAC (Filatures, Tissages, Sacs de Côte d'Ivoire, S.A.) est une société cotée à la BRVM spécialisée dans le secteur textile. Le document présente une attestation des commissaires aux comptes KPMG Côte d'Ivoire et Ernst &amp; Young sur les états financiers semestriels au 30 juin 2021. Les auditeurs ont effectué un examen limité conformément aux normes ISRE 2410 et aux dispositions OHADA. L'examen limité n'a pas révélé de faits laissant penser que les comptes ne sont pas établis conformément aux normes en vigueur. Le document atteste de la régularité des états financiers semestriels selon les référentiels comptables OHADA et 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Société cotée à la BRVM active dans le secteur des filatures et tissages</w:t>
      </w:r>
    </w:p>
    <w:p>
      <w:pPr>
        <w:pStyle w:val="ListBullet"/>
        <w:spacing w:before="20" w:after="20"/>
        <w:ind w:left="700"/>
      </w:pPr>
      <w:r>
        <w:rPr>
          <w:sz w:val="18"/>
        </w:rPr>
        <w:t>Audit semestriel réalisé par deux cabinets renommés : KPMG et Ernst &amp; Young</w:t>
      </w:r>
    </w:p>
    <w:p>
      <w:pPr>
        <w:pStyle w:val="ListBullet"/>
        <w:spacing w:before="20" w:after="20"/>
        <w:ind w:left="700"/>
      </w:pPr>
      <w:r>
        <w:rPr>
          <w:sz w:val="18"/>
        </w:rPr>
        <w:t>Examen limité conforme aux normes internationales ISRE 2410</w:t>
      </w:r>
    </w:p>
    <w:p>
      <w:pPr>
        <w:pStyle w:val="ListBullet"/>
        <w:spacing w:before="20" w:after="20"/>
        <w:ind w:left="700"/>
      </w:pPr>
      <w:r>
        <w:rPr>
          <w:sz w:val="18"/>
        </w:rPr>
        <w:t>Conformité aux dispositions OHADA et réglementations UMOA</w:t>
      </w:r>
    </w:p>
    <w:p>
      <w:pPr>
        <w:pStyle w:val="ListBullet"/>
        <w:spacing w:before="20" w:after="20"/>
        <w:ind w:left="700"/>
      </w:pPr>
      <w:r>
        <w:rPr>
          <w:sz w:val="18"/>
        </w:rPr>
        <w:t>Aucune anomalie significative détectée lors de l'examen limité</w:t>
      </w:r>
    </w:p>
    <w:p>
      <w:pPr>
        <w:pStyle w:val="ListBullet"/>
        <w:spacing w:before="20" w:after="20"/>
        <w:ind w:left="700"/>
      </w:pPr>
      <w:r>
        <w:rPr>
          <w:sz w:val="18"/>
        </w:rPr>
        <w:t>États financiers semestriels validés pour la période du 1er janvier au 30 juin 2021</w:t>
      </w:r>
    </w:p>
    <w:p>
      <w:pPr>
        <w:spacing w:before="40"/>
        <w:ind w:left="400"/>
      </w:pPr>
      <w:r>
        <w:rPr>
          <w:b/>
          <w:color w:val="C05000"/>
          <w:sz w:val="18"/>
        </w:rPr>
        <w:t xml:space="preserve">⚠️ Risques : </w:t>
      </w:r>
      <w:r>
        <w:rPr>
          <w:sz w:val="18"/>
        </w:rPr>
        <w:t>["Volatilit\u00e9 du secteur textile africain face \u00e0 la concurrence internationale", "D\u00e9pendance aux conditions \u00e9conomiques r\u00e9gionales UMOA", "Risques li\u00e9s aux mati\u00e8res premi\u00e8res et co\u00fbts de production"]</w:t>
      </w:r>
    </w:p>
    <w:p>
      <w:pPr>
        <w:spacing w:before="40"/>
        <w:ind w:left="400"/>
      </w:pPr>
      <w:r>
        <w:rPr>
          <w:b/>
          <w:color w:val="0064A0"/>
          <w:sz w:val="18"/>
        </w:rPr>
        <w:t xml:space="preserve">🔮 Perspectives : </w:t>
      </w:r>
      <w:r>
        <w:rPr>
          <w:sz w:val="18"/>
        </w:rPr>
        <w:t>Les perspectives restent à évaluer en fonction des résultats financiers détaillés qui ne sont pas disponibles dans ce document d'attestation. La validation comptable constitue néanmoins un signal positif pour la gouvernance de l'entreprise.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conjoncturelles du T1 2022, la soci\u00e9t\u00e9 maintient sa croissance d'activit\u00e9 et b\u00e9n\u00e9ficie de perspectives commerciales favorables. La situation difficile semble temporaire li\u00e9e au contexte \u00e9conomique mondial."}</w:t>
      </w:r>
    </w:p>
    <w:p>
      <w:pPr>
        <w:spacing w:before="40"/>
        <w:ind w:left="400"/>
      </w:pPr>
      <w:r>
        <w:rPr>
          <w:sz w:val="18"/>
        </w:rPr>
        <w:t>FILTISAC CI présente des résultats financiers mitigés au premier trimestre 2022. Le chiffre d'affaires progresse de 10% à 10 935 millions FCFA, porté notamment par les activités du département Jute. Cependant, la société affiche une perte d'exploitation de 103 millions FCFA contre un bénéfice de 322 millions l'année précédente. Le résultat courant avant impôt se dégrade fortement à -382 millions FCFA contre +204 millions en 2021. Cette détérioration s'explique principalement par la hausse du coût des matières premières qui a impacté les marges malgré la croissance du chiffre d'affaires.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'+10%', 'capital_social': '8 814 837 500 FCFA', 'resultat_exploitation': '-103 millions FCFA', 'resultat_courant_avant_impot': '-382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10 935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 à 10 935 millions FCFA au T1 2022</w:t>
      </w:r>
    </w:p>
    <w:p>
      <w:pPr>
        <w:pStyle w:val="ListBullet"/>
        <w:spacing w:before="20" w:after="20"/>
        <w:ind w:left="700"/>
      </w:pPr>
      <w:r>
        <w:rPr>
          <w:sz w:val="18"/>
        </w:rPr>
        <w:t>Perte d'exploitation de 103 millions FCFA contre un bénéfice de 322 millions en 2021</w:t>
      </w:r>
    </w:p>
    <w:p>
      <w:pPr>
        <w:pStyle w:val="ListBullet"/>
        <w:spacing w:before="20" w:after="20"/>
        <w:ind w:left="700"/>
      </w:pPr>
      <w:r>
        <w:rPr>
          <w:sz w:val="18"/>
        </w:rPr>
        <w:t>Dégradation du résultat courant avant impôt à -382 millions FCFA (-287%)</w:t>
      </w:r>
    </w:p>
    <w:p>
      <w:pPr>
        <w:pStyle w:val="ListBullet"/>
        <w:spacing w:before="20" w:after="20"/>
        <w:ind w:left="700"/>
      </w:pPr>
      <w:r>
        <w:rPr>
          <w:sz w:val="18"/>
        </w:rPr>
        <w:t>Impact négatif de la hausse des coûts des matières premières sur les marges</w:t>
      </w:r>
    </w:p>
    <w:p>
      <w:pPr>
        <w:pStyle w:val="ListBullet"/>
        <w:spacing w:before="20" w:after="20"/>
        <w:ind w:left="700"/>
      </w:pPr>
      <w:r>
        <w:rPr>
          <w:sz w:val="18"/>
        </w:rPr>
        <w:t>Suspension des exportations vers le Mali pénalisant les ventes de polymères</w:t>
      </w:r>
    </w:p>
    <w:p>
      <w:pPr>
        <w:pStyle w:val="ListBullet"/>
        <w:spacing w:before="20" w:after="20"/>
        <w:ind w:left="700"/>
      </w:pPr>
      <w:r>
        <w:rPr>
          <w:sz w:val="18"/>
        </w:rPr>
        <w:t>Contexte économique mondial difficile avec hausse des prix et perturbations logistiques</w:t>
      </w:r>
    </w:p>
    <w:p>
      <w:pPr>
        <w:spacing w:before="40"/>
        <w:ind w:left="400"/>
      </w:pPr>
      <w:r>
        <w:rPr>
          <w:b/>
          <w:color w:val="C05000"/>
          <w:sz w:val="18"/>
        </w:rPr>
        <w:t xml:space="preserve">⚠️ Risques : </w:t>
      </w:r>
      <w:r>
        <w:rPr>
          <w:sz w:val="18"/>
        </w:rPr>
        <w:t>["Volatilit\u00e9 continue des prix des mati\u00e8res premi\u00e8res impactant la rentabilit\u00e9", "Perturbations de la cha\u00eene logistique notamment sur les approvisionnements asiatiques", "Instabilit\u00e9 g\u00e9opolitique r\u00e9gionale affectant les exportations vers le Mali"]</w:t>
      </w:r>
    </w:p>
    <w:p>
      <w:pPr>
        <w:spacing w:before="40"/>
        <w:ind w:left="400"/>
      </w:pPr>
      <w:r>
        <w:rPr>
          <w:b/>
          <w:color w:val="0064A0"/>
          <w:sz w:val="18"/>
        </w:rPr>
        <w:t xml:space="preserve">🔮 Perspectives : </w:t>
      </w:r>
      <w:r>
        <w:rPr>
          <w:sz w:val="18"/>
        </w:rPr>
        <w:t>Les prévisions commerciales s'annoncent satisfaisantes avec une demande soutenue d'emballages destinés aux filières agricoles en croissance. L'amélioration de la productivité, particulièrement sur l'usine Jute, devrait contribuer à redresser la rentabilité dans les prochains trimestres.</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86.00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2,702 titres</w:t>
            </w:r>
          </w:p>
        </w:tc>
        <w:tc>
          <w:tcPr>
            <w:tcW w:type="dxa" w:w="2268"/>
            <w:shd w:fill="FFF2CC" w:val="clear"/>
          </w:tcPr>
          <w:p>
            <w:r>
              <w:rPr>
                <w:b/>
                <w:color w:val="503200"/>
                <w:sz w:val="16"/>
              </w:rPr>
              <w:t xml:space="preserve">Cours actuel : </w:t>
            </w:r>
            <w:r>
              <w:rPr>
                <w:color w:val="000000"/>
                <w:sz w:val="17"/>
              </w:rPr>
              <w:t>4,300 FCFA</w:t>
            </w:r>
          </w:p>
          <w:p>
            <w:r>
              <w:rPr>
                <w:b/>
                <w:color w:val="503200"/>
                <w:sz w:val="16"/>
              </w:rPr>
              <w:t xml:space="preserve">Var. 100 jours : </w:t>
            </w:r>
            <w:r>
              <w:rPr>
                <w:b/>
                <w:color w:val="007800"/>
                <w:sz w:val="17"/>
              </w:rPr>
              <w:t>+10.26%</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35.0%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5.19% (Moyenne) — μ=4,018 FCFA, σ=208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β=0.3391 (Défensif) — Cov=0.000012, Var(idx)=0.000036, ρ=0.093,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2,702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σ_j=2.20%/j (Stable) — Vol. annualisée≈35.0%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3,967</w:t>
            </w:r>
          </w:p>
        </w:tc>
        <w:tc>
          <w:tcPr>
            <w:tcW w:type="dxa" w:w="1440"/>
            <w:shd w:fill="FFDCE0" w:val="clear"/>
          </w:tcPr>
          <w:p>
            <w:r>
              <w:rPr>
                <w:b/>
                <w:sz w:val="17"/>
              </w:rPr>
              <w:t>4,195</w:t>
            </w:r>
          </w:p>
        </w:tc>
        <w:tc>
          <w:tcPr>
            <w:tcW w:type="dxa" w:w="1440"/>
            <w:shd w:fill="FFDCE0" w:val="clear"/>
          </w:tcPr>
          <w:p>
            <w:r>
              <w:rPr>
                <w:sz w:val="17"/>
              </w:rPr>
              <w:t>4,423</w:t>
            </w:r>
          </w:p>
        </w:tc>
        <w:tc>
          <w:tcPr>
            <w:tcW w:type="dxa" w:w="1440"/>
            <w:shd w:fill="FFDCE0" w:val="clear"/>
          </w:tcPr>
          <w:p>
            <w:r>
              <w:rPr>
                <w:b/>
                <w:color w:val="C00000"/>
                <w:sz w:val="17"/>
              </w:rPr>
              <w:t>-2.4%</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3,857</w:t>
            </w:r>
          </w:p>
        </w:tc>
        <w:tc>
          <w:tcPr>
            <w:tcW w:type="dxa" w:w="1440"/>
            <w:shd w:fill="FFDCE0" w:val="clear"/>
          </w:tcPr>
          <w:p>
            <w:r>
              <w:rPr>
                <w:b/>
                <w:sz w:val="17"/>
              </w:rPr>
              <w:t>4,177</w:t>
            </w:r>
          </w:p>
        </w:tc>
        <w:tc>
          <w:tcPr>
            <w:tcW w:type="dxa" w:w="1440"/>
            <w:shd w:fill="FFDCE0" w:val="clear"/>
          </w:tcPr>
          <w:p>
            <w:r>
              <w:rPr>
                <w:sz w:val="17"/>
              </w:rPr>
              <w:t>4,498</w:t>
            </w:r>
          </w:p>
        </w:tc>
        <w:tc>
          <w:tcPr>
            <w:tcW w:type="dxa" w:w="1440"/>
            <w:shd w:fill="FFDCE0" w:val="clear"/>
          </w:tcPr>
          <w:p>
            <w:r>
              <w:rPr>
                <w:b/>
                <w:color w:val="C00000"/>
                <w:sz w:val="17"/>
              </w:rPr>
              <w:t>-2.9%</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3,765</w:t>
            </w:r>
          </w:p>
        </w:tc>
        <w:tc>
          <w:tcPr>
            <w:tcW w:type="dxa" w:w="1440"/>
            <w:shd w:fill="FFDCE0" w:val="clear"/>
          </w:tcPr>
          <w:p>
            <w:r>
              <w:rPr>
                <w:b/>
                <w:sz w:val="17"/>
              </w:rPr>
              <w:t>4,156</w:t>
            </w:r>
          </w:p>
        </w:tc>
        <w:tc>
          <w:tcPr>
            <w:tcW w:type="dxa" w:w="1440"/>
            <w:shd w:fill="FFDCE0" w:val="clear"/>
          </w:tcPr>
          <w:p>
            <w:r>
              <w:rPr>
                <w:sz w:val="17"/>
              </w:rPr>
              <w:t>4,547</w:t>
            </w:r>
          </w:p>
        </w:tc>
        <w:tc>
          <w:tcPr>
            <w:tcW w:type="dxa" w:w="1440"/>
            <w:shd w:fill="FFDCE0" w:val="clear"/>
          </w:tcPr>
          <w:p>
            <w:r>
              <w:rPr>
                <w:b/>
                <w:color w:val="C00000"/>
                <w:sz w:val="17"/>
              </w:rPr>
              <w:t>-3.3%</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3,687</w:t>
            </w:r>
          </w:p>
        </w:tc>
        <w:tc>
          <w:tcPr>
            <w:tcW w:type="dxa" w:w="1440"/>
            <w:shd w:fill="FFDCE0" w:val="clear"/>
          </w:tcPr>
          <w:p>
            <w:r>
              <w:rPr>
                <w:b/>
                <w:sz w:val="17"/>
              </w:rPr>
              <w:t>4,136</w:t>
            </w:r>
          </w:p>
        </w:tc>
        <w:tc>
          <w:tcPr>
            <w:tcW w:type="dxa" w:w="1440"/>
            <w:shd w:fill="FFDCE0" w:val="clear"/>
          </w:tcPr>
          <w:p>
            <w:r>
              <w:rPr>
                <w:sz w:val="17"/>
              </w:rPr>
              <w:t>4,585</w:t>
            </w:r>
          </w:p>
        </w:tc>
        <w:tc>
          <w:tcPr>
            <w:tcW w:type="dxa" w:w="1440"/>
            <w:shd w:fill="FFDCE0" w:val="clear"/>
          </w:tcPr>
          <w:p>
            <w:r>
              <w:rPr>
                <w:b/>
                <w:color w:val="C00000"/>
                <w:sz w:val="17"/>
              </w:rPr>
              <w:t>-3.8%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3,618</w:t>
            </w:r>
          </w:p>
        </w:tc>
        <w:tc>
          <w:tcPr>
            <w:tcW w:type="dxa" w:w="1440"/>
            <w:shd w:fill="FFDCE0" w:val="clear"/>
          </w:tcPr>
          <w:p>
            <w:r>
              <w:rPr>
                <w:b/>
                <w:sz w:val="17"/>
              </w:rPr>
              <w:t>4,118</w:t>
            </w:r>
          </w:p>
        </w:tc>
        <w:tc>
          <w:tcPr>
            <w:tcW w:type="dxa" w:w="1440"/>
            <w:shd w:fill="FFDCE0" w:val="clear"/>
          </w:tcPr>
          <w:p>
            <w:r>
              <w:rPr>
                <w:sz w:val="17"/>
              </w:rPr>
              <w:t>4,618</w:t>
            </w:r>
          </w:p>
        </w:tc>
        <w:tc>
          <w:tcPr>
            <w:tcW w:type="dxa" w:w="1440"/>
            <w:shd w:fill="FFDCE0" w:val="clear"/>
          </w:tcPr>
          <w:p>
            <w:r>
              <w:rPr>
                <w:b/>
                <w:color w:val="C00000"/>
                <w:sz w:val="17"/>
              </w:rPr>
              <w:t>-4.2%</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3,547</w:t>
            </w:r>
          </w:p>
        </w:tc>
        <w:tc>
          <w:tcPr>
            <w:tcW w:type="dxa" w:w="1440"/>
            <w:shd w:fill="FFDCE0" w:val="clear"/>
          </w:tcPr>
          <w:p>
            <w:r>
              <w:rPr>
                <w:b/>
                <w:sz w:val="17"/>
              </w:rPr>
              <w:t>4,091</w:t>
            </w:r>
          </w:p>
        </w:tc>
        <w:tc>
          <w:tcPr>
            <w:tcW w:type="dxa" w:w="1440"/>
            <w:shd w:fill="FFDCE0" w:val="clear"/>
          </w:tcPr>
          <w:p>
            <w:r>
              <w:rPr>
                <w:sz w:val="17"/>
              </w:rPr>
              <w:t>4,635</w:t>
            </w:r>
          </w:p>
        </w:tc>
        <w:tc>
          <w:tcPr>
            <w:tcW w:type="dxa" w:w="1440"/>
            <w:shd w:fill="FFDCE0" w:val="clear"/>
          </w:tcPr>
          <w:p>
            <w:r>
              <w:rPr>
                <w:b/>
                <w:color w:val="C00000"/>
                <w:sz w:val="17"/>
              </w:rPr>
              <w:t>-4.9%</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3,480</w:t>
            </w:r>
          </w:p>
        </w:tc>
        <w:tc>
          <w:tcPr>
            <w:tcW w:type="dxa" w:w="1440"/>
            <w:shd w:fill="FFDCE0" w:val="clear"/>
          </w:tcPr>
          <w:p>
            <w:r>
              <w:rPr>
                <w:b/>
                <w:sz w:val="17"/>
              </w:rPr>
              <w:t>4,064</w:t>
            </w:r>
          </w:p>
        </w:tc>
        <w:tc>
          <w:tcPr>
            <w:tcW w:type="dxa" w:w="1440"/>
            <w:shd w:fill="FFDCE0" w:val="clear"/>
          </w:tcPr>
          <w:p>
            <w:r>
              <w:rPr>
                <w:sz w:val="17"/>
              </w:rPr>
              <w:t>4,648</w:t>
            </w:r>
          </w:p>
        </w:tc>
        <w:tc>
          <w:tcPr>
            <w:tcW w:type="dxa" w:w="1440"/>
            <w:shd w:fill="FFDCE0" w:val="clear"/>
          </w:tcPr>
          <w:p>
            <w:r>
              <w:rPr>
                <w:b/>
                <w:color w:val="C00000"/>
                <w:sz w:val="17"/>
              </w:rPr>
              <w:t>-5.5%</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3,426</w:t>
            </w:r>
          </w:p>
        </w:tc>
        <w:tc>
          <w:tcPr>
            <w:tcW w:type="dxa" w:w="1440"/>
            <w:shd w:fill="FFDCE0" w:val="clear"/>
          </w:tcPr>
          <w:p>
            <w:r>
              <w:rPr>
                <w:b/>
                <w:sz w:val="17"/>
              </w:rPr>
              <w:t>4,048</w:t>
            </w:r>
          </w:p>
        </w:tc>
        <w:tc>
          <w:tcPr>
            <w:tcW w:type="dxa" w:w="1440"/>
            <w:shd w:fill="FFDCE0" w:val="clear"/>
          </w:tcPr>
          <w:p>
            <w:r>
              <w:rPr>
                <w:sz w:val="17"/>
              </w:rPr>
              <w:t>4,669</w:t>
            </w:r>
          </w:p>
        </w:tc>
        <w:tc>
          <w:tcPr>
            <w:tcW w:type="dxa" w:w="1440"/>
            <w:shd w:fill="FFDCE0" w:val="clear"/>
          </w:tcPr>
          <w:p>
            <w:r>
              <w:rPr>
                <w:b/>
                <w:color w:val="C00000"/>
                <w:sz w:val="17"/>
              </w:rPr>
              <w:t>-5.9%</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3,375</w:t>
            </w:r>
          </w:p>
        </w:tc>
        <w:tc>
          <w:tcPr>
            <w:tcW w:type="dxa" w:w="1440"/>
            <w:shd w:fill="FFDCE0" w:val="clear"/>
          </w:tcPr>
          <w:p>
            <w:r>
              <w:rPr>
                <w:b/>
                <w:sz w:val="17"/>
              </w:rPr>
              <w:t>4,032</w:t>
            </w:r>
          </w:p>
        </w:tc>
        <w:tc>
          <w:tcPr>
            <w:tcW w:type="dxa" w:w="1440"/>
            <w:shd w:fill="FFDCE0" w:val="clear"/>
          </w:tcPr>
          <w:p>
            <w:r>
              <w:rPr>
                <w:sz w:val="17"/>
              </w:rPr>
              <w:t>4,689</w:t>
            </w:r>
          </w:p>
        </w:tc>
        <w:tc>
          <w:tcPr>
            <w:tcW w:type="dxa" w:w="1440"/>
            <w:shd w:fill="FFDCE0" w:val="clear"/>
          </w:tcPr>
          <w:p>
            <w:r>
              <w:rPr>
                <w:b/>
                <w:color w:val="C00000"/>
                <w:sz w:val="17"/>
              </w:rPr>
              <w:t>-6.2%</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3,318</w:t>
            </w:r>
          </w:p>
        </w:tc>
        <w:tc>
          <w:tcPr>
            <w:tcW w:type="dxa" w:w="1440"/>
            <w:shd w:fill="FFDCE0" w:val="clear"/>
          </w:tcPr>
          <w:p>
            <w:r>
              <w:rPr>
                <w:b/>
                <w:sz w:val="17"/>
              </w:rPr>
              <w:t>4,005</w:t>
            </w:r>
          </w:p>
        </w:tc>
        <w:tc>
          <w:tcPr>
            <w:tcW w:type="dxa" w:w="1440"/>
            <w:shd w:fill="FFDCE0" w:val="clear"/>
          </w:tcPr>
          <w:p>
            <w:r>
              <w:rPr>
                <w:sz w:val="17"/>
              </w:rPr>
              <w:t>4,693</w:t>
            </w:r>
          </w:p>
        </w:tc>
        <w:tc>
          <w:tcPr>
            <w:tcW w:type="dxa" w:w="1440"/>
            <w:shd w:fill="FFDCE0" w:val="clear"/>
          </w:tcPr>
          <w:p>
            <w:r>
              <w:rPr>
                <w:b/>
                <w:color w:val="C00000"/>
                <w:sz w:val="17"/>
              </w:rPr>
              <w:t>-6.9%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Voici le rapport d'analyse structuré pour l'action LNBB (Loterie Nationale du Bénin)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86 milliards FCFA, ce qui la positionne comme une valeur de taille moyenne sur la BRVM, avec un niveau de liquidité relativement faible (volume moyen de 2 702 titres par jour). Avec un BPA de 231 FCFA, le titre se négocie à un PER de 18,6x, nettement supérieur à la moyenne historique du marché (~8-12x), indiquant que les investisseurs paient une prime substantielle pour les bénéfices de la société. Le P/B de 3,92x confirme cette prime, le marché valorisant le titre près de 4 fois sa valeur comptable, ce qui reflète des attentes de croissance élevées. Enfin, un EV/EBITDA de 11,0x, bien que dans la fourchette haute (10-15x), suggère une valorisation qui intègre déjà une solide performance opérationnelle future.</w:t>
      </w:r>
    </w:p>
    <w:p>
      <w:pPr>
        <w:spacing w:after="120" w:line="276" w:lineRule="auto"/>
      </w:pPr>
      <w:r>
        <w:t>### PARTIE 1 : ANALYSE DU COURS — STATISTIQUES ET ÉVOLUTION (100 derniers jours)</w:t>
      </w:r>
    </w:p>
    <w:p>
      <w:pPr>
        <w:spacing w:after="120" w:line="276" w:lineRule="auto"/>
      </w:pPr>
      <w:r>
        <w:t>Sur les 100 derniers jours, l'action LNBB a enregistré une progression totale de +10,26%, avec une dernière séance stable (+0,00%). Le cours a évolué dans une fourchette de 3 765 FCFA (plus bas) à 4 560 FCFA (plus haut), démontrant une tendance globale haussière sur la période. La moyenne du cours (4 018 FCFA) est inférieure à la médiane (3 912 FCFA), et le skewness positif (0,909) indique une distribution asymétrique avec des journées plus fréquentes sous la moyenne, mais des mouvements de hausse plus amples. L'écart-type de 209 FCFA (CV=5,2%) montre une dispersion modérée, tandis que le kurtosis négatif (-0,631) suggère une distribution mésokurtique, sans risque de pics extrêmes. La volatilité annualisée de 35,0% classe le titre comme très volatil (&gt;30%), un niveau élevé qui implique des fluctuations de prix significatives.</w:t>
      </w:r>
    </w:p>
    <w:p>
      <w:pPr>
        <w:spacing w:after="120" w:line="276" w:lineRule="auto"/>
      </w:pPr>
      <w:r>
        <w:t>### PARTIE 2 : ANALYSE TECHNIQUE DÉTAILLÉE</w:t>
      </w:r>
    </w:p>
    <w:p>
      <w:pPr>
        <w:spacing w:after="120" w:line="276" w:lineRule="auto"/>
      </w:pPr>
      <w:r>
        <w:t>**Moyennes Mobiles:** Le cours actuel (4 300 FCFA) se situe au-dessus de la MM20 (4 317 FCFA) et de la MM50 (4 150 FCFA), indiquant une tendance haussière de moyen terme. La MM20 étant au-dessus de la MM50, la configuration est positive, justifiant la décision d'**Achat**.</w:t>
      </w:r>
    </w:p>
    <w:p>
      <w:pPr>
        <w:spacing w:after="120" w:line="276" w:lineRule="auto"/>
      </w:pPr>
      <w:r>
        <w:t>**Bandes de Bollinger:** Le prix (4 300 FCFA) se trouve à l'intérieur des bandes, entre la borne supérieure (4 539 FCFA) et inférieure (4 095 FCFA), ce qui suggère une volatilité normale. La position médiane du cours indique un équilibre, d'où la décision **Neutre**.</w:t>
      </w:r>
    </w:p>
    <w:p>
      <w:pPr>
        <w:spacing w:after="120" w:line="276" w:lineRule="auto"/>
      </w:pPr>
      <w:r>
        <w:t>**MACD:** La valeur du MACD (53,475) est inférieure à son signal (59,097), signalant un momentum baissier à court terme. Cette configuration, où le MACD passe sous le signal, est un signe de faiblesse potentielle, justifiant la décision de **Vente**.</w:t>
      </w:r>
    </w:p>
    <w:p>
      <w:pPr>
        <w:spacing w:after="120" w:line="276" w:lineRule="auto"/>
      </w:pPr>
      <w:r>
        <w:t>**RSI:** Avec une valeur de 50,0, le RSI est parfaitement dans la zone neutre (30-70), indiquant que le titre n'est ni suracheté ni survendu. Cela reflète un équilibre entre les forces acheteuses et vendeuses, d'où la décision **Neutre**.</w:t>
      </w:r>
    </w:p>
    <w:p>
      <w:pPr>
        <w:spacing w:after="120" w:line="276" w:lineRule="auto"/>
      </w:pPr>
      <w:r>
        <w:t>**Stochastique:** Le %K (43,478) est inférieur au %D (50,725), suggérant un momentum baissier à court terme. Bien que les deux lignes soient en zone neutre, cette configuration indique une pression vendeuse naissante, justifiant la décision **Neutre**.</w:t>
      </w:r>
    </w:p>
    <w:p>
      <w:pPr>
        <w:spacing w:after="120" w:line="276" w:lineRule="auto"/>
      </w:pPr>
      <w:r>
        <w:t>**Conclusion technique:** Les indicateurs sont mitigés. La tendance de fond (MM) reste positive, mais le MACD et le Stochastique montrent un essoufflement à court terme. Le RSI et les Bandes de Bollinger indiquent un marché équilibré. La prudence est de mise, avec un biais légèrement négatif à très court terme.</w:t>
      </w:r>
    </w:p>
    <w:p>
      <w:pPr>
        <w:spacing w:after="120" w:line="276" w:lineRule="auto"/>
      </w:pPr>
      <w:r>
        <w:t>### PARTIE 3 : ANALYSE FONDAMENTALE (SECTION CRITIQUE)</w:t>
      </w:r>
    </w:p>
    <w:p>
      <w:pPr>
        <w:spacing w:after="120" w:line="276" w:lineRule="auto"/>
      </w:pPr>
      <w:r>
        <w:t>En 2025, selon les données structurées, LNBB a réalisé un chiffre d'affaires de 98,598 milliards FCFA, en baisse de -3,85% par rapport à 2024. Le résultat net s'établit à 4,622 milliards FCFA, avec une marge nette de 4,69%. La rentabilité des capitaux propres (ROE) est excellente à 21,05%, et le ROA est également très bon à 14,17%. La structure financière est très saine avec un ratio d'autonomie financière de 67,32% et une trésorerie nette positive de 7,979 milliards FCFA. Le BFR est négatif (217,45 millions FCFA), ce qui est un signe de gestion efficace du besoin en fonds de roulement. Les rapports narratifs de 2025 (T1, S1, T3) confirment une année difficile, avec une baisse du CA et un résultat net en chute, principalement due à la concurrence déloyale. Cependant, le rapport annuel 2025 (analysé en mai 2026) souligne une amélioration de la valeur ajoutée (+22%) et de l'EBE (+34%). Pour 2026, les rapports trimestriels (T1 2026) montrent une reprise du CA (+6%), tirée par le digital, mais avec une pression sur les marges. Sur la base de ces tendances, on estime que l'exercice 2026 pourrait voir une stabilisation du CA et une amélioration de la rentabilité si la maîtrise des charges se poursuit. La solidité financière et la politique de dividende généreuse (taux de distribution ~80%) restent des atouts majeurs.</w:t>
      </w:r>
    </w:p>
    <w:p>
      <w:pPr>
        <w:spacing w:after="120" w:line="276" w:lineRule="auto"/>
      </w:pPr>
      <w:r>
        <w:t>### PARTIE 4 : CONCLUSION D'INVESTISSEMENT</w:t>
      </w:r>
    </w:p>
    <w:p>
      <w:pPr>
        <w:spacing w:after="120" w:line="276" w:lineRule="auto"/>
      </w:pPr>
      <w:r>
        <w:t>La valorisation de LNBB (PER 18,6x, P/B 3,92x) est exigeante, intégrant des attentes de croissance qui ne se sont pas matérialisées en 2025. Le comportement du cours sur 100 jours est positif (+10,26%), mais la volatilité est élevée (35%). Les signaux techniques sont mitigés, avec une tendance de fond haussière mais un momentum à court terme négatif (MACD, Stochastique). Les fondamentaux sont solides (ROE &gt;20%, structure financière saine), mais la croissance est atone et la rentabilité est sous pression, comme le montrent les résultats 2025 et les estimations pour 2026. Les prédictions IA (J+1 à J+10) anticipent une baisse progressive du cours vers 4 118 FCFA, contredisant la tendance haussière récente et confirmant le signal de prudence technique. En synthèse, la convergence entre une valorisation élevée, des signaux techniques mitigés et des perspectives de croissance incertaines conduit à une recommandation **CONSERVER**. Le niveau de confiance est **Moyen**, le risque global est **Élevé** en raison de la volatilité et de l'environnement concurrentiel. L'horizon d'investissement optimal est le **moyen terme (3-12 mois)**, en attendant une clarification sur l'amélioration des marges et la lutte contre la concurrence illégale.</w:t>
      </w:r>
    </w:p>
    <w:p/>
    <w:p/>
    <w:p>
      <w:pPr>
        <w:pStyle w:val="Heading3"/>
      </w:pPr>
      <w:r>
        <w:rPr>
          <w:color w:val="005A32"/>
        </w:rPr>
        <w:t>📋 RAPPORTS &amp; COMMUNIQUÉS OFFICIELS</w:t>
      </w:r>
    </w:p>
    <w:p>
      <w:r>
        <w:rPr>
          <w:i/>
          <w:color w:val="646464"/>
          <w:sz w:val="18"/>
        </w:rPr>
        <w:t>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s\u00e9quentielle du r\u00e9sultat net et l'efficacit\u00e9 du plan d'ajustement sugg\u00e8rent une stabilisation progressive. La reprise attendue au T4 2025 justifie une position d'attente."}</w:t>
      </w:r>
    </w:p>
    <w:p>
      <w:pPr>
        <w:spacing w:before="40"/>
        <w:ind w:left="400"/>
      </w:pPr>
      <w:r>
        <w:rPr>
          <w:sz w:val="18"/>
        </w:rPr>
        <w:t>La Loterie Nationale du Bénin (LNB SA) présente des résultats mitigés au T3 2025 avec un chiffre d'affaires en baisse de 6% à 72,479 milliards FCFA comparé au T3 2024. Malgré cette contre-performance commerciale, la société affiche une amélioration significative de sa rentabilité avec un résultat net de 1,034 milliard FCFA au T3 2025 contre 5,382 milliards FCFA au T3 2024. L'entreprise met en œuvre un plan d'ajustement opérationnel qui commence à porter ses fruits. La direction anticipe une reprise progressive de la rentabilité sur le dernier trimestre 2025. Les mesures correctives visent à préserver les intérêts des actionnaires malgré les difficultés persistantes du premier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milliards FCFA', 'resultat_financier': '357 millions FCFA', 'resultat_avant_impots': '1,897 milliard FCFA', 'resultat_exploitation': '1,401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1,034 milliard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72,479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6% au T3 2025 (72,479 Mds FCFA vs 76,908 Mds FCFA en 2024)</w:t>
      </w:r>
    </w:p>
    <w:p>
      <w:pPr>
        <w:pStyle w:val="ListBullet"/>
        <w:spacing w:before="20" w:after="20"/>
        <w:ind w:left="700"/>
      </w:pPr>
      <w:r>
        <w:rPr>
          <w:sz w:val="18"/>
        </w:rPr>
        <w:t>Résultat net de 1,034 milliard FCFA au T3 2025, en forte baisse de 81% par rapport au T3 2024</w:t>
      </w:r>
    </w:p>
    <w:p>
      <w:pPr>
        <w:pStyle w:val="ListBullet"/>
        <w:spacing w:before="20" w:after="20"/>
        <w:ind w:left="700"/>
      </w:pPr>
      <w:r>
        <w:rPr>
          <w:sz w:val="18"/>
        </w:rPr>
        <w:t>Amélioration du résultat net de 22,95% entre le premier semestre et le T3 2025 (841 millions à 1,034 milliard)</w:t>
      </w:r>
    </w:p>
    <w:p>
      <w:pPr>
        <w:pStyle w:val="ListBullet"/>
        <w:spacing w:before="20" w:after="20"/>
        <w:ind w:left="700"/>
      </w:pPr>
      <w:r>
        <w:rPr>
          <w:sz w:val="18"/>
        </w:rPr>
        <w:t>Résultat d'exploitation drastiquement réduit : 1,401 milliard FCFA (-59% vs T3 2024)</w:t>
      </w:r>
    </w:p>
    <w:p>
      <w:pPr>
        <w:pStyle w:val="ListBullet"/>
        <w:spacing w:before="20" w:after="20"/>
        <w:ind w:left="700"/>
      </w:pPr>
      <w:r>
        <w:rPr>
          <w:sz w:val="18"/>
        </w:rPr>
        <w:t>Plan d'ajustement opérationnel en cours de mise en œuvre montrant des signes d'efficacité</w:t>
      </w:r>
    </w:p>
    <w:p>
      <w:pPr>
        <w:pStyle w:val="ListBullet"/>
        <w:spacing w:before="20" w:after="20"/>
        <w:ind w:left="700"/>
      </w:pPr>
      <w:r>
        <w:rPr>
          <w:sz w:val="18"/>
        </w:rPr>
        <w:t>Difficultés commerciales persistantes liées aux problèmes rencontrés au premier semestre 2025</w:t>
      </w:r>
    </w:p>
    <w:p>
      <w:pPr>
        <w:spacing w:before="40"/>
        <w:ind w:left="400"/>
      </w:pPr>
      <w:r>
        <w:rPr>
          <w:b/>
          <w:color w:val="C05000"/>
          <w:sz w:val="18"/>
        </w:rPr>
        <w:t xml:space="preserve">⚠️ Risques : </w:t>
      </w:r>
      <w:r>
        <w:rPr>
          <w:sz w:val="18"/>
        </w:rPr>
        <w:t>["Persistance des difficult\u00e9s commerciales impactant durablement le chiffre d'affaires", "Forte d\u00e9pendance \u00e0 l'efficacit\u00e9 du plan d'ajustement op\u00e9rationnel en cours", "Environnement \u00e9conomique d\u00e9favorable pouvant affecter l'activit\u00e9 loterie au B\u00e9nin"]</w:t>
      </w:r>
    </w:p>
    <w:p>
      <w:pPr>
        <w:spacing w:before="40"/>
        <w:ind w:left="400"/>
      </w:pPr>
      <w:r>
        <w:rPr>
          <w:b/>
          <w:color w:val="0064A0"/>
          <w:sz w:val="18"/>
        </w:rPr>
        <w:t xml:space="preserve">🔮 Perspectives : </w:t>
      </w:r>
      <w:r>
        <w:rPr>
          <w:sz w:val="18"/>
        </w:rPr>
        <w:t xml:space="preserve">La direction anticipe une reprise progressive de la rentabilité sur le dernier trimestre 2025 grâce aux mesures correctives mises en œuvre. Le succès du plan d'ajustement opérationnel sera déterminant pour le retour à une croissance soutenue en 2026. L'amélioration séquentielle des résultats laisse </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27.00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5,400 titres</w:t>
            </w:r>
          </w:p>
        </w:tc>
        <w:tc>
          <w:tcPr>
            <w:tcW w:type="dxa" w:w="2268"/>
            <w:shd w:fill="FFF2CC" w:val="clear"/>
          </w:tcPr>
          <w:p>
            <w:r>
              <w:rPr>
                <w:b/>
                <w:color w:val="503200"/>
                <w:sz w:val="16"/>
              </w:rPr>
              <w:t xml:space="preserve">Cours actuel : </w:t>
            </w:r>
            <w:r>
              <w:rPr>
                <w:color w:val="000000"/>
                <w:sz w:val="17"/>
              </w:rPr>
              <w:t>2,115 FCFA</w:t>
            </w:r>
          </w:p>
          <w:p>
            <w:r>
              <w:rPr>
                <w:b/>
                <w:color w:val="503200"/>
                <w:sz w:val="16"/>
              </w:rPr>
              <w:t xml:space="preserve">Var. 100 jours : </w:t>
            </w:r>
            <w:r>
              <w:rPr>
                <w:b/>
                <w:color w:val="007800"/>
                <w:sz w:val="17"/>
              </w:rPr>
              <w:t>+48.42%</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19.02% (Élevée) — μ=1,893 FCFA, σ=360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β=-0.0491 (Contre-cyclique) — Cov=-0.000002, Var(idx)=0.000036, ρ=-0.010,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5,400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1,859</w:t>
            </w:r>
          </w:p>
        </w:tc>
        <w:tc>
          <w:tcPr>
            <w:tcW w:type="dxa" w:w="1440"/>
            <w:shd w:fill="FFDCE0" w:val="clear"/>
          </w:tcPr>
          <w:p>
            <w:r>
              <w:rPr>
                <w:b/>
                <w:sz w:val="17"/>
              </w:rPr>
              <w:t>1,971</w:t>
            </w:r>
          </w:p>
        </w:tc>
        <w:tc>
          <w:tcPr>
            <w:tcW w:type="dxa" w:w="1440"/>
            <w:shd w:fill="FFDCE0" w:val="clear"/>
          </w:tcPr>
          <w:p>
            <w:r>
              <w:rPr>
                <w:sz w:val="17"/>
              </w:rPr>
              <w:t>2,083</w:t>
            </w:r>
          </w:p>
        </w:tc>
        <w:tc>
          <w:tcPr>
            <w:tcW w:type="dxa" w:w="1440"/>
            <w:shd w:fill="FFDCE0" w:val="clear"/>
          </w:tcPr>
          <w:p>
            <w:r>
              <w:rPr>
                <w:b/>
                <w:color w:val="C00000"/>
                <w:sz w:val="17"/>
              </w:rPr>
              <w:t>-6.8%</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1,700</w:t>
            </w:r>
          </w:p>
        </w:tc>
        <w:tc>
          <w:tcPr>
            <w:tcW w:type="dxa" w:w="1440"/>
            <w:shd w:fill="FFDCE0" w:val="clear"/>
          </w:tcPr>
          <w:p>
            <w:r>
              <w:rPr>
                <w:b/>
                <w:sz w:val="17"/>
              </w:rPr>
              <w:t>1,849</w:t>
            </w:r>
          </w:p>
        </w:tc>
        <w:tc>
          <w:tcPr>
            <w:tcW w:type="dxa" w:w="1440"/>
            <w:shd w:fill="FFDCE0" w:val="clear"/>
          </w:tcPr>
          <w:p>
            <w:r>
              <w:rPr>
                <w:sz w:val="17"/>
              </w:rPr>
              <w:t>1,998</w:t>
            </w:r>
          </w:p>
        </w:tc>
        <w:tc>
          <w:tcPr>
            <w:tcW w:type="dxa" w:w="1440"/>
            <w:shd w:fill="FFDCE0" w:val="clear"/>
          </w:tcPr>
          <w:p>
            <w:r>
              <w:rPr>
                <w:b/>
                <w:color w:val="C00000"/>
                <w:sz w:val="17"/>
              </w:rPr>
              <w:t>-12.6%</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1,576</w:t>
            </w:r>
          </w:p>
        </w:tc>
        <w:tc>
          <w:tcPr>
            <w:tcW w:type="dxa" w:w="1440"/>
            <w:shd w:fill="FFDCE0" w:val="clear"/>
          </w:tcPr>
          <w:p>
            <w:r>
              <w:rPr>
                <w:b/>
                <w:sz w:val="17"/>
              </w:rPr>
              <w:t>1,748</w:t>
            </w:r>
          </w:p>
        </w:tc>
        <w:tc>
          <w:tcPr>
            <w:tcW w:type="dxa" w:w="1440"/>
            <w:shd w:fill="FFDCE0" w:val="clear"/>
          </w:tcPr>
          <w:p>
            <w:r>
              <w:rPr>
                <w:sz w:val="17"/>
              </w:rPr>
              <w:t>1,920</w:t>
            </w:r>
          </w:p>
        </w:tc>
        <w:tc>
          <w:tcPr>
            <w:tcW w:type="dxa" w:w="1440"/>
            <w:shd w:fill="FFDCE0" w:val="clear"/>
          </w:tcPr>
          <w:p>
            <w:r>
              <w:rPr>
                <w:b/>
                <w:color w:val="C00000"/>
                <w:sz w:val="17"/>
              </w:rPr>
              <w:t>-17.4%</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1,476</w:t>
            </w:r>
          </w:p>
        </w:tc>
        <w:tc>
          <w:tcPr>
            <w:tcW w:type="dxa" w:w="1440"/>
            <w:shd w:fill="FFDCE0" w:val="clear"/>
          </w:tcPr>
          <w:p>
            <w:r>
              <w:rPr>
                <w:b/>
                <w:sz w:val="17"/>
              </w:rPr>
              <w:t>1,665</w:t>
            </w:r>
          </w:p>
        </w:tc>
        <w:tc>
          <w:tcPr>
            <w:tcW w:type="dxa" w:w="1440"/>
            <w:shd w:fill="FFDCE0" w:val="clear"/>
          </w:tcPr>
          <w:p>
            <w:r>
              <w:rPr>
                <w:sz w:val="17"/>
              </w:rPr>
              <w:t>1,855</w:t>
            </w:r>
          </w:p>
        </w:tc>
        <w:tc>
          <w:tcPr>
            <w:tcW w:type="dxa" w:w="1440"/>
            <w:shd w:fill="FFDCE0" w:val="clear"/>
          </w:tcPr>
          <w:p>
            <w:r>
              <w:rPr>
                <w:b/>
                <w:color w:val="C00000"/>
                <w:sz w:val="17"/>
              </w:rPr>
              <w:t>-21.3%</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1,393</w:t>
            </w:r>
          </w:p>
        </w:tc>
        <w:tc>
          <w:tcPr>
            <w:tcW w:type="dxa" w:w="1440"/>
            <w:shd w:fill="FFDCE0" w:val="clear"/>
          </w:tcPr>
          <w:p>
            <w:r>
              <w:rPr>
                <w:b/>
                <w:sz w:val="17"/>
              </w:rPr>
              <w:t>1,596</w:t>
            </w:r>
          </w:p>
        </w:tc>
        <w:tc>
          <w:tcPr>
            <w:tcW w:type="dxa" w:w="1440"/>
            <w:shd w:fill="FFDCE0" w:val="clear"/>
          </w:tcPr>
          <w:p>
            <w:r>
              <w:rPr>
                <w:sz w:val="17"/>
              </w:rPr>
              <w:t>1,799</w:t>
            </w:r>
          </w:p>
        </w:tc>
        <w:tc>
          <w:tcPr>
            <w:tcW w:type="dxa" w:w="1440"/>
            <w:shd w:fill="FFDCE0" w:val="clear"/>
          </w:tcPr>
          <w:p>
            <w:r>
              <w:rPr>
                <w:b/>
                <w:color w:val="C00000"/>
                <w:sz w:val="17"/>
              </w:rPr>
              <w:t>-24.5%</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1,321</w:t>
            </w:r>
          </w:p>
        </w:tc>
        <w:tc>
          <w:tcPr>
            <w:tcW w:type="dxa" w:w="1440"/>
            <w:shd w:fill="FFDCE0" w:val="clear"/>
          </w:tcPr>
          <w:p>
            <w:r>
              <w:rPr>
                <w:b/>
                <w:sz w:val="17"/>
              </w:rPr>
              <w:t>1,535</w:t>
            </w:r>
          </w:p>
        </w:tc>
        <w:tc>
          <w:tcPr>
            <w:tcW w:type="dxa" w:w="1440"/>
            <w:shd w:fill="FFDCE0" w:val="clear"/>
          </w:tcPr>
          <w:p>
            <w:r>
              <w:rPr>
                <w:sz w:val="17"/>
              </w:rPr>
              <w:t>1,749</w:t>
            </w:r>
          </w:p>
        </w:tc>
        <w:tc>
          <w:tcPr>
            <w:tcW w:type="dxa" w:w="1440"/>
            <w:shd w:fill="FFDCE0" w:val="clear"/>
          </w:tcPr>
          <w:p>
            <w:r>
              <w:rPr>
                <w:b/>
                <w:color w:val="C00000"/>
                <w:sz w:val="17"/>
              </w:rPr>
              <w:t>-27.4%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1,259</w:t>
            </w:r>
          </w:p>
        </w:tc>
        <w:tc>
          <w:tcPr>
            <w:tcW w:type="dxa" w:w="1440"/>
            <w:shd w:fill="FFDCE0" w:val="clear"/>
          </w:tcPr>
          <w:p>
            <w:r>
              <w:rPr>
                <w:b/>
                <w:sz w:val="17"/>
              </w:rPr>
              <w:t>1,482</w:t>
            </w:r>
          </w:p>
        </w:tc>
        <w:tc>
          <w:tcPr>
            <w:tcW w:type="dxa" w:w="1440"/>
            <w:shd w:fill="FFDCE0" w:val="clear"/>
          </w:tcPr>
          <w:p>
            <w:r>
              <w:rPr>
                <w:sz w:val="17"/>
              </w:rPr>
              <w:t>1,705</w:t>
            </w:r>
          </w:p>
        </w:tc>
        <w:tc>
          <w:tcPr>
            <w:tcW w:type="dxa" w:w="1440"/>
            <w:shd w:fill="FFDCE0" w:val="clear"/>
          </w:tcPr>
          <w:p>
            <w:r>
              <w:rPr>
                <w:b/>
                <w:color w:val="C00000"/>
                <w:sz w:val="17"/>
              </w:rPr>
              <w:t>-29.9%</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1,203</w:t>
            </w:r>
          </w:p>
        </w:tc>
        <w:tc>
          <w:tcPr>
            <w:tcW w:type="dxa" w:w="1440"/>
            <w:shd w:fill="FFDCE0" w:val="clear"/>
          </w:tcPr>
          <w:p>
            <w:r>
              <w:rPr>
                <w:b/>
                <w:sz w:val="17"/>
              </w:rPr>
              <w:t>1,434</w:t>
            </w:r>
          </w:p>
        </w:tc>
        <w:tc>
          <w:tcPr>
            <w:tcW w:type="dxa" w:w="1440"/>
            <w:shd w:fill="FFDCE0" w:val="clear"/>
          </w:tcPr>
          <w:p>
            <w:r>
              <w:rPr>
                <w:sz w:val="17"/>
              </w:rPr>
              <w:t>1,664</w:t>
            </w:r>
          </w:p>
        </w:tc>
        <w:tc>
          <w:tcPr>
            <w:tcW w:type="dxa" w:w="1440"/>
            <w:shd w:fill="FFDCE0" w:val="clear"/>
          </w:tcPr>
          <w:p>
            <w:r>
              <w:rPr>
                <w:b/>
                <w:color w:val="C00000"/>
                <w:sz w:val="17"/>
              </w:rPr>
              <w:t>-32.2%</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1,153</w:t>
            </w:r>
          </w:p>
        </w:tc>
        <w:tc>
          <w:tcPr>
            <w:tcW w:type="dxa" w:w="1440"/>
            <w:shd w:fill="FFDCE0" w:val="clear"/>
          </w:tcPr>
          <w:p>
            <w:r>
              <w:rPr>
                <w:b/>
                <w:sz w:val="17"/>
              </w:rPr>
              <w:t>1,390</w:t>
            </w:r>
          </w:p>
        </w:tc>
        <w:tc>
          <w:tcPr>
            <w:tcW w:type="dxa" w:w="1440"/>
            <w:shd w:fill="FFDCE0" w:val="clear"/>
          </w:tcPr>
          <w:p>
            <w:r>
              <w:rPr>
                <w:sz w:val="17"/>
              </w:rPr>
              <w:t>1,627</w:t>
            </w:r>
          </w:p>
        </w:tc>
        <w:tc>
          <w:tcPr>
            <w:tcW w:type="dxa" w:w="1440"/>
            <w:shd w:fill="FFDCE0" w:val="clear"/>
          </w:tcPr>
          <w:p>
            <w:r>
              <w:rPr>
                <w:b/>
                <w:color w:val="C00000"/>
                <w:sz w:val="17"/>
              </w:rPr>
              <w:t>-34.3%</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1,107</w:t>
            </w:r>
          </w:p>
        </w:tc>
        <w:tc>
          <w:tcPr>
            <w:tcW w:type="dxa" w:w="1440"/>
            <w:shd w:fill="FFDCE0" w:val="clear"/>
          </w:tcPr>
          <w:p>
            <w:r>
              <w:rPr>
                <w:b/>
                <w:sz w:val="17"/>
              </w:rPr>
              <w:t>1,350</w:t>
            </w:r>
          </w:p>
        </w:tc>
        <w:tc>
          <w:tcPr>
            <w:tcW w:type="dxa" w:w="1440"/>
            <w:shd w:fill="FFDCE0" w:val="clear"/>
          </w:tcPr>
          <w:p>
            <w:r>
              <w:rPr>
                <w:sz w:val="17"/>
              </w:rPr>
              <w:t>1,593</w:t>
            </w:r>
          </w:p>
        </w:tc>
        <w:tc>
          <w:tcPr>
            <w:tcW w:type="dxa" w:w="1440"/>
            <w:shd w:fill="FFDCE0" w:val="clear"/>
          </w:tcPr>
          <w:p>
            <w:r>
              <w:rPr>
                <w:b/>
                <w:color w:val="C00000"/>
                <w:sz w:val="17"/>
              </w:rPr>
              <w:t>-36.2%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27 milliards FCFA, un niveau modeste qui la classe parmi les valeurs moyennes de la cote BRVM, avec une liquidité quotidienne limitée (5 400 titres échangés en moyenne). Le BPA de 160 FCFA indique que chaque action génère un bénéfice de 160 FCFA, ce qui conduit à un PER de 13,3x, légèrement supérieur à la moyenne historique de la BRVM (8-12x), signalant une valorisation qui intègre déjà des attentes de croissance. Le P/B de 4,69x est particulièrement exigeant, le marché valorisant le titre près de 4,7 fois sa valeur comptable, ce qui reflète une forte prime sur les actifs nets. Enfin, l'EV/EBITDA de 19,5x confirme cette lecture : les investisseurs paient un prix élevé pour la capacité opérationnelle de l'entreprise, ce qui laisse peu de marge d'erreur en cas de déception sur les résultats futurs.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NEIC a enregistré une progression spectaculaire de +48,42%, passant d'un plus bas de 1 350 FCFA à un plus haut de 2 400 FCFA, avant de clôturer à 2 115 FCFA, soit une baisse de 6,42% lors de la dernière séance, signe d'une prise de bénéfices après une forte hausse. La moyenne du cours sur la période (1 893 FCFA) est inférieure à la médiane (1 975 FCFA), indiquant une distribution légèrement asymétrique avec des périodes de cours plus bas que la moyenne, confirmée par un skewness négatif de -0,305. L'écart-type de 362 FCFA (CV=19,1%) révèle une dispersion modérée des prix autour de la moyenne, tandis que le kurtosis de -1,413 (distribution platykurtique) suggère une absence de mouvements extrêmes, les prix restant dans une fourchette relativement stable. La volatilité annualisée de 49,2% classe le titre dans la catégorie des valeurs à forte volatilité, bien au-dessus du seuil de 30%, ce qui implique un risque élevé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Les MM20 (2 229,5 FCFA) et MM50 (2 199,3 FCFA) sont toutes deux supérieures au cours actuel de 2 115 FCFA, ce qui indique que le prix a récemment cassé en dessous de ses moyennes mobiles après une période haussière. La décision d'achat signalée par cet indicateur semble paradoxale, mais elle reflète probablement la tendance de fond qui reste positive malgré le repli récent, les moyennes étant encore orientées à la hausse.</w:t>
      </w:r>
    </w:p>
    <w:p>
      <w:pPr>
        <w:spacing w:after="120" w:line="276" w:lineRule="auto"/>
      </w:pPr>
      <w:r>
        <w:t>**Bandes de Bollinger** : Le cours se situe à 2 115 FCFA, proche de la borne inférieure (2 069,47 FCFA) et loin de la borne supérieure (2 389,53 FCFA), ce qui indique une pression vendeuse récente après avoir touché les niveaux hauts. La position dans la moitié inférieure des bandes suggère un potentiel de rebond technique, mais la décision neutre reflète l'absence de signal directionnel clair, la volatilité restant modérée.</w:t>
      </w:r>
    </w:p>
    <w:p>
      <w:pPr>
        <w:spacing w:after="120" w:line="276" w:lineRule="auto"/>
      </w:pPr>
      <w:r>
        <w:t>**MACD** : La valeur du MACD (10,536) est inférieure à son signal (21,358), formant une divergence baissière qui indique un affaiblissement du momentum haussier. Cette configuration, typique des phases de correction après une forte hausse, justifie la décision de vente, le croisement baissier suggérant que la dynamique positive s'essouffle.</w:t>
      </w:r>
    </w:p>
    <w:p>
      <w:pPr>
        <w:spacing w:after="120" w:line="276" w:lineRule="auto"/>
      </w:pPr>
      <w:r>
        <w:t>**RSI** : À 28,571, le RSI entre en zone de survente (&lt;30), signalant que le titre est techniquement survendu après la récente baisse. Cette situation suggère un potentiel de rebond à court terme, d'où la décision d'achat, mais elle peut aussi indiquer une poursuite de la baisse si le momentum négatif persiste.</w:t>
      </w:r>
    </w:p>
    <w:p>
      <w:pPr>
        <w:spacing w:after="120" w:line="276" w:lineRule="auto"/>
      </w:pPr>
      <w:r>
        <w:t>**Stochastique** : Le %K à 0,0 et le %D à 45,657 montrent un croisement baissier extrême, le %K étant tombé à son niveau le plus bas possible, indiquant une pression vendeuse très forte. La décision d'achat signale un possible retournement imminent, mais la configuration actuelle reste fragile.</w:t>
      </w:r>
    </w:p>
    <w:p>
      <w:pPr>
        <w:spacing w:after="120" w:line="276" w:lineRule="auto"/>
      </w:pPr>
      <w:r>
        <w:t>**Conclusion technique** : Les indicateurs sont partagés entre des signaux de survente (RSI, Stochastique) suggérant un rebond technique, et des signaux baissiers (MACD, position sous les moyennes mobiles) indiquant une correction en cours. La tendance de fond reste haussière, mais le titre semble entrer dans une phase de consolidation après sa forte progression, avec un risque de poursuite de la baisse à court terme.</w:t>
      </w:r>
    </w:p>
    <w:p>
      <w:pPr>
        <w:spacing w:after="120" w:line="276" w:lineRule="auto" w:before="240"/>
      </w:pPr>
      <w:r>
        <w:rPr>
          <w:b/>
          <w:color w:val="003366"/>
          <w:sz w:val="24"/>
        </w:rPr>
        <w:t>**PARTIE 3 : ANALYSE FONDAMENTALE (SECTION CRITIQUE)**</w:t>
      </w:r>
    </w:p>
    <w:p>
      <w:pPr>
        <w:spacing w:after="120" w:line="276" w:lineRule="auto"/>
      </w:pPr>
      <w:r>
        <w:t>En 2025, NEIC affiche des résultats financiers solides selon les données structurées : le chiffre d'affaires s'établit à 5,139 milliards FCFA, en baisse de 23,8% par rapport à l'exercice précédent, mais le résultat net atteint 2,037 milliards FCFA, porté par des éléments exceptionnels (reprise de provision pour redressement fiscal). La marge nette de 39,6% est exceptionnellement élevée, mais elle est artificiellement gonflée par ces éléments non récurrents, comme le confirme le rapport du T3 2025 (résultat net de 1,596 milliard FCFA, dont une large part provient de la reprise de provision). Les ratios de rentabilité sont excellents : ROE de 35,4% et ROA de 27,3%, bien au-dessus des seuils de 15% considérés comme satisfaisants, mais ces chiffres doivent être relativisés compte tenu de la nature exceptionnelle des bénéfices. La structure financière est saine avec une autonomie financière de 77%, une solvabilité générale de 435% et une trésorerie nette positive de 4,196 milliards FCFA, mais le BFR de 1,498 milliard FCFA et le délai clients de 154,7 jours constituent des points de vigilance pour la trésorerie. Le rapport du T1 2026 montre une amélioration du chiffre d'affaires (+137% à 115,1 millions FCFA) mais une perte nette persistante de -168,9 millions FCFA, indiquant que la reprise commerciale est encore insuffisante pour générer de la rentabilité opérationnelle. La performance 2025 est donc contrastée : des résultats exceptionnels masquent une dégradation de l'activité courante, et la pérennité de la rentabilité dépendra de la capacité de l'entreprise à redresser son chiffre d'affaires.</w:t>
      </w:r>
    </w:p>
    <w:p>
      <w:pPr>
        <w:spacing w:after="120" w:line="276" w:lineRule="auto" w:before="240"/>
      </w:pPr>
      <w:r>
        <w:rPr>
          <w:b/>
          <w:color w:val="003366"/>
          <w:sz w:val="24"/>
        </w:rPr>
        <w:t>**PARTIE 4 : CONCLUSION D'INVESTISSEMENT**</w:t>
      </w:r>
    </w:p>
    <w:p>
      <w:pPr>
        <w:spacing w:after="120" w:line="276" w:lineRule="auto"/>
      </w:pPr>
      <w:r>
        <w:t>La valorisation de NEIC apparaît exigeante avec un PER de 13,3x, un P/B de 4,69x et un EV/EBITDA de 19,5x, reflétant des attentes élevées qui ne sont pas pleinement justifiées par des fondamentaux en réalité contrastés. Le comportement du cours sur 100 jours montre une forte appréciation (+48,4%) suivie d'une correction récente, avec une volatilité élevée (49,2%) et une distribution des prix relativement stable (kurtosis platykurtique), ce qui suggère un risque de retournement. Les signaux techniques sont divergents : les indicateurs de survente (RSI, Stochastique) suggèrent un rebond à court terme, mais le MACD baissier et la position sous les moyennes mobiles indiquent une correction en cours. Les fondamentaux montrent une entreprise rentable en 2025 grâce à des éléments exceptionnels, mais avec une activité commerciale en déclin et des pertes persistantes sur les premiers trimestres 2026. Les prédictions IA prévoient une poursuite de la baisse du cours vers 1 596 FCFA à J+10, confirmant la tendance baissière à court terme. En synthèse, la convergence des signaux techniques baissiers et des prédictions IA, combinée à une valorisation exigeante et des fondamentaux mitigés, conduit à une recommandation de **VENTE** avec un niveau de confiance **Moyen** et un risque global **Élevé**. L'horizon d'investissement optimal serait le court terme (&lt;3 mois) pour les investisseurs cherchant à éviter une correction, tandis que les investisseurs à long terme devraient attendre des signes de redressement durable du chiffre d'affaires avant d'envisager une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582.50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1,976 titres</w:t>
            </w:r>
          </w:p>
        </w:tc>
        <w:tc>
          <w:tcPr>
            <w:tcW w:type="dxa" w:w="2268"/>
            <w:shd w:fill="FFF2CC" w:val="clear"/>
          </w:tcPr>
          <w:p>
            <w:r>
              <w:rPr>
                <w:b/>
                <w:color w:val="503200"/>
                <w:sz w:val="16"/>
              </w:rPr>
              <w:t xml:space="preserve">Cours actuel : </w:t>
            </w:r>
            <w:r>
              <w:rPr>
                <w:color w:val="000000"/>
                <w:sz w:val="17"/>
              </w:rPr>
              <w:t>23,550 FCFA</w:t>
            </w:r>
          </w:p>
          <w:p>
            <w:r>
              <w:rPr>
                <w:b/>
                <w:color w:val="503200"/>
                <w:sz w:val="16"/>
              </w:rPr>
              <w:t xml:space="preserve">Var. 100 jours : </w:t>
            </w:r>
            <w:r>
              <w:rPr>
                <w:b/>
                <w:color w:val="007800"/>
                <w:sz w:val="17"/>
              </w:rPr>
              <w:t>+68.21%</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19.83% (Élevée) — μ=17,698 FCFA, σ=3,509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β=1.4274 (Agressif) — Cov=0.000052, Var(idx)=0.000036, ρ=0.364,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1,976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σ_j=2.36%/j (Stable) — Vol. annualisée≈37.5%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2026-08-10</w:t>
            </w:r>
          </w:p>
        </w:tc>
        <w:tc>
          <w:tcPr>
            <w:tcW w:type="dxa" w:w="1440"/>
            <w:shd w:fill="C6EFCE" w:val="clear"/>
          </w:tcPr>
          <w:p>
            <w:r>
              <w:rPr>
                <w:sz w:val="17"/>
              </w:rPr>
              <w:t>23,150</w:t>
            </w:r>
          </w:p>
        </w:tc>
        <w:tc>
          <w:tcPr>
            <w:tcW w:type="dxa" w:w="1440"/>
            <w:shd w:fill="C6EFCE" w:val="clear"/>
          </w:tcPr>
          <w:p>
            <w:r>
              <w:rPr>
                <w:b/>
                <w:sz w:val="17"/>
              </w:rPr>
              <w:t>24,178</w:t>
            </w:r>
          </w:p>
        </w:tc>
        <w:tc>
          <w:tcPr>
            <w:tcW w:type="dxa" w:w="1440"/>
            <w:shd w:fill="C6EFCE" w:val="clear"/>
          </w:tcPr>
          <w:p>
            <w:r>
              <w:rPr>
                <w:sz w:val="17"/>
              </w:rPr>
              <w:t>25,205</w:t>
            </w:r>
          </w:p>
        </w:tc>
        <w:tc>
          <w:tcPr>
            <w:tcW w:type="dxa" w:w="1440"/>
            <w:shd w:fill="C6EFCE" w:val="clear"/>
          </w:tcPr>
          <w:p>
            <w:r>
              <w:rPr>
                <w:b/>
                <w:color w:val="008000"/>
                <w:sz w:val="17"/>
              </w:rPr>
              <w:t>+2.7%</w:t>
            </w:r>
          </w:p>
        </w:tc>
      </w:tr>
      <w:tr>
        <w:tc>
          <w:tcPr>
            <w:tcW w:type="dxa" w:w="1440"/>
            <w:shd w:fill="C6EFCE" w:val="clear"/>
          </w:tcPr>
          <w:p>
            <w:r>
              <w:rPr>
                <w:sz w:val="17"/>
              </w:rPr>
              <w:t>J+2  Moyenne</w:t>
            </w:r>
          </w:p>
        </w:tc>
        <w:tc>
          <w:tcPr>
            <w:tcW w:type="dxa" w:w="1440"/>
            <w:shd w:fill="C6EFCE" w:val="clear"/>
          </w:tcPr>
          <w:p>
            <w:r>
              <w:rPr>
                <w:sz w:val="17"/>
              </w:rPr>
              <w:t>2026-08-11</w:t>
            </w:r>
          </w:p>
        </w:tc>
        <w:tc>
          <w:tcPr>
            <w:tcW w:type="dxa" w:w="1440"/>
            <w:shd w:fill="C6EFCE" w:val="clear"/>
          </w:tcPr>
          <w:p>
            <w:r>
              <w:rPr>
                <w:sz w:val="17"/>
              </w:rPr>
              <w:t>23,127</w:t>
            </w:r>
          </w:p>
        </w:tc>
        <w:tc>
          <w:tcPr>
            <w:tcW w:type="dxa" w:w="1440"/>
            <w:shd w:fill="C6EFCE" w:val="clear"/>
          </w:tcPr>
          <w:p>
            <w:r>
              <w:rPr>
                <w:b/>
                <w:sz w:val="17"/>
              </w:rPr>
              <w:t>24,606</w:t>
            </w:r>
          </w:p>
        </w:tc>
        <w:tc>
          <w:tcPr>
            <w:tcW w:type="dxa" w:w="1440"/>
            <w:shd w:fill="C6EFCE" w:val="clear"/>
          </w:tcPr>
          <w:p>
            <w:r>
              <w:rPr>
                <w:sz w:val="17"/>
              </w:rPr>
              <w:t>26,084</w:t>
            </w:r>
          </w:p>
        </w:tc>
        <w:tc>
          <w:tcPr>
            <w:tcW w:type="dxa" w:w="1440"/>
            <w:shd w:fill="C6EFCE" w:val="clear"/>
          </w:tcPr>
          <w:p>
            <w:r>
              <w:rPr>
                <w:b/>
                <w:color w:val="008000"/>
                <w:sz w:val="17"/>
              </w:rPr>
              <w:t>+4.5%</w:t>
            </w:r>
          </w:p>
        </w:tc>
      </w:tr>
      <w:tr>
        <w:tc>
          <w:tcPr>
            <w:tcW w:type="dxa" w:w="1440"/>
            <w:shd w:fill="C6EFCE" w:val="clear"/>
          </w:tcPr>
          <w:p>
            <w:r>
              <w:rPr>
                <w:sz w:val="17"/>
              </w:rPr>
              <w:t>J+3  Moyenne</w:t>
            </w:r>
          </w:p>
        </w:tc>
        <w:tc>
          <w:tcPr>
            <w:tcW w:type="dxa" w:w="1440"/>
            <w:shd w:fill="C6EFCE" w:val="clear"/>
          </w:tcPr>
          <w:p>
            <w:r>
              <w:rPr>
                <w:sz w:val="17"/>
              </w:rPr>
              <w:t>2026-08-12</w:t>
            </w:r>
          </w:p>
        </w:tc>
        <w:tc>
          <w:tcPr>
            <w:tcW w:type="dxa" w:w="1440"/>
            <w:shd w:fill="C6EFCE" w:val="clear"/>
          </w:tcPr>
          <w:p>
            <w:r>
              <w:rPr>
                <w:sz w:val="17"/>
              </w:rPr>
              <w:t>23,180</w:t>
            </w:r>
          </w:p>
        </w:tc>
        <w:tc>
          <w:tcPr>
            <w:tcW w:type="dxa" w:w="1440"/>
            <w:shd w:fill="C6EFCE" w:val="clear"/>
          </w:tcPr>
          <w:p>
            <w:r>
              <w:rPr>
                <w:b/>
                <w:sz w:val="17"/>
              </w:rPr>
              <w:t>25,022</w:t>
            </w:r>
          </w:p>
        </w:tc>
        <w:tc>
          <w:tcPr>
            <w:tcW w:type="dxa" w:w="1440"/>
            <w:shd w:fill="C6EFCE" w:val="clear"/>
          </w:tcPr>
          <w:p>
            <w:r>
              <w:rPr>
                <w:sz w:val="17"/>
              </w:rPr>
              <w:t>26,863</w:t>
            </w:r>
          </w:p>
        </w:tc>
        <w:tc>
          <w:tcPr>
            <w:tcW w:type="dxa" w:w="1440"/>
            <w:shd w:fill="C6EFCE" w:val="clear"/>
          </w:tcPr>
          <w:p>
            <w:r>
              <w:rPr>
                <w:b/>
                <w:color w:val="008000"/>
                <w:sz w:val="17"/>
              </w:rPr>
              <w:t>+6.2%</w:t>
            </w:r>
          </w:p>
        </w:tc>
      </w:tr>
      <w:tr>
        <w:tc>
          <w:tcPr>
            <w:tcW w:type="dxa" w:w="1440"/>
            <w:shd w:fill="C6EFCE" w:val="clear"/>
          </w:tcPr>
          <w:p>
            <w:r>
              <w:rPr>
                <w:sz w:val="17"/>
              </w:rPr>
              <w:t>J+4  ⭐</w:t>
            </w:r>
          </w:p>
        </w:tc>
        <w:tc>
          <w:tcPr>
            <w:tcW w:type="dxa" w:w="1440"/>
            <w:shd w:fill="C6EFCE" w:val="clear"/>
          </w:tcPr>
          <w:p>
            <w:r>
              <w:rPr>
                <w:sz w:val="17"/>
              </w:rPr>
              <w:t>2026-08-13</w:t>
            </w:r>
          </w:p>
        </w:tc>
        <w:tc>
          <w:tcPr>
            <w:tcW w:type="dxa" w:w="1440"/>
            <w:shd w:fill="C6EFCE" w:val="clear"/>
          </w:tcPr>
          <w:p>
            <w:r>
              <w:rPr>
                <w:sz w:val="17"/>
              </w:rPr>
              <w:t>23,259</w:t>
            </w:r>
          </w:p>
        </w:tc>
        <w:tc>
          <w:tcPr>
            <w:tcW w:type="dxa" w:w="1440"/>
            <w:shd w:fill="C6EFCE" w:val="clear"/>
          </w:tcPr>
          <w:p>
            <w:r>
              <w:rPr>
                <w:b/>
                <w:sz w:val="17"/>
              </w:rPr>
              <w:t>25,419</w:t>
            </w:r>
          </w:p>
        </w:tc>
        <w:tc>
          <w:tcPr>
            <w:tcW w:type="dxa" w:w="1440"/>
            <w:shd w:fill="C6EFCE" w:val="clear"/>
          </w:tcPr>
          <w:p>
            <w:r>
              <w:rPr>
                <w:sz w:val="17"/>
              </w:rPr>
              <w:t>27,579</w:t>
            </w:r>
          </w:p>
        </w:tc>
        <w:tc>
          <w:tcPr>
            <w:tcW w:type="dxa" w:w="1440"/>
            <w:shd w:fill="C6EFCE" w:val="clear"/>
          </w:tcPr>
          <w:p>
            <w:r>
              <w:rPr>
                <w:b/>
                <w:color w:val="008000"/>
                <w:sz w:val="17"/>
              </w:rPr>
              <w:t>+7.9%</w:t>
            </w:r>
          </w:p>
        </w:tc>
      </w:tr>
      <w:tr>
        <w:tc>
          <w:tcPr>
            <w:tcW w:type="dxa" w:w="1440"/>
            <w:shd w:fill="C6EFCE" w:val="clear"/>
          </w:tcPr>
          <w:p>
            <w:r>
              <w:rPr>
                <w:sz w:val="17"/>
              </w:rPr>
              <w:t>J+5  ⭐</w:t>
            </w:r>
          </w:p>
        </w:tc>
        <w:tc>
          <w:tcPr>
            <w:tcW w:type="dxa" w:w="1440"/>
            <w:shd w:fill="C6EFCE" w:val="clear"/>
          </w:tcPr>
          <w:p>
            <w:r>
              <w:rPr>
                <w:sz w:val="17"/>
              </w:rPr>
              <w:t>2026-08-14</w:t>
            </w:r>
          </w:p>
        </w:tc>
        <w:tc>
          <w:tcPr>
            <w:tcW w:type="dxa" w:w="1440"/>
            <w:shd w:fill="C6EFCE" w:val="clear"/>
          </w:tcPr>
          <w:p>
            <w:r>
              <w:rPr>
                <w:sz w:val="17"/>
              </w:rPr>
              <w:t>23,360</w:t>
            </w:r>
          </w:p>
        </w:tc>
        <w:tc>
          <w:tcPr>
            <w:tcW w:type="dxa" w:w="1440"/>
            <w:shd w:fill="C6EFCE" w:val="clear"/>
          </w:tcPr>
          <w:p>
            <w:r>
              <w:rPr>
                <w:b/>
                <w:sz w:val="17"/>
              </w:rPr>
              <w:t>25,812</w:t>
            </w:r>
          </w:p>
        </w:tc>
        <w:tc>
          <w:tcPr>
            <w:tcW w:type="dxa" w:w="1440"/>
            <w:shd w:fill="C6EFCE" w:val="clear"/>
          </w:tcPr>
          <w:p>
            <w:r>
              <w:rPr>
                <w:sz w:val="17"/>
              </w:rPr>
              <w:t>28,264</w:t>
            </w:r>
          </w:p>
        </w:tc>
        <w:tc>
          <w:tcPr>
            <w:tcW w:type="dxa" w:w="1440"/>
            <w:shd w:fill="C6EFCE" w:val="clear"/>
          </w:tcPr>
          <w:p>
            <w:r>
              <w:rPr>
                <w:b/>
                <w:color w:val="008000"/>
                <w:sz w:val="17"/>
              </w:rPr>
              <w:t>+9.6%</w:t>
            </w:r>
          </w:p>
        </w:tc>
      </w:tr>
      <w:tr>
        <w:tc>
          <w:tcPr>
            <w:tcW w:type="dxa" w:w="1440"/>
            <w:shd w:fill="C6EFCE" w:val="clear"/>
          </w:tcPr>
          <w:p>
            <w:r>
              <w:rPr>
                <w:sz w:val="17"/>
              </w:rPr>
              <w:t>J+6  ⭐</w:t>
            </w:r>
          </w:p>
        </w:tc>
        <w:tc>
          <w:tcPr>
            <w:tcW w:type="dxa" w:w="1440"/>
            <w:shd w:fill="C6EFCE" w:val="clear"/>
          </w:tcPr>
          <w:p>
            <w:r>
              <w:rPr>
                <w:sz w:val="17"/>
              </w:rPr>
              <w:t>2026-08-17</w:t>
            </w:r>
          </w:p>
        </w:tc>
        <w:tc>
          <w:tcPr>
            <w:tcW w:type="dxa" w:w="1440"/>
            <w:shd w:fill="C6EFCE" w:val="clear"/>
          </w:tcPr>
          <w:p>
            <w:r>
              <w:rPr>
                <w:sz w:val="17"/>
              </w:rPr>
              <w:t>23,475</w:t>
            </w:r>
          </w:p>
        </w:tc>
        <w:tc>
          <w:tcPr>
            <w:tcW w:type="dxa" w:w="1440"/>
            <w:shd w:fill="C6EFCE" w:val="clear"/>
          </w:tcPr>
          <w:p>
            <w:r>
              <w:rPr>
                <w:b/>
                <w:sz w:val="17"/>
              </w:rPr>
              <w:t>26,202</w:t>
            </w:r>
          </w:p>
        </w:tc>
        <w:tc>
          <w:tcPr>
            <w:tcW w:type="dxa" w:w="1440"/>
            <w:shd w:fill="C6EFCE" w:val="clear"/>
          </w:tcPr>
          <w:p>
            <w:r>
              <w:rPr>
                <w:sz w:val="17"/>
              </w:rPr>
              <w:t>28,929</w:t>
            </w:r>
          </w:p>
        </w:tc>
        <w:tc>
          <w:tcPr>
            <w:tcW w:type="dxa" w:w="1440"/>
            <w:shd w:fill="C6EFCE" w:val="clear"/>
          </w:tcPr>
          <w:p>
            <w:r>
              <w:rPr>
                <w:b/>
                <w:color w:val="008000"/>
                <w:sz w:val="17"/>
              </w:rPr>
              <w:t>+11.3%</w:t>
            </w:r>
          </w:p>
        </w:tc>
      </w:tr>
      <w:tr>
        <w:tc>
          <w:tcPr>
            <w:tcW w:type="dxa" w:w="1440"/>
            <w:shd w:fill="C6EFCE" w:val="clear"/>
          </w:tcPr>
          <w:p>
            <w:r>
              <w:rPr>
                <w:sz w:val="17"/>
              </w:rPr>
              <w:t>J+7  ⭐</w:t>
            </w:r>
          </w:p>
        </w:tc>
        <w:tc>
          <w:tcPr>
            <w:tcW w:type="dxa" w:w="1440"/>
            <w:shd w:fill="C6EFCE" w:val="clear"/>
          </w:tcPr>
          <w:p>
            <w:r>
              <w:rPr>
                <w:sz w:val="17"/>
              </w:rPr>
              <w:t>2026-08-18</w:t>
            </w:r>
          </w:p>
        </w:tc>
        <w:tc>
          <w:tcPr>
            <w:tcW w:type="dxa" w:w="1440"/>
            <w:shd w:fill="C6EFCE" w:val="clear"/>
          </w:tcPr>
          <w:p>
            <w:r>
              <w:rPr>
                <w:sz w:val="17"/>
              </w:rPr>
              <w:t>23,601</w:t>
            </w:r>
          </w:p>
        </w:tc>
        <w:tc>
          <w:tcPr>
            <w:tcW w:type="dxa" w:w="1440"/>
            <w:shd w:fill="C6EFCE" w:val="clear"/>
          </w:tcPr>
          <w:p>
            <w:r>
              <w:rPr>
                <w:b/>
                <w:sz w:val="17"/>
              </w:rPr>
              <w:t>26,590</w:t>
            </w:r>
          </w:p>
        </w:tc>
        <w:tc>
          <w:tcPr>
            <w:tcW w:type="dxa" w:w="1440"/>
            <w:shd w:fill="C6EFCE" w:val="clear"/>
          </w:tcPr>
          <w:p>
            <w:r>
              <w:rPr>
                <w:sz w:val="17"/>
              </w:rPr>
              <w:t>29,579</w:t>
            </w:r>
          </w:p>
        </w:tc>
        <w:tc>
          <w:tcPr>
            <w:tcW w:type="dxa" w:w="1440"/>
            <w:shd w:fill="C6EFCE" w:val="clear"/>
          </w:tcPr>
          <w:p>
            <w:r>
              <w:rPr>
                <w:b/>
                <w:color w:val="008000"/>
                <w:sz w:val="17"/>
              </w:rPr>
              <w:t>+12.9%</w:t>
            </w:r>
          </w:p>
        </w:tc>
      </w:tr>
      <w:tr>
        <w:tc>
          <w:tcPr>
            <w:tcW w:type="dxa" w:w="1440"/>
            <w:shd w:fill="C6EFCE" w:val="clear"/>
          </w:tcPr>
          <w:p>
            <w:r>
              <w:rPr>
                <w:sz w:val="17"/>
              </w:rPr>
              <w:t>J+8  ⭐</w:t>
            </w:r>
          </w:p>
        </w:tc>
        <w:tc>
          <w:tcPr>
            <w:tcW w:type="dxa" w:w="1440"/>
            <w:shd w:fill="C6EFCE" w:val="clear"/>
          </w:tcPr>
          <w:p>
            <w:r>
              <w:rPr>
                <w:sz w:val="17"/>
              </w:rPr>
              <w:t>2026-08-19</w:t>
            </w:r>
          </w:p>
        </w:tc>
        <w:tc>
          <w:tcPr>
            <w:tcW w:type="dxa" w:w="1440"/>
            <w:shd w:fill="C6EFCE" w:val="clear"/>
          </w:tcPr>
          <w:p>
            <w:r>
              <w:rPr>
                <w:sz w:val="17"/>
              </w:rPr>
              <w:t>23,734</w:t>
            </w:r>
          </w:p>
        </w:tc>
        <w:tc>
          <w:tcPr>
            <w:tcW w:type="dxa" w:w="1440"/>
            <w:shd w:fill="C6EFCE" w:val="clear"/>
          </w:tcPr>
          <w:p>
            <w:r>
              <w:rPr>
                <w:b/>
                <w:sz w:val="17"/>
              </w:rPr>
              <w:t>26,976</w:t>
            </w:r>
          </w:p>
        </w:tc>
        <w:tc>
          <w:tcPr>
            <w:tcW w:type="dxa" w:w="1440"/>
            <w:shd w:fill="C6EFCE" w:val="clear"/>
          </w:tcPr>
          <w:p>
            <w:r>
              <w:rPr>
                <w:sz w:val="17"/>
              </w:rPr>
              <w:t>30,217</w:t>
            </w:r>
          </w:p>
        </w:tc>
        <w:tc>
          <w:tcPr>
            <w:tcW w:type="dxa" w:w="1440"/>
            <w:shd w:fill="C6EFCE" w:val="clear"/>
          </w:tcPr>
          <w:p>
            <w:r>
              <w:rPr>
                <w:b/>
                <w:color w:val="008000"/>
                <w:sz w:val="17"/>
              </w:rPr>
              <w:t>+14.5%</w:t>
            </w:r>
          </w:p>
        </w:tc>
      </w:tr>
      <w:tr>
        <w:tc>
          <w:tcPr>
            <w:tcW w:type="dxa" w:w="1440"/>
            <w:shd w:fill="C6EFCE" w:val="clear"/>
          </w:tcPr>
          <w:p>
            <w:r>
              <w:rPr>
                <w:sz w:val="17"/>
              </w:rPr>
              <w:t>J+9  ⭐</w:t>
            </w:r>
          </w:p>
        </w:tc>
        <w:tc>
          <w:tcPr>
            <w:tcW w:type="dxa" w:w="1440"/>
            <w:shd w:fill="C6EFCE" w:val="clear"/>
          </w:tcPr>
          <w:p>
            <w:r>
              <w:rPr>
                <w:sz w:val="17"/>
              </w:rPr>
              <w:t>2026-08-20</w:t>
            </w:r>
          </w:p>
        </w:tc>
        <w:tc>
          <w:tcPr>
            <w:tcW w:type="dxa" w:w="1440"/>
            <w:shd w:fill="C6EFCE" w:val="clear"/>
          </w:tcPr>
          <w:p>
            <w:r>
              <w:rPr>
                <w:sz w:val="17"/>
              </w:rPr>
              <w:t>23,872</w:t>
            </w:r>
          </w:p>
        </w:tc>
        <w:tc>
          <w:tcPr>
            <w:tcW w:type="dxa" w:w="1440"/>
            <w:shd w:fill="C6EFCE" w:val="clear"/>
          </w:tcPr>
          <w:p>
            <w:r>
              <w:rPr>
                <w:b/>
                <w:sz w:val="17"/>
              </w:rPr>
              <w:t>27,359</w:t>
            </w:r>
          </w:p>
        </w:tc>
        <w:tc>
          <w:tcPr>
            <w:tcW w:type="dxa" w:w="1440"/>
            <w:shd w:fill="C6EFCE" w:val="clear"/>
          </w:tcPr>
          <w:p>
            <w:r>
              <w:rPr>
                <w:sz w:val="17"/>
              </w:rPr>
              <w:t>30,846</w:t>
            </w:r>
          </w:p>
        </w:tc>
        <w:tc>
          <w:tcPr>
            <w:tcW w:type="dxa" w:w="1440"/>
            <w:shd w:fill="C6EFCE" w:val="clear"/>
          </w:tcPr>
          <w:p>
            <w:r>
              <w:rPr>
                <w:b/>
                <w:color w:val="008000"/>
                <w:sz w:val="17"/>
              </w:rPr>
              <w:t>+16.2%</w:t>
            </w:r>
          </w:p>
        </w:tc>
      </w:tr>
      <w:tr>
        <w:tc>
          <w:tcPr>
            <w:tcW w:type="dxa" w:w="1440"/>
            <w:shd w:fill="C6EFCE" w:val="clear"/>
          </w:tcPr>
          <w:p>
            <w:r>
              <w:rPr>
                <w:sz w:val="17"/>
              </w:rPr>
              <w:t>J+10  ⭐</w:t>
            </w:r>
          </w:p>
        </w:tc>
        <w:tc>
          <w:tcPr>
            <w:tcW w:type="dxa" w:w="1440"/>
            <w:shd w:fill="C6EFCE" w:val="clear"/>
          </w:tcPr>
          <w:p>
            <w:r>
              <w:rPr>
                <w:sz w:val="17"/>
              </w:rPr>
              <w:t>2026-08-21</w:t>
            </w:r>
          </w:p>
        </w:tc>
        <w:tc>
          <w:tcPr>
            <w:tcW w:type="dxa" w:w="1440"/>
            <w:shd w:fill="C6EFCE" w:val="clear"/>
          </w:tcPr>
          <w:p>
            <w:r>
              <w:rPr>
                <w:sz w:val="17"/>
              </w:rPr>
              <w:t>24,012</w:t>
            </w:r>
          </w:p>
        </w:tc>
        <w:tc>
          <w:tcPr>
            <w:tcW w:type="dxa" w:w="1440"/>
            <w:shd w:fill="C6EFCE" w:val="clear"/>
          </w:tcPr>
          <w:p>
            <w:r>
              <w:rPr>
                <w:b/>
                <w:sz w:val="17"/>
              </w:rPr>
              <w:t>27,739</w:t>
            </w:r>
          </w:p>
        </w:tc>
        <w:tc>
          <w:tcPr>
            <w:tcW w:type="dxa" w:w="1440"/>
            <w:shd w:fill="C6EFCE" w:val="clear"/>
          </w:tcPr>
          <w:p>
            <w:r>
              <w:rPr>
                <w:sz w:val="17"/>
              </w:rPr>
              <w:t>31,466</w:t>
            </w:r>
          </w:p>
        </w:tc>
        <w:tc>
          <w:tcPr>
            <w:tcW w:type="dxa" w:w="1440"/>
            <w:shd w:fill="C6EFCE" w:val="clear"/>
          </w:tcPr>
          <w:p>
            <w:r>
              <w:rPr>
                <w:b/>
                <w:color w:val="008000"/>
                <w:sz w:val="17"/>
              </w:rPr>
              <w:t>+17.8%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NSBC s'établit à 582,50 milliards FCFA, ce qui en fait l'une des valeurs les plus significatives de la BRVM, reflétant la confiance des investisseurs dans le secteur bancaire ivoirien. Avec un BPA de 1 646 FCFA, chaque action génère un bénéfice substantiel, justifiant un PER de 14,3x. Ce niveau est supérieur à la moyenne historique de la BRVM (8-12x), indiquant que le marché accorde une prime de croissance à la valeur. Le P/B de 2,50x confirme cette lecture : les investisseurs paient 2,5 fois la valeur comptable des actifs, ce qui est dans la fourchette des 2-4x pour les sociétés en croissance. Enfin, l'EV/EBITDA de 21,7x, nettement supérieur au seuil de 15x, suggère une valorisation exigeante qui anticipe une poursuite de la forte dynamique de rentabilité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performance exceptionnelle de +68,21%, passant d'un plus bas de 13 810 FCFA à un plus haut de 24 020 FCFA, avant de clôturer à 23 550 FCFA, soit un léger repli de -1,26% lors de la dernière séance. Cette tendance fortement haussière témoigne d'un intérêt marqué des investisseurs. La moyenne du cours sur la période (17 698 FCFA) est inférieure à la médiane (18 000 FCFA), indiquant une distribution légèrement asymétrique positive (skewness de 0,287), avec une concentration des valeurs vers le bas de la fourchette. L'écart-type de 3 527 FCFA, représentant un coefficient de variation de 19,9%, montre une dispersion modérée. Le kurtosis négatif (-1,358) signale une distribution platykurtique, avec moins de valeurs extrêmes que la normale. La volatilité annualisée de 37,5% classe le titre comme très volatil, ce qui implique un risque élevé mais aussi un fort potentiel de rendement.</w:t>
      </w:r>
    </w:p>
    <w:p>
      <w:pPr>
        <w:spacing w:after="120" w:line="276" w:lineRule="auto" w:before="240"/>
      </w:pPr>
      <w:r>
        <w:rPr>
          <w:b/>
          <w:color w:val="003366"/>
          <w:sz w:val="24"/>
        </w:rPr>
        <w:t>**PARTIE 2 : ANALYSE TECHNIQUE DÉTAILLÉE**</w:t>
      </w:r>
    </w:p>
    <w:p>
      <w:pPr>
        <w:spacing w:after="120" w:line="276" w:lineRule="auto"/>
      </w:pPr>
      <w:r>
        <w:t>**Moyennes Mobiles** : Le cours actuel (23 550 FCFA) se positionne nettement au-dessus de la MM20 (22 859,75 FCFA) et de la MM50 (20 812,7 FCFA), confirmant une dynamique haussière solide. L'écart positif entre le prix et les moyennes indique une tendance soutenue, justifiant la décision d'achat.</w:t>
      </w:r>
    </w:p>
    <w:p>
      <w:pPr>
        <w:spacing w:after="120" w:line="276" w:lineRule="auto"/>
      </w:pPr>
      <w:r>
        <w:t>**Bandes de Bollinger** : Le prix se situe entre la borne supérieure (24 675,21 FCFA) et la borne inférieure (21 044,29 FCFA), proche de la partie haute de la bande. Cette position suggère une volatilité modérée avec un potentiel de continuation haussière, d'où la décision neutre, le marché n'étant pas encore en situation de surachat extrême.</w:t>
      </w:r>
    </w:p>
    <w:p>
      <w:pPr>
        <w:spacing w:after="120" w:line="276" w:lineRule="auto"/>
      </w:pPr>
      <w:r>
        <w:t>**MACD** : La valeur du MACD (928,41) est inférieure à son signal (985,39), indiquant un momentum baissier à court terme malgré la tendance haussière de fond. Cette divergence suggère une possible consolidation ou correction temporaire, justifiant la décision de vente.</w:t>
      </w:r>
    </w:p>
    <w:p>
      <w:pPr>
        <w:spacing w:after="120" w:line="276" w:lineRule="auto"/>
      </w:pPr>
      <w:r>
        <w:t>**RSI** : À 48,95, le RSI se situe en zone neutre, sans signal de surachat ni de survente. Cette valeur reflète un équilibre entre les forces acheteuses et vendeuses, justifiant une position d'attente.</w:t>
      </w:r>
    </w:p>
    <w:p>
      <w:pPr>
        <w:spacing w:after="120" w:line="276" w:lineRule="auto"/>
      </w:pPr>
      <w:r>
        <w:t>**Stochastique** : Le %K (76,73) est inférieur au %D (88,28), indiquant un croisement baissier potentiel. Cependant, les deux valeurs restent en zone élevée, suggérant que le titre est encore proche de conditions de surachat, d'où la décision neutre.</w:t>
      </w:r>
    </w:p>
    <w:p>
      <w:pPr>
        <w:spacing w:after="120" w:line="276" w:lineRule="auto"/>
      </w:pPr>
      <w:r>
        <w:t>**Conclusion technique** : La tendance de fond reste haussière, soutenue par les moyennes mobiles et la position dans les bandes de Bollinger. Cependant, les signaux à court terme (MACD et Stochastique) montrent une perte de momentum, laissant présager une phase de consolidation avant une éventuelle reprise de la hausse.</w:t>
      </w:r>
    </w:p>
    <w:p>
      <w:pPr>
        <w:spacing w:after="120" w:line="276" w:lineRule="auto" w:before="240"/>
      </w:pPr>
      <w:r>
        <w:rPr>
          <w:b/>
          <w:color w:val="003366"/>
          <w:sz w:val="24"/>
        </w:rPr>
        <w:t>**PARTIE 3 : ANALYSE FONDAMENTALE (SECTION CRITIQUE)**</w:t>
      </w:r>
    </w:p>
    <w:p>
      <w:pPr>
        <w:spacing w:after="120" w:line="276" w:lineRule="auto"/>
      </w:pPr>
      <w:r>
        <w:t>En 2025, NSBC affiche des performances financières solides avec un Produit Net Bancaire (PNB) de 112,928 milliards FCFA, en hausse de 15% par rapport à 2024, et un résultat net de 40,712 milliards FCFA, en progression de 7%. La banque démontre une excellente rentabilité avec un ROE de 17,45% et un ROA de 1,32%. Le coefficient d'exploitation de 54,59% témoigne d'une gestion efficace, bien que le coût du risque de 7,54% reste élevé, indiquant un risque de crédit significatif. Les dépôts clientèle (2 242,218 milliards FCFA) dépassent largement les créances clientèle (1 818,671 milliards FCFA), assurant une transformation saine. Le total du bilan progresse de 22% à 3 073,062 milliards FCFA. Sur la base du rapport T1 2026 (PNB de 28,615 milliards FCFA, en hausse de 28%, et résultat net de 10,912 milliards FCFA, en progression de 53%), on estime que l'exercice 2026 pourrait voir le PNB dépasser 130 milliards FCFA et le résultat net atteindre 50 milliards FCFA, confirmant la dynamique de croissance. Les rapports de 2024 et 2025 montrent une amélioration continue de la rentabilité et de l'efficacité opérationnelle, malgré une hausse du coût du risque en 2025.</w:t>
      </w:r>
    </w:p>
    <w:p>
      <w:pPr>
        <w:spacing w:after="120" w:line="276" w:lineRule="auto" w:before="240"/>
      </w:pPr>
      <w:r>
        <w:rPr>
          <w:b/>
          <w:color w:val="003366"/>
          <w:sz w:val="24"/>
        </w:rPr>
        <w:t>**PARTIE 4 : CONCLUSION D'INVESTISSEMENT**</w:t>
      </w:r>
    </w:p>
    <w:p>
      <w:pPr>
        <w:spacing w:after="120" w:line="276" w:lineRule="auto"/>
      </w:pPr>
      <w:r>
        <w:t>La valorisation de NSBC (PER 14,3x, P/B 2,5x, EV/EBITDA 21,7x) indique une prime de croissance justifiée par des fondamentaux solides, mais qui laisse peu de marge d'erreur. Le comportement du cours (+68,21% sur 100 jours) reflète un fort enthousiasme, avec une volatilité élevée (37,5%) et une distribution platykurtique qui suggère des mouvements amples. Les signaux techniques sont mitigés : la tendance de fond reste haussière (MM, Bollinger), mais les indicateurs à court terme (MACD, Stochastique) montrent une perte de momentum, suggérant une consolidation. Les fondamentaux sont excellents : croissance soutenue du PNB et du résultat net, ROE supérieur à 15%, et perspectives 2026 très favorables selon les estimations basées sur le T1 2026. Les prédictions IA (24 178 à 25 812 FCFA sur 10 jours) confirment la poursuite de la hausse à court terme. La convergence entre la solidité fondamentale, la tendance haussière et les prédictions IA, malgré des signaux techniques mitigés, conduit à une recommandation **ACHAT** avec un niveau de confiance **Moyen** et un risque global **Élevé** en raison de la volatilité. L'horizon d'investissement optimal est le **moyen terme (3-12 mois)**, permettant de bénéficier de la croissance tout en gérant les fluctuations à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366.26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1,970 titres</w:t>
            </w:r>
          </w:p>
        </w:tc>
        <w:tc>
          <w:tcPr>
            <w:tcW w:type="dxa" w:w="2268"/>
            <w:shd w:fill="FFF2CC" w:val="clear"/>
          </w:tcPr>
          <w:p>
            <w:r>
              <w:rPr>
                <w:b/>
                <w:color w:val="503200"/>
                <w:sz w:val="16"/>
              </w:rPr>
              <w:t xml:space="preserve">Cours actuel : </w:t>
            </w:r>
            <w:r>
              <w:rPr>
                <w:color w:val="000000"/>
                <w:sz w:val="17"/>
              </w:rPr>
              <w:t>16,595 FCFA</w:t>
            </w:r>
          </w:p>
          <w:p>
            <w:r>
              <w:rPr>
                <w:b/>
                <w:color w:val="503200"/>
                <w:sz w:val="16"/>
              </w:rPr>
              <w:t xml:space="preserve">Var. 100 jours : </w:t>
            </w:r>
            <w:r>
              <w:rPr>
                <w:b/>
                <w:color w:val="007800"/>
                <w:sz w:val="17"/>
              </w:rPr>
              <w:t>+27.65%</w:t>
            </w:r>
          </w:p>
          <w:p>
            <w:r>
              <w:rPr>
                <w:b/>
                <w:color w:val="503200"/>
                <w:sz w:val="16"/>
              </w:rPr>
              <w:t xml:space="preserve">Plus haut 100j : </w:t>
            </w:r>
            <w:r>
              <w:rPr>
                <w:color w:val="000000"/>
                <w:sz w:val="17"/>
              </w:rPr>
              <w:t>16,750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12.89% (Moyenne) — μ=13,889 FCFA, σ=1,790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β=0.2530 (Défensif) — Cov=0.000009, Var(idx)=0.000036, ρ=0.073,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1,970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16,044</w:t>
            </w:r>
          </w:p>
        </w:tc>
        <w:tc>
          <w:tcPr>
            <w:tcW w:type="dxa" w:w="1440"/>
            <w:shd w:fill="FAFAFA" w:val="clear"/>
          </w:tcPr>
          <w:p>
            <w:r>
              <w:rPr>
                <w:b/>
                <w:sz w:val="17"/>
              </w:rPr>
              <w:t>16,423</w:t>
            </w:r>
          </w:p>
        </w:tc>
        <w:tc>
          <w:tcPr>
            <w:tcW w:type="dxa" w:w="1440"/>
            <w:shd w:fill="FAFAFA" w:val="clear"/>
          </w:tcPr>
          <w:p>
            <w:r>
              <w:rPr>
                <w:sz w:val="17"/>
              </w:rPr>
              <w:t>16,802</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15,857</w:t>
            </w:r>
          </w:p>
        </w:tc>
        <w:tc>
          <w:tcPr>
            <w:tcW w:type="dxa" w:w="1440"/>
            <w:shd w:fill="FAFAFA" w:val="clear"/>
          </w:tcPr>
          <w:p>
            <w:r>
              <w:rPr>
                <w:b/>
                <w:sz w:val="17"/>
              </w:rPr>
              <w:t>16,392</w:t>
            </w:r>
          </w:p>
        </w:tc>
        <w:tc>
          <w:tcPr>
            <w:tcW w:type="dxa" w:w="1440"/>
            <w:shd w:fill="FAFAFA" w:val="clear"/>
          </w:tcPr>
          <w:p>
            <w:r>
              <w:rPr>
                <w:sz w:val="17"/>
              </w:rPr>
              <w:t>16,927</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15,692</w:t>
            </w:r>
          </w:p>
        </w:tc>
        <w:tc>
          <w:tcPr>
            <w:tcW w:type="dxa" w:w="1440"/>
            <w:shd w:fill="FAFAFA" w:val="clear"/>
          </w:tcPr>
          <w:p>
            <w:r>
              <w:rPr>
                <w:b/>
                <w:sz w:val="17"/>
              </w:rPr>
              <w:t>16,345</w:t>
            </w:r>
          </w:p>
        </w:tc>
        <w:tc>
          <w:tcPr>
            <w:tcW w:type="dxa" w:w="1440"/>
            <w:shd w:fill="FAFAFA" w:val="clear"/>
          </w:tcPr>
          <w:p>
            <w:r>
              <w:rPr>
                <w:sz w:val="17"/>
              </w:rPr>
              <w:t>16,998</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15,545</w:t>
            </w:r>
          </w:p>
        </w:tc>
        <w:tc>
          <w:tcPr>
            <w:tcW w:type="dxa" w:w="1440"/>
            <w:shd w:fill="FAFAFA" w:val="clear"/>
          </w:tcPr>
          <w:p>
            <w:r>
              <w:rPr>
                <w:b/>
                <w:sz w:val="17"/>
              </w:rPr>
              <w:t>16,297</w:t>
            </w:r>
          </w:p>
        </w:tc>
        <w:tc>
          <w:tcPr>
            <w:tcW w:type="dxa" w:w="1440"/>
            <w:shd w:fill="FAFAFA" w:val="clear"/>
          </w:tcPr>
          <w:p>
            <w:r>
              <w:rPr>
                <w:sz w:val="17"/>
              </w:rPr>
              <w:t>17,049</w:t>
            </w:r>
          </w:p>
        </w:tc>
        <w:tc>
          <w:tcPr>
            <w:tcW w:type="dxa" w:w="1440"/>
            <w:shd w:fill="FAFAFA" w:val="clear"/>
          </w:tcPr>
          <w:p>
            <w:r>
              <w:rPr>
                <w:b/>
                <w:color w:val="C00000"/>
                <w:sz w:val="17"/>
              </w:rPr>
              <w:t>-1.8%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15,411</w:t>
            </w:r>
          </w:p>
        </w:tc>
        <w:tc>
          <w:tcPr>
            <w:tcW w:type="dxa" w:w="1440"/>
            <w:shd w:fill="FFDCE0" w:val="clear"/>
          </w:tcPr>
          <w:p>
            <w:r>
              <w:rPr>
                <w:b/>
                <w:sz w:val="17"/>
              </w:rPr>
              <w:t>16,249</w:t>
            </w:r>
          </w:p>
        </w:tc>
        <w:tc>
          <w:tcPr>
            <w:tcW w:type="dxa" w:w="1440"/>
            <w:shd w:fill="FFDCE0" w:val="clear"/>
          </w:tcPr>
          <w:p>
            <w:r>
              <w:rPr>
                <w:sz w:val="17"/>
              </w:rPr>
              <w:t>17,088</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15,288</w:t>
            </w:r>
          </w:p>
        </w:tc>
        <w:tc>
          <w:tcPr>
            <w:tcW w:type="dxa" w:w="1440"/>
            <w:shd w:fill="FFDCE0" w:val="clear"/>
          </w:tcPr>
          <w:p>
            <w:r>
              <w:rPr>
                <w:b/>
                <w:sz w:val="17"/>
              </w:rPr>
              <w:t>16,204</w:t>
            </w:r>
          </w:p>
        </w:tc>
        <w:tc>
          <w:tcPr>
            <w:tcW w:type="dxa" w:w="1440"/>
            <w:shd w:fill="FFDCE0" w:val="clear"/>
          </w:tcPr>
          <w:p>
            <w:r>
              <w:rPr>
                <w:sz w:val="17"/>
              </w:rPr>
              <w:t>17,119</w:t>
            </w:r>
          </w:p>
        </w:tc>
        <w:tc>
          <w:tcPr>
            <w:tcW w:type="dxa" w:w="1440"/>
            <w:shd w:fill="FFDCE0" w:val="clear"/>
          </w:tcPr>
          <w:p>
            <w:r>
              <w:rPr>
                <w:b/>
                <w:color w:val="C00000"/>
                <w:sz w:val="17"/>
              </w:rPr>
              <w:t>-2.4%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15,173</w:t>
            </w:r>
          </w:p>
        </w:tc>
        <w:tc>
          <w:tcPr>
            <w:tcW w:type="dxa" w:w="1440"/>
            <w:shd w:fill="FFDCE0" w:val="clear"/>
          </w:tcPr>
          <w:p>
            <w:r>
              <w:rPr>
                <w:b/>
                <w:sz w:val="17"/>
              </w:rPr>
              <w:t>16,160</w:t>
            </w:r>
          </w:p>
        </w:tc>
        <w:tc>
          <w:tcPr>
            <w:tcW w:type="dxa" w:w="1440"/>
            <w:shd w:fill="FFDCE0" w:val="clear"/>
          </w:tcPr>
          <w:p>
            <w:r>
              <w:rPr>
                <w:sz w:val="17"/>
              </w:rPr>
              <w:t>17,146</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15,065</w:t>
            </w:r>
          </w:p>
        </w:tc>
        <w:tc>
          <w:tcPr>
            <w:tcW w:type="dxa" w:w="1440"/>
            <w:shd w:fill="FFDCE0" w:val="clear"/>
          </w:tcPr>
          <w:p>
            <w:r>
              <w:rPr>
                <w:b/>
                <w:sz w:val="17"/>
              </w:rPr>
              <w:t>16,117</w:t>
            </w:r>
          </w:p>
        </w:tc>
        <w:tc>
          <w:tcPr>
            <w:tcW w:type="dxa" w:w="1440"/>
            <w:shd w:fill="FFDCE0" w:val="clear"/>
          </w:tcPr>
          <w:p>
            <w:r>
              <w:rPr>
                <w:sz w:val="17"/>
              </w:rPr>
              <w:t>17,169</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14,962</w:t>
            </w:r>
          </w:p>
        </w:tc>
        <w:tc>
          <w:tcPr>
            <w:tcW w:type="dxa" w:w="1440"/>
            <w:shd w:fill="FFDCE0" w:val="clear"/>
          </w:tcPr>
          <w:p>
            <w:r>
              <w:rPr>
                <w:b/>
                <w:sz w:val="17"/>
              </w:rPr>
              <w:t>16,075</w:t>
            </w:r>
          </w:p>
        </w:tc>
        <w:tc>
          <w:tcPr>
            <w:tcW w:type="dxa" w:w="1440"/>
            <w:shd w:fill="FFDCE0" w:val="clear"/>
          </w:tcPr>
          <w:p>
            <w:r>
              <w:rPr>
                <w:sz w:val="17"/>
              </w:rPr>
              <w:t>17,188</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14,864</w:t>
            </w:r>
          </w:p>
        </w:tc>
        <w:tc>
          <w:tcPr>
            <w:tcW w:type="dxa" w:w="1440"/>
            <w:shd w:fill="FFDCE0" w:val="clear"/>
          </w:tcPr>
          <w:p>
            <w:r>
              <w:rPr>
                <w:b/>
                <w:sz w:val="17"/>
              </w:rPr>
              <w:t>16,034</w:t>
            </w:r>
          </w:p>
        </w:tc>
        <w:tc>
          <w:tcPr>
            <w:tcW w:type="dxa" w:w="1440"/>
            <w:shd w:fill="FFDCE0" w:val="clear"/>
          </w:tcPr>
          <w:p>
            <w:r>
              <w:rPr>
                <w:sz w:val="17"/>
              </w:rPr>
              <w:t>17,204</w:t>
            </w:r>
          </w:p>
        </w:tc>
        <w:tc>
          <w:tcPr>
            <w:tcW w:type="dxa" w:w="1440"/>
            <w:shd w:fill="FFDCE0" w:val="clear"/>
          </w:tcPr>
          <w:p>
            <w:r>
              <w:rPr>
                <w:b/>
                <w:color w:val="C00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366,26 milliards FCFA positionne NTLC comme l'une des valeurs les plus significatives de la BRVM, reflétant la confiance des investisseurs dans ce leader des biens de consommation. Avec un BPA de 835 FCFA, chaque action génère un bénéfice substantiel, mais le PER de 19,9x se situe nettement au-dessus de la moyenne historique du marché (8-12x), indiquant que les investisseurs paient une prime significative pour la qualité et la stabilité de l'entreprise. Le P/B de 12,38x est particulièrement exigeant, le marché valorisant le titre à plus de douze fois sa valeur comptable, ce qui traduit des attentes de croissance élevées. Enfin, l'EV/EBITDA de 9,8x reste dans une zone raisonnable, suggérant que la valorisation globale de l'entreprise, dette incluse, demeure cohérente avec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 100 jours, l'action NTLC affiche une progression remarquable de +27,65%, passant d'un plus bas de 11 150 FCFA à un plus haut de 16 750 FCFA, avec une légère correction de -0,93% lors de la dernière séance. La moyenne de 13 889 FCFA est supérieure à la médiane de 12 995 FCFA, indiquant une distribution asymétrique vers les valeurs hautes, confirmée par un skewness positif de 0,319. L'écart-type de 1 799 FCFA avec un coefficient de variation de 13% révèle une dispersion modérée autour de la moyenne, tandis que le kurtosis de -1,507 (platykurtique) suggère une distribution aplatie avec peu de valeurs extrêmes, signe d'un cours relativement stable dans sa progression. La volatilité annualisée de 33,3% classe le titre dans la catégorie des valeurs à volatilité élevée, ce qui implique un risque substantiel mais aussi un potentiel de rendement important pour les investisseurs tolérants au risque.</w:t>
      </w:r>
    </w:p>
    <w:p>
      <w:pPr>
        <w:spacing w:after="120" w:line="276" w:lineRule="auto" w:before="240"/>
      </w:pPr>
      <w:r>
        <w:rPr>
          <w:b/>
          <w:color w:val="003366"/>
          <w:sz w:val="24"/>
        </w:rPr>
        <w:t>**PARTIE 2 : ANALYSE TECHNIQUE DÉTAILLÉE**</w:t>
      </w:r>
    </w:p>
    <w:p>
      <w:pPr>
        <w:spacing w:after="120" w:line="276" w:lineRule="auto"/>
      </w:pPr>
      <w:r>
        <w:t>**Moyennes Mobiles** : Le cours actuel de 16 595 FCFA se positionne nettement au-dessus de la MM20 (16 309 FCFA) et de la MM50 (15 438 FCFA), confirmant une tendance haussière solide à court et moyen terme. L'écart positif entre le cours et les moyennes mobiles valide la dynamique positive, justifiant la décision d'achat.</w:t>
      </w:r>
    </w:p>
    <w:p>
      <w:pPr>
        <w:spacing w:after="120" w:line="276" w:lineRule="auto"/>
      </w:pPr>
      <w:r>
        <w:t>**Bandes de Bollinger** : Le cours évolue à 16 595 FCFA, proche de la borne supérieure (16 908 FCFA) et nettement au-dessus de la borne inférieure (15 710 FCFA), indiquant une pression acheteuse soutenue. La largeur des bandes reflète une volatilité accrue, mais le positionnement du prix suggère une poursuite potentielle de la tendance, d'où la décision neutre.</w:t>
      </w:r>
    </w:p>
    <w:p>
      <w:pPr>
        <w:spacing w:after="120" w:line="276" w:lineRule="auto"/>
      </w:pPr>
      <w:r>
        <w:t>**MACD** : La valeur du MACD (344,623) est inférieure à son signal (383,202), indiquant un momentum baissier à court terme malgré la tendance haussière globale. Cette divergence suggère un possible ralentissement ou une consolidation, justifiant la décision de vente.</w:t>
      </w:r>
    </w:p>
    <w:p>
      <w:pPr>
        <w:spacing w:after="120" w:line="276" w:lineRule="auto"/>
      </w:pPr>
      <w:r>
        <w:t>**RSI** : Avec une valeur de 82,716, le RSI se trouve en zone de surachat extrême (&gt;70), signalant que le titre est potentiellement surévalué à court terme. Cette situation appelle à la prudence, car elle précède souvent une correction technique, d'où la décision de vente.</w:t>
      </w:r>
    </w:p>
    <w:p>
      <w:pPr>
        <w:spacing w:after="120" w:line="276" w:lineRule="auto"/>
      </w:pPr>
      <w:r>
        <w:t>**Stochastique** : Le %K (79,739) est inférieur au %D (93,246), indiquant un croisement baissier potentiel en zone de surachat. Cette configuration suggère un essoufflement de la dynamique haussière, justifiant la décision neutre.</w:t>
      </w:r>
    </w:p>
    <w:p>
      <w:pPr>
        <w:spacing w:after="120" w:line="276" w:lineRule="auto"/>
      </w:pPr>
      <w:r>
        <w:t>**Conclusion technique** : La convergence des indicateurs de momentum (RSI, MACD, Stochastique) vers des signaux de surachat contraste avec la tendance haussière confirmée par les moyennes mobiles. Cette divergence suggère une probable consolidation à court terme avant une éventuelle poursuite de la tendance, invitant à la prudence pour les nouveaux achats à ces niveaux.</w:t>
      </w:r>
    </w:p>
    <w:p>
      <w:pPr>
        <w:spacing w:after="120" w:line="276" w:lineRule="auto" w:before="240"/>
      </w:pPr>
      <w:r>
        <w:rPr>
          <w:b/>
          <w:color w:val="003366"/>
          <w:sz w:val="24"/>
        </w:rPr>
        <w:t>**PARTIE 3 : ANALYSE FONDAMENTALE (SECTION CRITIQUE)**</w:t>
      </w:r>
    </w:p>
    <w:p>
      <w:pPr>
        <w:spacing w:after="120" w:line="276" w:lineRule="auto"/>
      </w:pPr>
      <w:r>
        <w:t>En 2025, Nestlé Côte d'Ivoire affiche un chiffre d'affaires de 233,26 milliards FCFA, en croissance de +5,97% par rapport à 2024, avec un résultat net de 18,43 milliards FCFA, en hausse modérée de +1,53%. La marge nette s'établit à 7,9%, tandis que le ROE atteint un niveau exceptionnel de 62,28%, démontrant une utilisation très efficace des capitaux propres, et le ROA de 9,7% confirme une bonne rentabilité des actifs. La structure financière révèle un endettement significatif avec un ratio d'endettement de 135,85%, mais une solvabilité générale de 118,45% reste positive. Le BFR de 22,6 milliards FCFA et un délai clients de 74 jours constituent des points de vigilance pour la trésorerie. Les rapports trimestriels 2025 montrent une année contrastée : le T1 enregistre une baisse du CA de -11% mais une hausse du résultat net de +19%, tandis que le S1 confirme une stagnation du CA avec une baisse du résultat net de -23,5%, et le T3 cumulé affiche une croissance de +1,36% avec un résultat net en baisse de -21,3%. Cependant, le rapport T1 2026 (publié en mai 2026) révèle une accélération spectaculaire avec un CA en hausse de +31% à 70,8 milliards FCFA et un résultat net en progression de +37% à 7,5 milliards FCFA, suggérant une nette amélioration de la dynamique pour l'exercice 2026. La politique de dividende 2025, réduite de moitié à 9,27 milliards FCFA (payout de 50,3%), témoigne d'une stratégie de réinvestissement pour financer la croissance future.</w:t>
      </w:r>
    </w:p>
    <w:p>
      <w:pPr>
        <w:spacing w:after="120" w:line="276" w:lineRule="auto" w:before="240"/>
      </w:pPr>
      <w:r>
        <w:rPr>
          <w:b/>
          <w:color w:val="003366"/>
          <w:sz w:val="24"/>
        </w:rPr>
        <w:t>**PARTIE 4 : CONCLUSION D'INVESTISSEMENT**</w:t>
      </w:r>
    </w:p>
    <w:p>
      <w:pPr>
        <w:spacing w:after="120" w:line="276" w:lineRule="auto"/>
      </w:pPr>
      <w:r>
        <w:t>La valorisation actuelle de NTLC, avec un PER de 19,9x et un P/B de 12,38x, apparaît exigeante par rapport aux standards BRVM, intégrant des attentes de croissance élevées que les performances récentes du T1 2026 semblent justifier. Le comportement du cours sur 100 jours (+27,65%) démontre une dynamique haussière forte, mais les statistiques révèlent une volatilité élevée (33,3%) et les indicateurs techniques signalent un surachat imminent (RSI à 82,7, MACD baissier), suggérant une consolidation probable à court terme. Les fondamentaux restent solides avec un ROE exceptionnel de 62,28%, une croissance du CA de +5,97% en 2025 et une accélération spectaculaire au T1 2026 (+31% CA, +37% résultat net), confirmant la robustesse du modèle économique. Les prédictions IA pour les 10 prochains jours (16 423 à 16 249 FCFA) indiquent une légère correction, cohérente avec les signaux techniques de surachat. En synthèse, la convergence entre les fondamentaux solides et la dynamique de croissance justifie une recommandation **ACHAT** pour les investisseurs de moyen terme, avec un niveau de confiance **Moyen** et un risque global **Élevé** en raison de la volatilité et de la valorisation exigeante. L'horizon d'investissement optimal serait de 3 à 12 mois, en attendant une éventuelle correction technique pour renforcer les positions.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199.92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5,412 titres</w:t>
            </w:r>
          </w:p>
        </w:tc>
        <w:tc>
          <w:tcPr>
            <w:tcW w:type="dxa" w:w="2268"/>
            <w:shd w:fill="FFF2CC" w:val="clear"/>
          </w:tcPr>
          <w:p>
            <w:r>
              <w:rPr>
                <w:b/>
                <w:color w:val="503200"/>
                <w:sz w:val="16"/>
              </w:rPr>
              <w:t xml:space="preserve">Cours actuel : </w:t>
            </w:r>
            <w:r>
              <w:rPr>
                <w:color w:val="000000"/>
                <w:sz w:val="17"/>
              </w:rPr>
              <w:t>2,940 FCFA</w:t>
            </w:r>
          </w:p>
          <w:p>
            <w:r>
              <w:rPr>
                <w:b/>
                <w:color w:val="503200"/>
                <w:sz w:val="16"/>
              </w:rPr>
              <w:t xml:space="preserve">Var. 100 jours : </w:t>
            </w:r>
            <w:r>
              <w:rPr>
                <w:b/>
                <w:color w:val="B40000"/>
                <w:sz w:val="17"/>
              </w:rPr>
              <w:t>-2.65%</w:t>
            </w:r>
          </w:p>
          <w:p>
            <w:r>
              <w:rPr>
                <w:b/>
                <w:color w:val="503200"/>
                <w:sz w:val="16"/>
              </w:rPr>
              <w:t xml:space="preserve">Plus haut 100j : </w:t>
            </w:r>
            <w:r>
              <w:rPr>
                <w:color w:val="000000"/>
                <w:sz w:val="17"/>
              </w:rPr>
              <w:t>3,095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3.53% (Faible) — μ=2,833 FCFA, σ=100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β=0.1778 (Défensif) — Cov=0.000006, Var(idx)=0.000036, ρ=0.052,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σ_j=2.08%/j (Stable) — Vol. annualisée≈33.0%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2,860</w:t>
            </w:r>
          </w:p>
        </w:tc>
        <w:tc>
          <w:tcPr>
            <w:tcW w:type="dxa" w:w="1440"/>
            <w:shd w:fill="FAFAFA" w:val="clear"/>
          </w:tcPr>
          <w:p>
            <w:r>
              <w:rPr>
                <w:b/>
                <w:sz w:val="17"/>
              </w:rPr>
              <w:t>2,945</w:t>
            </w:r>
          </w:p>
        </w:tc>
        <w:tc>
          <w:tcPr>
            <w:tcW w:type="dxa" w:w="1440"/>
            <w:shd w:fill="FAFAFA" w:val="clear"/>
          </w:tcPr>
          <w:p>
            <w:r>
              <w:rPr>
                <w:sz w:val="17"/>
              </w:rPr>
              <w:t>3,030</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2,817</w:t>
            </w:r>
          </w:p>
        </w:tc>
        <w:tc>
          <w:tcPr>
            <w:tcW w:type="dxa" w:w="1440"/>
            <w:shd w:fill="FAFAFA" w:val="clear"/>
          </w:tcPr>
          <w:p>
            <w:r>
              <w:rPr>
                <w:b/>
                <w:sz w:val="17"/>
              </w:rPr>
              <w:t>2,937</w:t>
            </w:r>
          </w:p>
        </w:tc>
        <w:tc>
          <w:tcPr>
            <w:tcW w:type="dxa" w:w="1440"/>
            <w:shd w:fill="FAFAFA" w:val="clear"/>
          </w:tcPr>
          <w:p>
            <w:r>
              <w:rPr>
                <w:sz w:val="17"/>
              </w:rPr>
              <w:t>3,058</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2,784</w:t>
            </w:r>
          </w:p>
        </w:tc>
        <w:tc>
          <w:tcPr>
            <w:tcW w:type="dxa" w:w="1440"/>
            <w:shd w:fill="FAFAFA" w:val="clear"/>
          </w:tcPr>
          <w:p>
            <w:r>
              <w:rPr>
                <w:b/>
                <w:sz w:val="17"/>
              </w:rPr>
              <w:t>2,931</w:t>
            </w:r>
          </w:p>
        </w:tc>
        <w:tc>
          <w:tcPr>
            <w:tcW w:type="dxa" w:w="1440"/>
            <w:shd w:fill="FAFAFA" w:val="clear"/>
          </w:tcPr>
          <w:p>
            <w:r>
              <w:rPr>
                <w:sz w:val="17"/>
              </w:rPr>
              <w:t>3,078</w:t>
            </w:r>
          </w:p>
        </w:tc>
        <w:tc>
          <w:tcPr>
            <w:tcW w:type="dxa" w:w="1440"/>
            <w:shd w:fill="FAFAFA" w:val="clear"/>
          </w:tcPr>
          <w:p>
            <w:r>
              <w:rPr>
                <w:b/>
                <w:color w:val="C00000"/>
                <w:sz w:val="17"/>
              </w:rPr>
              <w:t>-0.3%</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2,755</w:t>
            </w:r>
          </w:p>
        </w:tc>
        <w:tc>
          <w:tcPr>
            <w:tcW w:type="dxa" w:w="1440"/>
            <w:shd w:fill="FAFAFA" w:val="clear"/>
          </w:tcPr>
          <w:p>
            <w:r>
              <w:rPr>
                <w:b/>
                <w:sz w:val="17"/>
              </w:rPr>
              <w:t>2,924</w:t>
            </w:r>
          </w:p>
        </w:tc>
        <w:tc>
          <w:tcPr>
            <w:tcW w:type="dxa" w:w="1440"/>
            <w:shd w:fill="FAFAFA" w:val="clear"/>
          </w:tcPr>
          <w:p>
            <w:r>
              <w:rPr>
                <w:sz w:val="17"/>
              </w:rPr>
              <w:t>3,094</w:t>
            </w:r>
          </w:p>
        </w:tc>
        <w:tc>
          <w:tcPr>
            <w:tcW w:type="dxa" w:w="1440"/>
            <w:shd w:fill="FAFAFA" w:val="clear"/>
          </w:tcPr>
          <w:p>
            <w:r>
              <w:rPr>
                <w:b/>
                <w:color w:val="C00000"/>
                <w:sz w:val="17"/>
              </w:rPr>
              <w:t>-0.5%</w:t>
            </w:r>
          </w:p>
        </w:tc>
      </w:tr>
      <w:tr>
        <w:tc>
          <w:tcPr>
            <w:tcW w:type="dxa" w:w="1440"/>
            <w:shd w:fill="FAFAFA" w:val="clear"/>
          </w:tcPr>
          <w:p>
            <w:r>
              <w:rPr>
                <w:sz w:val="17"/>
              </w:rPr>
              <w:t>J+5  Moyenne</w:t>
            </w:r>
          </w:p>
        </w:tc>
        <w:tc>
          <w:tcPr>
            <w:tcW w:type="dxa" w:w="1440"/>
            <w:shd w:fill="FAFAFA" w:val="clear"/>
          </w:tcPr>
          <w:p>
            <w:r>
              <w:rPr>
                <w:sz w:val="17"/>
              </w:rPr>
              <w:t>2026-08-14</w:t>
            </w:r>
          </w:p>
        </w:tc>
        <w:tc>
          <w:tcPr>
            <w:tcW w:type="dxa" w:w="1440"/>
            <w:shd w:fill="FAFAFA" w:val="clear"/>
          </w:tcPr>
          <w:p>
            <w:r>
              <w:rPr>
                <w:sz w:val="17"/>
              </w:rPr>
              <w:t>2,729</w:t>
            </w:r>
          </w:p>
        </w:tc>
        <w:tc>
          <w:tcPr>
            <w:tcW w:type="dxa" w:w="1440"/>
            <w:shd w:fill="FAFAFA" w:val="clear"/>
          </w:tcPr>
          <w:p>
            <w:r>
              <w:rPr>
                <w:b/>
                <w:sz w:val="17"/>
              </w:rPr>
              <w:t>2,918</w:t>
            </w:r>
          </w:p>
        </w:tc>
        <w:tc>
          <w:tcPr>
            <w:tcW w:type="dxa" w:w="1440"/>
            <w:shd w:fill="FAFAFA" w:val="clear"/>
          </w:tcPr>
          <w:p>
            <w:r>
              <w:rPr>
                <w:sz w:val="17"/>
              </w:rPr>
              <w:t>3,107</w:t>
            </w:r>
          </w:p>
        </w:tc>
        <w:tc>
          <w:tcPr>
            <w:tcW w:type="dxa" w:w="1440"/>
            <w:shd w:fill="FAFAFA" w:val="clear"/>
          </w:tcPr>
          <w:p>
            <w:r>
              <w:rPr>
                <w:b/>
                <w:color w:val="C00000"/>
                <w:sz w:val="17"/>
              </w:rPr>
              <w:t>-0.8%</w:t>
            </w:r>
          </w:p>
        </w:tc>
      </w:tr>
      <w:tr>
        <w:tc>
          <w:tcPr>
            <w:tcW w:type="dxa" w:w="1440"/>
            <w:shd w:fill="FAFAFA" w:val="clear"/>
          </w:tcPr>
          <w:p>
            <w:r>
              <w:rPr>
                <w:sz w:val="17"/>
              </w:rPr>
              <w:t>J+6  Moyenne</w:t>
            </w:r>
          </w:p>
        </w:tc>
        <w:tc>
          <w:tcPr>
            <w:tcW w:type="dxa" w:w="1440"/>
            <w:shd w:fill="FAFAFA" w:val="clear"/>
          </w:tcPr>
          <w:p>
            <w:r>
              <w:rPr>
                <w:sz w:val="17"/>
              </w:rPr>
              <w:t>2026-08-17</w:t>
            </w:r>
          </w:p>
        </w:tc>
        <w:tc>
          <w:tcPr>
            <w:tcW w:type="dxa" w:w="1440"/>
            <w:shd w:fill="FAFAFA" w:val="clear"/>
          </w:tcPr>
          <w:p>
            <w:r>
              <w:rPr>
                <w:sz w:val="17"/>
              </w:rPr>
              <w:t>2,705</w:t>
            </w:r>
          </w:p>
        </w:tc>
        <w:tc>
          <w:tcPr>
            <w:tcW w:type="dxa" w:w="1440"/>
            <w:shd w:fill="FAFAFA" w:val="clear"/>
          </w:tcPr>
          <w:p>
            <w:r>
              <w:rPr>
                <w:b/>
                <w:sz w:val="17"/>
              </w:rPr>
              <w:t>2,911</w:t>
            </w:r>
          </w:p>
        </w:tc>
        <w:tc>
          <w:tcPr>
            <w:tcW w:type="dxa" w:w="1440"/>
            <w:shd w:fill="FAFAFA" w:val="clear"/>
          </w:tcPr>
          <w:p>
            <w:r>
              <w:rPr>
                <w:sz w:val="17"/>
              </w:rPr>
              <w:t>3,118</w:t>
            </w:r>
          </w:p>
        </w:tc>
        <w:tc>
          <w:tcPr>
            <w:tcW w:type="dxa" w:w="1440"/>
            <w:shd w:fill="FAFAFA" w:val="clear"/>
          </w:tcPr>
          <w:p>
            <w:r>
              <w:rPr>
                <w:b/>
                <w:color w:val="C00000"/>
                <w:sz w:val="17"/>
              </w:rPr>
              <w:t>-1.0%</w:t>
            </w:r>
          </w:p>
        </w:tc>
      </w:tr>
      <w:tr>
        <w:tc>
          <w:tcPr>
            <w:tcW w:type="dxa" w:w="1440"/>
            <w:shd w:fill="FAFAFA" w:val="clear"/>
          </w:tcPr>
          <w:p>
            <w:r>
              <w:rPr>
                <w:sz w:val="17"/>
              </w:rPr>
              <w:t>J+7  Moyenne</w:t>
            </w:r>
          </w:p>
        </w:tc>
        <w:tc>
          <w:tcPr>
            <w:tcW w:type="dxa" w:w="1440"/>
            <w:shd w:fill="FAFAFA" w:val="clear"/>
          </w:tcPr>
          <w:p>
            <w:r>
              <w:rPr>
                <w:sz w:val="17"/>
              </w:rPr>
              <w:t>2026-08-18</w:t>
            </w:r>
          </w:p>
        </w:tc>
        <w:tc>
          <w:tcPr>
            <w:tcW w:type="dxa" w:w="1440"/>
            <w:shd w:fill="FAFAFA" w:val="clear"/>
          </w:tcPr>
          <w:p>
            <w:r>
              <w:rPr>
                <w:sz w:val="17"/>
              </w:rPr>
              <w:t>2,683</w:t>
            </w:r>
          </w:p>
        </w:tc>
        <w:tc>
          <w:tcPr>
            <w:tcW w:type="dxa" w:w="1440"/>
            <w:shd w:fill="FAFAFA" w:val="clear"/>
          </w:tcPr>
          <w:p>
            <w:r>
              <w:rPr>
                <w:b/>
                <w:sz w:val="17"/>
              </w:rPr>
              <w:t>2,905</w:t>
            </w:r>
          </w:p>
        </w:tc>
        <w:tc>
          <w:tcPr>
            <w:tcW w:type="dxa" w:w="1440"/>
            <w:shd w:fill="FAFAFA" w:val="clear"/>
          </w:tcPr>
          <w:p>
            <w:r>
              <w:rPr>
                <w:sz w:val="17"/>
              </w:rPr>
              <w:t>3,128</w:t>
            </w:r>
          </w:p>
        </w:tc>
        <w:tc>
          <w:tcPr>
            <w:tcW w:type="dxa" w:w="1440"/>
            <w:shd w:fill="FAFAFA" w:val="clear"/>
          </w:tcPr>
          <w:p>
            <w:r>
              <w:rPr>
                <w:b/>
                <w:color w:val="C00000"/>
                <w:sz w:val="17"/>
              </w:rPr>
              <w:t>-1.2%</w:t>
            </w:r>
          </w:p>
        </w:tc>
      </w:tr>
      <w:tr>
        <w:tc>
          <w:tcPr>
            <w:tcW w:type="dxa" w:w="1440"/>
            <w:shd w:fill="FAFAFA" w:val="clear"/>
          </w:tcPr>
          <w:p>
            <w:r>
              <w:rPr>
                <w:sz w:val="17"/>
              </w:rPr>
              <w:t>J+8  Moyenne</w:t>
            </w:r>
          </w:p>
        </w:tc>
        <w:tc>
          <w:tcPr>
            <w:tcW w:type="dxa" w:w="1440"/>
            <w:shd w:fill="FAFAFA" w:val="clear"/>
          </w:tcPr>
          <w:p>
            <w:r>
              <w:rPr>
                <w:sz w:val="17"/>
              </w:rPr>
              <w:t>2026-08-19</w:t>
            </w:r>
          </w:p>
        </w:tc>
        <w:tc>
          <w:tcPr>
            <w:tcW w:type="dxa" w:w="1440"/>
            <w:shd w:fill="FAFAFA" w:val="clear"/>
          </w:tcPr>
          <w:p>
            <w:r>
              <w:rPr>
                <w:sz w:val="17"/>
              </w:rPr>
              <w:t>2,662</w:t>
            </w:r>
          </w:p>
        </w:tc>
        <w:tc>
          <w:tcPr>
            <w:tcW w:type="dxa" w:w="1440"/>
            <w:shd w:fill="FAFAFA" w:val="clear"/>
          </w:tcPr>
          <w:p>
            <w:r>
              <w:rPr>
                <w:b/>
                <w:sz w:val="17"/>
              </w:rPr>
              <w:t>2,899</w:t>
            </w:r>
          </w:p>
        </w:tc>
        <w:tc>
          <w:tcPr>
            <w:tcW w:type="dxa" w:w="1440"/>
            <w:shd w:fill="FAFAFA" w:val="clear"/>
          </w:tcPr>
          <w:p>
            <w:r>
              <w:rPr>
                <w:sz w:val="17"/>
              </w:rPr>
              <w:t>3,136</w:t>
            </w:r>
          </w:p>
        </w:tc>
        <w:tc>
          <w:tcPr>
            <w:tcW w:type="dxa" w:w="1440"/>
            <w:shd w:fill="FAFAFA" w:val="clear"/>
          </w:tcPr>
          <w:p>
            <w:r>
              <w:rPr>
                <w:b/>
                <w:color w:val="C00000"/>
                <w:sz w:val="17"/>
              </w:rPr>
              <w:t>-1.4%</w:t>
            </w:r>
          </w:p>
        </w:tc>
      </w:tr>
      <w:tr>
        <w:tc>
          <w:tcPr>
            <w:tcW w:type="dxa" w:w="1440"/>
            <w:shd w:fill="FAFAFA" w:val="clear"/>
          </w:tcPr>
          <w:p>
            <w:r>
              <w:rPr>
                <w:sz w:val="17"/>
              </w:rPr>
              <w:t>J+9  Moyenne</w:t>
            </w:r>
          </w:p>
        </w:tc>
        <w:tc>
          <w:tcPr>
            <w:tcW w:type="dxa" w:w="1440"/>
            <w:shd w:fill="FAFAFA" w:val="clear"/>
          </w:tcPr>
          <w:p>
            <w:r>
              <w:rPr>
                <w:sz w:val="17"/>
              </w:rPr>
              <w:t>2026-08-20</w:t>
            </w:r>
          </w:p>
        </w:tc>
        <w:tc>
          <w:tcPr>
            <w:tcW w:type="dxa" w:w="1440"/>
            <w:shd w:fill="FAFAFA" w:val="clear"/>
          </w:tcPr>
          <w:p>
            <w:r>
              <w:rPr>
                <w:sz w:val="17"/>
              </w:rPr>
              <w:t>2,642</w:t>
            </w:r>
          </w:p>
        </w:tc>
        <w:tc>
          <w:tcPr>
            <w:tcW w:type="dxa" w:w="1440"/>
            <w:shd w:fill="FAFAFA" w:val="clear"/>
          </w:tcPr>
          <w:p>
            <w:r>
              <w:rPr>
                <w:b/>
                <w:sz w:val="17"/>
              </w:rPr>
              <w:t>2,893</w:t>
            </w:r>
          </w:p>
        </w:tc>
        <w:tc>
          <w:tcPr>
            <w:tcW w:type="dxa" w:w="1440"/>
            <w:shd w:fill="FAFAFA" w:val="clear"/>
          </w:tcPr>
          <w:p>
            <w:r>
              <w:rPr>
                <w:sz w:val="17"/>
              </w:rPr>
              <w:t>3,144</w:t>
            </w:r>
          </w:p>
        </w:tc>
        <w:tc>
          <w:tcPr>
            <w:tcW w:type="dxa" w:w="1440"/>
            <w:shd w:fill="FAFAFA" w:val="clear"/>
          </w:tcPr>
          <w:p>
            <w:r>
              <w:rPr>
                <w:b/>
                <w:color w:val="C00000"/>
                <w:sz w:val="17"/>
              </w:rPr>
              <w:t>-1.6%</w:t>
            </w:r>
          </w:p>
        </w:tc>
      </w:tr>
      <w:tr>
        <w:tc>
          <w:tcPr>
            <w:tcW w:type="dxa" w:w="1440"/>
            <w:shd w:fill="FAFAFA" w:val="clear"/>
          </w:tcPr>
          <w:p>
            <w:r>
              <w:rPr>
                <w:sz w:val="17"/>
              </w:rPr>
              <w:t>J+10  Moyenne</w:t>
            </w:r>
          </w:p>
        </w:tc>
        <w:tc>
          <w:tcPr>
            <w:tcW w:type="dxa" w:w="1440"/>
            <w:shd w:fill="FAFAFA" w:val="clear"/>
          </w:tcPr>
          <w:p>
            <w:r>
              <w:rPr>
                <w:sz w:val="17"/>
              </w:rPr>
              <w:t>2026-08-21</w:t>
            </w:r>
          </w:p>
        </w:tc>
        <w:tc>
          <w:tcPr>
            <w:tcW w:type="dxa" w:w="1440"/>
            <w:shd w:fill="FAFAFA" w:val="clear"/>
          </w:tcPr>
          <w:p>
            <w:r>
              <w:rPr>
                <w:sz w:val="17"/>
              </w:rPr>
              <w:t>2,622</w:t>
            </w:r>
          </w:p>
        </w:tc>
        <w:tc>
          <w:tcPr>
            <w:tcW w:type="dxa" w:w="1440"/>
            <w:shd w:fill="FAFAFA" w:val="clear"/>
          </w:tcPr>
          <w:p>
            <w:r>
              <w:rPr>
                <w:b/>
                <w:sz w:val="17"/>
              </w:rPr>
              <w:t>2,887</w:t>
            </w:r>
          </w:p>
        </w:tc>
        <w:tc>
          <w:tcPr>
            <w:tcW w:type="dxa" w:w="1440"/>
            <w:shd w:fill="FAFAFA" w:val="clear"/>
          </w:tcPr>
          <w:p>
            <w:r>
              <w:rPr>
                <w:sz w:val="17"/>
              </w:rPr>
              <w:t>3,151</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w:t>
        <w:br/>
        <w:t>**Date : 10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l'ONTBF s'établit à 199,92 milliards FCFA, un niveau significatif qui la positionne parmi les valeurs moyennes à grandes capitalisations de la BRVM. Avec un BPA de 234 FCFA, le titre se négocie à un PER de 12,6x, légèrement au-dessus de la moyenne historique du marché (8-12x), ce qui indique que les investisseurs acceptent de payer une prime modérée pour les bénéfices de l'entreprise. Le P/B de 3,47x confirme cette prime, le marché valorisant l'actif net comptable près de 3,5 fois sa valeur, ce qui reflète une anticipation de croissance future. Enfin, l'EV/EBITDA de 5,2x reste dans une zone raisonnable (5-10x), suggérant que la valeur totale de l'entreprise (dette incluse) reste cohérente avec sa capacité opérationnelle à générer des flux. Dans l'ensemble, la valorisation est correcte sans être excessive, intégrant les risques opérationnels du secteur.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l'ONTBF a enregistré une variation totale de -2,65%, avec une baisse plus marquée de -1,51% lors de la dernière séance, reflétant une pression vendeuse récente. Le titre a évolué dans une fourchette de 2 610 FCFA (plus bas) à 3 095 FCFA (plus haut), montrant une amplitude de trading de près de 485 FCFA. La moyenne du cours sur la période est de 2 833 FCFA, très proche de la médiane (2 805 FCFA) et du mode (2 800 FCFA), ce qui indique une distribution relativement symétrique des prix autour d'un niveau central stable. L'écart-type de 100 FCFA, avec un coefficient de variation de seulement 3,5%, témoigne d'une dispersion très faible et d'un cours globalement stable. Le kurtosis de -0,432 (mésokurtique) et le skewness de 0,396 confirment l'absence de pics extrêmes et une asymétrie légèrement positive. La volatilité annualisée de 33,0% classe le titre dans la catégorie des valeurs à volatilité élevée (&gt;30%), un niveau à surveiller pour les investisseurs prudents.</w:t>
      </w:r>
    </w:p>
    <w:p>
      <w:pPr>
        <w:spacing w:after="120" w:line="276" w:lineRule="auto"/>
      </w:pPr>
      <w:r>
        <w:t>---</w:t>
      </w:r>
    </w:p>
    <w:p>
      <w:pPr>
        <w:spacing w:after="120" w:line="276" w:lineRule="auto"/>
      </w:pPr>
      <w:r>
        <w:t>### PARTIE 2 : ANALYSE TECHNIQUE DÉTAILLÉE</w:t>
      </w:r>
    </w:p>
    <w:p>
      <w:pPr>
        <w:spacing w:after="120" w:line="276" w:lineRule="auto"/>
      </w:pPr>
      <w:r>
        <w:t>**Moyennes Mobiles** : La MM20 (2 807 FCFA) et la MM50 (2 829 FCFA) sont toutes deux inférieures au cours actuel de 2 940 FCFA, ce qui suggère une dynamique haussière à court terme. Cependant, la décision globale est "Vente", probablement en raison d'un croisement baissier récent ou d'une tendance de fond encore incertaine. La position du prix au-dessus de ces moyennes indique un potentiel de soutien, mais la prudence reste de mise.</w:t>
      </w:r>
    </w:p>
    <w:p>
      <w:pPr>
        <w:spacing w:after="120" w:line="276" w:lineRule="auto"/>
      </w:pPr>
      <w:r>
        <w:t>**Bandes de Bollinger** : Le cours se situe à 2 940 FCFA, entre la borne supérieure (3 023 FCFA) et la borne inférieure (2 591 FCFA), proche de la partie haute de la bande. La décision "Neutre" reflète une volatilité modérée, sans signal de surachat ou de survente extrême. Le titre évolue dans un canal relativement étroit, ce qui pourrait précéder un mouvement directionnel.</w:t>
      </w:r>
    </w:p>
    <w:p>
      <w:pPr>
        <w:spacing w:after="120" w:line="276" w:lineRule="auto"/>
      </w:pPr>
      <w:r>
        <w:t>**MACD** : Avec une valeur de 44,935 et un signal à 20,54, le MACD est nettement positif et au-dessus de sa ligne de signal, indiquant un momentum haussier clair. La décision "Achat" est cohérente avec cette configuration, suggérant que la dynamique positive pourrait se poursuivre à court terme.</w:t>
      </w:r>
    </w:p>
    <w:p>
      <w:pPr>
        <w:spacing w:after="120" w:line="276" w:lineRule="auto"/>
      </w:pPr>
      <w:r>
        <w:t>**RSI** : Le RSI à 73,043 est en zone de surachat (au-dessus de 70), ce qui signale une possible correction à venir. La décision "Vente" est justifiée par cette lecture, car le marché pourrait être temporairement épuisé après une hausse récente.</w:t>
      </w:r>
    </w:p>
    <w:p>
      <w:pPr>
        <w:spacing w:after="120" w:line="276" w:lineRule="auto"/>
      </w:pPr>
      <w:r>
        <w:t>**Stochastique** : Le %K (82,813) et le %D (87,5) sont tous deux en zone de surachat, avec un %K inférieur au %D, indiquant un croisement baissier potentiel. La décision "Vente" reflète ce signal de retournement imminent.</w:t>
      </w:r>
    </w:p>
    <w:p>
      <w:pPr>
        <w:spacing w:after="120" w:line="276" w:lineRule="auto"/>
      </w:pPr>
      <w:r>
        <w:t>**Conclusion technique** : Les indicateurs sont partagés : le MACD est haussier, mais le RSI et le Stochastique signalent un surachat, tandis que les moyennes mobiles et les bandes de Bollinger restent neutres. Cette divergence suggère une consolidation à court terme après une phase de hausse, avec un risque de correction modérée. La tendance de fond reste positive, mais les signaux à court terme appellent à la prudence.</w:t>
      </w:r>
    </w:p>
    <w:p>
      <w:pPr>
        <w:spacing w:after="120" w:line="276" w:lineRule="auto"/>
      </w:pPr>
      <w:r>
        <w:t>---</w:t>
      </w:r>
    </w:p>
    <w:p>
      <w:pPr>
        <w:spacing w:after="120" w:line="276" w:lineRule="auto"/>
      </w:pPr>
      <w:r>
        <w:t>### PARTIE 3 : ANALYSE FONDAMENTALE (SECTION CRITIQUE)</w:t>
      </w:r>
    </w:p>
    <w:p>
      <w:pPr>
        <w:spacing w:after="120" w:line="276" w:lineRule="auto"/>
      </w:pPr>
      <w:r>
        <w:t>En 2025, l'ONTBF a réalisé un chiffre d'affaires de 146,177 milliards FCFA, en hausse de 3,1% par rapport à 2024 (141,84 milliards), mais le résultat net a chuté de 26% à 15,887 milliards FCFA contre 21,47 milliards en 2024. Le ROE s'établit à 27,61%, un niveau excellent (&gt;15%), tandis que le ROA est de 4,89%, reflétant une utilisation efficace des actifs. Le coefficient d'exploitation de 67,07% est élevé pour une banque (référence &lt;60%), indiquant une pression sur les charges opérationnelles, notamment liées à l'énergie et à la sécurité. Le coût du risque de 3,57% est significatif, soulignant un risque de crédit accru. Les capitaux propres s'élèvent à 57,542 milliards FCFA, avec un ratio d'endettement de 187%, ce qui est élevé mais gérable. Les rapports trimestriels 2025 (T1, S1, 9 mois) montrent une tendance à la baisse du résultat net (-29% au T1, -17,8% au S1, -17,2% sur 9 mois), mais le T1 2026 (rapport du 31 mars 2026) indique une stabilisation avec un CA de 37,1 milliards (+2,7%) et une marge EBITDA maintenue à 41,3%. Sur la base de ces données, on estime que l'exercice 2026 pourrait voir un résultat net stable autour de 15-16 milliards FCFA, avec une amélioration progressive des marges si les coûts sont maîtrisés. La recommandation fondamentale est "CONSERVER", car la société reste rentable et solide, mais les défis opérationnels et la baisse de rentabilité justifient une approche prudente.</w:t>
      </w:r>
    </w:p>
    <w:p>
      <w:pPr>
        <w:spacing w:after="120" w:line="276" w:lineRule="auto"/>
      </w:pPr>
      <w:r>
        <w:t>---</w:t>
      </w:r>
    </w:p>
    <w:p>
      <w:pPr>
        <w:spacing w:after="120" w:line="276" w:lineRule="auto"/>
      </w:pPr>
      <w:r>
        <w:t>### PARTIE 4 : CONCLUSION D'INVESTISSEMENT</w:t>
      </w:r>
    </w:p>
    <w:p>
      <w:pPr>
        <w:spacing w:after="120" w:line="276" w:lineRule="auto"/>
      </w:pPr>
      <w:r>
        <w:t>La valorisation de l'ONTBF (PER 12,6x, P/B 3,47x, EV/EBITDA 5,2x) est modérée, sans sous-évaluation ni surévaluation flagrante, intégrant les risques du secteur. Le comportement du cours sur 100 jours montre une stabilité relative avec une volatilité élevée (33%), mais une distribution symétrique et sans pics extrêmes, ce qui est rassurant. Les signaux techniques sont mitigés : le MACD est haussier, mais le RSI et le Stochastique indiquent un surachat, suggérant une possible correction à court terme. Les fondamentaux sont solides (ROE de 27,6%, croissance du CA), mais la baisse du résultat net et le coefficient d'exploitation élevé pèsent sur la performance. Les prédictions IA (J+1 à J+10) montrent une légère tendance baissière (de 2 945 à 2 918 FCFA), confirmant les signaux techniques de surachat. En synthèse, la convergence entre la valorisation correcte, les fondamentaux solides mais en déclin, et les signaux techniques mitigés conduit à une recommandation **CONSERVER**. Le niveau de confiance est **Moyen**, le risque global est **Élevé** (volatilité, contexte sécuritaire), et l'horizon d'investissement optimal est le **moyen terme (3-12 mois)**, en attendant une amélioration visible de la rentabilité opérationnelle.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financiers, la soci\u00e9t\u00e9 maintient une marge EBITDA solide et poursuit sa croissance client. La diversification vers l'Internet et Mobile Money offre des perspectives de compensation face aux d\u00e9fis s\u00e9curitaires."}</w:t>
      </w:r>
    </w:p>
    <w:p>
      <w:pPr>
        <w:spacing w:before="40"/>
        <w:ind w:left="400"/>
      </w:pPr>
      <w:r>
        <w:rPr>
          <w:sz w:val="18"/>
        </w:rPr>
        <w:t>ONATEL-SA, opérateur global de télécommunications au Burkina Faso, présente des résultats mitigés au premier trimestre 2023 avec une base clients en croissance de 3% à 11,1 millions. Le chiffre d'affaires IFRS chute de 9,7% à 34,6 milliards FCFA contre 38,4 milliards en T1 2022, impacté par les conséquences sécuritaires et le recul de l'activité voix. Le résultat net IFRS s'établit à 4,7 milliards FCFA, en baisse de 34,5% par rapport aux 7,2 milliards de T1 2022. La marge EBITDA reste satisfaisante à 46,9% malgré la dégradation de 51,3% observée l'année précédente. Les revenus Mobile Money et Internet affichent une bonne performance qui compense partiellement la baisse des autres activités.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'16,2 milliards FCFA', 'parc_mobile': '10,99 millions', 'marge_ebitda': '46,9%', 'parc_internet': '6,61 millions', 'parc_clients_total': '11,1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milliards FCFA (IFRS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34,6 milliards FCFA (IFRS T1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parc clients de 3% à 11,1 millions malgré le contexte sécuritaire</w:t>
      </w:r>
    </w:p>
    <w:p>
      <w:pPr>
        <w:pStyle w:val="ListBullet"/>
        <w:spacing w:before="20" w:after="20"/>
        <w:ind w:left="700"/>
      </w:pPr>
      <w:r>
        <w:rPr>
          <w:sz w:val="18"/>
        </w:rPr>
        <w:t>Chiffre d'affaires IFRS en recul de 9,7% à 34,6 milliards FCFA au T1 2023</w:t>
      </w:r>
    </w:p>
    <w:p>
      <w:pPr>
        <w:pStyle w:val="ListBullet"/>
        <w:spacing w:before="20" w:after="20"/>
        <w:ind w:left="700"/>
      </w:pPr>
      <w:r>
        <w:rPr>
          <w:sz w:val="18"/>
        </w:rPr>
        <w:t>Résultat net IFRS en forte baisse de 34,5% à 4,7 milliards FCFA</w:t>
      </w:r>
    </w:p>
    <w:p>
      <w:pPr>
        <w:pStyle w:val="ListBullet"/>
        <w:spacing w:before="20" w:after="20"/>
        <w:ind w:left="700"/>
      </w:pPr>
      <w:r>
        <w:rPr>
          <w:sz w:val="18"/>
        </w:rPr>
        <w:t>Parc Internet en forte progression de 11,9% avec 6,6 millions d'abonnés</w:t>
      </w:r>
    </w:p>
    <w:p>
      <w:pPr>
        <w:pStyle w:val="ListBullet"/>
        <w:spacing w:before="20" w:after="20"/>
        <w:ind w:left="700"/>
      </w:pPr>
      <w:r>
        <w:rPr>
          <w:sz w:val="18"/>
        </w:rPr>
        <w:t>Marge EBITDA maintenue à un niveau satisfaisant de 46,9%</w:t>
      </w:r>
    </w:p>
    <w:p>
      <w:pPr>
        <w:pStyle w:val="ListBullet"/>
        <w:spacing w:before="20" w:after="20"/>
        <w:ind w:left="700"/>
      </w:pPr>
      <w:r>
        <w:rPr>
          <w:sz w:val="18"/>
        </w:rPr>
        <w:t>Impact négatif des conséquences sécuritaires sur les installations et revenus</w:t>
      </w:r>
    </w:p>
    <w:p>
      <w:pPr>
        <w:spacing w:before="40"/>
        <w:ind w:left="400"/>
      </w:pPr>
      <w:r>
        <w:rPr>
          <w:b/>
          <w:color w:val="C05000"/>
          <w:sz w:val="18"/>
        </w:rPr>
        <w:t xml:space="preserve">⚠️ Risques : </w:t>
      </w:r>
      <w:r>
        <w:rPr>
          <w:sz w:val="18"/>
        </w:rPr>
        <w:t>["D\u00e9gradation continue de la situation s\u00e9curitaire au Burkina Faso impactant les infrastructures", "Recul structurel des revenus voix traditionnels face \u00e0 l'usage des OTT", "Instabilit\u00e9 des revenus internationaux dans un contexte g\u00e9opolitique tendu"]</w:t>
      </w:r>
    </w:p>
    <w:p>
      <w:pPr>
        <w:spacing w:before="40"/>
        <w:ind w:left="400"/>
      </w:pPr>
      <w:r>
        <w:rPr>
          <w:b/>
          <w:color w:val="0064A0"/>
          <w:sz w:val="18"/>
        </w:rPr>
        <w:t xml:space="preserve">🔮 Perspectives : </w:t>
      </w:r>
      <w:r>
        <w:rPr>
          <w:sz w:val="18"/>
        </w:rPr>
        <w:t>La société mise sur le développement de l'Internet haut débit et des services Mobile Money pour compenser la baisse des revenus traditionnels. Les investissements structurels et l'amélioration de la qualité de service devraient soutenir la rétention et l'acquisition de clients malgré les défis sécur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rentabilit\u00e9 correcte avec une marge EBITDA de 48,4% et continue d'investir malgr\u00e9 les difficult\u00e9s s\u00e9curitaires. Le maintien du dividende et la croissance du parc clients t\u00e9moignent de la r\u00e9silience du mod\u00e8le."}</w:t>
      </w:r>
    </w:p>
    <w:p>
      <w:pPr>
        <w:spacing w:before="40"/>
        <w:ind w:left="400"/>
      </w:pPr>
      <w:r>
        <w:rPr>
          <w:sz w:val="18"/>
        </w:rPr>
        <w:t>ONATEL-SA, opérateur de télécommunications au Burkina Faso, a enregistré des résultats 2022 impactés par la dégradation du contexte sécuritaire avec de nombreux sites vandalisés. Malgré ce contexte difficile, la société a maintenu une croissance de son parc clients mobile (+5,7%) et internet (+14,1%), portant son parc Moov Africa à 11,1 millions d'abonnés. Le chiffre d'affaires IFRS a reculé de 6% à 147,3 Mds FCFA, tandis que le résultat net a chuté de 31,1% à 23,4 Mds FCFA. La rentabilité reste satisfaisante avec une marge EBITDA de 48,4%, témoignant de la résilience opérationnelle. Un dividende de 329 FCFA par action sera proposé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'71,3 Mds FCFA', 'parc_mobile': '11 047 958 clients', 'marge_ebitda': '48,4%', 'parc_internet': '6 481 709 clients', 'parc_moov_africa': '11 139 669 clients'}</w:t>
            </w:r>
          </w:p>
        </w:tc>
        <w:tc>
          <w:tcPr>
            <w:tcW w:type="dxa" w:w="2160"/>
          </w:tcPr>
          <w:p>
            <w:pPr>
              <w:ind w:left="100"/>
            </w:pPr>
            <w:r/>
            <w:r>
              <w:rPr>
                <w:b/>
                <w:sz w:val="16"/>
              </w:rPr>
              <w:t>dividende</w:t>
              <w:br/>
            </w:r>
            <w:r>
              <w:rPr>
                <w:sz w:val="18"/>
              </w:rPr>
              <w:t>329 FCFA par action</w:t>
            </w:r>
          </w:p>
        </w:tc>
        <w:tc>
          <w:tcPr>
            <w:tcW w:type="dxa" w:w="2160"/>
          </w:tcPr>
          <w:p>
            <w:pPr>
              <w:ind w:left="100"/>
            </w:pPr>
            <w:r/>
            <w:r>
              <w:rPr>
                <w:b/>
                <w:sz w:val="16"/>
              </w:rPr>
              <w:t>marge_nette</w:t>
              <w:br/>
            </w:r>
            <w:r>
              <w:rPr>
                <w:sz w:val="18"/>
              </w:rPr>
              <w:t>15,9%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23,4 Mds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147,3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Contexte sécuritaire difficile avec vandalisme massif des sites télécoms depuis janvier 2022</w:t>
      </w:r>
    </w:p>
    <w:p>
      <w:pPr>
        <w:pStyle w:val="ListBullet"/>
        <w:spacing w:before="20" w:after="20"/>
        <w:ind w:left="700"/>
      </w:pPr>
      <w:r>
        <w:rPr>
          <w:sz w:val="18"/>
        </w:rPr>
        <w:t>Croissance du parc clients mobile de 5,7% et internet de 14,1% malgré les difficultés</w:t>
      </w:r>
    </w:p>
    <w:p>
      <w:pPr>
        <w:pStyle w:val="ListBullet"/>
        <w:spacing w:before="20" w:after="20"/>
        <w:ind w:left="700"/>
      </w:pPr>
      <w:r>
        <w:rPr>
          <w:sz w:val="18"/>
        </w:rPr>
        <w:t>Chiffre d'affaires IFRS en baisse de 6% à 147,3 Mds FCFA</w:t>
      </w:r>
    </w:p>
    <w:p>
      <w:pPr>
        <w:pStyle w:val="ListBullet"/>
        <w:spacing w:before="20" w:after="20"/>
        <w:ind w:left="700"/>
      </w:pPr>
      <w:r>
        <w:rPr>
          <w:sz w:val="18"/>
        </w:rPr>
        <w:t>Résultat net en forte baisse de 31,1% à 23,4 Mds FCFA</w:t>
      </w:r>
    </w:p>
    <w:p>
      <w:pPr>
        <w:pStyle w:val="ListBullet"/>
        <w:spacing w:before="20" w:after="20"/>
        <w:ind w:left="700"/>
      </w:pPr>
      <w:r>
        <w:rPr>
          <w:sz w:val="18"/>
        </w:rPr>
        <w:t>Marge EBITDA maintenue à un niveau satisfaisant de 48,4%</w:t>
      </w:r>
    </w:p>
    <w:p>
      <w:pPr>
        <w:pStyle w:val="ListBullet"/>
        <w:spacing w:before="20" w:after="20"/>
        <w:ind w:left="700"/>
      </w:pPr>
      <w:r>
        <w:rPr>
          <w:sz w:val="18"/>
        </w:rPr>
        <w:t>Investissements et extension du réseau pour améliorer la qualité de service</w:t>
      </w:r>
    </w:p>
    <w:p>
      <w:pPr>
        <w:spacing w:before="40"/>
        <w:ind w:left="400"/>
      </w:pPr>
      <w:r>
        <w:rPr>
          <w:b/>
          <w:color w:val="C05000"/>
          <w:sz w:val="18"/>
        </w:rPr>
        <w:t xml:space="preserve">⚠️ Risques : </w:t>
      </w:r>
      <w:r>
        <w:rPr>
          <w:sz w:val="18"/>
        </w:rPr>
        <w:t>["D\u00e9gradation continue du contexte s\u00e9curitaire impactant les infrastructures", "Vandalisme r\u00e9current des sites t\u00e9l\u00e9coms affectant la qualit\u00e9 de service", "Pression sur les marges due aux co\u00fbts op\u00e9rationnels et d'investissement \u00e9lev\u00e9s"]</w:t>
      </w:r>
    </w:p>
    <w:p>
      <w:pPr>
        <w:spacing w:before="40"/>
        <w:ind w:left="400"/>
      </w:pPr>
      <w:r>
        <w:rPr>
          <w:b/>
          <w:color w:val="0064A0"/>
          <w:sz w:val="18"/>
        </w:rPr>
        <w:t xml:space="preserve">🔮 Perspectives : </w:t>
      </w:r>
      <w:r>
        <w:rPr>
          <w:sz w:val="18"/>
        </w:rPr>
        <w:t>Les perspectives dépendront largement de l'évolution du contexte sécuritaire au Burkina Faso. La société devra poursuivre ses investissements pour maintenir la qualité de service tout en gérant l'impact des vandalismes sur ses infrastructures.</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2587.51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2,293 titres</w:t>
            </w:r>
          </w:p>
        </w:tc>
        <w:tc>
          <w:tcPr>
            <w:tcW w:type="dxa" w:w="2268"/>
            <w:shd w:fill="FFF2CC" w:val="clear"/>
          </w:tcPr>
          <w:p>
            <w:r>
              <w:rPr>
                <w:b/>
                <w:color w:val="503200"/>
                <w:sz w:val="16"/>
              </w:rPr>
              <w:t xml:space="preserve">Cours actuel : </w:t>
            </w:r>
            <w:r>
              <w:rPr>
                <w:color w:val="000000"/>
                <w:sz w:val="17"/>
              </w:rPr>
              <w:t>17,175 FCFA</w:t>
            </w:r>
          </w:p>
          <w:p>
            <w:r>
              <w:rPr>
                <w:b/>
                <w:color w:val="503200"/>
                <w:sz w:val="16"/>
              </w:rPr>
              <w:t xml:space="preserve">Var. 100 jours : </w:t>
            </w:r>
            <w:r>
              <w:rPr>
                <w:b/>
                <w:color w:val="007800"/>
                <w:sz w:val="17"/>
              </w:rPr>
              <w:t>+12.25%</w:t>
            </w:r>
          </w:p>
          <w:p>
            <w:r>
              <w:rPr>
                <w:b/>
                <w:color w:val="503200"/>
                <w:sz w:val="16"/>
              </w:rPr>
              <w:t xml:space="preserve">Plus haut 100j : </w:t>
            </w:r>
            <w:r>
              <w:rPr>
                <w:color w:val="000000"/>
                <w:sz w:val="17"/>
              </w:rPr>
              <w:t>17,175 FCFA</w:t>
            </w:r>
          </w:p>
          <w:p>
            <w:r>
              <w:rPr>
                <w:b/>
                <w:color w:val="503200"/>
                <w:sz w:val="16"/>
              </w:rPr>
              <w:t xml:space="preserve">Plus bas 100j : </w:t>
            </w:r>
            <w:r>
              <w:rPr>
                <w:color w:val="000000"/>
                <w:sz w:val="17"/>
              </w:rPr>
              <w:t>14,200 FCFA</w:t>
            </w:r>
          </w:p>
          <w:p>
            <w:r>
              <w:rPr>
                <w:b/>
                <w:color w:val="503200"/>
                <w:sz w:val="16"/>
              </w:rPr>
              <w:t xml:space="preserve">Volatilité ann. : </w:t>
            </w:r>
            <w:r>
              <w:rPr>
                <w:color w:val="000000"/>
                <w:sz w:val="17"/>
              </w:rPr>
              <w:t>29.9%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18.1/100 → Faible</w:t>
      </w:r>
    </w:p>
    <w:p>
      <w:pPr>
        <w:spacing w:before="40" w:after="80"/>
      </w:pPr>
      <w:r>
        <w:rPr>
          <w:rFonts w:ascii="Courier New" w:hAnsi="Courier New"/>
          <w:color w:val="006400"/>
          <w:sz w:val="18"/>
        </w:rPr>
        <w:t>███░░░░░░░░░░░░░░░░░  18.1/100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4.73% (Faible) — μ=15,715 FCFA, σ=744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β=1.4005 (Agressif) — Cov=0.000051, Var(idx)=0.000036, ρ=0.447,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2,293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σ_j=1.89%/j (Stable) — Vol. annualisée≈29.9%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16,571</w:t>
            </w:r>
          </w:p>
        </w:tc>
        <w:tc>
          <w:tcPr>
            <w:tcW w:type="dxa" w:w="1440"/>
            <w:shd w:fill="FAFAFA" w:val="clear"/>
          </w:tcPr>
          <w:p>
            <w:r>
              <w:rPr>
                <w:b/>
                <w:sz w:val="17"/>
              </w:rPr>
              <w:t>17,009</w:t>
            </w:r>
          </w:p>
        </w:tc>
        <w:tc>
          <w:tcPr>
            <w:tcW w:type="dxa" w:w="1440"/>
            <w:shd w:fill="FAFAFA" w:val="clear"/>
          </w:tcPr>
          <w:p>
            <w:r>
              <w:rPr>
                <w:sz w:val="17"/>
              </w:rPr>
              <w:t>17,446</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16,376</w:t>
            </w:r>
          </w:p>
        </w:tc>
        <w:tc>
          <w:tcPr>
            <w:tcW w:type="dxa" w:w="1440"/>
            <w:shd w:fill="FAFAFA" w:val="clear"/>
          </w:tcPr>
          <w:p>
            <w:r>
              <w:rPr>
                <w:b/>
                <w:sz w:val="17"/>
              </w:rPr>
              <w:t>16,995</w:t>
            </w:r>
          </w:p>
        </w:tc>
        <w:tc>
          <w:tcPr>
            <w:tcW w:type="dxa" w:w="1440"/>
            <w:shd w:fill="FAFAFA" w:val="clear"/>
          </w:tcPr>
          <w:p>
            <w:r>
              <w:rPr>
                <w:sz w:val="17"/>
              </w:rPr>
              <w:t>17,613</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16,209</w:t>
            </w:r>
          </w:p>
        </w:tc>
        <w:tc>
          <w:tcPr>
            <w:tcW w:type="dxa" w:w="1440"/>
            <w:shd w:fill="FAFAFA" w:val="clear"/>
          </w:tcPr>
          <w:p>
            <w:r>
              <w:rPr>
                <w:b/>
                <w:sz w:val="17"/>
              </w:rPr>
              <w:t>16,965</w:t>
            </w:r>
          </w:p>
        </w:tc>
        <w:tc>
          <w:tcPr>
            <w:tcW w:type="dxa" w:w="1440"/>
            <w:shd w:fill="FAFAFA" w:val="clear"/>
          </w:tcPr>
          <w:p>
            <w:r>
              <w:rPr>
                <w:sz w:val="17"/>
              </w:rPr>
              <w:t>17,720</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16,061</w:t>
            </w:r>
          </w:p>
        </w:tc>
        <w:tc>
          <w:tcPr>
            <w:tcW w:type="dxa" w:w="1440"/>
            <w:shd w:fill="FAFAFA" w:val="clear"/>
          </w:tcPr>
          <w:p>
            <w:r>
              <w:rPr>
                <w:b/>
                <w:sz w:val="17"/>
              </w:rPr>
              <w:t>16,932</w:t>
            </w:r>
          </w:p>
        </w:tc>
        <w:tc>
          <w:tcPr>
            <w:tcW w:type="dxa" w:w="1440"/>
            <w:shd w:fill="FAFAFA" w:val="clear"/>
          </w:tcPr>
          <w:p>
            <w:r>
              <w:rPr>
                <w:sz w:val="17"/>
              </w:rPr>
              <w:t>17,803</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15,927</w:t>
            </w:r>
          </w:p>
        </w:tc>
        <w:tc>
          <w:tcPr>
            <w:tcW w:type="dxa" w:w="1440"/>
            <w:shd w:fill="FAFAFA" w:val="clear"/>
          </w:tcPr>
          <w:p>
            <w:r>
              <w:rPr>
                <w:b/>
                <w:sz w:val="17"/>
              </w:rPr>
              <w:t>16,899</w:t>
            </w:r>
          </w:p>
        </w:tc>
        <w:tc>
          <w:tcPr>
            <w:tcW w:type="dxa" w:w="1440"/>
            <w:shd w:fill="FAFAFA" w:val="clear"/>
          </w:tcPr>
          <w:p>
            <w:r>
              <w:rPr>
                <w:sz w:val="17"/>
              </w:rPr>
              <w:t>17,871</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2026-08-17</w:t>
            </w:r>
          </w:p>
        </w:tc>
        <w:tc>
          <w:tcPr>
            <w:tcW w:type="dxa" w:w="1440"/>
            <w:shd w:fill="FAFAFA" w:val="clear"/>
          </w:tcPr>
          <w:p>
            <w:r>
              <w:rPr>
                <w:sz w:val="17"/>
              </w:rPr>
              <w:t>15,804</w:t>
            </w:r>
          </w:p>
        </w:tc>
        <w:tc>
          <w:tcPr>
            <w:tcW w:type="dxa" w:w="1440"/>
            <w:shd w:fill="FAFAFA" w:val="clear"/>
          </w:tcPr>
          <w:p>
            <w:r>
              <w:rPr>
                <w:b/>
                <w:sz w:val="17"/>
              </w:rPr>
              <w:t>16,867</w:t>
            </w:r>
          </w:p>
        </w:tc>
        <w:tc>
          <w:tcPr>
            <w:tcW w:type="dxa" w:w="1440"/>
            <w:shd w:fill="FAFAFA" w:val="clear"/>
          </w:tcPr>
          <w:p>
            <w:r>
              <w:rPr>
                <w:sz w:val="17"/>
              </w:rPr>
              <w:t>17,929</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2026-08-18</w:t>
            </w:r>
          </w:p>
        </w:tc>
        <w:tc>
          <w:tcPr>
            <w:tcW w:type="dxa" w:w="1440"/>
            <w:shd w:fill="FAFAFA" w:val="clear"/>
          </w:tcPr>
          <w:p>
            <w:r>
              <w:rPr>
                <w:sz w:val="17"/>
              </w:rPr>
              <w:t>15,689</w:t>
            </w:r>
          </w:p>
        </w:tc>
        <w:tc>
          <w:tcPr>
            <w:tcW w:type="dxa" w:w="1440"/>
            <w:shd w:fill="FAFAFA" w:val="clear"/>
          </w:tcPr>
          <w:p>
            <w:r>
              <w:rPr>
                <w:b/>
                <w:sz w:val="17"/>
              </w:rPr>
              <w:t>16,835</w:t>
            </w:r>
          </w:p>
        </w:tc>
        <w:tc>
          <w:tcPr>
            <w:tcW w:type="dxa" w:w="1440"/>
            <w:shd w:fill="FAFAFA" w:val="clear"/>
          </w:tcPr>
          <w:p>
            <w:r>
              <w:rPr>
                <w:sz w:val="17"/>
              </w:rPr>
              <w:t>17,981</w:t>
            </w:r>
          </w:p>
        </w:tc>
        <w:tc>
          <w:tcPr>
            <w:tcW w:type="dxa" w:w="1440"/>
            <w:shd w:fill="FAFAFA"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15,581</w:t>
            </w:r>
          </w:p>
        </w:tc>
        <w:tc>
          <w:tcPr>
            <w:tcW w:type="dxa" w:w="1440"/>
            <w:shd w:fill="FFDCE0" w:val="clear"/>
          </w:tcPr>
          <w:p>
            <w:r>
              <w:rPr>
                <w:b/>
                <w:sz w:val="17"/>
              </w:rPr>
              <w:t>16,804</w:t>
            </w:r>
          </w:p>
        </w:tc>
        <w:tc>
          <w:tcPr>
            <w:tcW w:type="dxa" w:w="1440"/>
            <w:shd w:fill="FFDCE0" w:val="clear"/>
          </w:tcPr>
          <w:p>
            <w:r>
              <w:rPr>
                <w:sz w:val="17"/>
              </w:rPr>
              <w:t>18,026</w:t>
            </w:r>
          </w:p>
        </w:tc>
        <w:tc>
          <w:tcPr>
            <w:tcW w:type="dxa" w:w="1440"/>
            <w:shd w:fill="FFDCE0" w:val="clear"/>
          </w:tcPr>
          <w:p>
            <w:r>
              <w:rPr>
                <w:b/>
                <w:color w:val="C00000"/>
                <w:sz w:val="17"/>
              </w:rPr>
              <w:t>-2.2%</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15,479</w:t>
            </w:r>
          </w:p>
        </w:tc>
        <w:tc>
          <w:tcPr>
            <w:tcW w:type="dxa" w:w="1440"/>
            <w:shd w:fill="FFDCE0" w:val="clear"/>
          </w:tcPr>
          <w:p>
            <w:r>
              <w:rPr>
                <w:b/>
                <w:sz w:val="17"/>
              </w:rPr>
              <w:t>16,773</w:t>
            </w:r>
          </w:p>
        </w:tc>
        <w:tc>
          <w:tcPr>
            <w:tcW w:type="dxa" w:w="1440"/>
            <w:shd w:fill="FFDCE0" w:val="clear"/>
          </w:tcPr>
          <w:p>
            <w:r>
              <w:rPr>
                <w:sz w:val="17"/>
              </w:rPr>
              <w:t>18,068</w:t>
            </w:r>
          </w:p>
        </w:tc>
        <w:tc>
          <w:tcPr>
            <w:tcW w:type="dxa" w:w="1440"/>
            <w:shd w:fill="FFDCE0" w:val="clear"/>
          </w:tcPr>
          <w:p>
            <w:r>
              <w:rPr>
                <w:b/>
                <w:color w:val="C00000"/>
                <w:sz w:val="17"/>
              </w:rPr>
              <w:t>-2.3%</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15,381</w:t>
            </w:r>
          </w:p>
        </w:tc>
        <w:tc>
          <w:tcPr>
            <w:tcW w:type="dxa" w:w="1440"/>
            <w:shd w:fill="FFDCE0" w:val="clear"/>
          </w:tcPr>
          <w:p>
            <w:r>
              <w:rPr>
                <w:b/>
                <w:sz w:val="17"/>
              </w:rPr>
              <w:t>16,743</w:t>
            </w:r>
          </w:p>
        </w:tc>
        <w:tc>
          <w:tcPr>
            <w:tcW w:type="dxa" w:w="1440"/>
            <w:shd w:fill="FFDCE0" w:val="clear"/>
          </w:tcPr>
          <w:p>
            <w:r>
              <w:rPr>
                <w:sz w:val="17"/>
              </w:rPr>
              <w:t>18,105</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d'ORAC s'établit à 2 587,51 milliards FCFA, ce qui en fait l'une des plus importantes de la BRVM, représentant une part significative de la capitalisation totale du marché régional. Avec un BPA de 1 114 FCFA, chaque action génère un bénéfice substantiel, justifiant un PER de 15,4x, supérieur à la moyenne historique de la BRVM (8-12x). Ce niveau indique que les investisseurs acceptent de payer une prime pour la qualité et la croissance de l'entreprise, valorisant ainsi ses perspectives futures. Le P/B de 3,66x confirme cette prime, le marché valorisant l'actif net de la société bien au-delà de sa valeur comptable, reflétant la confiance dans la création de valeur future. Enfin, l'EV/EBITDA de 6,2x reste dans une fourchette raisonnable (5-10x), indiquant que la valeur totale de l'entreprise (capitalisation + dette nette) reste cohérente avec sa capacité opérationnelle à générer des flux de trésorerie, ce qui tempère la cherté apparente du PER.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ORAC a enregistré une progression remarquable de +12,25%, avec une dernière séance stable (0,00%). Le cours a évolué dans une fourchette de 14 200 FCFA (plus bas) à 17 175 FCFA (plus haut), démontrant une dynamique haussière soutenue. La moyenne du cours sur la période (15 715 FCFA) est très proche de la médiane (15 675 FCFA), indiquant une distribution relativement symétrique des prix, confirmée par un skewness de 0,205. L'écart-type de 748 FCFA, avec un coefficient de variation de 4,8%, révèle une dispersion modérée autour de la moyenne. Le kurtosis négatif (-1,110) signale une distribution platykurtique, c'est-à-dire une faible concentration des prix extrêmes, réduisant le risque de mouvements brutaux. La volatilité annualisée de 29,9% classe le titre dans la catégorie "élevée" (proche du seuil de 30%), indiquant des fluctuations de prix substantielles sur une base annuelle, cohérentes avec la tendance haussière marquée observée.</w:t>
      </w:r>
    </w:p>
    <w:p>
      <w:pPr>
        <w:spacing w:after="120" w:line="276" w:lineRule="auto" w:before="240"/>
      </w:pPr>
      <w:r>
        <w:rPr>
          <w:b/>
          <w:color w:val="003366"/>
          <w:sz w:val="24"/>
        </w:rPr>
        <w:t>**PARTIE 2 : ANALYSE TECHNIQUE DÉTAILLÉE**</w:t>
      </w:r>
    </w:p>
    <w:p>
      <w:pPr>
        <w:spacing w:after="120" w:line="276" w:lineRule="auto"/>
      </w:pPr>
      <w:r>
        <w:t>**Moyennes Mobiles** : Le cours actuel (17 175 FCFA) se positionne nettement au-dessus de la MM20 (16 513,25 FCFA) et de la MM50 (16 351,8 FCFA), confirmant une tendance haussière solide à court et moyen terme. L'écart positif entre le cours et les moyennes mobiles indique une dynamique positive, justifiant la décision d'achat. La configuration des MM (MM20 &gt; MM50) renforce ce signal haussier.</w:t>
      </w:r>
    </w:p>
    <w:p>
      <w:pPr>
        <w:spacing w:after="120" w:line="276" w:lineRule="auto"/>
      </w:pPr>
      <w:r>
        <w:t>**Bandes de Bollinger** : Le cours se situe près de la borne supérieure (17 392,93 FCFA), à 217,93 FCFA en dessous, indiquant une pression acheteuse soutenue. La largeur des bandes (1 759,36 FCFA) suggère une volatilité modérée. La position proche de la borne supérieure peut signaler une condition de surachat temporaire, mais la décision "Neutre" reflète l'absence de cassure décisive, le prix restant dans l'enveloppe.</w:t>
      </w:r>
    </w:p>
    <w:p>
      <w:pPr>
        <w:spacing w:after="120" w:line="276" w:lineRule="auto"/>
      </w:pPr>
      <w:r>
        <w:t>**MACD** : Le MACD (243,46) est nettement au-dessus de sa ligne de signal (171,11), avec un écart positif de 72,35 points. Cette configuration indique un momentum haussier fort et croissant, justifiant la décision d'achat. La divergence positive suggère que la tendance haussière pourrait se poursuivre à court terme.</w:t>
      </w:r>
    </w:p>
    <w:p>
      <w:pPr>
        <w:spacing w:after="120" w:line="276" w:lineRule="auto"/>
      </w:pPr>
      <w:r>
        <w:t>**RSI** : Le RSI à 88,02 est en zone de surachat extrême (au-delà de 70), signalant une possible correction à venir. Cette valeur très élevée indique que le titre est survendu à la hausse, avec un risque de retournement technique. La décision de vente est donc justifiée, malgré la force de la tendance.</w:t>
      </w:r>
    </w:p>
    <w:p>
      <w:pPr>
        <w:spacing w:after="120" w:line="276" w:lineRule="auto"/>
      </w:pPr>
      <w:r>
        <w:t>**Stochastique** : Le %K et le %D sont tous deux à 100, en zone de surachat extrême. Cette configuration signale une condition de marché extrêmement tendue, avec un risque élevé de retournement. La décision de vente est cohérente avec cette lecture, indiquant que le titre est probablement surévalué à court terme.</w:t>
      </w:r>
    </w:p>
    <w:p>
      <w:pPr>
        <w:spacing w:after="120" w:line="276" w:lineRule="auto"/>
      </w:pPr>
      <w:r>
        <w:t>**Conclusion technique** : Les indicateurs de tendance (MM, MACD) sont haussiers, mais les oscillateurs (RSI, Stochastique) sont en surachat extrême, signalant un risque de correction. La position proche de la borne supérieure des Bollinger renforce cette prudence. Le titre est dans une phase de forte tendance haussière, mais une consolidation technique est probable à court terme.</w:t>
      </w:r>
    </w:p>
    <w:p>
      <w:pPr>
        <w:spacing w:after="120" w:line="276" w:lineRule="auto" w:before="240"/>
      </w:pPr>
      <w:r>
        <w:rPr>
          <w:b/>
          <w:color w:val="003366"/>
          <w:sz w:val="24"/>
        </w:rPr>
        <w:t>**PARTIE 3 : ANALYSE FONDAMENTALE (SECTION CRITIQUE)**</w:t>
      </w:r>
    </w:p>
    <w:p>
      <w:pPr>
        <w:spacing w:after="120" w:line="276" w:lineRule="auto"/>
      </w:pPr>
      <w:r>
        <w:t>En 2025, ORAC affiche des fondamentaux solides avec un chiffre d'affaires de 1 197,1 milliards FCFA, en croissance de +10,4% par rapport à 2024 (1 084,1 milliards FCFA). Le résultat net consolidé s'établit à 167,8 milliards FCFA, en progression de +6,1%, avec une marge nette de 14,0%. La rentabilité des fonds propres (ROE) est excellente à 23,7%, bien au-dessus du seuil de 15% considéré comme performant, tandis que le ROA s'établit à 6,6%. La structure financière montre une autonomie financière de 27,7%, légèrement sous le seuil de 30%, avec un ratio d'endettement de 47,5% et une solvabilité générale de 138,3%, indiquant une bonne capacité à couvrir les dettes. Le BFR négatif de -198 milliards FCFA est un signe très favorable, indiquant que l'entreprise finance son cycle d'exploitation par ses fournisseurs (délai fournisseurs de 210,9 jours contre 52,3 jours pour les clients). Sur la base du rapport T1 2026 (CA +14,8% à 325,6 milliards FCFA, résultat net +25,2% à 48,3 milliards FCFA), on estime que l'exercice 2026 pourrait dépasser 1 300 milliards FCFA de CA et un résultat net supérieur à 190 milliards FCFA, confirmant l'accélération de la croissance. Les rapports de 2025 et 2026 confirment la solidité du modèle économique, avec une recommandation d'achat de la source DeepSeek pour le T1 2026 et une recommandation de conservation pour l'exercice 2025.</w:t>
      </w:r>
    </w:p>
    <w:p>
      <w:pPr>
        <w:spacing w:after="120" w:line="276" w:lineRule="auto" w:before="240"/>
      </w:pPr>
      <w:r>
        <w:rPr>
          <w:b/>
          <w:color w:val="003366"/>
          <w:sz w:val="24"/>
        </w:rPr>
        <w:t>**PARTIE 4 : CONCLUSION D'INVESTISSEMENT**</w:t>
      </w:r>
    </w:p>
    <w:p>
      <w:pPr>
        <w:spacing w:after="120" w:line="276" w:lineRule="auto"/>
      </w:pPr>
      <w:r>
        <w:t>La valorisation d'ORAC (PER 15,4x, P/B 3,66x, EV/EBITDA 6,2x) indique une prime de croissance justifiée par la qualité des fondamentaux, bien que le PER soit supérieur à la moyenne BRVM. Le comportement du cours sur 100 jours (+12,25%) montre une tendance haussière robuste, avec une volatilité élevée (29,9%) et une distribution symétrique (skewness 0,205, kurtosis -1,110) réduisant le risque de mouvements extrêmes. Les signaux techniques sont mitigés : les indicateurs de tendance (MM, MACD) sont haussiers, mais les oscillateurs (RSI 88, Stochastique 100) sont en surachat extrême, suggérant une consolidation à court terme. Les fondamentaux sont excellents avec une croissance soutenue du CA (+10,4% en 2025, +14,8% au T1 2026), un ROE de 23,7% et un BFR négatif favorable. Les prédictions IA (17 009 à 16 899 FCFA sur 10 jours) indiquent une légère correction, cohérente avec les signaux de surachat technique. La convergence entre la solidité fondamentale et la tendance haussière, malgré les signaux de surachat, conduit à une recommandation **CONSERVER** avec un niveau de confiance **Moyen** et un risque global **Moyen**. L'horizon d'investissement optimal est le **moyen terme (3-12 mois)**, en attendant une consolidation technique pour renforcer les positions.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l'expansion du parc client restent positives. Les d\u00e9fis op\u00e9rationnels actuels semblent temporaires face au potentiel de croissance du march\u00e9 t\u00e9l\u00e9coms ouest-africain."}</w:t>
      </w:r>
    </w:p>
    <w:p>
      <w:pPr>
        <w:spacing w:before="40"/>
        <w:ind w:left="400"/>
      </w:pPr>
      <w:r>
        <w:rPr>
          <w:sz w:val="18"/>
        </w:rPr>
        <w:t>Orange CI présente des résultats mitigés au T3 2023 avec un chiffre d'affaires consolidé de 753,2 milliards FCFA en croissance de 5,4%, porté notamment par Orange Burkina (+16,7%). L'EBITDAaL recule de 1,2% à 259,1 milliards FCFA impacté par la hausse des charges fiscales au Burkina et des coûts énergétiques en Côte d'Ivoire. Le résultat net chute significativement de 19,3% à 86,0 milliards FCFA, pénalisé par un contexte marché difficile et l'impact du litige Lonestar au Libéria. Le parc FMI progresse de 8% à 31,38 millions d'abonnés malgré une forte concurrence. Le mobile money maintient sa dynamique positive avec une croissance du parc actif.</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'103,1 milliards FCFA', 'EBITDAaL': '259,1 milliards FCFA', 'parc_FMI': "31,38 millions d'abonnés"}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753,2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de 753,2 milliards FCFA en croissance de 5,4% (+5,5% à taux constant)</w:t>
      </w:r>
    </w:p>
    <w:p>
      <w:pPr>
        <w:pStyle w:val="ListBullet"/>
        <w:spacing w:before="20" w:after="20"/>
        <w:ind w:left="700"/>
      </w:pPr>
      <w:r>
        <w:rPr>
          <w:sz w:val="18"/>
        </w:rPr>
        <w:t>Performance notable d'Orange Burkina avec une croissance de 16,7%</w:t>
      </w:r>
    </w:p>
    <w:p>
      <w:pPr>
        <w:pStyle w:val="ListBullet"/>
        <w:spacing w:before="20" w:after="20"/>
        <w:ind w:left="700"/>
      </w:pPr>
      <w:r>
        <w:rPr>
          <w:sz w:val="18"/>
        </w:rPr>
        <w:t>Parc FMI (Fixe, Mobile, Internet) en progression de 8% atteignant 31,38 millions d'abonnés</w:t>
      </w:r>
    </w:p>
    <w:p>
      <w:pPr>
        <w:pStyle w:val="ListBullet"/>
        <w:spacing w:before="20" w:after="20"/>
        <w:ind w:left="700"/>
      </w:pPr>
      <w:r>
        <w:rPr>
          <w:sz w:val="18"/>
        </w:rPr>
        <w:t>EBITDAaL en baisse de 1,2% à 259,1 milliards FCFA impacté par les charges fiscales et énergétiques</w:t>
      </w:r>
    </w:p>
    <w:p>
      <w:pPr>
        <w:pStyle w:val="ListBullet"/>
        <w:spacing w:before="20" w:after="20"/>
        <w:ind w:left="700"/>
      </w:pPr>
      <w:r>
        <w:rPr>
          <w:sz w:val="18"/>
        </w:rPr>
        <w:t>Résultat net en forte baisse de 19,3% à 86,0 milliards FCFA</w:t>
      </w:r>
    </w:p>
    <w:p>
      <w:pPr>
        <w:pStyle w:val="ListBullet"/>
        <w:spacing w:before="20" w:after="20"/>
        <w:ind w:left="700"/>
      </w:pPr>
      <w:r>
        <w:rPr>
          <w:sz w:val="18"/>
        </w:rPr>
        <w:t>Impact négatif du litige Lonestar au Libéria et de la dépréciation d'actifs</w:t>
      </w:r>
    </w:p>
    <w:p>
      <w:pPr>
        <w:spacing w:before="40"/>
        <w:ind w:left="400"/>
      </w:pPr>
      <w:r>
        <w:rPr>
          <w:b/>
          <w:color w:val="C05000"/>
          <w:sz w:val="18"/>
        </w:rPr>
        <w:t xml:space="preserve">⚠️ Risques : </w:t>
      </w:r>
      <w:r>
        <w:rPr>
          <w:sz w:val="18"/>
        </w:rPr>
        <w:t>["Contexte s\u00e9curitaire difficile au Burkina Faso affectant les op\u00e9rations", "Forte agressivit\u00e9 commerciale et concurrence accrue en C\u00f4te d'Ivoire", "Volatilit\u00e9 des taux de change au Lib\u00e9ria et impact du litige Lonestar"]</w:t>
      </w:r>
    </w:p>
    <w:p>
      <w:pPr>
        <w:spacing w:before="40"/>
        <w:ind w:left="400"/>
      </w:pPr>
      <w:r>
        <w:rPr>
          <w:b/>
          <w:color w:val="0064A0"/>
          <w:sz w:val="18"/>
        </w:rPr>
        <w:t xml:space="preserve">🔮 Perspectives : </w:t>
      </w:r>
      <w:r>
        <w:rPr>
          <w:sz w:val="18"/>
        </w:rPr>
        <w:t>L'environnement inflationniste et les tensions géopolitiques régionales continueront de peser sur les marges à court terme. Cependant, la dynamique de croissance du mobile money et l'expansion du parc FMI offrent des perspectives favorables pour 2024.</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216.92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6,791 titres</w:t>
            </w:r>
          </w:p>
        </w:tc>
        <w:tc>
          <w:tcPr>
            <w:tcW w:type="dxa" w:w="2268"/>
            <w:shd w:fill="FFF2CC" w:val="clear"/>
          </w:tcPr>
          <w:p>
            <w:r>
              <w:rPr>
                <w:b/>
                <w:color w:val="503200"/>
                <w:sz w:val="16"/>
              </w:rPr>
              <w:t xml:space="preserve">Cours actuel : </w:t>
            </w:r>
            <w:r>
              <w:rPr>
                <w:color w:val="000000"/>
                <w:sz w:val="17"/>
              </w:rPr>
              <w:t>3,125 FCFA</w:t>
            </w:r>
          </w:p>
          <w:p>
            <w:r>
              <w:rPr>
                <w:b/>
                <w:color w:val="503200"/>
                <w:sz w:val="16"/>
              </w:rPr>
              <w:t xml:space="preserve">Var. 100 jours : </w:t>
            </w:r>
            <w:r>
              <w:rPr>
                <w:b/>
                <w:color w:val="B40000"/>
                <w:sz w:val="17"/>
              </w:rPr>
              <w:t>-17.22%</w:t>
            </w:r>
          </w:p>
          <w:p>
            <w:r>
              <w:rPr>
                <w:b/>
                <w:color w:val="503200"/>
                <w:sz w:val="16"/>
              </w:rPr>
              <w:t xml:space="preserve">Plus haut 100j : </w:t>
            </w:r>
            <w:r>
              <w:rPr>
                <w:color w:val="000000"/>
                <w:sz w:val="17"/>
              </w:rPr>
              <w:t>3,995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13.93% (Moyenne) — μ=3,025 FCFA, σ=421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β=0.3658 (Défensif) — Cov=0.000013, Var(idx)=0.000036, ρ=0.075,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6,791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σ_j=2.92%/j (Stable) — Vol. annualisée≈46.4%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3,017</w:t>
            </w:r>
          </w:p>
        </w:tc>
        <w:tc>
          <w:tcPr>
            <w:tcW w:type="dxa" w:w="1440"/>
            <w:shd w:fill="FAFAFA" w:val="clear"/>
          </w:tcPr>
          <w:p>
            <w:r>
              <w:rPr>
                <w:b/>
                <w:sz w:val="17"/>
              </w:rPr>
              <w:t>3,109</w:t>
            </w:r>
          </w:p>
        </w:tc>
        <w:tc>
          <w:tcPr>
            <w:tcW w:type="dxa" w:w="1440"/>
            <w:shd w:fill="FAFAFA" w:val="clear"/>
          </w:tcPr>
          <w:p>
            <w:r>
              <w:rPr>
                <w:sz w:val="17"/>
              </w:rPr>
              <w:t>3,202</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2,973</w:t>
            </w:r>
          </w:p>
        </w:tc>
        <w:tc>
          <w:tcPr>
            <w:tcW w:type="dxa" w:w="1440"/>
            <w:shd w:fill="FAFAFA" w:val="clear"/>
          </w:tcPr>
          <w:p>
            <w:r>
              <w:rPr>
                <w:b/>
                <w:sz w:val="17"/>
              </w:rPr>
              <w:t>3,104</w:t>
            </w:r>
          </w:p>
        </w:tc>
        <w:tc>
          <w:tcPr>
            <w:tcW w:type="dxa" w:w="1440"/>
            <w:shd w:fill="FAFAFA" w:val="clear"/>
          </w:tcPr>
          <w:p>
            <w:r>
              <w:rPr>
                <w:sz w:val="17"/>
              </w:rPr>
              <w:t>3,234</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2,940</w:t>
            </w:r>
          </w:p>
        </w:tc>
        <w:tc>
          <w:tcPr>
            <w:tcW w:type="dxa" w:w="1440"/>
            <w:shd w:fill="FAFAFA" w:val="clear"/>
          </w:tcPr>
          <w:p>
            <w:r>
              <w:rPr>
                <w:b/>
                <w:sz w:val="17"/>
              </w:rPr>
              <w:t>3,099</w:t>
            </w:r>
          </w:p>
        </w:tc>
        <w:tc>
          <w:tcPr>
            <w:tcW w:type="dxa" w:w="1440"/>
            <w:shd w:fill="FAFAFA" w:val="clear"/>
          </w:tcPr>
          <w:p>
            <w:r>
              <w:rPr>
                <w:sz w:val="17"/>
              </w:rPr>
              <w:t>3,258</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2,911</w:t>
            </w:r>
          </w:p>
        </w:tc>
        <w:tc>
          <w:tcPr>
            <w:tcW w:type="dxa" w:w="1440"/>
            <w:shd w:fill="FAFAFA" w:val="clear"/>
          </w:tcPr>
          <w:p>
            <w:r>
              <w:rPr>
                <w:b/>
                <w:sz w:val="17"/>
              </w:rPr>
              <w:t>3,095</w:t>
            </w:r>
          </w:p>
        </w:tc>
        <w:tc>
          <w:tcPr>
            <w:tcW w:type="dxa" w:w="1440"/>
            <w:shd w:fill="FAFAFA" w:val="clear"/>
          </w:tcPr>
          <w:p>
            <w:r>
              <w:rPr>
                <w:sz w:val="17"/>
              </w:rPr>
              <w:t>3,279</w:t>
            </w:r>
          </w:p>
        </w:tc>
        <w:tc>
          <w:tcPr>
            <w:tcW w:type="dxa" w:w="1440"/>
            <w:shd w:fill="FAFAFA" w:val="clear"/>
          </w:tcPr>
          <w:p>
            <w:r>
              <w:rPr>
                <w:b/>
                <w:color w:val="C00000"/>
                <w:sz w:val="17"/>
              </w:rPr>
              <w:t>-1.0%</w:t>
            </w:r>
          </w:p>
        </w:tc>
      </w:tr>
      <w:tr>
        <w:tc>
          <w:tcPr>
            <w:tcW w:type="dxa" w:w="1440"/>
            <w:shd w:fill="FAFAFA" w:val="clear"/>
          </w:tcPr>
          <w:p>
            <w:r>
              <w:rPr>
                <w:sz w:val="17"/>
              </w:rPr>
              <w:t>J+5  Moyenne</w:t>
            </w:r>
          </w:p>
        </w:tc>
        <w:tc>
          <w:tcPr>
            <w:tcW w:type="dxa" w:w="1440"/>
            <w:shd w:fill="FAFAFA" w:val="clear"/>
          </w:tcPr>
          <w:p>
            <w:r>
              <w:rPr>
                <w:sz w:val="17"/>
              </w:rPr>
              <w:t>2026-08-14</w:t>
            </w:r>
          </w:p>
        </w:tc>
        <w:tc>
          <w:tcPr>
            <w:tcW w:type="dxa" w:w="1440"/>
            <w:shd w:fill="FAFAFA" w:val="clear"/>
          </w:tcPr>
          <w:p>
            <w:r>
              <w:rPr>
                <w:sz w:val="17"/>
              </w:rPr>
              <w:t>2,887</w:t>
            </w:r>
          </w:p>
        </w:tc>
        <w:tc>
          <w:tcPr>
            <w:tcW w:type="dxa" w:w="1440"/>
            <w:shd w:fill="FAFAFA" w:val="clear"/>
          </w:tcPr>
          <w:p>
            <w:r>
              <w:rPr>
                <w:b/>
                <w:sz w:val="17"/>
              </w:rPr>
              <w:t>3,092</w:t>
            </w:r>
          </w:p>
        </w:tc>
        <w:tc>
          <w:tcPr>
            <w:tcW w:type="dxa" w:w="1440"/>
            <w:shd w:fill="FAFAFA" w:val="clear"/>
          </w:tcPr>
          <w:p>
            <w:r>
              <w:rPr>
                <w:sz w:val="17"/>
              </w:rPr>
              <w:t>3,297</w:t>
            </w:r>
          </w:p>
        </w:tc>
        <w:tc>
          <w:tcPr>
            <w:tcW w:type="dxa" w:w="1440"/>
            <w:shd w:fill="FAFAFA" w:val="clear"/>
          </w:tcPr>
          <w:p>
            <w:r>
              <w:rPr>
                <w:b/>
                <w:color w:val="C00000"/>
                <w:sz w:val="17"/>
              </w:rPr>
              <w:t>-1.1%</w:t>
            </w:r>
          </w:p>
        </w:tc>
      </w:tr>
      <w:tr>
        <w:tc>
          <w:tcPr>
            <w:tcW w:type="dxa" w:w="1440"/>
            <w:shd w:fill="FAFAFA" w:val="clear"/>
          </w:tcPr>
          <w:p>
            <w:r>
              <w:rPr>
                <w:sz w:val="17"/>
              </w:rPr>
              <w:t>J+6  Moyenne</w:t>
            </w:r>
          </w:p>
        </w:tc>
        <w:tc>
          <w:tcPr>
            <w:tcW w:type="dxa" w:w="1440"/>
            <w:shd w:fill="FAFAFA" w:val="clear"/>
          </w:tcPr>
          <w:p>
            <w:r>
              <w:rPr>
                <w:sz w:val="17"/>
              </w:rPr>
              <w:t>2026-08-17</w:t>
            </w:r>
          </w:p>
        </w:tc>
        <w:tc>
          <w:tcPr>
            <w:tcW w:type="dxa" w:w="1440"/>
            <w:shd w:fill="FAFAFA" w:val="clear"/>
          </w:tcPr>
          <w:p>
            <w:r>
              <w:rPr>
                <w:sz w:val="17"/>
              </w:rPr>
              <w:t>2,865</w:t>
            </w:r>
          </w:p>
        </w:tc>
        <w:tc>
          <w:tcPr>
            <w:tcW w:type="dxa" w:w="1440"/>
            <w:shd w:fill="FAFAFA" w:val="clear"/>
          </w:tcPr>
          <w:p>
            <w:r>
              <w:rPr>
                <w:b/>
                <w:sz w:val="17"/>
              </w:rPr>
              <w:t>3,089</w:t>
            </w:r>
          </w:p>
        </w:tc>
        <w:tc>
          <w:tcPr>
            <w:tcW w:type="dxa" w:w="1440"/>
            <w:shd w:fill="FAFAFA" w:val="clear"/>
          </w:tcPr>
          <w:p>
            <w:r>
              <w:rPr>
                <w:sz w:val="17"/>
              </w:rPr>
              <w:t>3,314</w:t>
            </w:r>
          </w:p>
        </w:tc>
        <w:tc>
          <w:tcPr>
            <w:tcW w:type="dxa" w:w="1440"/>
            <w:shd w:fill="FAFAFA" w:val="clear"/>
          </w:tcPr>
          <w:p>
            <w:r>
              <w:rPr>
                <w:b/>
                <w:color w:val="C00000"/>
                <w:sz w:val="17"/>
              </w:rPr>
              <w:t>-1.1%</w:t>
            </w:r>
          </w:p>
        </w:tc>
      </w:tr>
      <w:tr>
        <w:tc>
          <w:tcPr>
            <w:tcW w:type="dxa" w:w="1440"/>
            <w:shd w:fill="FAFAFA" w:val="clear"/>
          </w:tcPr>
          <w:p>
            <w:r>
              <w:rPr>
                <w:sz w:val="17"/>
              </w:rPr>
              <w:t>J+7  Moyenne</w:t>
            </w:r>
          </w:p>
        </w:tc>
        <w:tc>
          <w:tcPr>
            <w:tcW w:type="dxa" w:w="1440"/>
            <w:shd w:fill="FAFAFA" w:val="clear"/>
          </w:tcPr>
          <w:p>
            <w:r>
              <w:rPr>
                <w:sz w:val="17"/>
              </w:rPr>
              <w:t>2026-08-18</w:t>
            </w:r>
          </w:p>
        </w:tc>
        <w:tc>
          <w:tcPr>
            <w:tcW w:type="dxa" w:w="1440"/>
            <w:shd w:fill="FAFAFA" w:val="clear"/>
          </w:tcPr>
          <w:p>
            <w:r>
              <w:rPr>
                <w:sz w:val="17"/>
              </w:rPr>
              <w:t>2,844</w:t>
            </w:r>
          </w:p>
        </w:tc>
        <w:tc>
          <w:tcPr>
            <w:tcW w:type="dxa" w:w="1440"/>
            <w:shd w:fill="FAFAFA" w:val="clear"/>
          </w:tcPr>
          <w:p>
            <w:r>
              <w:rPr>
                <w:b/>
                <w:sz w:val="17"/>
              </w:rPr>
              <w:t>3,087</w:t>
            </w:r>
          </w:p>
        </w:tc>
        <w:tc>
          <w:tcPr>
            <w:tcW w:type="dxa" w:w="1440"/>
            <w:shd w:fill="FAFAFA" w:val="clear"/>
          </w:tcPr>
          <w:p>
            <w:r>
              <w:rPr>
                <w:sz w:val="17"/>
              </w:rPr>
              <w:t>3,329</w:t>
            </w:r>
          </w:p>
        </w:tc>
        <w:tc>
          <w:tcPr>
            <w:tcW w:type="dxa" w:w="1440"/>
            <w:shd w:fill="FAFAFA" w:val="clear"/>
          </w:tcPr>
          <w:p>
            <w:r>
              <w:rPr>
                <w:b/>
                <w:color w:val="C00000"/>
                <w:sz w:val="17"/>
              </w:rPr>
              <w:t>-1.2%</w:t>
            </w:r>
          </w:p>
        </w:tc>
      </w:tr>
      <w:tr>
        <w:tc>
          <w:tcPr>
            <w:tcW w:type="dxa" w:w="1440"/>
            <w:shd w:fill="FAFAFA" w:val="clear"/>
          </w:tcPr>
          <w:p>
            <w:r>
              <w:rPr>
                <w:sz w:val="17"/>
              </w:rPr>
              <w:t>J+8  Moyenne</w:t>
            </w:r>
          </w:p>
        </w:tc>
        <w:tc>
          <w:tcPr>
            <w:tcW w:type="dxa" w:w="1440"/>
            <w:shd w:fill="FAFAFA" w:val="clear"/>
          </w:tcPr>
          <w:p>
            <w:r>
              <w:rPr>
                <w:sz w:val="17"/>
              </w:rPr>
              <w:t>2026-08-19</w:t>
            </w:r>
          </w:p>
        </w:tc>
        <w:tc>
          <w:tcPr>
            <w:tcW w:type="dxa" w:w="1440"/>
            <w:shd w:fill="FAFAFA" w:val="clear"/>
          </w:tcPr>
          <w:p>
            <w:r>
              <w:rPr>
                <w:sz w:val="17"/>
              </w:rPr>
              <w:t>2,825</w:t>
            </w:r>
          </w:p>
        </w:tc>
        <w:tc>
          <w:tcPr>
            <w:tcW w:type="dxa" w:w="1440"/>
            <w:shd w:fill="FAFAFA" w:val="clear"/>
          </w:tcPr>
          <w:p>
            <w:r>
              <w:rPr>
                <w:b/>
                <w:sz w:val="17"/>
              </w:rPr>
              <w:t>3,084</w:t>
            </w:r>
          </w:p>
        </w:tc>
        <w:tc>
          <w:tcPr>
            <w:tcW w:type="dxa" w:w="1440"/>
            <w:shd w:fill="FAFAFA" w:val="clear"/>
          </w:tcPr>
          <w:p>
            <w:r>
              <w:rPr>
                <w:sz w:val="17"/>
              </w:rPr>
              <w:t>3,343</w:t>
            </w:r>
          </w:p>
        </w:tc>
        <w:tc>
          <w:tcPr>
            <w:tcW w:type="dxa" w:w="1440"/>
            <w:shd w:fill="FAFAFA" w:val="clear"/>
          </w:tcPr>
          <w:p>
            <w:r>
              <w:rPr>
                <w:b/>
                <w:color w:val="C00000"/>
                <w:sz w:val="17"/>
              </w:rPr>
              <w:t>-1.3%</w:t>
            </w:r>
          </w:p>
        </w:tc>
      </w:tr>
      <w:tr>
        <w:tc>
          <w:tcPr>
            <w:tcW w:type="dxa" w:w="1440"/>
            <w:shd w:fill="FAFAFA" w:val="clear"/>
          </w:tcPr>
          <w:p>
            <w:r>
              <w:rPr>
                <w:sz w:val="17"/>
              </w:rPr>
              <w:t>J+9  Moyenne</w:t>
            </w:r>
          </w:p>
        </w:tc>
        <w:tc>
          <w:tcPr>
            <w:tcW w:type="dxa" w:w="1440"/>
            <w:shd w:fill="FAFAFA" w:val="clear"/>
          </w:tcPr>
          <w:p>
            <w:r>
              <w:rPr>
                <w:sz w:val="17"/>
              </w:rPr>
              <w:t>2026-08-20</w:t>
            </w:r>
          </w:p>
        </w:tc>
        <w:tc>
          <w:tcPr>
            <w:tcW w:type="dxa" w:w="1440"/>
            <w:shd w:fill="FAFAFA" w:val="clear"/>
          </w:tcPr>
          <w:p>
            <w:r>
              <w:rPr>
                <w:sz w:val="17"/>
              </w:rPr>
              <w:t>2,807</w:t>
            </w:r>
          </w:p>
        </w:tc>
        <w:tc>
          <w:tcPr>
            <w:tcW w:type="dxa" w:w="1440"/>
            <w:shd w:fill="FAFAFA" w:val="clear"/>
          </w:tcPr>
          <w:p>
            <w:r>
              <w:rPr>
                <w:b/>
                <w:sz w:val="17"/>
              </w:rPr>
              <w:t>3,081</w:t>
            </w:r>
          </w:p>
        </w:tc>
        <w:tc>
          <w:tcPr>
            <w:tcW w:type="dxa" w:w="1440"/>
            <w:shd w:fill="FAFAFA" w:val="clear"/>
          </w:tcPr>
          <w:p>
            <w:r>
              <w:rPr>
                <w:sz w:val="17"/>
              </w:rPr>
              <w:t>3,356</w:t>
            </w:r>
          </w:p>
        </w:tc>
        <w:tc>
          <w:tcPr>
            <w:tcW w:type="dxa" w:w="1440"/>
            <w:shd w:fill="FAFAFA" w:val="clear"/>
          </w:tcPr>
          <w:p>
            <w:r>
              <w:rPr>
                <w:b/>
                <w:color w:val="C00000"/>
                <w:sz w:val="17"/>
              </w:rPr>
              <w:t>-1.4%</w:t>
            </w:r>
          </w:p>
        </w:tc>
      </w:tr>
      <w:tr>
        <w:tc>
          <w:tcPr>
            <w:tcW w:type="dxa" w:w="1440"/>
            <w:shd w:fill="FAFAFA" w:val="clear"/>
          </w:tcPr>
          <w:p>
            <w:r>
              <w:rPr>
                <w:sz w:val="17"/>
              </w:rPr>
              <w:t>J+10  Moyenne</w:t>
            </w:r>
          </w:p>
        </w:tc>
        <w:tc>
          <w:tcPr>
            <w:tcW w:type="dxa" w:w="1440"/>
            <w:shd w:fill="FAFAFA" w:val="clear"/>
          </w:tcPr>
          <w:p>
            <w:r>
              <w:rPr>
                <w:sz w:val="17"/>
              </w:rPr>
              <w:t>2026-08-21</w:t>
            </w:r>
          </w:p>
        </w:tc>
        <w:tc>
          <w:tcPr>
            <w:tcW w:type="dxa" w:w="1440"/>
            <w:shd w:fill="FAFAFA" w:val="clear"/>
          </w:tcPr>
          <w:p>
            <w:r>
              <w:rPr>
                <w:sz w:val="17"/>
              </w:rPr>
              <w:t>2,790</w:t>
            </w:r>
          </w:p>
        </w:tc>
        <w:tc>
          <w:tcPr>
            <w:tcW w:type="dxa" w:w="1440"/>
            <w:shd w:fill="FAFAFA" w:val="clear"/>
          </w:tcPr>
          <w:p>
            <w:r>
              <w:rPr>
                <w:b/>
                <w:sz w:val="17"/>
              </w:rPr>
              <w:t>3,079</w:t>
            </w:r>
          </w:p>
        </w:tc>
        <w:tc>
          <w:tcPr>
            <w:tcW w:type="dxa" w:w="1440"/>
            <w:shd w:fill="FAFAFA" w:val="clear"/>
          </w:tcPr>
          <w:p>
            <w:r>
              <w:rPr>
                <w:sz w:val="17"/>
              </w:rPr>
              <w:t>3,368</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d'ORGT s'établit à 216,92 milliards FCFA, ce qui en fait une valeur de taille moyenne sur la BRVM, représentative d'un acteur bancaire régional significatif. Avec un BPA de 312 FCFA, chaque action génère un bénéfice confortable, justifiant un PER de 10,0x, en phase avec la moyenne historique du marché (8-12x). Ce ratio indique que les investisseurs paient un prix raisonnable pour les bénéfices de la banque, sans prime excessive. Le P/B de 1,92x valorise le titre légèrement au-dessus de sa valeur comptable, ce qui est sain pour une banque rentable. En revanche, l'EV/EBITDA de 19,9x est nettement supérieur au seuil de 15x, signalant une valorisation exigeante de la capacité opérationnelle de l'entreprise, un point de vigilance pour les investisseurs axés sur la valeur.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ORGT a enregistré une baisse significative de -17,22%, avec une dernière séance en léger repli de -0,48%, clôturant à 3 125 FCFA. Le titre a évolué dans une fourchette large, oscillant entre un plus bas de 2 435 FCFA et un plus haut de 3 995 FCFA, illustrant une forte amplitude de trading. La moyenne du cours sur la période (3 025 FCFA) est supérieure à la médiane (2 780 FCFA), et le skewness positif de 0,620 confirme une distribution asymétrique avec plus de journées sous la moyenne, typique d'une tendance baissière marquée par des épisodes de rebond. L'écart-type de 423 FCFA (CV=14,0%) montre une dispersion modérée, tandis que le kurtosis négatif de -1,067 indique une distribution platykurtique, avec peu de variations extrêmes. La volatilité annualisée de 46,4% classe ORGT comme un titre à risque élevé, bien au-delà du seuil de 30%, ce qui exige une grande prudence.</w:t>
      </w:r>
    </w:p>
    <w:p>
      <w:pPr>
        <w:spacing w:after="120" w:line="276" w:lineRule="auto" w:before="240"/>
      </w:pPr>
      <w:r>
        <w:rPr>
          <w:b/>
          <w:color w:val="003366"/>
          <w:sz w:val="24"/>
        </w:rPr>
        <w:t>**PARTIE 2 : ANALYSE TECHNIQUE DÉTAILLÉE**</w:t>
      </w:r>
    </w:p>
    <w:p>
      <w:pPr>
        <w:spacing w:after="120" w:line="276" w:lineRule="auto"/>
      </w:pPr>
      <w:r>
        <w:t>Les **Moyennes Mobiles** (MM20 à 2 831,5 FCFA et MM50 à 2 764,1 FCFA) sont toutes deux inférieures au cours actuel de 3 125 FCFA, signalant une dynamique haussière à court et moyen terme. La configuration en "courbe ascendante" avec le prix au-dessus des deux moyennes génère un signal d'**Achat**, indiquant que la tendance récente est positive malgré la baisse sur 100 jours.</w:t>
      </w:r>
    </w:p>
    <w:p>
      <w:pPr>
        <w:spacing w:after="120" w:line="276" w:lineRule="auto"/>
      </w:pPr>
      <w:r>
        <w:t>Les **Bandes de Bollinger** montrent un prix (3 125 FCFA) proche de la borne supérieure (3 234,99 FCFA), suggérant une pression acheteuse récente. La largeur des bandes (de 2 428 à 3 235 FCFA) reflète une volatilité élevée. La décision est **Neutre**, car le cours n'a pas encore franchi la borne supérieure, ce qui pourrait précéder une consolidation ou un breakout.</w:t>
      </w:r>
    </w:p>
    <w:p>
      <w:pPr>
        <w:spacing w:after="120" w:line="276" w:lineRule="auto"/>
      </w:pPr>
      <w:r>
        <w:t>Le **MACD** affiche une valeur de 112,499, nettement au-dessus de sa ligne de signal (66,354), confirmant un momentum haussier robuste. Cette divergence positive indique que la dynamique d'achat s'accélère, justifiant une décision d'**Achat**.</w:t>
      </w:r>
    </w:p>
    <w:p>
      <w:pPr>
        <w:spacing w:after="120" w:line="276" w:lineRule="auto"/>
      </w:pPr>
      <w:r>
        <w:t>Le **RSI** à 87,395 est profondément en zone de surachat (au-delà de 70), signalant que le titre est survendu à la hausse et qu'un repli technique est probable à court terme. La décision est **Vente**, car les acheteurs sont épuisés.</w:t>
      </w:r>
    </w:p>
    <w:p>
      <w:pPr>
        <w:spacing w:after="120" w:line="276" w:lineRule="auto"/>
      </w:pPr>
      <w:r>
        <w:t>Le **Stochastique** (%K=94,681, %D=97,518) est également en zone de surachat extrême, avec les deux lignes au-dessus de 80. Bien que %K soit sous %D, indiquant un croisement baissier naissant, la pression vendeuse est imminente, justifiant une décision de **Vente**.</w:t>
      </w:r>
    </w:p>
    <w:p>
      <w:pPr>
        <w:spacing w:after="120" w:line="276" w:lineRule="auto"/>
      </w:pPr>
      <w:r>
        <w:t>**Conclusion technique** : Les indicateurs de tendance (MM, MACD) sont positifs, mais les oscillateurs de momentum (RSI, Stochastique) crient à la surachat. Cette divergence signale un risque élevé de correction à court terme, malgré la tendance haussière sous-jacente. La prudence est de mise avant toute nouvelle position.</w:t>
      </w:r>
    </w:p>
    <w:p>
      <w:pPr>
        <w:spacing w:after="120" w:line="276" w:lineRule="auto" w:before="240"/>
      </w:pPr>
      <w:r>
        <w:rPr>
          <w:b/>
          <w:color w:val="003366"/>
          <w:sz w:val="24"/>
        </w:rPr>
        <w:t>**PARTIE 3 : ANALYSE FONDAMENTALE (SECTION CRITIQUE)**</w:t>
      </w:r>
    </w:p>
    <w:p>
      <w:pPr>
        <w:spacing w:after="120" w:line="276" w:lineRule="auto"/>
      </w:pPr>
      <w:r>
        <w:t>En 2025, les états financiers annuels d'ORGT montrent un Produit Net Bancaire (PNB) de 186,609 milliards FCFA, en baisse de -4,5% par rapport à 2024 (195,4 milliards), et un résultat net de 21,643 milliards FCFA, un retour spectaculaire à la rentabilité après la perte de 44,4 milliards en 2024. Le ROE s'établit à 19,13%, un niveau excellent, et le ROA à 0,54%, reflétant une efficacité opérationnelle en amélioration. Le coefficient d'exploitation de 42,85% est excellent, indiquant une banque très efficace dans la gestion de ses charges. Le coût du risque, à 3,74% des charges financières, reste élevé mais s'est considérablement réduit, passant de 69,1 milliards de provisions en 2024 à 6,97 milliards en 2025. Les dépôts clientèle (3 088,7 milliards) couvrent largement les créances sur la clientèle (1 523,8 milliards), assurant une liquidité solide. Sur la base des rapports trimestriels 2025 (S1 et T3), on estime que la tendance de redressement se poursuit, avec un résultat net cumulé de 19,6 milliards à fin septembre. Le rapport T1 2026 (daté de 2026) confirme cette dynamique avec un résultat net de 6,555 milliards, en hausse de 37%, malgré un PNB en léger recul. La solidité financière est renforcée par des capitaux propres de 113,165 milliards, en hausse de 17%. Les risques résident dans la contraction continue des crédits et la dépendance à la réduction des coûts pour maintenir la rentabilité.</w:t>
      </w:r>
    </w:p>
    <w:p>
      <w:pPr>
        <w:spacing w:after="120" w:line="276" w:lineRule="auto" w:before="240"/>
      </w:pPr>
      <w:r>
        <w:rPr>
          <w:b/>
          <w:color w:val="003366"/>
          <w:sz w:val="24"/>
        </w:rPr>
        <w:t>**PARTIE 4 : CONCLUSION D'INVESTISSEMENT**</w:t>
      </w:r>
    </w:p>
    <w:p>
      <w:pPr>
        <w:spacing w:after="120" w:line="276" w:lineRule="auto"/>
      </w:pPr>
      <w:r>
        <w:t>La valorisation d'ORGT est modérée (PER 10,0x, P/B 1,92x), mais l'EV/EBITDA élevé (19,9x) tempère l'attrait. Le comportement du cours sur 100 jours est baissier (-17,22%), avec une volatilité très élevée (46,4%) et une distribution platykurtique, indiquant un risque de mouvements brusques. Les signaux techniques sont mitigés : les moyennes mobiles et le MACD sont positifs, mais le RSI et le Stochastique en surachat extrême suggèrent une correction imminente. Les fondamentaux sont solides, avec un retour à une rentabilité robuste (ROE 19,1%) et une amélioration drastique du coût du risque, mais la baisse du PNB et des crédits reste préoccupante. Les prédictions IA (J+1 à J+10) montrent une légère baisse progressive de 3 109 à 3 092 FCFA, confirmant le scénario de consolidation technique. En synthèse, la convergence entre la valorisation raisonnable, les fondamentaux en redressement et la prédiction IA d'une stabilisation suggère de conserver le titre. La recommandation finale est **CONSERVER**, avec un niveau de confiance **Moyen**, un risque global **Élevé** (volatilité et surachat technique), et un horizon d'investissement optimal à **moyen terme (3-12 mois)** pour laisser le temps au redressement fondamental de se matérialiser pleinement dans le cours.</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138.82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3,660 titres</w:t>
            </w:r>
          </w:p>
        </w:tc>
        <w:tc>
          <w:tcPr>
            <w:tcW w:type="dxa" w:w="2268"/>
            <w:shd w:fill="FFF2CC" w:val="clear"/>
          </w:tcPr>
          <w:p>
            <w:r>
              <w:rPr>
                <w:b/>
                <w:color w:val="503200"/>
                <w:sz w:val="16"/>
              </w:rPr>
              <w:t xml:space="preserve">Cours actuel : </w:t>
            </w:r>
            <w:r>
              <w:rPr>
                <w:color w:val="000000"/>
                <w:sz w:val="17"/>
              </w:rPr>
              <w:t>8,980 FCFA</w:t>
            </w:r>
          </w:p>
          <w:p>
            <w:r>
              <w:rPr>
                <w:b/>
                <w:color w:val="503200"/>
                <w:sz w:val="16"/>
              </w:rPr>
              <w:t xml:space="preserve">Var. 100 jours : </w:t>
            </w:r>
            <w:r>
              <w:rPr>
                <w:b/>
                <w:color w:val="B40000"/>
                <w:sz w:val="17"/>
              </w:rPr>
              <w:t>-4.52%</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40.7%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6.25% (Moyenne) — μ=8,413 FCFA, σ=526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β=-0.0878 (Contre-cyclique) — Cov=-0.000003, Var(idx)=0.000036, ρ=-0.021,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3,660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σ_j=2.57%/j (Stable) — Vol. annualisée≈40.7%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8,738</w:t>
            </w:r>
          </w:p>
        </w:tc>
        <w:tc>
          <w:tcPr>
            <w:tcW w:type="dxa" w:w="1440"/>
            <w:shd w:fill="FAFAFA" w:val="clear"/>
          </w:tcPr>
          <w:p>
            <w:r>
              <w:rPr>
                <w:b/>
                <w:sz w:val="17"/>
              </w:rPr>
              <w:t>9,026</w:t>
            </w:r>
          </w:p>
        </w:tc>
        <w:tc>
          <w:tcPr>
            <w:tcW w:type="dxa" w:w="1440"/>
            <w:shd w:fill="FAFAFA" w:val="clear"/>
          </w:tcPr>
          <w:p>
            <w:r>
              <w:rPr>
                <w:sz w:val="17"/>
              </w:rPr>
              <w:t>9,314</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8,641</w:t>
            </w:r>
          </w:p>
        </w:tc>
        <w:tc>
          <w:tcPr>
            <w:tcW w:type="dxa" w:w="1440"/>
            <w:shd w:fill="FAFAFA" w:val="clear"/>
          </w:tcPr>
          <w:p>
            <w:r>
              <w:rPr>
                <w:b/>
                <w:sz w:val="17"/>
              </w:rPr>
              <w:t>9,050</w:t>
            </w:r>
          </w:p>
        </w:tc>
        <w:tc>
          <w:tcPr>
            <w:tcW w:type="dxa" w:w="1440"/>
            <w:shd w:fill="FAFAFA" w:val="clear"/>
          </w:tcPr>
          <w:p>
            <w:r>
              <w:rPr>
                <w:sz w:val="17"/>
              </w:rPr>
              <w:t>9,458</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8,575</w:t>
            </w:r>
          </w:p>
        </w:tc>
        <w:tc>
          <w:tcPr>
            <w:tcW w:type="dxa" w:w="1440"/>
            <w:shd w:fill="FAFAFA" w:val="clear"/>
          </w:tcPr>
          <w:p>
            <w:r>
              <w:rPr>
                <w:b/>
                <w:sz w:val="17"/>
              </w:rPr>
              <w:t>9,077</w:t>
            </w:r>
          </w:p>
        </w:tc>
        <w:tc>
          <w:tcPr>
            <w:tcW w:type="dxa" w:w="1440"/>
            <w:shd w:fill="FAFAFA" w:val="clear"/>
          </w:tcPr>
          <w:p>
            <w:r>
              <w:rPr>
                <w:sz w:val="17"/>
              </w:rPr>
              <w:t>9,579</w:t>
            </w:r>
          </w:p>
        </w:tc>
        <w:tc>
          <w:tcPr>
            <w:tcW w:type="dxa" w:w="1440"/>
            <w:shd w:fill="FAFAFA" w:val="clear"/>
          </w:tcPr>
          <w:p>
            <w:r>
              <w:rPr>
                <w:b/>
                <w:color w:val="008000"/>
                <w:sz w:val="17"/>
              </w:rPr>
              <w:t>+1.1%</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8,523</w:t>
            </w:r>
          </w:p>
        </w:tc>
        <w:tc>
          <w:tcPr>
            <w:tcW w:type="dxa" w:w="1440"/>
            <w:shd w:fill="FAFAFA" w:val="clear"/>
          </w:tcPr>
          <w:p>
            <w:r>
              <w:rPr>
                <w:b/>
                <w:sz w:val="17"/>
              </w:rPr>
              <w:t>9,104</w:t>
            </w:r>
          </w:p>
        </w:tc>
        <w:tc>
          <w:tcPr>
            <w:tcW w:type="dxa" w:w="1440"/>
            <w:shd w:fill="FAFAFA" w:val="clear"/>
          </w:tcPr>
          <w:p>
            <w:r>
              <w:rPr>
                <w:sz w:val="17"/>
              </w:rPr>
              <w:t>9,685</w:t>
            </w:r>
          </w:p>
        </w:tc>
        <w:tc>
          <w:tcPr>
            <w:tcW w:type="dxa" w:w="1440"/>
            <w:shd w:fill="FAFAFA" w:val="clear"/>
          </w:tcPr>
          <w:p>
            <w:r>
              <w:rPr>
                <w:b/>
                <w:color w:val="008000"/>
                <w:sz w:val="17"/>
              </w:rPr>
              <w:t>+1.4%</w:t>
            </w:r>
          </w:p>
        </w:tc>
      </w:tr>
      <w:tr>
        <w:tc>
          <w:tcPr>
            <w:tcW w:type="dxa" w:w="1440"/>
            <w:shd w:fill="FAFAFA" w:val="clear"/>
          </w:tcPr>
          <w:p>
            <w:r>
              <w:rPr>
                <w:sz w:val="17"/>
              </w:rPr>
              <w:t>J+5  Moyenne</w:t>
            </w:r>
          </w:p>
        </w:tc>
        <w:tc>
          <w:tcPr>
            <w:tcW w:type="dxa" w:w="1440"/>
            <w:shd w:fill="FAFAFA" w:val="clear"/>
          </w:tcPr>
          <w:p>
            <w:r>
              <w:rPr>
                <w:sz w:val="17"/>
              </w:rPr>
              <w:t>2026-08-14</w:t>
            </w:r>
          </w:p>
        </w:tc>
        <w:tc>
          <w:tcPr>
            <w:tcW w:type="dxa" w:w="1440"/>
            <w:shd w:fill="FAFAFA" w:val="clear"/>
          </w:tcPr>
          <w:p>
            <w:r>
              <w:rPr>
                <w:sz w:val="17"/>
              </w:rPr>
              <w:t>8,480</w:t>
            </w:r>
          </w:p>
        </w:tc>
        <w:tc>
          <w:tcPr>
            <w:tcW w:type="dxa" w:w="1440"/>
            <w:shd w:fill="FAFAFA" w:val="clear"/>
          </w:tcPr>
          <w:p>
            <w:r>
              <w:rPr>
                <w:b/>
                <w:sz w:val="17"/>
              </w:rPr>
              <w:t>9,131</w:t>
            </w:r>
          </w:p>
        </w:tc>
        <w:tc>
          <w:tcPr>
            <w:tcW w:type="dxa" w:w="1440"/>
            <w:shd w:fill="FAFAFA" w:val="clear"/>
          </w:tcPr>
          <w:p>
            <w:r>
              <w:rPr>
                <w:sz w:val="17"/>
              </w:rPr>
              <w:t>9,783</w:t>
            </w:r>
          </w:p>
        </w:tc>
        <w:tc>
          <w:tcPr>
            <w:tcW w:type="dxa" w:w="1440"/>
            <w:shd w:fill="FAFAFA" w:val="clear"/>
          </w:tcPr>
          <w:p>
            <w:r>
              <w:rPr>
                <w:b/>
                <w:color w:val="008000"/>
                <w:sz w:val="17"/>
              </w:rPr>
              <w:t>+1.7%</w:t>
            </w:r>
          </w:p>
        </w:tc>
      </w:tr>
      <w:tr>
        <w:tc>
          <w:tcPr>
            <w:tcW w:type="dxa" w:w="1440"/>
            <w:shd w:fill="FAFAFA" w:val="clear"/>
          </w:tcPr>
          <w:p>
            <w:r>
              <w:rPr>
                <w:sz w:val="17"/>
              </w:rPr>
              <w:t>J+6  Moyenne</w:t>
            </w:r>
          </w:p>
        </w:tc>
        <w:tc>
          <w:tcPr>
            <w:tcW w:type="dxa" w:w="1440"/>
            <w:shd w:fill="FAFAFA" w:val="clear"/>
          </w:tcPr>
          <w:p>
            <w:r>
              <w:rPr>
                <w:sz w:val="17"/>
              </w:rPr>
              <w:t>2026-08-17</w:t>
            </w:r>
          </w:p>
        </w:tc>
        <w:tc>
          <w:tcPr>
            <w:tcW w:type="dxa" w:w="1440"/>
            <w:shd w:fill="FAFAFA" w:val="clear"/>
          </w:tcPr>
          <w:p>
            <w:r>
              <w:rPr>
                <w:sz w:val="17"/>
              </w:rPr>
              <w:t>8,442</w:t>
            </w:r>
          </w:p>
        </w:tc>
        <w:tc>
          <w:tcPr>
            <w:tcW w:type="dxa" w:w="1440"/>
            <w:shd w:fill="FAFAFA" w:val="clear"/>
          </w:tcPr>
          <w:p>
            <w:r>
              <w:rPr>
                <w:b/>
                <w:sz w:val="17"/>
              </w:rPr>
              <w:t>9,158</w:t>
            </w:r>
          </w:p>
        </w:tc>
        <w:tc>
          <w:tcPr>
            <w:tcW w:type="dxa" w:w="1440"/>
            <w:shd w:fill="FAFAFA" w:val="clear"/>
          </w:tcPr>
          <w:p>
            <w:r>
              <w:rPr>
                <w:sz w:val="17"/>
              </w:rPr>
              <w:t>9,874</w:t>
            </w:r>
          </w:p>
        </w:tc>
        <w:tc>
          <w:tcPr>
            <w:tcW w:type="dxa" w:w="1440"/>
            <w:shd w:fill="FAFAFA" w:val="clear"/>
          </w:tcPr>
          <w:p>
            <w:r>
              <w:rPr>
                <w:b/>
                <w:color w:val="008000"/>
                <w:sz w:val="17"/>
              </w:rPr>
              <w:t>+2.0%</w:t>
            </w:r>
          </w:p>
        </w:tc>
      </w:tr>
      <w:tr>
        <w:tc>
          <w:tcPr>
            <w:tcW w:type="dxa" w:w="1440"/>
            <w:shd w:fill="C6EFCE" w:val="clear"/>
          </w:tcPr>
          <w:p>
            <w:r>
              <w:rPr>
                <w:sz w:val="17"/>
              </w:rPr>
              <w:t>J+7  Moyenne</w:t>
            </w:r>
          </w:p>
        </w:tc>
        <w:tc>
          <w:tcPr>
            <w:tcW w:type="dxa" w:w="1440"/>
            <w:shd w:fill="C6EFCE" w:val="clear"/>
          </w:tcPr>
          <w:p>
            <w:r>
              <w:rPr>
                <w:sz w:val="17"/>
              </w:rPr>
              <w:t>2026-08-18</w:t>
            </w:r>
          </w:p>
        </w:tc>
        <w:tc>
          <w:tcPr>
            <w:tcW w:type="dxa" w:w="1440"/>
            <w:shd w:fill="C6EFCE" w:val="clear"/>
          </w:tcPr>
          <w:p>
            <w:r>
              <w:rPr>
                <w:sz w:val="17"/>
              </w:rPr>
              <w:t>8,409</w:t>
            </w:r>
          </w:p>
        </w:tc>
        <w:tc>
          <w:tcPr>
            <w:tcW w:type="dxa" w:w="1440"/>
            <w:shd w:fill="C6EFCE" w:val="clear"/>
          </w:tcPr>
          <w:p>
            <w:r>
              <w:rPr>
                <w:b/>
                <w:sz w:val="17"/>
              </w:rPr>
              <w:t>9,185</w:t>
            </w:r>
          </w:p>
        </w:tc>
        <w:tc>
          <w:tcPr>
            <w:tcW w:type="dxa" w:w="1440"/>
            <w:shd w:fill="C6EFCE" w:val="clear"/>
          </w:tcPr>
          <w:p>
            <w:r>
              <w:rPr>
                <w:sz w:val="17"/>
              </w:rPr>
              <w:t>9,960</w:t>
            </w:r>
          </w:p>
        </w:tc>
        <w:tc>
          <w:tcPr>
            <w:tcW w:type="dxa" w:w="1440"/>
            <w:shd w:fill="C6EFCE" w:val="clear"/>
          </w:tcPr>
          <w:p>
            <w:r>
              <w:rPr>
                <w:b/>
                <w:color w:val="008000"/>
                <w:sz w:val="17"/>
              </w:rPr>
              <w:t>+2.3%</w:t>
            </w:r>
          </w:p>
        </w:tc>
      </w:tr>
      <w:tr>
        <w:tc>
          <w:tcPr>
            <w:tcW w:type="dxa" w:w="1440"/>
            <w:shd w:fill="C6EFCE" w:val="clear"/>
          </w:tcPr>
          <w:p>
            <w:r>
              <w:rPr>
                <w:sz w:val="17"/>
              </w:rPr>
              <w:t>J+8  Moyenne</w:t>
            </w:r>
          </w:p>
        </w:tc>
        <w:tc>
          <w:tcPr>
            <w:tcW w:type="dxa" w:w="1440"/>
            <w:shd w:fill="C6EFCE" w:val="clear"/>
          </w:tcPr>
          <w:p>
            <w:r>
              <w:rPr>
                <w:sz w:val="17"/>
              </w:rPr>
              <w:t>2026-08-19</w:t>
            </w:r>
          </w:p>
        </w:tc>
        <w:tc>
          <w:tcPr>
            <w:tcW w:type="dxa" w:w="1440"/>
            <w:shd w:fill="C6EFCE" w:val="clear"/>
          </w:tcPr>
          <w:p>
            <w:r>
              <w:rPr>
                <w:sz w:val="17"/>
              </w:rPr>
              <w:t>8,380</w:t>
            </w:r>
          </w:p>
        </w:tc>
        <w:tc>
          <w:tcPr>
            <w:tcW w:type="dxa" w:w="1440"/>
            <w:shd w:fill="C6EFCE" w:val="clear"/>
          </w:tcPr>
          <w:p>
            <w:r>
              <w:rPr>
                <w:b/>
                <w:sz w:val="17"/>
              </w:rPr>
              <w:t>9,211</w:t>
            </w:r>
          </w:p>
        </w:tc>
        <w:tc>
          <w:tcPr>
            <w:tcW w:type="dxa" w:w="1440"/>
            <w:shd w:fill="C6EFCE" w:val="clear"/>
          </w:tcPr>
          <w:p>
            <w:r>
              <w:rPr>
                <w:sz w:val="17"/>
              </w:rPr>
              <w:t>10,043</w:t>
            </w:r>
          </w:p>
        </w:tc>
        <w:tc>
          <w:tcPr>
            <w:tcW w:type="dxa" w:w="1440"/>
            <w:shd w:fill="C6EFCE" w:val="clear"/>
          </w:tcPr>
          <w:p>
            <w:r>
              <w:rPr>
                <w:b/>
                <w:color w:val="008000"/>
                <w:sz w:val="17"/>
              </w:rPr>
              <w:t>+2.6%</w:t>
            </w:r>
          </w:p>
        </w:tc>
      </w:tr>
      <w:tr>
        <w:tc>
          <w:tcPr>
            <w:tcW w:type="dxa" w:w="1440"/>
            <w:shd w:fill="C6EFCE" w:val="clear"/>
          </w:tcPr>
          <w:p>
            <w:r>
              <w:rPr>
                <w:sz w:val="17"/>
              </w:rPr>
              <w:t>J+9  Moyenne</w:t>
            </w:r>
          </w:p>
        </w:tc>
        <w:tc>
          <w:tcPr>
            <w:tcW w:type="dxa" w:w="1440"/>
            <w:shd w:fill="C6EFCE" w:val="clear"/>
          </w:tcPr>
          <w:p>
            <w:r>
              <w:rPr>
                <w:sz w:val="17"/>
              </w:rPr>
              <w:t>2026-08-20</w:t>
            </w:r>
          </w:p>
        </w:tc>
        <w:tc>
          <w:tcPr>
            <w:tcW w:type="dxa" w:w="1440"/>
            <w:shd w:fill="C6EFCE" w:val="clear"/>
          </w:tcPr>
          <w:p>
            <w:r>
              <w:rPr>
                <w:sz w:val="17"/>
              </w:rPr>
              <w:t>8,354</w:t>
            </w:r>
          </w:p>
        </w:tc>
        <w:tc>
          <w:tcPr>
            <w:tcW w:type="dxa" w:w="1440"/>
            <w:shd w:fill="C6EFCE" w:val="clear"/>
          </w:tcPr>
          <w:p>
            <w:r>
              <w:rPr>
                <w:b/>
                <w:sz w:val="17"/>
              </w:rPr>
              <w:t>9,238</w:t>
            </w:r>
          </w:p>
        </w:tc>
        <w:tc>
          <w:tcPr>
            <w:tcW w:type="dxa" w:w="1440"/>
            <w:shd w:fill="C6EFCE" w:val="clear"/>
          </w:tcPr>
          <w:p>
            <w:r>
              <w:rPr>
                <w:sz w:val="17"/>
              </w:rPr>
              <w:t>10,122</w:t>
            </w:r>
          </w:p>
        </w:tc>
        <w:tc>
          <w:tcPr>
            <w:tcW w:type="dxa" w:w="1440"/>
            <w:shd w:fill="C6EFCE" w:val="clear"/>
          </w:tcPr>
          <w:p>
            <w:r>
              <w:rPr>
                <w:b/>
                <w:color w:val="008000"/>
                <w:sz w:val="17"/>
              </w:rPr>
              <w:t>+2.9%</w:t>
            </w:r>
          </w:p>
        </w:tc>
      </w:tr>
      <w:tr>
        <w:tc>
          <w:tcPr>
            <w:tcW w:type="dxa" w:w="1440"/>
            <w:shd w:fill="C6EFCE" w:val="clear"/>
          </w:tcPr>
          <w:p>
            <w:r>
              <w:rPr>
                <w:sz w:val="17"/>
              </w:rPr>
              <w:t>J+10  Moyenne</w:t>
            </w:r>
          </w:p>
        </w:tc>
        <w:tc>
          <w:tcPr>
            <w:tcW w:type="dxa" w:w="1440"/>
            <w:shd w:fill="C6EFCE" w:val="clear"/>
          </w:tcPr>
          <w:p>
            <w:r>
              <w:rPr>
                <w:sz w:val="17"/>
              </w:rPr>
              <w:t>2026-08-21</w:t>
            </w:r>
          </w:p>
        </w:tc>
        <w:tc>
          <w:tcPr>
            <w:tcW w:type="dxa" w:w="1440"/>
            <w:shd w:fill="C6EFCE" w:val="clear"/>
          </w:tcPr>
          <w:p>
            <w:r>
              <w:rPr>
                <w:sz w:val="17"/>
              </w:rPr>
              <w:t>8,330</w:t>
            </w:r>
          </w:p>
        </w:tc>
        <w:tc>
          <w:tcPr>
            <w:tcW w:type="dxa" w:w="1440"/>
            <w:shd w:fill="C6EFCE" w:val="clear"/>
          </w:tcPr>
          <w:p>
            <w:r>
              <w:rPr>
                <w:b/>
                <w:sz w:val="17"/>
              </w:rPr>
              <w:t>9,264</w:t>
            </w:r>
          </w:p>
        </w:tc>
        <w:tc>
          <w:tcPr>
            <w:tcW w:type="dxa" w:w="1440"/>
            <w:shd w:fill="C6EFCE" w:val="clear"/>
          </w:tcPr>
          <w:p>
            <w:r>
              <w:rPr>
                <w:sz w:val="17"/>
              </w:rPr>
              <w:t>10,199</w:t>
            </w:r>
          </w:p>
        </w:tc>
        <w:tc>
          <w:tcPr>
            <w:tcW w:type="dxa" w:w="1440"/>
            <w:shd w:fill="C6EFCE" w:val="clear"/>
          </w:tcPr>
          <w:p>
            <w:r>
              <w:rPr>
                <w:b/>
                <w:color w:val="008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PALC s'établit à 138,82 milliards FCFA, ce qui en fait une valeur de taille moyenne sur la BRVM, reflétant un profil de liquidité modéré avec un volume moyen de 3 660 titres par jour. Avec un BPA de 1 003 FCFA, le titre se négocie à un PER de 9,0x, légèrement sous la moyenne historique du marché (8-12x), suggérant une décote relative et un potentiel de revalorisation si les bénéfices se maintiennent. Le P/B de 0,97x est particulièrement intéressant : le marché valorise l'action sous sa valeur comptable, ce qui implique que les investisseurs n'intègrent pas pleinement la solidité du bilan. Enfin, l'EV/EBITDA de 4,4x, nettement inférieur au seuil de 5x, confirme une valorisation très attractive, la valeur d'entreprise ne représentant que 4,4 fois la capacité opérationnelle de la société. L'ensemble de ces ratios positionne PALC comme une valeur fondamentalement sous-évaluée, offrant une marge de sécurité appréciable.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PALC affiche une variation totale de -4,52%, avec une dernière séance stable à 8 980 FCFA. Le titre a évolué dans une fourchette relativement large de 7 000 à 9 500 FCFA, soit une amplitude de 2 500 FCFA, témoignant d'une certaine nervosité. La moyenne sur la période est de 8 413 FCFA, légèrement inférieure à la médiane de 8 600 FCFA, indiquant une distribution quasi symétrique, confirmée par un skewness de -0,120. Le mode de 7 800 FCFA suggère que le cours a fréquemment testé des niveaux plus bas. L'écart-type de 529 FCFA (CV=6,3%) révèle une dispersion modérée autour de la moyenne, tandis que le kurtosis de -0,520 (mésokurtique) indique une absence de pics extrêmes, avec une distribution proche de la normale. La volatilité annualisée de 40,7% classe le titre dans la catégorie des valeurs à forte volatilité (&gt;30%), ce qui implique un risque élevé mais aussi un potentiel de rendement significatif. La tendance générale sur la période est légèrement baissière, avec un cours actuel positionné dans la partie supérieure de son range, suggérant un possible retournement haussier.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de 8 980 FCFA se situe au-dessus de la MM20 (8 796,75 FCFA) et de la MM50 (8 664,7 FCFA), avec un écart positif de 183 FCFA et 315 FCFA respectivement. Cette configuration haussière, où le prix évolue au-dessus des deux moyennes, confirme une dynamique positive à court et moyen terme. La décision d'achat est justifiée par cette structure de prix favorable, indiquant que les acheteurs contrôlent actuellement le marché.</w:t>
      </w:r>
    </w:p>
    <w:p>
      <w:pPr>
        <w:spacing w:after="120" w:line="276" w:lineRule="auto"/>
      </w:pPr>
      <w:r>
        <w:t>**Bandes de Bollinger** : Le prix de 8 980 FCFA se positionne dans la moitié supérieure des bandes, entre la borne inférieure à 8 491,665 FCFA et la borne supérieure à 9 101,835 FCFA. La distance par rapport à la borne supérieure est de 121,8 FCFA, soit environ 1,3%, ce qui indique une pression acheteuse modérée sans surachat extrême. La décision neutre reflète un équilibre entre la tendance haussière et la proximité de la résistance supérieure, avec une volatilité qui reste contenue.</w:t>
      </w:r>
    </w:p>
    <w:p>
      <w:pPr>
        <w:spacing w:after="120" w:line="276" w:lineRule="auto"/>
      </w:pPr>
      <w:r>
        <w:t>**MACD** : Le MACD (93,678) est nettement supérieur à sa ligne de signal (81,146), avec un écart positif de 12,532 points. Cette divergence haussière confirme un momentum positif soutenu, indiquant que la dynamique des prix s'accélère. La décision d'achat est justifiée par cette configuration, qui suggère une poursuite probable de la tendance haussière à court terme, avec un histogramme en expansion.</w:t>
      </w:r>
    </w:p>
    <w:p>
      <w:pPr>
        <w:spacing w:after="120" w:line="276" w:lineRule="auto"/>
      </w:pPr>
      <w:r>
        <w:t>**RSI** : Le RSI de 59,236 se situe dans la zone neutre (30-70), indiquant un équilibre entre pressions acheteuses et vendeuses. Cette valeur, proche de la zone de surachat (&gt;70), suggère qu'il reste encore une marge de progression avant d'atteindre des niveaux extrêmes. La décision neutre reflète une dynamique positive mais modérée, sans signal de retournement imminent.</w:t>
      </w:r>
    </w:p>
    <w:p>
      <w:pPr>
        <w:spacing w:after="120" w:line="276" w:lineRule="auto"/>
      </w:pPr>
      <w:r>
        <w:t>**Stochastique** : Le %K et le %D sont tous deux à 90,476, un niveau très élevé qui indique une condition de surachat extrême. Cette configuration, où le %K est au-dessus de 80, signale un épuisement potentiel de la dynamique haussière à très court terme. La décision de vente est justifiée par ce niveau de surachat, qui précède souvent un repli technique ou une consolidation.</w:t>
      </w:r>
    </w:p>
    <w:p>
      <w:pPr>
        <w:spacing w:after="120" w:line="276" w:lineRule="auto"/>
      </w:pPr>
      <w:r>
        <w:t>**Conclusion technique** : La convergence des indicateurs est mitigée : les moyennes mobiles et le MACD sont positifs, tandis que le RSI est neutre et le stochastique est en surachat. Cette divergence suggère que la tendance haussière de fond reste intacte, mais qu'un repli technique est probable à très court terme. La résistance des bandes de Bollinger à 9 101 FCFA constitue un niveau clé à surveiller, avec un support majeur à la MM50 de 8 664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PALC affiche un chiffre d'affaires de 197,630 milliards FCFA, en croissance de 14,8% par rapport à 2024, avec un résultat net de 15,509 milliards FCFA, en léger repli de 2,2% malgré la hausse de l'activité. La marge nette s'établit à 7,85%, en recul de 1,4 point, tandis que le ROE atteint 10,87% et le ROA 7,79%, des niveaux corrects mais en dessous des standards de performance excellente (&gt;15%). La structure financière est très solide avec une autonomie financière de 71,6%, un endettement minimal (ratio d'endettement de 0,56%) et une solvabilité générale de 352,6%. Le BFR de 44,623 milliards FCFA est un point de vigilance, avec un délai clients de 142,58 jours qui représente un risque de trésorerie significatif, bien que la liquidité générale de 172% reste confortable. Les rapports trimestriels 2025 montrent une dynamique contrastée : le T1 2025 était excellent (CA +32%, résultat net +65% à 11,6 milliards), le S1 2025 confirmait cette tendance (CA +25%, résultat net +37% à 22,9 milliards), mais le T3 2025 a marqué un ralentissement (résultat net cumulé 9 mois à 18,0 milliards, en hausse de seulement 11%). Les données annuelles 2025 (rapport MISTRAL daté du 25 mars 2026) confirment cette pression sur les marges, avec un EBE en baisse de 11% et des charges en hausse. Le rapport T1 2026 (daté de 2026) est préoccupant : CA en baisse de 27% à 49,4 milliards et résultat net effondré de 86% à 1,6 milliard, bien que la direction évoque un décalage temporel des ventes. La recommandation fondamentale est de conserver avec surveillance, car les fondamentaux restent solides mais la rentabilité est sous pression.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PALC est clairement attractive avec un PER de 9,0x, un P/B de 0,97x et un EV/EBITDA de 4,4x, indiquant une sous-évaluation significative sur le marché BRVM. Le comportement du cours sur 100 jours montre une légère baisse de 4,52% mais avec une volatilité élevée (40,7%) et une distribution symétrique, suggérant un marché en consolidation plutôt qu'en dégradation. Les signaux techniques sont mitigés : les moyennes mobiles et le MACD sont positifs, mais le stochastique en surachat (90,5) suggère un repli imminent, tandis que le RSI neutre (59,2) laisse une marge de progression. Les fondamentaux 2025 montrent une croissance du CA de 14,8% mais une baisse de la rentabilité, avec un T1 2026 très faible (-86% du résultat net) qui nécessite une surveillance accrue. Les prédictions IA pour les 10 prochains jours (8 026 à 9 131 FCFA) indiquent une trajectoire haussière progressive, confirmant les signaux techniques positifs à court terme. La convergence entre la valorisation attractive, les signaux techniques globalement positifs et les prédictions IA haussières, malgré des fondamentaux en tension, conduit à une recommandation **CONSERVER** avec un niveau de confiance **Moyen** et un risque global **Élevé**. L'horizon d'investissement optimal est le **moyen terme (3-12 mois)**, en attendant la confirmation d'un redressement des résultats au T2 2026.</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45.88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1,106 titres</w:t>
            </w:r>
          </w:p>
        </w:tc>
        <w:tc>
          <w:tcPr>
            <w:tcW w:type="dxa" w:w="2268"/>
            <w:shd w:fill="FFF2CC" w:val="clear"/>
          </w:tcPr>
          <w:p>
            <w:r>
              <w:rPr>
                <w:b/>
                <w:color w:val="503200"/>
                <w:sz w:val="16"/>
              </w:rPr>
              <w:t xml:space="preserve">Cours actuel : </w:t>
            </w:r>
            <w:r>
              <w:rPr>
                <w:color w:val="000000"/>
                <w:sz w:val="17"/>
              </w:rPr>
              <w:t>4,480 FCFA</w:t>
            </w:r>
          </w:p>
          <w:p>
            <w:r>
              <w:rPr>
                <w:b/>
                <w:color w:val="503200"/>
                <w:sz w:val="16"/>
              </w:rPr>
              <w:t xml:space="preserve">Var. 100 jours : </w:t>
            </w:r>
            <w:r>
              <w:rPr>
                <w:b/>
                <w:color w:val="B40000"/>
                <w:sz w:val="17"/>
              </w:rPr>
              <w:t>-18.55%</w:t>
            </w:r>
          </w:p>
          <w:p>
            <w:r>
              <w:rPr>
                <w:b/>
                <w:color w:val="503200"/>
                <w:sz w:val="16"/>
              </w:rPr>
              <w:t xml:space="preserve">Plus haut 100j : </w:t>
            </w:r>
            <w:r>
              <w:rPr>
                <w:color w:val="000000"/>
                <w:sz w:val="17"/>
              </w:rPr>
              <w:t>5,500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8.85% (Moyenne) — μ=4,516 FCFA, σ=400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β=-0.2557 (Contre-cyclique) — Cov=-0.000009, Var(idx)=0.000036, ρ=-0.058,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σ_j=2.64%/j (Stable) — Vol. annualisée≈42.0%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4,318</w:t>
            </w:r>
          </w:p>
        </w:tc>
        <w:tc>
          <w:tcPr>
            <w:tcW w:type="dxa" w:w="1440"/>
            <w:shd w:fill="FAFAFA" w:val="clear"/>
          </w:tcPr>
          <w:p>
            <w:r>
              <w:rPr>
                <w:b/>
                <w:sz w:val="17"/>
              </w:rPr>
              <w:t>4,434</w:t>
            </w:r>
          </w:p>
        </w:tc>
        <w:tc>
          <w:tcPr>
            <w:tcW w:type="dxa" w:w="1440"/>
            <w:shd w:fill="FAFAFA" w:val="clear"/>
          </w:tcPr>
          <w:p>
            <w:r>
              <w:rPr>
                <w:sz w:val="17"/>
              </w:rPr>
              <w:t>4,550</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4,254</w:t>
            </w:r>
          </w:p>
        </w:tc>
        <w:tc>
          <w:tcPr>
            <w:tcW w:type="dxa" w:w="1440"/>
            <w:shd w:fill="FAFAFA" w:val="clear"/>
          </w:tcPr>
          <w:p>
            <w:r>
              <w:rPr>
                <w:b/>
                <w:sz w:val="17"/>
              </w:rPr>
              <w:t>4,417</w:t>
            </w:r>
          </w:p>
        </w:tc>
        <w:tc>
          <w:tcPr>
            <w:tcW w:type="dxa" w:w="1440"/>
            <w:shd w:fill="FAFAFA" w:val="clear"/>
          </w:tcPr>
          <w:p>
            <w:r>
              <w:rPr>
                <w:sz w:val="17"/>
              </w:rPr>
              <w:t>4,581</w:t>
            </w:r>
          </w:p>
        </w:tc>
        <w:tc>
          <w:tcPr>
            <w:tcW w:type="dxa" w:w="1440"/>
            <w:shd w:fill="FAFAFA" w:val="clear"/>
          </w:tcPr>
          <w:p>
            <w:r>
              <w:rPr>
                <w:b/>
                <w:color w:val="C00000"/>
                <w:sz w:val="17"/>
              </w:rPr>
              <w:t>-1.4%</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4,195</w:t>
            </w:r>
          </w:p>
        </w:tc>
        <w:tc>
          <w:tcPr>
            <w:tcW w:type="dxa" w:w="1440"/>
            <w:shd w:fill="FAFAFA" w:val="clear"/>
          </w:tcPr>
          <w:p>
            <w:r>
              <w:rPr>
                <w:b/>
                <w:sz w:val="17"/>
              </w:rPr>
              <w:t>4,394</w:t>
            </w:r>
          </w:p>
        </w:tc>
        <w:tc>
          <w:tcPr>
            <w:tcW w:type="dxa" w:w="1440"/>
            <w:shd w:fill="FAFAFA" w:val="clear"/>
          </w:tcPr>
          <w:p>
            <w:r>
              <w:rPr>
                <w:sz w:val="17"/>
              </w:rPr>
              <w:t>4,594</w:t>
            </w:r>
          </w:p>
        </w:tc>
        <w:tc>
          <w:tcPr>
            <w:tcW w:type="dxa" w:w="1440"/>
            <w:shd w:fill="FAFAFA" w:val="clear"/>
          </w:tcPr>
          <w:p>
            <w:r>
              <w:rPr>
                <w:b/>
                <w:color w:val="C00000"/>
                <w:sz w:val="17"/>
              </w:rPr>
              <w:t>-1.9%</w:t>
            </w:r>
          </w:p>
        </w:tc>
      </w:tr>
      <w:tr>
        <w:tc>
          <w:tcPr>
            <w:tcW w:type="dxa" w:w="1440"/>
            <w:shd w:fill="FFDCE0" w:val="clear"/>
          </w:tcPr>
          <w:p>
            <w:r>
              <w:rPr>
                <w:sz w:val="17"/>
              </w:rPr>
              <w:t>J+4  Moyenne</w:t>
            </w:r>
          </w:p>
        </w:tc>
        <w:tc>
          <w:tcPr>
            <w:tcW w:type="dxa" w:w="1440"/>
            <w:shd w:fill="FFDCE0" w:val="clear"/>
          </w:tcPr>
          <w:p>
            <w:r>
              <w:rPr>
                <w:sz w:val="17"/>
              </w:rPr>
              <w:t>2026-08-13</w:t>
            </w:r>
          </w:p>
        </w:tc>
        <w:tc>
          <w:tcPr>
            <w:tcW w:type="dxa" w:w="1440"/>
            <w:shd w:fill="FFDCE0" w:val="clear"/>
          </w:tcPr>
          <w:p>
            <w:r>
              <w:rPr>
                <w:sz w:val="17"/>
              </w:rPr>
              <w:t>4,144</w:t>
            </w:r>
          </w:p>
        </w:tc>
        <w:tc>
          <w:tcPr>
            <w:tcW w:type="dxa" w:w="1440"/>
            <w:shd w:fill="FFDCE0" w:val="clear"/>
          </w:tcPr>
          <w:p>
            <w:r>
              <w:rPr>
                <w:b/>
                <w:sz w:val="17"/>
              </w:rPr>
              <w:t>4,372</w:t>
            </w:r>
          </w:p>
        </w:tc>
        <w:tc>
          <w:tcPr>
            <w:tcW w:type="dxa" w:w="1440"/>
            <w:shd w:fill="FFDCE0" w:val="clear"/>
          </w:tcPr>
          <w:p>
            <w:r>
              <w:rPr>
                <w:sz w:val="17"/>
              </w:rPr>
              <w:t>4,601</w:t>
            </w:r>
          </w:p>
        </w:tc>
        <w:tc>
          <w:tcPr>
            <w:tcW w:type="dxa" w:w="1440"/>
            <w:shd w:fill="FFDCE0" w:val="clear"/>
          </w:tcPr>
          <w:p>
            <w:r>
              <w:rPr>
                <w:b/>
                <w:color w:val="C00000"/>
                <w:sz w:val="17"/>
              </w:rPr>
              <w:t>-2.4%</w:t>
            </w:r>
          </w:p>
        </w:tc>
      </w:tr>
      <w:tr>
        <w:tc>
          <w:tcPr>
            <w:tcW w:type="dxa" w:w="1440"/>
            <w:shd w:fill="FFDCE0" w:val="clear"/>
          </w:tcPr>
          <w:p>
            <w:r>
              <w:rPr>
                <w:sz w:val="17"/>
              </w:rPr>
              <w:t>J+5  Moyenne</w:t>
            </w:r>
          </w:p>
        </w:tc>
        <w:tc>
          <w:tcPr>
            <w:tcW w:type="dxa" w:w="1440"/>
            <w:shd w:fill="FFDCE0" w:val="clear"/>
          </w:tcPr>
          <w:p>
            <w:r>
              <w:rPr>
                <w:sz w:val="17"/>
              </w:rPr>
              <w:t>2026-08-14</w:t>
            </w:r>
          </w:p>
        </w:tc>
        <w:tc>
          <w:tcPr>
            <w:tcW w:type="dxa" w:w="1440"/>
            <w:shd w:fill="FFDCE0" w:val="clear"/>
          </w:tcPr>
          <w:p>
            <w:r>
              <w:rPr>
                <w:sz w:val="17"/>
              </w:rPr>
              <w:t>4,097</w:t>
            </w:r>
          </w:p>
        </w:tc>
        <w:tc>
          <w:tcPr>
            <w:tcW w:type="dxa" w:w="1440"/>
            <w:shd w:fill="FFDCE0" w:val="clear"/>
          </w:tcPr>
          <w:p>
            <w:r>
              <w:rPr>
                <w:b/>
                <w:sz w:val="17"/>
              </w:rPr>
              <w:t>4,351</w:t>
            </w:r>
          </w:p>
        </w:tc>
        <w:tc>
          <w:tcPr>
            <w:tcW w:type="dxa" w:w="1440"/>
            <w:shd w:fill="FFDCE0" w:val="clear"/>
          </w:tcPr>
          <w:p>
            <w:r>
              <w:rPr>
                <w:sz w:val="17"/>
              </w:rPr>
              <w:t>4,606</w:t>
            </w:r>
          </w:p>
        </w:tc>
        <w:tc>
          <w:tcPr>
            <w:tcW w:type="dxa" w:w="1440"/>
            <w:shd w:fill="FFDCE0" w:val="clear"/>
          </w:tcPr>
          <w:p>
            <w:r>
              <w:rPr>
                <w:b/>
                <w:color w:val="C00000"/>
                <w:sz w:val="17"/>
              </w:rPr>
              <w:t>-2.9%</w:t>
            </w:r>
          </w:p>
        </w:tc>
      </w:tr>
      <w:tr>
        <w:tc>
          <w:tcPr>
            <w:tcW w:type="dxa" w:w="1440"/>
            <w:shd w:fill="FFDCE0" w:val="clear"/>
          </w:tcPr>
          <w:p>
            <w:r>
              <w:rPr>
                <w:sz w:val="17"/>
              </w:rPr>
              <w:t>J+6  Moyenne</w:t>
            </w:r>
          </w:p>
        </w:tc>
        <w:tc>
          <w:tcPr>
            <w:tcW w:type="dxa" w:w="1440"/>
            <w:shd w:fill="FFDCE0" w:val="clear"/>
          </w:tcPr>
          <w:p>
            <w:r>
              <w:rPr>
                <w:sz w:val="17"/>
              </w:rPr>
              <w:t>2026-08-17</w:t>
            </w:r>
          </w:p>
        </w:tc>
        <w:tc>
          <w:tcPr>
            <w:tcW w:type="dxa" w:w="1440"/>
            <w:shd w:fill="FFDCE0" w:val="clear"/>
          </w:tcPr>
          <w:p>
            <w:r>
              <w:rPr>
                <w:sz w:val="17"/>
              </w:rPr>
              <w:t>4,053</w:t>
            </w:r>
          </w:p>
        </w:tc>
        <w:tc>
          <w:tcPr>
            <w:tcW w:type="dxa" w:w="1440"/>
            <w:shd w:fill="FFDCE0" w:val="clear"/>
          </w:tcPr>
          <w:p>
            <w:r>
              <w:rPr>
                <w:b/>
                <w:sz w:val="17"/>
              </w:rPr>
              <w:t>4,331</w:t>
            </w:r>
          </w:p>
        </w:tc>
        <w:tc>
          <w:tcPr>
            <w:tcW w:type="dxa" w:w="1440"/>
            <w:shd w:fill="FFDCE0" w:val="clear"/>
          </w:tcPr>
          <w:p>
            <w:r>
              <w:rPr>
                <w:sz w:val="17"/>
              </w:rPr>
              <w:t>4,608</w:t>
            </w:r>
          </w:p>
        </w:tc>
        <w:tc>
          <w:tcPr>
            <w:tcW w:type="dxa" w:w="1440"/>
            <w:shd w:fill="FFDCE0" w:val="clear"/>
          </w:tcPr>
          <w:p>
            <w:r>
              <w:rPr>
                <w:b/>
                <w:color w:val="C00000"/>
                <w:sz w:val="17"/>
              </w:rPr>
              <w:t>-3.3%</w:t>
            </w:r>
          </w:p>
        </w:tc>
      </w:tr>
      <w:tr>
        <w:tc>
          <w:tcPr>
            <w:tcW w:type="dxa" w:w="1440"/>
            <w:shd w:fill="FFDCE0" w:val="clear"/>
          </w:tcPr>
          <w:p>
            <w:r>
              <w:rPr>
                <w:sz w:val="17"/>
              </w:rPr>
              <w:t>J+7  Moyenne</w:t>
            </w:r>
          </w:p>
        </w:tc>
        <w:tc>
          <w:tcPr>
            <w:tcW w:type="dxa" w:w="1440"/>
            <w:shd w:fill="FFDCE0" w:val="clear"/>
          </w:tcPr>
          <w:p>
            <w:r>
              <w:rPr>
                <w:sz w:val="17"/>
              </w:rPr>
              <w:t>2026-08-18</w:t>
            </w:r>
          </w:p>
        </w:tc>
        <w:tc>
          <w:tcPr>
            <w:tcW w:type="dxa" w:w="1440"/>
            <w:shd w:fill="FFDCE0" w:val="clear"/>
          </w:tcPr>
          <w:p>
            <w:r>
              <w:rPr>
                <w:sz w:val="17"/>
              </w:rPr>
              <w:t>4,012</w:t>
            </w:r>
          </w:p>
        </w:tc>
        <w:tc>
          <w:tcPr>
            <w:tcW w:type="dxa" w:w="1440"/>
            <w:shd w:fill="FFDCE0" w:val="clear"/>
          </w:tcPr>
          <w:p>
            <w:r>
              <w:rPr>
                <w:b/>
                <w:sz w:val="17"/>
              </w:rPr>
              <w:t>4,311</w:t>
            </w:r>
          </w:p>
        </w:tc>
        <w:tc>
          <w:tcPr>
            <w:tcW w:type="dxa" w:w="1440"/>
            <w:shd w:fill="FFDCE0" w:val="clear"/>
          </w:tcPr>
          <w:p>
            <w:r>
              <w:rPr>
                <w:sz w:val="17"/>
              </w:rPr>
              <w:t>4,609</w:t>
            </w:r>
          </w:p>
        </w:tc>
        <w:tc>
          <w:tcPr>
            <w:tcW w:type="dxa" w:w="1440"/>
            <w:shd w:fill="FFDCE0" w:val="clear"/>
          </w:tcPr>
          <w:p>
            <w:r>
              <w:rPr>
                <w:b/>
                <w:color w:val="C00000"/>
                <w:sz w:val="17"/>
              </w:rPr>
              <w:t>-3.8%</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3,973</w:t>
            </w:r>
          </w:p>
        </w:tc>
        <w:tc>
          <w:tcPr>
            <w:tcW w:type="dxa" w:w="1440"/>
            <w:shd w:fill="FFDCE0" w:val="clear"/>
          </w:tcPr>
          <w:p>
            <w:r>
              <w:rPr>
                <w:b/>
                <w:sz w:val="17"/>
              </w:rPr>
              <w:t>4,291</w:t>
            </w:r>
          </w:p>
        </w:tc>
        <w:tc>
          <w:tcPr>
            <w:tcW w:type="dxa" w:w="1440"/>
            <w:shd w:fill="FFDCE0" w:val="clear"/>
          </w:tcPr>
          <w:p>
            <w:r>
              <w:rPr>
                <w:sz w:val="17"/>
              </w:rPr>
              <w:t>4,608</w:t>
            </w:r>
          </w:p>
        </w:tc>
        <w:tc>
          <w:tcPr>
            <w:tcW w:type="dxa" w:w="1440"/>
            <w:shd w:fill="FFDCE0" w:val="clear"/>
          </w:tcPr>
          <w:p>
            <w:r>
              <w:rPr>
                <w:b/>
                <w:color w:val="C00000"/>
                <w:sz w:val="17"/>
              </w:rPr>
              <w:t>-4.2%</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3,936</w:t>
            </w:r>
          </w:p>
        </w:tc>
        <w:tc>
          <w:tcPr>
            <w:tcW w:type="dxa" w:w="1440"/>
            <w:shd w:fill="FFDCE0" w:val="clear"/>
          </w:tcPr>
          <w:p>
            <w:r>
              <w:rPr>
                <w:b/>
                <w:sz w:val="17"/>
              </w:rPr>
              <w:t>4,272</w:t>
            </w:r>
          </w:p>
        </w:tc>
        <w:tc>
          <w:tcPr>
            <w:tcW w:type="dxa" w:w="1440"/>
            <w:shd w:fill="FFDCE0" w:val="clear"/>
          </w:tcPr>
          <w:p>
            <w:r>
              <w:rPr>
                <w:sz w:val="17"/>
              </w:rPr>
              <w:t>4,607</w:t>
            </w:r>
          </w:p>
        </w:tc>
        <w:tc>
          <w:tcPr>
            <w:tcW w:type="dxa" w:w="1440"/>
            <w:shd w:fill="FFDCE0" w:val="clear"/>
          </w:tcPr>
          <w:p>
            <w:r>
              <w:rPr>
                <w:b/>
                <w:color w:val="C00000"/>
                <w:sz w:val="17"/>
              </w:rPr>
              <w:t>-4.7%</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3,901</w:t>
            </w:r>
          </w:p>
        </w:tc>
        <w:tc>
          <w:tcPr>
            <w:tcW w:type="dxa" w:w="1440"/>
            <w:shd w:fill="FFDCE0" w:val="clear"/>
          </w:tcPr>
          <w:p>
            <w:r>
              <w:rPr>
                <w:b/>
                <w:sz w:val="17"/>
              </w:rPr>
              <w:t>4,253</w:t>
            </w:r>
          </w:p>
        </w:tc>
        <w:tc>
          <w:tcPr>
            <w:tcW w:type="dxa" w:w="1440"/>
            <w:shd w:fill="FFDCE0" w:val="clear"/>
          </w:tcPr>
          <w:p>
            <w:r>
              <w:rPr>
                <w:sz w:val="17"/>
              </w:rPr>
              <w:t>4,605</w:t>
            </w:r>
          </w:p>
        </w:tc>
        <w:tc>
          <w:tcPr>
            <w:tcW w:type="dxa" w:w="1440"/>
            <w:shd w:fill="FFDCE0" w:val="clear"/>
          </w:tcPr>
          <w:p>
            <w:r>
              <w:rPr>
                <w:b/>
                <w:color w:val="C00000"/>
                <w:sz w:val="17"/>
              </w:rPr>
              <w:t>-5.1%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CI)**</w:t>
        <w:br/>
        <w:t>**Date : 10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45,88 milliards FCFA, un niveau qui la positionne comme une valeur de taille moyenne sur la BRVM, représentative du secteur de la distribution automobile. Le BPA de 231 FCFA indique que chaque action génère un bénéfice modeste, ce qui, rapporté au cours actuel, donne un PER de 19,4x. Ce ratio est nettement supérieur à la moyenne historique de la BRVM (8-12x), signifiant que les investisseurs paient une prime significative pour la croissance anticipée de la société. Le P/B de 3,98x confirme cette prime, le marché valorisant le titre près de 4 fois sa valeur comptable, ce qui reflète une forte confiance dans la création de valeur future. Enfin, un EV/EBITDA de 9,9x, dans la fourchette haute des standards, suggère une valorisation globalement exigeante, qui laisse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PRSC a enregistré une baisse significative de 18,55%, avec une légère contraction de 0,11% lors de la dernière séance, s'échangeant actuellement à 4 480 FCFA. Le titre a évolué dans un large range de 3 620 FCFA (plus bas) à 5 500 FCFA (plus haut), illustrant une forte amplitude de trading sur la période. La moyenne du cours (4 516 FCFA) est très proche de la médiane (4 550 FCFA), indiquant une distribution des prix relativement symétrique, bien que le skewness légèrement négatif (-0.462) suggère une tendance à des mouvements baissiers plus marqués. L'écart-type de 402 FCFA (CV=8,9%) témoigne d'une dispersion modérée, mais la volatilité annualisée de 42% classe le titre comme très risqué. Le kurtosis proche de zéro (0.049) indique une distribution mésokurtique, sans risque de pics extrêmes particuliers, mais la tendance globale reste résolument baissière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(4 480 FCFA) se situe sous la MM20 (4 486,25 FCFA) mais au-dessus de la MM50 (4 448,9 FCFA). Cette configuration, où le prix est proche de la moyenne courte mais soutenu par la moyenne longue, indique une stabilisation après la baisse. La décision "Achat" suggère que la tendance de fond reste positive, mais la proximité du cours avec la MM20 appelle à la prudence.</w:t>
      </w:r>
    </w:p>
    <w:p>
      <w:pPr>
        <w:spacing w:after="120" w:line="276" w:lineRule="auto"/>
      </w:pPr>
      <w:r>
        <w:t>**Bandes de Bollinger** : Le prix se positionne presque à mi-chemin entre la borne supérieure (4 709,6 FCFA) et la borne inférieure (4 262,9 FCFA), indiquant une volatilité modérée et une absence de pression directionnelle forte. La décision "Neutre" est cohérente avec cette position centrale, signalant une phase de consolidation après les mouvements récents.</w:t>
      </w:r>
    </w:p>
    <w:p>
      <w:pPr>
        <w:spacing w:after="120" w:line="276" w:lineRule="auto"/>
      </w:pPr>
      <w:r>
        <w:t>**MACD** : La valeur du MACD (4,414) est nettement inférieure à son signal (18,901), générant un croisement baissier. Ce signal de "Vente" indique un momentum négatif persistant, suggérant que la pression vendeuse pourrait se poursuivre à court terme, malgré la tentative de stabilisation des prix.</w:t>
      </w:r>
    </w:p>
    <w:p>
      <w:pPr>
        <w:spacing w:after="120" w:line="276" w:lineRule="auto"/>
      </w:pPr>
      <w:r>
        <w:t>**RSI** : À 48,33, le RSI se situe en zone neutre (entre 30 et 70), indiquant un équilibre entre les forces acheteuses et vendeuses. Cette valeur suggère que le titre n'est ni suracheté ni survendu, laissant place à une évolution directionnelle sans contrainte technique majeure.</w:t>
      </w:r>
    </w:p>
    <w:p>
      <w:pPr>
        <w:spacing w:after="120" w:line="276" w:lineRule="auto"/>
      </w:pPr>
      <w:r>
        <w:t>**Stochastique** : Le %K (32,65) est supérieur au %D (22,45), avec les deux indicateurs en zone de survente relative (&lt;50). Cette configuration peut précéder un rebond technique, mais la décision "Neutre" reflète l'absence de confirmation claire d'un retournement haussier.</w:t>
      </w:r>
    </w:p>
    <w:p>
      <w:pPr>
        <w:spacing w:after="120" w:line="276" w:lineRule="auto"/>
      </w:pPr>
      <w:r>
        <w:t>**Conclusion technique** : La convergence des indicateurs est mitigée. Les moyennes mobiles et le RSI suggèrent une stabilisation, tandis que le MACD et la position dans les bandes de Bollinger indiquent une faiblesse persistante. Le signal global est donc prudent, avec un biais légèrement négatif à court terme, mais sans signal de vente majeur.</w:t>
      </w:r>
    </w:p>
    <w:p>
      <w:pPr>
        <w:spacing w:after="120" w:line="276" w:lineRule="auto"/>
      </w:pPr>
      <w:r>
        <w:t>---</w:t>
      </w:r>
    </w:p>
    <w:p>
      <w:pPr>
        <w:spacing w:after="120" w:line="276" w:lineRule="auto"/>
      </w:pPr>
      <w:r>
        <w:t>### PARTIE 3 : ANALYSE FONDAMENTALE (SECTION CRITIQUE)</w:t>
      </w:r>
    </w:p>
    <w:p>
      <w:pPr>
        <w:spacing w:after="120" w:line="276" w:lineRule="auto"/>
      </w:pPr>
      <w:r>
        <w:t>En 2025, PRSC affiche un chiffre d'affaires de 81,127 milliards FCFA, en hausse de 9,5% par rapport à 2024 (74,45 milliards), selon les données structurées. Le résultat net s'établit à 2,367 milliards FCFA, contre 2,177 milliards en 2024, soit une progression de 8,7%. La rentabilité des fonds propres (ROE) est excellente à 20,53%, tandis que le ROA s'établit à 4,95%. En tant qu'entreprise de distribution, l'analyse se concentre sur le BFR, qui est positif à 11,267 milliards FCFA, reflétant un besoin de financement important. Le délai de stockage est élevé (150,51 jours), immobilisant du capital, mais le délai fournisseurs (102,65 jours) compense partiellement, offrant un financement naturel. Le rapport du 1er semestre 2025 (daté du 30/06/2025) montre une performance exceptionnelle avec un CA de 39,968 milliards (+15,1%) et un résultat net multiplié par 28 à 1,436 milliard. Sur cette base, on estime que l'exercice 2025 devrait dépasser les 81 milliards de CA, avec un résultat net potentiel supérieur à 2,5 milliards, confirmant la dynamique positive. Cependant, la marge nette reste faible (2,9%), et la trésorerie nette est négative (-4,092 milliards), un point de vigilance. La solidité financière est soutenue par des capitaux propres de 11,531 milliards et une solvabilité générale de 131,76%, mais la dépendance aux créances clients (45,99 jours) et la pression sur les marges constituent des risques à surveiller.</w:t>
      </w:r>
    </w:p>
    <w:p>
      <w:pPr>
        <w:spacing w:after="120" w:line="276" w:lineRule="auto"/>
      </w:pPr>
      <w:r>
        <w:t>---</w:t>
      </w:r>
    </w:p>
    <w:p>
      <w:pPr>
        <w:spacing w:after="120" w:line="276" w:lineRule="auto"/>
      </w:pPr>
      <w:r>
        <w:t>### PARTIE 4 : CONCLUSION D'INVESTISSEMENT</w:t>
      </w:r>
    </w:p>
    <w:p>
      <w:pPr>
        <w:spacing w:after="120" w:line="276" w:lineRule="auto"/>
      </w:pPr>
      <w:r>
        <w:t>La valorisation de PRSC (PER 19,4x, P/B 3,98x) apparaît élevée par rapport aux standards BRVM, indiquant une possible surévaluation malgré des fondamentaux solides. Le comportement du cours sur 100 jours est préoccupant avec une baisse de 18,55%, une volatilité élevée (42%) et une distribution légèrement asymétrique négative. Les signaux techniques sont mitigés, avec une stabilisation des moyennes mobiles mais un momentum baissier confirmé par le MACD. Les fondamentaux, en revanche, sont rassurants : croissance du CA de 9,5% en 2025, ROE de 20,5%, et un semestre 2025 exceptionnel. Les prédictions IA pour les 10 prochains jours (4 434 à 4 351 FCFA) confirment une tendance baissière à court terme, contredisant les signaux de stabilisation technique. En synthèse, la convergence entre la valorisation exigeante, la tendance baissière du cours et les prédictions IA défavorables l'emporte sur la solidité fondamentale. **Recommandation : VENTE** avec un niveau de confiance **Moyen**, un risque global **Élevé**, et un horizon d'investissement optimal à **court terme (&lt;3 mois)** pour les investisseurs cherchant à limiter leur exposition, tandis que les investisseurs à long terme pourraient attendre un point d'entrée plus favorable sous les 4 200 FCFA.</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42.63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7,246 titres</w:t>
            </w:r>
          </w:p>
        </w:tc>
        <w:tc>
          <w:tcPr>
            <w:tcW w:type="dxa" w:w="2268"/>
            <w:shd w:fill="FFF2CC" w:val="clear"/>
          </w:tcPr>
          <w:p>
            <w:r>
              <w:rPr>
                <w:b/>
                <w:color w:val="503200"/>
                <w:sz w:val="16"/>
              </w:rPr>
              <w:t xml:space="preserve">Cours actuel : </w:t>
            </w:r>
            <w:r>
              <w:rPr>
                <w:color w:val="000000"/>
                <w:sz w:val="17"/>
              </w:rPr>
              <w:t>5,250 FCFA</w:t>
            </w:r>
          </w:p>
          <w:p>
            <w:r>
              <w:rPr>
                <w:b/>
                <w:color w:val="503200"/>
                <w:sz w:val="16"/>
              </w:rPr>
              <w:t xml:space="preserve">Var. 100 jours : </w:t>
            </w:r>
            <w:r>
              <w:rPr>
                <w:b/>
                <w:color w:val="B40000"/>
                <w:sz w:val="17"/>
              </w:rPr>
              <w:t>-13.93%</w:t>
            </w:r>
          </w:p>
          <w:p>
            <w:r>
              <w:rPr>
                <w:b/>
                <w:color w:val="503200"/>
                <w:sz w:val="16"/>
              </w:rPr>
              <w:t xml:space="preserve">Plus haut 100j : </w:t>
            </w:r>
            <w:r>
              <w:rPr>
                <w:color w:val="000000"/>
                <w:sz w:val="17"/>
              </w:rPr>
              <w:t>7,555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83.1%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31.9/100 → Moyen</w:t>
      </w:r>
    </w:p>
    <w:p>
      <w:pPr>
        <w:spacing w:before="40" w:after="80"/>
      </w:pPr>
      <w:r>
        <w:rPr>
          <w:rFonts w:ascii="Courier New" w:hAnsi="Courier New"/>
          <w:color w:val="825A00"/>
          <w:sz w:val="18"/>
        </w:rPr>
        <w:t>██████░░░░░░░░░░░░░░  31.9/100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23.75% (Élevée) — μ=4,826 FCFA, σ=1,146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β=0.4387 (Défensif) — Cov=0.000016, Var(idx)=0.000036, ρ=0.050,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7,246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σ_j=5.23%/j (Instable) — Vol. annualisée≈83.1%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4,597</w:t>
            </w:r>
          </w:p>
        </w:tc>
        <w:tc>
          <w:tcPr>
            <w:tcW w:type="dxa" w:w="1440"/>
            <w:shd w:fill="FFDCE0" w:val="clear"/>
          </w:tcPr>
          <w:p>
            <w:r>
              <w:rPr>
                <w:b/>
                <w:sz w:val="17"/>
              </w:rPr>
              <w:t>4,856</w:t>
            </w:r>
          </w:p>
        </w:tc>
        <w:tc>
          <w:tcPr>
            <w:tcW w:type="dxa" w:w="1440"/>
            <w:shd w:fill="FFDCE0" w:val="clear"/>
          </w:tcPr>
          <w:p>
            <w:r>
              <w:rPr>
                <w:sz w:val="17"/>
              </w:rPr>
              <w:t>5,116</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4,152</w:t>
            </w:r>
          </w:p>
        </w:tc>
        <w:tc>
          <w:tcPr>
            <w:tcW w:type="dxa" w:w="1440"/>
            <w:shd w:fill="FFDCE0" w:val="clear"/>
          </w:tcPr>
          <w:p>
            <w:r>
              <w:rPr>
                <w:b/>
                <w:sz w:val="17"/>
              </w:rPr>
              <w:t>4,492</w:t>
            </w:r>
          </w:p>
        </w:tc>
        <w:tc>
          <w:tcPr>
            <w:tcW w:type="dxa" w:w="1440"/>
            <w:shd w:fill="FFDCE0" w:val="clear"/>
          </w:tcPr>
          <w:p>
            <w:r>
              <w:rPr>
                <w:sz w:val="17"/>
              </w:rPr>
              <w:t>4,832</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3,770</w:t>
            </w:r>
          </w:p>
        </w:tc>
        <w:tc>
          <w:tcPr>
            <w:tcW w:type="dxa" w:w="1440"/>
            <w:shd w:fill="FFDCE0" w:val="clear"/>
          </w:tcPr>
          <w:p>
            <w:r>
              <w:rPr>
                <w:b/>
                <w:sz w:val="17"/>
              </w:rPr>
              <w:t>4,155</w:t>
            </w:r>
          </w:p>
        </w:tc>
        <w:tc>
          <w:tcPr>
            <w:tcW w:type="dxa" w:w="1440"/>
            <w:shd w:fill="FFDCE0" w:val="clear"/>
          </w:tcPr>
          <w:p>
            <w:r>
              <w:rPr>
                <w:sz w:val="17"/>
              </w:rPr>
              <w:t>4,540</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3,433</w:t>
            </w:r>
          </w:p>
        </w:tc>
        <w:tc>
          <w:tcPr>
            <w:tcW w:type="dxa" w:w="1440"/>
            <w:shd w:fill="FFDCE0" w:val="clear"/>
          </w:tcPr>
          <w:p>
            <w:r>
              <w:rPr>
                <w:b/>
                <w:sz w:val="17"/>
              </w:rPr>
              <w:t>3,843</w:t>
            </w:r>
          </w:p>
        </w:tc>
        <w:tc>
          <w:tcPr>
            <w:tcW w:type="dxa" w:w="1440"/>
            <w:shd w:fill="FFDCE0" w:val="clear"/>
          </w:tcPr>
          <w:p>
            <w:r>
              <w:rPr>
                <w:sz w:val="17"/>
              </w:rPr>
              <w:t>4,254</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3,130</w:t>
            </w:r>
          </w:p>
        </w:tc>
        <w:tc>
          <w:tcPr>
            <w:tcW w:type="dxa" w:w="1440"/>
            <w:shd w:fill="FFDCE0" w:val="clear"/>
          </w:tcPr>
          <w:p>
            <w:r>
              <w:rPr>
                <w:b/>
                <w:sz w:val="17"/>
              </w:rPr>
              <w:t>3,555</w:t>
            </w:r>
          </w:p>
        </w:tc>
        <w:tc>
          <w:tcPr>
            <w:tcW w:type="dxa" w:w="1440"/>
            <w:shd w:fill="FFDCE0" w:val="clear"/>
          </w:tcPr>
          <w:p>
            <w:r>
              <w:rPr>
                <w:sz w:val="17"/>
              </w:rPr>
              <w:t>3,980</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2,858</w:t>
            </w:r>
          </w:p>
        </w:tc>
        <w:tc>
          <w:tcPr>
            <w:tcW w:type="dxa" w:w="1440"/>
            <w:shd w:fill="FFDCE0" w:val="clear"/>
          </w:tcPr>
          <w:p>
            <w:r>
              <w:rPr>
                <w:b/>
                <w:sz w:val="17"/>
              </w:rPr>
              <w:t>3,289</w:t>
            </w:r>
          </w:p>
        </w:tc>
        <w:tc>
          <w:tcPr>
            <w:tcW w:type="dxa" w:w="1440"/>
            <w:shd w:fill="FFDCE0" w:val="clear"/>
          </w:tcPr>
          <w:p>
            <w:r>
              <w:rPr>
                <w:sz w:val="17"/>
              </w:rPr>
              <w:t>3,719</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2,612</w:t>
            </w:r>
          </w:p>
        </w:tc>
        <w:tc>
          <w:tcPr>
            <w:tcW w:type="dxa" w:w="1440"/>
            <w:shd w:fill="FFDCE0" w:val="clear"/>
          </w:tcPr>
          <w:p>
            <w:r>
              <w:rPr>
                <w:b/>
                <w:sz w:val="17"/>
              </w:rPr>
              <w:t>3,042</w:t>
            </w:r>
          </w:p>
        </w:tc>
        <w:tc>
          <w:tcPr>
            <w:tcW w:type="dxa" w:w="1440"/>
            <w:shd w:fill="FFDCE0" w:val="clear"/>
          </w:tcPr>
          <w:p>
            <w:r>
              <w:rPr>
                <w:sz w:val="17"/>
              </w:rPr>
              <w:t>3,472</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2,388</w:t>
            </w:r>
          </w:p>
        </w:tc>
        <w:tc>
          <w:tcPr>
            <w:tcW w:type="dxa" w:w="1440"/>
            <w:shd w:fill="FFDCE0" w:val="clear"/>
          </w:tcPr>
          <w:p>
            <w:r>
              <w:rPr>
                <w:b/>
                <w:sz w:val="17"/>
              </w:rPr>
              <w:t>2,814</w:t>
            </w:r>
          </w:p>
        </w:tc>
        <w:tc>
          <w:tcPr>
            <w:tcW w:type="dxa" w:w="1440"/>
            <w:shd w:fill="FFDCE0" w:val="clear"/>
          </w:tcPr>
          <w:p>
            <w:r>
              <w:rPr>
                <w:sz w:val="17"/>
              </w:rPr>
              <w:t>3,239</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2,185</w:t>
            </w:r>
          </w:p>
        </w:tc>
        <w:tc>
          <w:tcPr>
            <w:tcW w:type="dxa" w:w="1440"/>
            <w:shd w:fill="FFDCE0" w:val="clear"/>
          </w:tcPr>
          <w:p>
            <w:r>
              <w:rPr>
                <w:b/>
                <w:sz w:val="17"/>
              </w:rPr>
              <w:t>2,603</w:t>
            </w:r>
          </w:p>
        </w:tc>
        <w:tc>
          <w:tcPr>
            <w:tcW w:type="dxa" w:w="1440"/>
            <w:shd w:fill="FFDCE0" w:val="clear"/>
          </w:tcPr>
          <w:p>
            <w:r>
              <w:rPr>
                <w:sz w:val="17"/>
              </w:rPr>
              <w:t>3,020</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2,001</w:t>
            </w:r>
          </w:p>
        </w:tc>
        <w:tc>
          <w:tcPr>
            <w:tcW w:type="dxa" w:w="1440"/>
            <w:shd w:fill="FFDCE0" w:val="clear"/>
          </w:tcPr>
          <w:p>
            <w:r>
              <w:rPr>
                <w:b/>
                <w:sz w:val="17"/>
              </w:rPr>
              <w:t>2,408</w:t>
            </w:r>
          </w:p>
        </w:tc>
        <w:tc>
          <w:tcPr>
            <w:tcW w:type="dxa" w:w="1440"/>
            <w:shd w:fill="FFDCE0" w:val="clear"/>
          </w:tcPr>
          <w:p>
            <w:r>
              <w:rPr>
                <w:sz w:val="17"/>
              </w:rPr>
              <w:t>2,815</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42,63 milliards FCFA, un niveau modeste dans l'écosystème de la BRVM, reflétant le profil de petite capitalisation de la société. Le BPA de 86 FCFA par action est faible, ce qui explique un PER de 60,8x, extrêmement élevé par rapport à la moyenne historique de la BRVM (8-12x). Les investisseurs paient donc une prime considérable pour chaque franc de bénéfice, ce qui traduit des attentes de croissance très fortes. Le P/B de 7,21x confirme cette valorisation exigeante, le marché valorisant la société à plus de sept fois sa valeur comptable. Enfin, l'EV/EBITDA de 78,8x est également très élevé, indiquant que la valeur d'entreprise est très supérieure à sa capacité opérationnelle de génération de cash. Ces ratios suggèrent une valorisation qui anticipe une poursuite du redressement spectaculaire de la société.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SAFC a enregistré une variation totale de -13,93%, avec un rebond de +5,00% lors de la dernière séance, clôturant à 5 250 FCFA. Le cours a évolué dans une fourchette très large, entre un plus bas de 3 340 FCFA et un plus haut de 7 555 FCFA, illustrant une volatilité extrême. La moyenne du cours (4 826 FCFA) est supérieure à la médiane (4 505 FCFA), et le skewness positif de 0,837 confirme une asymétrie positive avec plus de journées sous la moyenne, suggérant des mouvements haussiers ponctuels suivis de replis. L'écart-type de 1 152 FCFA (CV de 23,9%) indique une dispersion significative, tandis que le kurtosis de -0,373 (mésokurtique) suggère une distribution proche de la normale, sans risque de pics extrêmes particuliers. La volatilité annualisée de 83,1% est extrêmement élevée, plaçant ce titre parmi les plus risqués de la place, avec des mouvements de cours amples et rapides.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5 250 FCFA est nettement au-dessus de la MM20 (4 730,75 FCFA) et de la MM50 (4 386,7 FCFA), avec un écart de plus de 10% et 20% respectivement. Cette configuration haussière, où le cours évolue au-dessus des deux moyennes, génère un signal d'achat, indiquant une dynamique positive à court et moyen terme.</w:t>
      </w:r>
    </w:p>
    <w:p>
      <w:pPr>
        <w:spacing w:after="120" w:line="276" w:lineRule="auto"/>
      </w:pPr>
      <w:r>
        <w:t>**Bandes de Bollinger** : Le cours se situe à 5 250 FCFA, proche de la borne supérieure (5 465,87 FCFA) et très éloigné de la borne inférieure (3 995,63 FCFA). Cette position suggère une pression acheteuse soutenue, mais le signal est neutre car le cours n'a pas encore franchi la borne supérieure, ce qui pourrait indiquer une poursuite de la tendance ou un retournement imminent.</w:t>
      </w:r>
    </w:p>
    <w:p>
      <w:pPr>
        <w:spacing w:after="120" w:line="276" w:lineRule="auto"/>
      </w:pPr>
      <w:r>
        <w:t>**MACD** : La valeur du MACD (225,81) est supérieure à son signal (193,77), avec un écart positif de 32 points. Cette configuration haussière indique un momentum positif, confirmant la dynamique d'achat observée sur les moyennes mobiles.</w:t>
      </w:r>
    </w:p>
    <w:p>
      <w:pPr>
        <w:spacing w:after="120" w:line="276" w:lineRule="auto"/>
      </w:pPr>
      <w:r>
        <w:t>**RSI** : Le RSI s'établit à 72,37, au-dessus du seuil de surachat de 70. Ce niveau indique que le titre est techniquement suracheté, ce qui pourrait précéder un repli à court terme. Le signal de vente est donc activé, suggérant une prudence pour les acheteurs à ces niveaux.</w:t>
      </w:r>
    </w:p>
    <w:p>
      <w:pPr>
        <w:spacing w:after="120" w:line="276" w:lineRule="auto"/>
      </w:pPr>
      <w:r>
        <w:t>**Stochastique** : Le %K (90,91) est nettement supérieur au %D (79,37), tous deux en zone de surachat. Cette configuration, avec un écart important, renforce le signal de vente, indiquant une possible correction technique après une hausse rapide.</w:t>
      </w:r>
    </w:p>
    <w:p>
      <w:pPr>
        <w:spacing w:after="120" w:line="276" w:lineRule="auto"/>
      </w:pPr>
      <w:r>
        <w:t>**Conclusion technique** : Les indicateurs sont partagés, avec un signal d'achat sur les moyennes mobiles et le MACD, mais des signaux de vente sur le RSI et le stochastique en zone de surachat. Cette divergence suggère une tendance haussière sous-jacente mais un risque de correction à court terme. La prudence est recommandée, avec un possible repli vers les 4 700-4 800 FCFA avant une éventuelle reprise.</w:t>
      </w:r>
    </w:p>
    <w:p>
      <w:pPr>
        <w:spacing w:after="120" w:line="276" w:lineRule="auto"/>
      </w:pPr>
      <w:r>
        <w:t>---</w:t>
      </w:r>
    </w:p>
    <w:p>
      <w:pPr>
        <w:spacing w:after="120" w:line="276" w:lineRule="auto"/>
      </w:pPr>
      <w:r>
        <w:t>### PARTIE 3 : ANALYSE FONDAMENTALE (SECTION CRITIQUE)</w:t>
      </w:r>
    </w:p>
    <w:p>
      <w:pPr>
        <w:spacing w:after="120" w:line="276" w:lineRule="auto"/>
      </w:pPr>
      <w:r>
        <w:t>En 2025, SAFC a réalisé un retour spectaculaire à la rentabilité avec un résultat net de 701 millions FCFA, après huit années de pertes consécutives. Le Produit Net Bancaire (PNB) a bondi de 44,1% à 5,735 milliards FCFA, porté par une hausse des intérêts et produits assimilés (+14,4%) et des commissions (+81%). La marge nette s'établit à 12,2%, le ROE à 11,85% et le ROA à 0,88%. Le coefficient d'exploitation de 77,6% reste élevé, indiquant une efficacité opérationnelle encore perfectible. Le coût du risque de 6,57% (provisions/charges financières) est significatif, reflétant un portefeuille de crédit encore fragile. Les capitaux propres de 5,916 milliards FCFA restent faibles (7,4% du bilan), avec un report à nouveau négatif de -3,257 milliards FCFA. Le rapport du 1er trimestre 2026 (publié en mai 2026) confirme cette dynamique avec un PNB en hausse de 29% à 1,395 milliards FCFA et un résultat net de 151 millions FCFA, soit une marge nette de 10,8%. Le coût du risque a été réduit de 75%, et le ratio de solvabilité s'établit à 11,64%. Sur la base de ces résultats trimestriels, on estime que l'exercice 2026 pourrait dépasser les performances de 2025, avec un PNB annuel potentiel de 5,8-6,0 milliards FCFA et un résultat net de 600-700 millions FCFA. Le rachat par CREDAF Group en avril 2025 a été un catalyseur majeur, apportant une nouvelle gouvernance et une stratégie de redressement efficace. Les principaux risques restent la qualité du portefeuille de crédits, la faiblesse des fonds propres et la dépendance au financement interbancaire.</w:t>
      </w:r>
    </w:p>
    <w:p>
      <w:pPr>
        <w:spacing w:after="120" w:line="276" w:lineRule="auto"/>
      </w:pPr>
      <w:r>
        <w:t>---</w:t>
      </w:r>
    </w:p>
    <w:p>
      <w:pPr>
        <w:spacing w:after="120" w:line="276" w:lineRule="auto"/>
      </w:pPr>
      <w:r>
        <w:t>### PARTIE 4 : CONCLUSION D'INVESTISSEMENT</w:t>
      </w:r>
    </w:p>
    <w:p>
      <w:pPr>
        <w:spacing w:after="120" w:line="276" w:lineRule="auto"/>
      </w:pPr>
      <w:r>
        <w:t>La valorisation de SAFC est extrêmement exigeante (PER 60,8x, P/B 7,21x, EV/EBITDA 78,8x), reflétant des attentes de croissance très optimistes qui semblent déjà intégrer le redressement en cours. Le comportement du cours sur 100 jours montre une volatilité extrême (83,1% annualisée) avec une tendance baissière récente (-13,93%), malgré un rebond de +5% à la dernière séance. Les signaux techniques sont mitigés : les moyennes mobiles et le MACD sont positifs, mais le RSI et le stochastique en zone de surachat suggèrent un risque de correction à court terme. Les fondamentaux sont en amélioration spectaculaire, avec un retour à la rentabilité en 2025 et une dynamique confirmée au T1 2026, mais la structure financière reste fragile avec des fonds propres insuffisants. Les prédictions IA pour les 10 prochains jours indiquent une trajectoire baissière marquée, avec un cours projeté à 3 555 FCFA, soit une baisse de 32% par rapport au niveau actuel. Cette projection contredit les signaux techniques positifs et suggère une correction imminente. En synthèse, la convergence entre la valorisation excessive, les signaux techniques de surachat et les prédictions IA baissières conduit à une recommandation de **VENTE** avec un niveau de confiance **Moyen** et un risque global **Élevé**. L'horizon d'investissement optimal serait à court terme (&lt;3 mois) pour les investisseurs cherchant à éviter une correction, tandis que les investisseurs à long terme pourraient attendre un point d'entrée plus favorable, idéalement sous les 4 000 FCFA.</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du co\u00fbt du risque (+491%) et le r\u00e9sultat net d\u00e9ficitaire en aggravation r\u00e9v\u00e8lent des difficult\u00e9s structurelles majeures. L'impact combin\u00e9 de la COVID-19 et des redressements fiscaux fragilise durablement la rentabilit\u00e9."}</w:t>
      </w:r>
    </w:p>
    <w:p>
      <w:pPr>
        <w:spacing w:before="40"/>
        <w:ind w:left="400"/>
      </w:pPr>
      <w:r>
        <w:rPr>
          <w:sz w:val="18"/>
        </w:rPr>
        <w:t>SAFCA CI (Société Africaine de Crédit Automobile) affiche des résultats préoccupants pour le 4T 2020 avec un résultat net déficitaire de -1 306 millions FCFA contre -211 millions en 2019. Le Produit Net Bancaire recule de 4% à 3 414 millions FCFA, impacté par la crise sanitaire COVID-19. Le coût du risque explose de 491% à -1 135 millions FCFA, révélant une dégradation significative du portefeuille de crédit. Le total bilan progresse néanmoins de 5% à 66 533 millions FCFA grâce à l'accroissement des avoirs bancaires. Les ratios prudentiels restent conformes aux exigences réglementaires malgré la détérioration des résultats.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'-1 135M FCFA', 'ratio_solvabilite': '10.778%', 'ratio_fonds_propres_CET1': '7.966%', 'operations_clientele_actif': '45 046M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-38.3%</w:t>
            </w:r>
          </w:p>
        </w:tc>
        <w:tc>
          <w:tcPr>
            <w:tcW w:type="dxa" w:w="2160"/>
          </w:tcPr>
          <w:p>
            <w:pPr>
              <w:ind w:left="100"/>
            </w:pPr>
            <w:r/>
            <w:r>
              <w:rPr>
                <w:b/>
                <w:sz w:val="16"/>
              </w:rPr>
              <w:t>total_actif</w:t>
              <w:br/>
            </w:r>
            <w:r>
              <w:rPr>
                <w:sz w:val="18"/>
              </w:rPr>
              <w:t>66 533M FCFA</w:t>
            </w:r>
          </w:p>
        </w:tc>
      </w:tr>
      <w:tr>
        <w:tc>
          <w:tcPr>
            <w:tcW w:type="dxa" w:w="2160"/>
          </w:tcPr>
          <w:p>
            <w:r/>
            <w:r>
              <w:rPr>
                <w:b/>
                <w:sz w:val="16"/>
              </w:rPr>
              <w:t>resultat_net</w:t>
              <w:br/>
            </w:r>
            <w:r>
              <w:rPr>
                <w:sz w:val="18"/>
              </w:rPr>
              <w:t>-1 306M FCFA</w:t>
            </w:r>
          </w:p>
        </w:tc>
        <w:tc>
          <w:tcPr>
            <w:tcW w:type="dxa" w:w="2160"/>
          </w:tcPr>
          <w:p>
            <w:r/>
            <w:r>
              <w:rPr>
                <w:b/>
                <w:sz w:val="16"/>
              </w:rPr>
              <w:t>capitaux_propres</w:t>
              <w:br/>
            </w:r>
            <w:r>
              <w:rPr>
                <w:sz w:val="18"/>
              </w:rPr>
              <w:t>6 798M FCFA</w:t>
            </w:r>
          </w:p>
        </w:tc>
        <w:tc>
          <w:tcPr>
            <w:tcW w:type="dxa" w:w="2160"/>
          </w:tcPr>
          <w:p>
            <w:r/>
            <w:r>
              <w:rPr>
                <w:b/>
                <w:sz w:val="16"/>
              </w:rPr>
              <w:t>chiffre_affaires</w:t>
              <w:br/>
            </w:r>
            <w:r>
              <w:rPr>
                <w:sz w:val="18"/>
              </w:rPr>
              <w:t>3 414M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déficitaire de -1 306M FCFA au 4T 2020 contre -211M FCFA en 2019 (-519%)</w:t>
      </w:r>
    </w:p>
    <w:p>
      <w:pPr>
        <w:pStyle w:val="ListBullet"/>
        <w:spacing w:before="20" w:after="20"/>
        <w:ind w:left="700"/>
      </w:pPr>
      <w:r>
        <w:rPr>
          <w:sz w:val="18"/>
        </w:rPr>
        <w:t>Coût du risque en forte dégradation : -1 135M FCFA contre -192M FCFA (+491%)</w:t>
      </w:r>
    </w:p>
    <w:p>
      <w:pPr>
        <w:pStyle w:val="ListBullet"/>
        <w:spacing w:before="20" w:after="20"/>
        <w:ind w:left="700"/>
      </w:pPr>
      <w:r>
        <w:rPr>
          <w:sz w:val="18"/>
        </w:rPr>
        <w:t>Produit Net Bancaire en baisse de 4% à 3 414M FCFA, impacté par la COVID-19</w:t>
      </w:r>
    </w:p>
    <w:p>
      <w:pPr>
        <w:pStyle w:val="ListBullet"/>
        <w:spacing w:before="20" w:after="20"/>
        <w:ind w:left="700"/>
      </w:pPr>
      <w:r>
        <w:rPr>
          <w:sz w:val="18"/>
        </w:rPr>
        <w:t>Impact négatif des redressements fiscaux sur les résultats 2020</w:t>
      </w:r>
    </w:p>
    <w:p>
      <w:pPr>
        <w:pStyle w:val="ListBullet"/>
        <w:spacing w:before="20" w:after="20"/>
        <w:ind w:left="700"/>
      </w:pPr>
      <w:r>
        <w:rPr>
          <w:sz w:val="18"/>
        </w:rPr>
        <w:t>Croissance du total bilan de 5% à 66 533M FCFA grâce aux opérations de trésorerie (+316%)</w:t>
      </w:r>
    </w:p>
    <w:p>
      <w:pPr>
        <w:pStyle w:val="ListBullet"/>
        <w:spacing w:before="20" w:after="20"/>
        <w:ind w:left="700"/>
      </w:pPr>
      <w:r>
        <w:rPr>
          <w:sz w:val="18"/>
        </w:rPr>
        <w:t>Diminution des capitaux propres de 19% à 6 798M FCFA</w:t>
      </w:r>
    </w:p>
    <w:p>
      <w:pPr>
        <w:spacing w:before="40"/>
        <w:ind w:left="400"/>
      </w:pPr>
      <w:r>
        <w:rPr>
          <w:b/>
          <w:color w:val="C05000"/>
          <w:sz w:val="18"/>
        </w:rPr>
        <w:t xml:space="preserve">⚠️ Risques : </w:t>
      </w:r>
      <w:r>
        <w:rPr>
          <w:sz w:val="18"/>
        </w:rPr>
        <w:t>["Forte exposition au risque de cr\u00e9dit avec une d\u00e9gradation continue du portefeuille", "Impact persistant de la crise sanitaire sur l'activit\u00e9 de cr\u00e9dit automobile", "Pression r\u00e9glementaire fiscale avec des redressements impactant les r\u00e9sultats"]</w:t>
      </w:r>
    </w:p>
    <w:p>
      <w:pPr>
        <w:spacing w:before="40"/>
        <w:ind w:left="400"/>
      </w:pPr>
      <w:r>
        <w:rPr>
          <w:b/>
          <w:color w:val="0064A0"/>
          <w:sz w:val="18"/>
        </w:rPr>
        <w:t xml:space="preserve">🔮 Perspectives : </w:t>
      </w:r>
      <w:r>
        <w:rPr>
          <w:sz w:val="18"/>
        </w:rPr>
        <w:t>Les perspectives 2021 restent incertaines compte tenu de la persistance des effets COVID-19 sur le secteur automobile et du niveau élevé du coût du risque. Une amélioration dépendra de la capacité à maîtriser les provisions et à relancer l'activité commerciale post-crise.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persistance des pertes, l'am\u00e9lioration significative du co\u00fbt du risque et la conformit\u00e9 r\u00e9glementaire montrent une trajectoire de redressement. La soci\u00e9t\u00e9 fait preuve de r\u00e9silience face \u00e0 la pand\u00e9mie COVID-19."}</w:t>
      </w:r>
    </w:p>
    <w:p>
      <w:pPr>
        <w:spacing w:before="40"/>
        <w:ind w:left="400"/>
      </w:pPr>
      <w:r>
        <w:rPr>
          <w:sz w:val="18"/>
        </w:rPr>
        <w:t>SAFCA CI (Alios Finance) affiche une performance contrastée au T1 2021 avec un Produit Net Bancaire en recul de 37% à 536 MFCFA contre 852 MFCFA au T1 2020. Le coût du risque s'améliore significativement de 81% passant de 431 MFCFA à 84 MFCFA, témoignant d'une meilleure maîtrise des risques. Le résultat net demeure négatif à -444 MFCFA mais s'améliore de 24% par rapport au T1 2020 (-584 MFCFA). Le total du bilan progresse légèrement de 1% à 67,509 MFCFA, porté par la croissance des opérations de trésorerie et sur titres. Les ratios prudentiels restent conformes aux exigences réglementaires avec un ratio de solvabilité de 11,135%.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'8,019%', 'cout_du_risque': '84 MFCFA', 'ratio_solvabilite': '11,135%', 'operations_clientele_actif': '43,766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67,509 MFCFA</w:t>
            </w:r>
          </w:p>
        </w:tc>
      </w:tr>
      <w:tr>
        <w:tc>
          <w:tcPr>
            <w:tcW w:type="dxa" w:w="2160"/>
          </w:tcPr>
          <w:p>
            <w:r/>
            <w:r>
              <w:rPr>
                <w:b/>
                <w:sz w:val="16"/>
              </w:rPr>
              <w:t>resultat_net</w:t>
              <w:br/>
            </w:r>
            <w:r>
              <w:rPr>
                <w:sz w:val="18"/>
              </w:rPr>
              <w:t>-444 MFCFA</w:t>
            </w:r>
          </w:p>
        </w:tc>
        <w:tc>
          <w:tcPr>
            <w:tcW w:type="dxa" w:w="2160"/>
          </w:tcPr>
          <w:p>
            <w:r/>
            <w:r>
              <w:rPr>
                <w:b/>
                <w:sz w:val="16"/>
              </w:rPr>
              <w:t>capitaux_propres</w:t>
              <w:br/>
            </w:r>
            <w:r>
              <w:rPr>
                <w:sz w:val="18"/>
              </w:rPr>
              <w:t>6,379 MFCFA</w:t>
            </w:r>
          </w:p>
        </w:tc>
        <w:tc>
          <w:tcPr>
            <w:tcW w:type="dxa" w:w="2160"/>
          </w:tcPr>
          <w:p>
            <w:r/>
            <w:r>
              <w:rPr>
                <w:b/>
                <w:sz w:val="16"/>
              </w:rPr>
              <w:t>chiffre_affaires</w:t>
              <w:br/>
            </w:r>
            <w:r>
              <w:rPr>
                <w:sz w:val="18"/>
              </w:rPr>
              <w:t>536 MFCFA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Produit Net Bancaire de 37% à 536 MFCFA au T1 2021</w:t>
      </w:r>
    </w:p>
    <w:p>
      <w:pPr>
        <w:pStyle w:val="ListBullet"/>
        <w:spacing w:before="20" w:after="20"/>
        <w:ind w:left="700"/>
      </w:pPr>
      <w:r>
        <w:rPr>
          <w:sz w:val="18"/>
        </w:rPr>
        <w:t>Amélioration marquée du coût du risque de 81% démontrant une meilleure gestion des créances</w:t>
      </w:r>
    </w:p>
    <w:p>
      <w:pPr>
        <w:pStyle w:val="ListBullet"/>
        <w:spacing w:before="20" w:after="20"/>
        <w:ind w:left="700"/>
      </w:pPr>
      <w:r>
        <w:rPr>
          <w:sz w:val="18"/>
        </w:rPr>
        <w:t>Résultat net négatif mais en amélioration de 24% à -444 MFCFA</w:t>
      </w:r>
    </w:p>
    <w:p>
      <w:pPr>
        <w:pStyle w:val="ListBullet"/>
        <w:spacing w:before="20" w:after="20"/>
        <w:ind w:left="700"/>
      </w:pPr>
      <w:r>
        <w:rPr>
          <w:sz w:val="18"/>
        </w:rPr>
        <w:t>Croissance modérée du total bilan de 1% à 67,509 MFCFA</w:t>
      </w:r>
    </w:p>
    <w:p>
      <w:pPr>
        <w:pStyle w:val="ListBullet"/>
        <w:spacing w:before="20" w:after="20"/>
        <w:ind w:left="700"/>
      </w:pPr>
      <w:r>
        <w:rPr>
          <w:sz w:val="18"/>
        </w:rPr>
        <w:t>Progression des opérations de trésorerie de 11% à 13,955 MFCFA</w:t>
      </w:r>
    </w:p>
    <w:p>
      <w:pPr>
        <w:pStyle w:val="ListBullet"/>
        <w:spacing w:before="20" w:after="20"/>
        <w:ind w:left="700"/>
      </w:pPr>
      <w:r>
        <w:rPr>
          <w:sz w:val="18"/>
        </w:rPr>
        <w:t>Baisse des capitaux propres de 6% à 6,379 MFCFA</w:t>
      </w:r>
    </w:p>
    <w:p>
      <w:pPr>
        <w:spacing w:before="40"/>
        <w:ind w:left="400"/>
      </w:pPr>
      <w:r>
        <w:rPr>
          <w:b/>
          <w:color w:val="C05000"/>
          <w:sz w:val="18"/>
        </w:rPr>
        <w:t xml:space="preserve">⚠️ Risques : </w:t>
      </w:r>
      <w:r>
        <w:rPr>
          <w:sz w:val="18"/>
        </w:rPr>
        <w:t>["Persistance des r\u00e9sultats n\u00e9gatifs malgr\u00e9 l'am\u00e9lioration observ\u00e9e", "\u00c9rosion des capitaux propres qui ont diminu\u00e9 de 6% sur la p\u00e9riode", "Vuln\u00e9rabilit\u00e9 du secteur financier aux chocs \u00e9conomiques et sanitaires"]</w:t>
      </w:r>
    </w:p>
    <w:p>
      <w:pPr>
        <w:spacing w:before="40"/>
        <w:ind w:left="400"/>
      </w:pPr>
      <w:r>
        <w:rPr>
          <w:b/>
          <w:color w:val="0064A0"/>
          <w:sz w:val="18"/>
        </w:rPr>
        <w:t xml:space="preserve">🔮 Perspectives : </w:t>
      </w:r>
      <w:r>
        <w:rPr>
          <w:sz w:val="18"/>
        </w:rPr>
        <w:t>La société montre des signes de redressement avec une meilleure maîtrise des risques et une dynamique commerciale positive selon la direction. La relance progressive de l'activité économique post-COVID devrait soutenir la performance dans les trimestres à venir, à condition de maintenir la disciplin</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69.58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12,315 titres</w:t>
            </w:r>
          </w:p>
        </w:tc>
        <w:tc>
          <w:tcPr>
            <w:tcW w:type="dxa" w:w="2268"/>
            <w:shd w:fill="FFF2CC" w:val="clear"/>
          </w:tcPr>
          <w:p>
            <w:r>
              <w:rPr>
                <w:b/>
                <w:color w:val="503200"/>
                <w:sz w:val="16"/>
              </w:rPr>
              <w:t xml:space="preserve">Cours actuel : </w:t>
            </w:r>
            <w:r>
              <w:rPr>
                <w:color w:val="000000"/>
                <w:sz w:val="17"/>
              </w:rPr>
              <w:t>3,550 FCFA</w:t>
            </w:r>
          </w:p>
          <w:p>
            <w:r>
              <w:rPr>
                <w:b/>
                <w:color w:val="503200"/>
                <w:sz w:val="16"/>
              </w:rPr>
              <w:t xml:space="preserve">Var. 100 jours : </w:t>
            </w:r>
            <w:r>
              <w:rPr>
                <w:b/>
                <w:color w:val="007800"/>
                <w:sz w:val="17"/>
              </w:rPr>
              <w:t>+135.88%</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1,455 FCFA</w:t>
            </w:r>
          </w:p>
          <w:p>
            <w:r>
              <w:rPr>
                <w:b/>
                <w:color w:val="503200"/>
                <w:sz w:val="16"/>
              </w:rPr>
              <w:t xml:space="preserve">Volatilité ann. : </w:t>
            </w:r>
            <w:r>
              <w:rPr>
                <w:color w:val="000000"/>
                <w:sz w:val="17"/>
              </w:rPr>
              <w:t>58.1%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28.19% (Élevée) — μ=2,651 FCFA, σ=747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β=0.4585 (Défensif) — Cov=0.000017, Var(idx)=0.000036, ρ=0.075,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12,315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σ_j=3.66%/j (Modérée) — Vol. annualisée≈58.1%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3,104</w:t>
            </w:r>
          </w:p>
        </w:tc>
        <w:tc>
          <w:tcPr>
            <w:tcW w:type="dxa" w:w="1440"/>
            <w:shd w:fill="FFDCE0" w:val="clear"/>
          </w:tcPr>
          <w:p>
            <w:r>
              <w:rPr>
                <w:b/>
                <w:sz w:val="17"/>
              </w:rPr>
              <w:t>3,284</w:t>
            </w:r>
          </w:p>
        </w:tc>
        <w:tc>
          <w:tcPr>
            <w:tcW w:type="dxa" w:w="1440"/>
            <w:shd w:fill="FFDCE0" w:val="clear"/>
          </w:tcPr>
          <w:p>
            <w:r>
              <w:rPr>
                <w:sz w:val="17"/>
              </w:rPr>
              <w:t>3,463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2,803</w:t>
            </w:r>
          </w:p>
        </w:tc>
        <w:tc>
          <w:tcPr>
            <w:tcW w:type="dxa" w:w="1440"/>
            <w:shd w:fill="FFDCE0" w:val="clear"/>
          </w:tcPr>
          <w:p>
            <w:r>
              <w:rPr>
                <w:b/>
                <w:sz w:val="17"/>
              </w:rPr>
              <w:t>3,037</w:t>
            </w:r>
          </w:p>
        </w:tc>
        <w:tc>
          <w:tcPr>
            <w:tcW w:type="dxa" w:w="1440"/>
            <w:shd w:fill="FFDCE0" w:val="clear"/>
          </w:tcPr>
          <w:p>
            <w:r>
              <w:rPr>
                <w:sz w:val="17"/>
              </w:rPr>
              <w:t>3,272</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2,543</w:t>
            </w:r>
          </w:p>
        </w:tc>
        <w:tc>
          <w:tcPr>
            <w:tcW w:type="dxa" w:w="1440"/>
            <w:shd w:fill="FFDCE0" w:val="clear"/>
          </w:tcPr>
          <w:p>
            <w:r>
              <w:rPr>
                <w:b/>
                <w:sz w:val="17"/>
              </w:rPr>
              <w:t>2,810</w:t>
            </w:r>
          </w:p>
        </w:tc>
        <w:tc>
          <w:tcPr>
            <w:tcW w:type="dxa" w:w="1440"/>
            <w:shd w:fill="FFDCE0" w:val="clear"/>
          </w:tcPr>
          <w:p>
            <w:r>
              <w:rPr>
                <w:sz w:val="17"/>
              </w:rPr>
              <w:t>3,076</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2,315</w:t>
            </w:r>
          </w:p>
        </w:tc>
        <w:tc>
          <w:tcPr>
            <w:tcW w:type="dxa" w:w="1440"/>
            <w:shd w:fill="FFDCE0" w:val="clear"/>
          </w:tcPr>
          <w:p>
            <w:r>
              <w:rPr>
                <w:b/>
                <w:sz w:val="17"/>
              </w:rPr>
              <w:t>2,599</w:t>
            </w:r>
          </w:p>
        </w:tc>
        <w:tc>
          <w:tcPr>
            <w:tcW w:type="dxa" w:w="1440"/>
            <w:shd w:fill="FFDCE0" w:val="clear"/>
          </w:tcPr>
          <w:p>
            <w:r>
              <w:rPr>
                <w:sz w:val="17"/>
              </w:rPr>
              <w:t>2,883</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2,110</w:t>
            </w:r>
          </w:p>
        </w:tc>
        <w:tc>
          <w:tcPr>
            <w:tcW w:type="dxa" w:w="1440"/>
            <w:shd w:fill="FFDCE0" w:val="clear"/>
          </w:tcPr>
          <w:p>
            <w:r>
              <w:rPr>
                <w:b/>
                <w:sz w:val="17"/>
              </w:rPr>
              <w:t>2,404</w:t>
            </w:r>
          </w:p>
        </w:tc>
        <w:tc>
          <w:tcPr>
            <w:tcW w:type="dxa" w:w="1440"/>
            <w:shd w:fill="FFDCE0" w:val="clear"/>
          </w:tcPr>
          <w:p>
            <w:r>
              <w:rPr>
                <w:sz w:val="17"/>
              </w:rPr>
              <w:t>2,698</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1,926</w:t>
            </w:r>
          </w:p>
        </w:tc>
        <w:tc>
          <w:tcPr>
            <w:tcW w:type="dxa" w:w="1440"/>
            <w:shd w:fill="FFDCE0" w:val="clear"/>
          </w:tcPr>
          <w:p>
            <w:r>
              <w:rPr>
                <w:b/>
                <w:sz w:val="17"/>
              </w:rPr>
              <w:t>2,224</w:t>
            </w:r>
          </w:p>
        </w:tc>
        <w:tc>
          <w:tcPr>
            <w:tcW w:type="dxa" w:w="1440"/>
            <w:shd w:fill="FFDCE0" w:val="clear"/>
          </w:tcPr>
          <w:p>
            <w:r>
              <w:rPr>
                <w:sz w:val="17"/>
              </w:rPr>
              <w:t>2,522</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1,759</w:t>
            </w:r>
          </w:p>
        </w:tc>
        <w:tc>
          <w:tcPr>
            <w:tcW w:type="dxa" w:w="1440"/>
            <w:shd w:fill="FFDCE0" w:val="clear"/>
          </w:tcPr>
          <w:p>
            <w:r>
              <w:rPr>
                <w:b/>
                <w:sz w:val="17"/>
              </w:rPr>
              <w:t>2,057</w:t>
            </w:r>
          </w:p>
        </w:tc>
        <w:tc>
          <w:tcPr>
            <w:tcW w:type="dxa" w:w="1440"/>
            <w:shd w:fill="FFDCE0" w:val="clear"/>
          </w:tcPr>
          <w:p>
            <w:r>
              <w:rPr>
                <w:sz w:val="17"/>
              </w:rPr>
              <w:t>2,355</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1,608</w:t>
            </w:r>
          </w:p>
        </w:tc>
        <w:tc>
          <w:tcPr>
            <w:tcW w:type="dxa" w:w="1440"/>
            <w:shd w:fill="FFDCE0" w:val="clear"/>
          </w:tcPr>
          <w:p>
            <w:r>
              <w:rPr>
                <w:b/>
                <w:sz w:val="17"/>
              </w:rPr>
              <w:t>1,903</w:t>
            </w:r>
          </w:p>
        </w:tc>
        <w:tc>
          <w:tcPr>
            <w:tcW w:type="dxa" w:w="1440"/>
            <w:shd w:fill="FFDCE0" w:val="clear"/>
          </w:tcPr>
          <w:p>
            <w:r>
              <w:rPr>
                <w:sz w:val="17"/>
              </w:rPr>
              <w:t>2,197</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1,471</w:t>
            </w:r>
          </w:p>
        </w:tc>
        <w:tc>
          <w:tcPr>
            <w:tcW w:type="dxa" w:w="1440"/>
            <w:shd w:fill="FFDCE0" w:val="clear"/>
          </w:tcPr>
          <w:p>
            <w:r>
              <w:rPr>
                <w:b/>
                <w:sz w:val="17"/>
              </w:rPr>
              <w:t>1,760</w:t>
            </w:r>
          </w:p>
        </w:tc>
        <w:tc>
          <w:tcPr>
            <w:tcW w:type="dxa" w:w="1440"/>
            <w:shd w:fill="FFDCE0" w:val="clear"/>
          </w:tcPr>
          <w:p>
            <w:r>
              <w:rPr>
                <w:sz w:val="17"/>
              </w:rPr>
              <w:t>2,049</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1,346</w:t>
            </w:r>
          </w:p>
        </w:tc>
        <w:tc>
          <w:tcPr>
            <w:tcW w:type="dxa" w:w="1440"/>
            <w:shd w:fill="FFDCE0" w:val="clear"/>
          </w:tcPr>
          <w:p>
            <w:r>
              <w:rPr>
                <w:b/>
                <w:sz w:val="17"/>
              </w:rPr>
              <w:t>1,628</w:t>
            </w:r>
          </w:p>
        </w:tc>
        <w:tc>
          <w:tcPr>
            <w:tcW w:type="dxa" w:w="1440"/>
            <w:shd w:fill="FFDCE0" w:val="clear"/>
          </w:tcPr>
          <w:p>
            <w:r>
              <w:rPr>
                <w:sz w:val="17"/>
              </w:rPr>
              <w:t>1,910</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69,58 milliards FCFA positionne SCRC comme une valeur de taille moyenne sur la BRVM, reflétant une prime de marché significative. Le BPA négatif de -406 FCFA traduit une perte nette par action, ce qui rend le PER non pertinent à -8,7x, signalant que les investisseurs paient pour des pertes actuelles en anticipant un redressement futur. Le P/B de 4,04x est particulièrement exigeant, indiquant que le marché valorise l'actif net à plus de quatre fois sa valeur comptable, une prime difficile à justifier compte tenu des fondamentaux dégradés. L'EV/EBITDA de 10,8x se situe dans la fourchette haute, suggérant que la valeur d'entreprise par rapport à la capacité opérationnelle brute est élevée, surtout dans un contexte de résultat d'exploitation négatif. Ces ratios, pris ensemble, pointent vers une valorisation spéculative qui anticipe une amélioration future plutôt qu'une réalité financière actuelle.</w:t>
      </w:r>
    </w:p>
    <w:p>
      <w:pPr>
        <w:spacing w:after="120" w:line="276" w:lineRule="auto" w:before="240"/>
      </w:pPr>
      <w:r>
        <w:rPr>
          <w:b/>
          <w:color w:val="003366"/>
          <w:sz w:val="24"/>
        </w:rPr>
        <w:t>**PARTIE 1 : ANALYSE DU COURS — STATISTIQUES ET ÉVOLUTION (100 derniers jours)**</w:t>
      </w:r>
    </w:p>
    <w:p>
      <w:pPr>
        <w:spacing w:after="120" w:line="276" w:lineRule="auto"/>
      </w:pPr>
      <w:r>
        <w:t>Le titre SCRC affiche une progression spectaculaire de +135,88% sur 100 jours, passant d'un plus bas de 1 455 FCFA à un plus haut de 3 920 FCFA, avec un cours actuel de 3 550 FCFA en léger repli de -0,70% sur la dernière séance. La moyenne de 2 651 FCFA est inférieure à la médiane de 2 710 FCFA, indiquant une distribution légèrement asymétrique avec des extrêmes hauts qui tirent la moyenne vers le haut. L'écart-type de 751 FCFA avec un coefficient de variation de 28,3% révèle une dispersion modérée des prix autour de la moyenne. Le kurtosis négatif de -1,370 indique une distribution platykurtique, signifiant une faible concentration des prix autour de la moyenne et un risque réduit de mouvements extrêmes. Le skewness de -0,015 confirme une distribution quasi symétrique, sans biais directionnel marqué. La volatilité annualisée de 58,1% classe le titre comme très volatil, bien au-dessus du seuil de 30% considéré comme élevé, reflétant un comportement spéculatif prononcé.</w:t>
      </w:r>
    </w:p>
    <w:p>
      <w:pPr>
        <w:spacing w:after="120" w:line="276" w:lineRule="auto" w:before="240"/>
      </w:pPr>
      <w:r>
        <w:rPr>
          <w:b/>
          <w:color w:val="003366"/>
          <w:sz w:val="24"/>
        </w:rPr>
        <w:t>**PARTIE 2 : ANALYSE TECHNIQUE DÉTAILLÉE**</w:t>
      </w:r>
    </w:p>
    <w:p>
      <w:pPr>
        <w:spacing w:after="120" w:line="276" w:lineRule="auto"/>
      </w:pPr>
      <w:r>
        <w:t>**Moyennes Mobiles** : La MM20 à 3 616,25 FCFA et la MM50 à 3 319,8 FCFA sont toutes deux proches du cours actuel de 3 550 FCFA, avec une MM20 au-dessus de la MM50, configuration typiquement haussière. Le cours se maintient au-dessus de la MM50, confirmant une tendance de fond positive à moyen terme, d'où la décision d'Achat. Cependant, la proximité du cours avec la MM20 suggère une consolidation en cours après la forte hausse.</w:t>
      </w:r>
    </w:p>
    <w:p>
      <w:pPr>
        <w:spacing w:after="120" w:line="276" w:lineRule="auto"/>
      </w:pPr>
      <w:r>
        <w:t>**Bandes de Bollinger** : Le cours à 3 550 FCFA se positionne entre la borne supérieure à 3 865,034 FCFA et la borne inférieure à 3 367,466 FCFA, indiquant une volatilité modérée en ce moment. La largeur des bandes reflète la forte volatilité historique du titre, mais la position centrale du prix suggère un équilibre temporaire entre acheteurs et vendeurs, justifiant la décision Neutre.</w:t>
      </w:r>
    </w:p>
    <w:p>
      <w:pPr>
        <w:spacing w:after="120" w:line="276" w:lineRule="auto"/>
      </w:pPr>
      <w:r>
        <w:t>**MACD** : La valeur MACD à 88,875 est inférieure à son signal à 121,057, indiquant un momentum baissier à court terme malgré des valeurs positives. Cette configuration suggère un essoufflement de la dynamique haussière récente, justifiant la décision de Vente. Le croisement baissier récent pourrait précéder une correction technique.</w:t>
      </w:r>
    </w:p>
    <w:p>
      <w:pPr>
        <w:spacing w:after="120" w:line="276" w:lineRule="auto"/>
      </w:pPr>
      <w:r>
        <w:t>**RSI** : À 41,885, le RSI se situe en zone neutre, loin des seuils de surachat (70) et de survente (30). Cette valeur indique un équilibre relatif entre pressions acheteuses et vendeuses, sans signal directionnel fort, justifiant la décision Neutre. Le RSI laisse une marge de manœuvre dans les deux sens.</w:t>
      </w:r>
    </w:p>
    <w:p>
      <w:pPr>
        <w:spacing w:after="120" w:line="276" w:lineRule="auto"/>
      </w:pPr>
      <w:r>
        <w:t>**Stochastique** : Le %K à 18,033 est inférieur au %D à 27,303, tous deux en zone de survente (&lt;20 pour %K). Cette configuration suggère un potentiel de rebond technique à court terme, d'où la décision d'Achat. Le croisement haussier potentiel pourrait déclencher un mouvement de reprise.</w:t>
      </w:r>
    </w:p>
    <w:p>
      <w:pPr>
        <w:spacing w:after="120" w:line="276" w:lineRule="auto"/>
      </w:pPr>
      <w:r>
        <w:t>**Conclusion technique** : Les indicateurs sont mitigés avec une opposition entre les moyennes mobiles haussières et le MACD baissier. Le RSI neutre et les bandes de Bollinger centrales indiquent une phase de consolidation, tandis que le stochastique en survente suggère un rebond imminent. La configuration globale penche vers une stabilisation après la forte hausse, avec un risque de correction à moyen terme.</w:t>
      </w:r>
    </w:p>
    <w:p>
      <w:pPr>
        <w:spacing w:after="120" w:line="276" w:lineRule="auto" w:before="240"/>
      </w:pPr>
      <w:r>
        <w:rPr>
          <w:b/>
          <w:color w:val="003366"/>
          <w:sz w:val="24"/>
        </w:rPr>
        <w:t>**PARTIE 3 : ANALYSE FONDAMENTALE (SECTION CRITIQUE)**</w:t>
      </w:r>
    </w:p>
    <w:p>
      <w:pPr>
        <w:spacing w:after="120" w:line="276" w:lineRule="auto"/>
      </w:pPr>
      <w:r>
        <w:t>En 2025, les données structurées révèlent une situation financière très dégradée pour SCRC. Le chiffre d'affaires s'établit à 80,569 milliards FCFA, en baisse de 7,6% par rapport à 2024, tandis que le résultat net est une perte massive de -7,954 milliards FCFA, contre un bénéfice de 2,47 milliards en 2024. La marge nette est profondément négative à -9,87%, le ROE s'effondre à -46,13% et le ROA à -5,08%. Le bilan montre un endettement critique avec des dettes financières totales de 84,873 milliards FCFA pour des capitaux propres de seulement 17,243 milliards, soit un ratio d'endettement de 88,98%. Le BFR est positif à 6,529 milliards, indiquant un besoin de financement du cycle d'exploitation, avec un délai fournisseurs très étendu à 366 jours et une durée de stockage de 360 jours. Les rapports de 2025 confirment cette dégradation : le rapport du 31 décembre 2025 souligne l'explosion des charges financières à 6,79 milliards FCFA (+262%) et un résultat opérationnel courant négatif de -210 millions. Le rapport du premier semestre 2025 montre une perte de -6,71 milliards, avec une marge opérationnelle de -7,4%. Les rapports de 2024 indiquaient un redressement avec un bénéfice de 2,59 milliards et une marge nette de 3%, mais cette amélioration s'est inversée. Sur la base du rapport T1 2025 (résultat net de 3,21 milliards) et du S1 2025 (perte de 6,71 milliards), on estime que l'exercice 2026 pourrait rester déficitaire si les charges financières ne sont pas maîtrisées. La recommandation fondamentale est négative : la société est confrontée à un risque de défaut financier, avec une capacité de remboursement de 11,21 ans, très au-delà des normes prudentielles.</w:t>
      </w:r>
    </w:p>
    <w:p>
      <w:pPr>
        <w:spacing w:after="120" w:line="276" w:lineRule="auto" w:before="240"/>
      </w:pPr>
      <w:r>
        <w:rPr>
          <w:b/>
          <w:color w:val="003366"/>
          <w:sz w:val="24"/>
        </w:rPr>
        <w:t>**PARTIE 4 : CONCLUSION D'INVESTISSEMENT**</w:t>
      </w:r>
    </w:p>
    <w:p>
      <w:pPr>
        <w:spacing w:after="120" w:line="276" w:lineRule="auto"/>
      </w:pPr>
      <w:r>
        <w:t>La valorisation de SCRC est clairement surévaluée avec un PER négatif, un P/B de 4,04x et un EV/EBITDA de 10,8x qui ne reflètent pas la réalité financière déficitaire. Le comportement du cours montre une hausse spectaculaire de 135,88% sur 100 jours, mais cette progression contraste avec des fondamentaux en forte dégradation, créant une divergence majeure entre le prix et la valeur intrinsèque. Les signaux techniques sont mitigés avec des moyennes mobiles haussières mais un MACD baissier et un RSI neutre, indiquant une consolidation après la forte hausse. Les fondamentaux sont très préoccupants avec une perte nette de 7,95 milliards en 2025, un endettement critique et des charges financières insoutenables. Les prédictions IA pour les 10 prochains jours montrent une trajectoire baissière continue, passant de 3 284 FCFA à 2 404 FCFA, confirmant les risques de correction. La convergence entre la valorisation excessive, la dégradation fondamentale et les prédictions baissières justifie une recommandation de **VENTE FORTE**. Le niveau de confiance est **Élevé** compte tenu de la cohérence des signaux négatifs, le risque global est **Élevé** en raison de l'endettement massif et de la fragilité financière. L'horizon d'investissement optimal est le **court terme** (&lt;3 mois) pour les investisseurs cherchant à limiter leurs pertes, avec un suivi attentif des résultats semestriels 2026 pour toute réévaluation.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107.10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1,031 titres</w:t>
            </w:r>
          </w:p>
        </w:tc>
        <w:tc>
          <w:tcPr>
            <w:tcW w:type="dxa" w:w="2268"/>
            <w:shd w:fill="FFF2CC" w:val="clear"/>
          </w:tcPr>
          <w:p>
            <w:r>
              <w:rPr>
                <w:b/>
                <w:color w:val="503200"/>
                <w:sz w:val="16"/>
              </w:rPr>
              <w:t xml:space="preserve">Cours actuel : </w:t>
            </w:r>
            <w:r>
              <w:rPr>
                <w:color w:val="000000"/>
                <w:sz w:val="17"/>
              </w:rPr>
              <w:t>11,900 FCFA</w:t>
            </w:r>
          </w:p>
          <w:p>
            <w:r>
              <w:rPr>
                <w:b/>
                <w:color w:val="503200"/>
                <w:sz w:val="16"/>
              </w:rPr>
              <w:t xml:space="preserve">Var. 100 jours : </w:t>
            </w:r>
            <w:r>
              <w:rPr>
                <w:b/>
                <w:color w:val="007800"/>
                <w:sz w:val="17"/>
              </w:rPr>
              <w:t>+53.35%</w:t>
            </w:r>
          </w:p>
          <w:p>
            <w:r>
              <w:rPr>
                <w:b/>
                <w:color w:val="503200"/>
                <w:sz w:val="16"/>
              </w:rPr>
              <w:t xml:space="preserve">Plus haut 100j : </w:t>
            </w:r>
            <w:r>
              <w:rPr>
                <w:color w:val="000000"/>
                <w:sz w:val="17"/>
              </w:rPr>
              <w:t>12,195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24.5/100 → Moyen</w:t>
      </w:r>
    </w:p>
    <w:p>
      <w:pPr>
        <w:spacing w:before="40" w:after="80"/>
      </w:pPr>
      <w:r>
        <w:rPr>
          <w:rFonts w:ascii="Courier New" w:hAnsi="Courier New"/>
          <w:color w:val="825A00"/>
          <w:sz w:val="18"/>
        </w:rPr>
        <w:t>████░░░░░░░░░░░░░░░░  24.5/100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19.76% (Élevée) — μ=10,046 FCFA, σ=1,985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β=0.3819 (Défensif) — Cov=0.000014, Var(idx)=0.000036, ρ=0.101,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Vente=3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59/100  (Bon)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11,071</w:t>
            </w:r>
          </w:p>
        </w:tc>
        <w:tc>
          <w:tcPr>
            <w:tcW w:type="dxa" w:w="1440"/>
            <w:shd w:fill="FFDCE0" w:val="clear"/>
          </w:tcPr>
          <w:p>
            <w:r>
              <w:rPr>
                <w:b/>
                <w:sz w:val="17"/>
              </w:rPr>
              <w:t>11,448</w:t>
            </w:r>
          </w:p>
        </w:tc>
        <w:tc>
          <w:tcPr>
            <w:tcW w:type="dxa" w:w="1440"/>
            <w:shd w:fill="FFDCE0" w:val="clear"/>
          </w:tcPr>
          <w:p>
            <w:r>
              <w:rPr>
                <w:sz w:val="17"/>
              </w:rPr>
              <w:t>11,824</w:t>
            </w:r>
          </w:p>
        </w:tc>
        <w:tc>
          <w:tcPr>
            <w:tcW w:type="dxa" w:w="1440"/>
            <w:shd w:fill="FFDCE0" w:val="clear"/>
          </w:tcPr>
          <w:p>
            <w:r>
              <w:rPr>
                <w:b/>
                <w:color w:val="C00000"/>
                <w:sz w:val="17"/>
              </w:rPr>
              <w:t>-3.8%</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10,804</w:t>
            </w:r>
          </w:p>
        </w:tc>
        <w:tc>
          <w:tcPr>
            <w:tcW w:type="dxa" w:w="1440"/>
            <w:shd w:fill="FFDCE0" w:val="clear"/>
          </w:tcPr>
          <w:p>
            <w:r>
              <w:rPr>
                <w:b/>
                <w:sz w:val="17"/>
              </w:rPr>
              <w:t>11,331</w:t>
            </w:r>
          </w:p>
        </w:tc>
        <w:tc>
          <w:tcPr>
            <w:tcW w:type="dxa" w:w="1440"/>
            <w:shd w:fill="FFDCE0" w:val="clear"/>
          </w:tcPr>
          <w:p>
            <w:r>
              <w:rPr>
                <w:sz w:val="17"/>
              </w:rPr>
              <w:t>11,858</w:t>
            </w:r>
          </w:p>
        </w:tc>
        <w:tc>
          <w:tcPr>
            <w:tcW w:type="dxa" w:w="1440"/>
            <w:shd w:fill="FFDCE0" w:val="clear"/>
          </w:tcPr>
          <w:p>
            <w:r>
              <w:rPr>
                <w:b/>
                <w:color w:val="C00000"/>
                <w:sz w:val="17"/>
              </w:rPr>
              <w:t>-4.8%</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10,585</w:t>
            </w:r>
          </w:p>
        </w:tc>
        <w:tc>
          <w:tcPr>
            <w:tcW w:type="dxa" w:w="1440"/>
            <w:shd w:fill="FFDCE0" w:val="clear"/>
          </w:tcPr>
          <w:p>
            <w:r>
              <w:rPr>
                <w:b/>
                <w:sz w:val="17"/>
              </w:rPr>
              <w:t>11,225</w:t>
            </w:r>
          </w:p>
        </w:tc>
        <w:tc>
          <w:tcPr>
            <w:tcW w:type="dxa" w:w="1440"/>
            <w:shd w:fill="FFDCE0" w:val="clear"/>
          </w:tcPr>
          <w:p>
            <w:r>
              <w:rPr>
                <w:sz w:val="17"/>
              </w:rPr>
              <w:t>11,864</w:t>
            </w:r>
          </w:p>
        </w:tc>
        <w:tc>
          <w:tcPr>
            <w:tcW w:type="dxa" w:w="1440"/>
            <w:shd w:fill="FFDCE0" w:val="clear"/>
          </w:tcPr>
          <w:p>
            <w:r>
              <w:rPr>
                <w:b/>
                <w:color w:val="C00000"/>
                <w:sz w:val="17"/>
              </w:rPr>
              <w:t>-5.7%</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10,398</w:t>
            </w:r>
          </w:p>
        </w:tc>
        <w:tc>
          <w:tcPr>
            <w:tcW w:type="dxa" w:w="1440"/>
            <w:shd w:fill="FFDCE0" w:val="clear"/>
          </w:tcPr>
          <w:p>
            <w:r>
              <w:rPr>
                <w:b/>
                <w:sz w:val="17"/>
              </w:rPr>
              <w:t>11,130</w:t>
            </w:r>
          </w:p>
        </w:tc>
        <w:tc>
          <w:tcPr>
            <w:tcW w:type="dxa" w:w="1440"/>
            <w:shd w:fill="FFDCE0" w:val="clear"/>
          </w:tcPr>
          <w:p>
            <w:r>
              <w:rPr>
                <w:sz w:val="17"/>
              </w:rPr>
              <w:t>11,861</w:t>
            </w:r>
          </w:p>
        </w:tc>
        <w:tc>
          <w:tcPr>
            <w:tcW w:type="dxa" w:w="1440"/>
            <w:shd w:fill="FFDCE0" w:val="clear"/>
          </w:tcPr>
          <w:p>
            <w:r>
              <w:rPr>
                <w:b/>
                <w:color w:val="C00000"/>
                <w:sz w:val="17"/>
              </w:rPr>
              <w:t>-6.5%</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10,228</w:t>
            </w:r>
          </w:p>
        </w:tc>
        <w:tc>
          <w:tcPr>
            <w:tcW w:type="dxa" w:w="1440"/>
            <w:shd w:fill="FFDCE0" w:val="clear"/>
          </w:tcPr>
          <w:p>
            <w:r>
              <w:rPr>
                <w:b/>
                <w:sz w:val="17"/>
              </w:rPr>
              <w:t>11,040</w:t>
            </w:r>
          </w:p>
        </w:tc>
        <w:tc>
          <w:tcPr>
            <w:tcW w:type="dxa" w:w="1440"/>
            <w:shd w:fill="FFDCE0" w:val="clear"/>
          </w:tcPr>
          <w:p>
            <w:r>
              <w:rPr>
                <w:sz w:val="17"/>
              </w:rPr>
              <w:t>11,852</w:t>
            </w:r>
          </w:p>
        </w:tc>
        <w:tc>
          <w:tcPr>
            <w:tcW w:type="dxa" w:w="1440"/>
            <w:shd w:fill="FFDCE0" w:val="clear"/>
          </w:tcPr>
          <w:p>
            <w:r>
              <w:rPr>
                <w:b/>
                <w:color w:val="C00000"/>
                <w:sz w:val="17"/>
              </w:rPr>
              <w:t>-7.2%</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10,074</w:t>
            </w:r>
          </w:p>
        </w:tc>
        <w:tc>
          <w:tcPr>
            <w:tcW w:type="dxa" w:w="1440"/>
            <w:shd w:fill="FFDCE0" w:val="clear"/>
          </w:tcPr>
          <w:p>
            <w:r>
              <w:rPr>
                <w:b/>
                <w:sz w:val="17"/>
              </w:rPr>
              <w:t>10,956</w:t>
            </w:r>
          </w:p>
        </w:tc>
        <w:tc>
          <w:tcPr>
            <w:tcW w:type="dxa" w:w="1440"/>
            <w:shd w:fill="FFDCE0" w:val="clear"/>
          </w:tcPr>
          <w:p>
            <w:r>
              <w:rPr>
                <w:sz w:val="17"/>
              </w:rPr>
              <w:t>11,838</w:t>
            </w:r>
          </w:p>
        </w:tc>
        <w:tc>
          <w:tcPr>
            <w:tcW w:type="dxa" w:w="1440"/>
            <w:shd w:fill="FFDCE0" w:val="clear"/>
          </w:tcPr>
          <w:p>
            <w:r>
              <w:rPr>
                <w:b/>
                <w:color w:val="C00000"/>
                <w:sz w:val="17"/>
              </w:rPr>
              <w:t>-7.9%</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9,929</w:t>
            </w:r>
          </w:p>
        </w:tc>
        <w:tc>
          <w:tcPr>
            <w:tcW w:type="dxa" w:w="1440"/>
            <w:shd w:fill="FFDCE0" w:val="clear"/>
          </w:tcPr>
          <w:p>
            <w:r>
              <w:rPr>
                <w:b/>
                <w:sz w:val="17"/>
              </w:rPr>
              <w:t>10,875</w:t>
            </w:r>
          </w:p>
        </w:tc>
        <w:tc>
          <w:tcPr>
            <w:tcW w:type="dxa" w:w="1440"/>
            <w:shd w:fill="FFDCE0" w:val="clear"/>
          </w:tcPr>
          <w:p>
            <w:r>
              <w:rPr>
                <w:sz w:val="17"/>
              </w:rPr>
              <w:t>11,821</w:t>
            </w:r>
          </w:p>
        </w:tc>
        <w:tc>
          <w:tcPr>
            <w:tcW w:type="dxa" w:w="1440"/>
            <w:shd w:fill="FFDCE0" w:val="clear"/>
          </w:tcPr>
          <w:p>
            <w:r>
              <w:rPr>
                <w:b/>
                <w:color w:val="C00000"/>
                <w:sz w:val="17"/>
              </w:rPr>
              <w:t>-8.6%</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9,796</w:t>
            </w:r>
          </w:p>
        </w:tc>
        <w:tc>
          <w:tcPr>
            <w:tcW w:type="dxa" w:w="1440"/>
            <w:shd w:fill="FFDCE0" w:val="clear"/>
          </w:tcPr>
          <w:p>
            <w:r>
              <w:rPr>
                <w:b/>
                <w:sz w:val="17"/>
              </w:rPr>
              <w:t>10,801</w:t>
            </w:r>
          </w:p>
        </w:tc>
        <w:tc>
          <w:tcPr>
            <w:tcW w:type="dxa" w:w="1440"/>
            <w:shd w:fill="FFDCE0" w:val="clear"/>
          </w:tcPr>
          <w:p>
            <w:r>
              <w:rPr>
                <w:sz w:val="17"/>
              </w:rPr>
              <w:t>11,805</w:t>
            </w:r>
          </w:p>
        </w:tc>
        <w:tc>
          <w:tcPr>
            <w:tcW w:type="dxa" w:w="1440"/>
            <w:shd w:fill="FFDCE0" w:val="clear"/>
          </w:tcPr>
          <w:p>
            <w:r>
              <w:rPr>
                <w:b/>
                <w:color w:val="C00000"/>
                <w:sz w:val="17"/>
              </w:rPr>
              <w:t>-9.2%</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9,672</w:t>
            </w:r>
          </w:p>
        </w:tc>
        <w:tc>
          <w:tcPr>
            <w:tcW w:type="dxa" w:w="1440"/>
            <w:shd w:fill="FFDCE0" w:val="clear"/>
          </w:tcPr>
          <w:p>
            <w:r>
              <w:rPr>
                <w:b/>
                <w:sz w:val="17"/>
              </w:rPr>
              <w:t>10,730</w:t>
            </w:r>
          </w:p>
        </w:tc>
        <w:tc>
          <w:tcPr>
            <w:tcW w:type="dxa" w:w="1440"/>
            <w:shd w:fill="FFDCE0" w:val="clear"/>
          </w:tcPr>
          <w:p>
            <w:r>
              <w:rPr>
                <w:sz w:val="17"/>
              </w:rPr>
              <w:t>11,788</w:t>
            </w:r>
          </w:p>
        </w:tc>
        <w:tc>
          <w:tcPr>
            <w:tcW w:type="dxa" w:w="1440"/>
            <w:shd w:fill="FFDCE0" w:val="clear"/>
          </w:tcPr>
          <w:p>
            <w:r>
              <w:rPr>
                <w:b/>
                <w:color w:val="C00000"/>
                <w:sz w:val="17"/>
              </w:rPr>
              <w:t>-9.8%</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9,555</w:t>
            </w:r>
          </w:p>
        </w:tc>
        <w:tc>
          <w:tcPr>
            <w:tcW w:type="dxa" w:w="1440"/>
            <w:shd w:fill="FFDCE0" w:val="clear"/>
          </w:tcPr>
          <w:p>
            <w:r>
              <w:rPr>
                <w:b/>
                <w:sz w:val="17"/>
              </w:rPr>
              <w:t>10,664</w:t>
            </w:r>
          </w:p>
        </w:tc>
        <w:tc>
          <w:tcPr>
            <w:tcW w:type="dxa" w:w="1440"/>
            <w:shd w:fill="FFDCE0" w:val="clear"/>
          </w:tcPr>
          <w:p>
            <w:r>
              <w:rPr>
                <w:sz w:val="17"/>
              </w:rPr>
              <w:t>11,773</w:t>
            </w:r>
          </w:p>
        </w:tc>
        <w:tc>
          <w:tcPr>
            <w:tcW w:type="dxa" w:w="1440"/>
            <w:shd w:fill="FFDCE0" w:val="clear"/>
          </w:tcPr>
          <w:p>
            <w:r>
              <w:rPr>
                <w:b/>
                <w:color w:val="C00000"/>
                <w:sz w:val="17"/>
              </w:rPr>
              <w:t>-10.4%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SODECI (SDCC)**</w:t>
        <w:br/>
        <w:t>**Date : 7 août 2026**</w:t>
        <w:br/>
        <w:t>**Marché : BRVM (Bourse Régionale des Valeurs Mobilières)**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107,10 milliards FCFA positionne SDCC comme une valeur de taille moyenne sur la BRVM, reflétant son statut de service public essentiel. Le BPA de 518 FCFA indique que chaque action a généré un bénéfice net de ce montant sur l'exercice 2025. Le PER de 23,0x est nettement supérieur à la moyenne historique de la BRVM (8-12x), signifiant que les investisseurs paient une prime substantielle pour chaque franc de bénéfice, anticipant une forte croissance future ou valorisant le caractère défensif du titre. Le P/B de 5,43x confirme cette prime, le marché valorisant l'actif net de la société plus de cinq fois au-dessus de sa valeur comptable. Enfin, l'EV/EBITDA de 14,4x, bien que dans la fourchette haute (10-15x), suggère que la valeur totale de l'entreprise (dette incluse) reste cohérente avec sa capacité à générer du cash-flow opérationnel, malgré une valorisation exigeante sur les autres ratios.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SDCC a enregistré une performance spectaculaire de +53,35%, avec une dernière séance en hausse de +4,39% à 11 900 FCFA. Le cours a évolué dans une fourchette très large, entre un plus bas de 7 140 FCFA et un plus haut de 12 195 FCFA, illustrant une forte dynamique haussière. La moyenne du cours sur la période (10 046 FCFA) est inférieure à la médiane (11 050 FCFA) et au cours actuel, ce qui indique une distribution asymétrique avec une concentration des prix vers le haut de la fourchette. L'écart-type de 1 995 FCFA (CV de 19,9%) témoigne d'une dispersion modérée. Le kurtosis négatif (-1,624) signale une distribution aplatie, avec moins de pics extrêmes que la normale, tandis que le skewness légèrement négatif (-0,383) suggère une queue de distribution plus longue vers les bas. La volatilité annualisée de 36,1% classe le titre dans la catégorie "élevée" (&gt;30%), indiquant un risque de prix significatif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(11 900 FCFA) se situe au-dessus de la MM20 (11 720,25 FCFA) mais en dessous de la MM50 (11 776,9 FCFA). Cette configuration, avec un signal de "Vente", suggère une possible consolidation après la forte hausse, le prix peinant à dépasser la moyenne à moyen terme.</w:t>
      </w:r>
    </w:p>
    <w:p>
      <w:pPr>
        <w:spacing w:after="120" w:line="276" w:lineRule="auto"/>
      </w:pPr>
      <w:r>
        <w:t>**Bandes de Bollinger** : Le cours se positionne dans la partie supérieure du canal, entre la borne inférieure (11 145,45 FCFA) et la borne supérieure (12 295,05 FCFA). Le signal "Neutre" indique que le prix n'est pas en zone de surachat ou de survente extrême, mais la largeur des bandes reflète la volatilité élevée du titre.</w:t>
      </w:r>
    </w:p>
    <w:p>
      <w:pPr>
        <w:spacing w:after="120" w:line="276" w:lineRule="auto"/>
      </w:pPr>
      <w:r>
        <w:t>**MACD** : La valeur du MACD (32,779) est inférieure à son signal (53,344), générant une décision de "Vente". Cette divergence négative indique un affaiblissement du momentum haussier à court terme, malgré la tendance générale positive.</w:t>
      </w:r>
    </w:p>
    <w:p>
      <w:pPr>
        <w:spacing w:after="120" w:line="276" w:lineRule="auto"/>
      </w:pPr>
      <w:r>
        <w:t>**RSI** : Avec une valeur de 62,146, le RSI se situe en zone neutre (30-70), mais proche de la zone de surachat (70). Le signal "Neutre" suggère que le titre n'est pas encore survendu, mais qu'une pression acheteuse reste présente.</w:t>
      </w:r>
    </w:p>
    <w:p>
      <w:pPr>
        <w:spacing w:after="120" w:line="276" w:lineRule="auto"/>
      </w:pPr>
      <w:r>
        <w:t>**Stochastique** : Le %K (87,719) est nettement supérieur au %D (64,262), indiquant une forte dynamique haussière. Cependant, la décision de "Vente" suggère que le titre est en zone de surachat technique, avec un risque de retournement à court terme.</w:t>
      </w:r>
    </w:p>
    <w:p>
      <w:pPr>
        <w:spacing w:after="120" w:line="276" w:lineRule="auto"/>
      </w:pPr>
      <w:r>
        <w:t>**Conclusion technique** : Les indicateurs sont mitigés. La tendance de fond reste haussière, mais les signaux à court terme (MACD, Stochastique) pointent vers une possible correction. La convergence des signaux de vente sur le MACD et le Stochastique, combinée à un RSI proche du surachat, suggère une prudence à court terme malgré la force de la tendance.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SODECI a réalisé un chiffre d'affaires de 189,430 milliards FCFA, en croissance de 10% par rapport à 2024 (172,2 milliards FCFA), et un résultat net de 4,663 milliards FCFA, en hausse de 31% (contre 3,6 milliards en 2024). La marge nette s'établit à 2,46%, et le ROE est excellent à 23,65%, bien au-dessus du seuil de 15%, démontrant une forte rentabilité des capitaux propres. Le ROA est plus faible à 0,99%, en raison d'un total de bilan élevé (472,672 milliards FCFA). En tant qu'entreprise, l'analyse du BFR est cruciale : le BFR est négatif à -104,748 milliards FCFA, ce qui est très favorable, indiquant que la société finance son cycle d'exploitation par ses ressources à court terme. Cependant, le délai de paiement des clients est très élevé (749 jours), ce qui représente un risque de trésorerie majeur. Le rapport annuel 2025 (daté du 31/12/2025) confirme la solidité opérationnelle avec un EBE en hausse de 21% à 21,8 milliards FCFA. Sur la base du rapport T1 2026 (daté du 31/03/2026), qui montre un résultat net en hausse spectaculaire de 118% à 1,318 milliard FCFA malgré un CA en léger repli, on estime que l'exercice 2026 pourrait voir une nouvelle amélioration de la rentabilité, portée par la maîtrise des charges. La recommandation fondamentale est de **CONSERVER**, la société présentant une solidité financière (ROE élevé, BFR négatif) mais des risques persistants sur la trésorerie et le recouvrement des créances.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SDCC est exigeante (PER 23x, P/B 5,43x), mais elle reflète la confiance du marché dans la croissance et le caractère défensif du titre. Le comportement du cours est très positif (+53% sur 100 jours), mais la volatilité élevée (36%) et les statistiques (kurtosis plat, skewness négatif) appellent à la prudence. Les signaux techniques sont mitigés, avec une tendance haussière de fond mais des indicateurs à court terme (MACD, Stochastique) en zone de surachat, suggérant un risque de consolidation. Les fondamentaux sont solides, avec une croissance du CA et du résultat net en 2025, un ROE excellent, et des perspectives positives pour 2026 selon les estimations du T1. Cependant, les prédictions IA pour les 10 prochains jours (baisse de 11 900 à 11 040 FCFA) confirment le scénario technique d'une correction à court terme. En synthèse, la convergence entre les signaux techniques de vente et les prédictions IA, contrebalancée par des fondamentaux solides et une valorisation élevée, conduit à une recommandation de **CONSERVER** avec un niveau de confiance **Moyen**. Le risque global est **Élevé** en raison de la volatilité et de la valorisation. L'horizon d'investissement optimal serait le **moyen terme (3-12 mois)**, afin de laisser le temps aux fondamentaux de se matérialiser et d'absorber une éventuelle correction technique.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137.72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16,303 titres</w:t>
            </w:r>
          </w:p>
        </w:tc>
        <w:tc>
          <w:tcPr>
            <w:tcW w:type="dxa" w:w="2268"/>
            <w:shd w:fill="FFF2CC" w:val="clear"/>
          </w:tcPr>
          <w:p>
            <w:r>
              <w:rPr>
                <w:b/>
                <w:color w:val="503200"/>
                <w:sz w:val="16"/>
              </w:rPr>
              <w:t xml:space="preserve">Cours actuel : </w:t>
            </w:r>
            <w:r>
              <w:rPr>
                <w:color w:val="000000"/>
                <w:sz w:val="17"/>
              </w:rPr>
              <w:t>2,530 FCFA</w:t>
            </w:r>
          </w:p>
          <w:p>
            <w:r>
              <w:rPr>
                <w:b/>
                <w:color w:val="503200"/>
                <w:sz w:val="16"/>
              </w:rPr>
              <w:t xml:space="preserve">Var. 100 jours : </w:t>
            </w:r>
            <w:r>
              <w:rPr>
                <w:b/>
                <w:color w:val="007800"/>
                <w:sz w:val="17"/>
              </w:rPr>
              <w:t>+21.63%</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16.40% (Élevée) — μ=2,110 FCFA, σ=346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β=0.0836 (Défensif) — Cov=0.000003, Var(idx)=0.000036, ρ=0.015,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16,303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σ_j=3.28%/j (Modérée) — Vol. annualisée≈52.1%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2,361</w:t>
            </w:r>
          </w:p>
        </w:tc>
        <w:tc>
          <w:tcPr>
            <w:tcW w:type="dxa" w:w="1440"/>
            <w:shd w:fill="FAFAFA" w:val="clear"/>
          </w:tcPr>
          <w:p>
            <w:r>
              <w:rPr>
                <w:b/>
                <w:sz w:val="17"/>
              </w:rPr>
              <w:t>2,519</w:t>
            </w:r>
          </w:p>
        </w:tc>
        <w:tc>
          <w:tcPr>
            <w:tcW w:type="dxa" w:w="1440"/>
            <w:shd w:fill="FAFAFA" w:val="clear"/>
          </w:tcPr>
          <w:p>
            <w:r>
              <w:rPr>
                <w:sz w:val="17"/>
              </w:rPr>
              <w:t>2,677</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2,281</w:t>
            </w:r>
          </w:p>
        </w:tc>
        <w:tc>
          <w:tcPr>
            <w:tcW w:type="dxa" w:w="1440"/>
            <w:shd w:fill="FAFAFA" w:val="clear"/>
          </w:tcPr>
          <w:p>
            <w:r>
              <w:rPr>
                <w:b/>
                <w:sz w:val="17"/>
              </w:rPr>
              <w:t>2,502</w:t>
            </w:r>
          </w:p>
        </w:tc>
        <w:tc>
          <w:tcPr>
            <w:tcW w:type="dxa" w:w="1440"/>
            <w:shd w:fill="FAFAFA" w:val="clear"/>
          </w:tcPr>
          <w:p>
            <w:r>
              <w:rPr>
                <w:sz w:val="17"/>
              </w:rPr>
              <w:t>2,724</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2026-08-12</w:t>
            </w:r>
          </w:p>
        </w:tc>
        <w:tc>
          <w:tcPr>
            <w:tcW w:type="dxa" w:w="1440"/>
            <w:shd w:fill="FAFAFA" w:val="clear"/>
          </w:tcPr>
          <w:p>
            <w:r>
              <w:rPr>
                <w:sz w:val="17"/>
              </w:rPr>
              <w:t>2,215</w:t>
            </w:r>
          </w:p>
        </w:tc>
        <w:tc>
          <w:tcPr>
            <w:tcW w:type="dxa" w:w="1440"/>
            <w:shd w:fill="FAFAFA" w:val="clear"/>
          </w:tcPr>
          <w:p>
            <w:r>
              <w:rPr>
                <w:b/>
                <w:sz w:val="17"/>
              </w:rPr>
              <w:t>2,485</w:t>
            </w:r>
          </w:p>
        </w:tc>
        <w:tc>
          <w:tcPr>
            <w:tcW w:type="dxa" w:w="1440"/>
            <w:shd w:fill="FAFAFA" w:val="clear"/>
          </w:tcPr>
          <w:p>
            <w:r>
              <w:rPr>
                <w:sz w:val="17"/>
              </w:rPr>
              <w:t>2,754</w:t>
            </w:r>
          </w:p>
        </w:tc>
        <w:tc>
          <w:tcPr>
            <w:tcW w:type="dxa" w:w="1440"/>
            <w:shd w:fill="FAFAFA" w:val="clear"/>
          </w:tcPr>
          <w:p>
            <w:r>
              <w:rPr>
                <w:b/>
                <w:color w:val="C00000"/>
                <w:sz w:val="17"/>
              </w:rPr>
              <w:t>-1.8%</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2,160</w:t>
            </w:r>
          </w:p>
        </w:tc>
        <w:tc>
          <w:tcPr>
            <w:tcW w:type="dxa" w:w="1440"/>
            <w:shd w:fill="FFDCE0" w:val="clear"/>
          </w:tcPr>
          <w:p>
            <w:r>
              <w:rPr>
                <w:b/>
                <w:sz w:val="17"/>
              </w:rPr>
              <w:t>2,469</w:t>
            </w:r>
          </w:p>
        </w:tc>
        <w:tc>
          <w:tcPr>
            <w:tcW w:type="dxa" w:w="1440"/>
            <w:shd w:fill="FFDCE0" w:val="clear"/>
          </w:tcPr>
          <w:p>
            <w:r>
              <w:rPr>
                <w:sz w:val="17"/>
              </w:rPr>
              <w:t>2,778</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2,110</w:t>
            </w:r>
          </w:p>
        </w:tc>
        <w:tc>
          <w:tcPr>
            <w:tcW w:type="dxa" w:w="1440"/>
            <w:shd w:fill="FFDCE0" w:val="clear"/>
          </w:tcPr>
          <w:p>
            <w:r>
              <w:rPr>
                <w:b/>
                <w:sz w:val="17"/>
              </w:rPr>
              <w:t>2,454</w:t>
            </w:r>
          </w:p>
        </w:tc>
        <w:tc>
          <w:tcPr>
            <w:tcW w:type="dxa" w:w="1440"/>
            <w:shd w:fill="FFDCE0" w:val="clear"/>
          </w:tcPr>
          <w:p>
            <w:r>
              <w:rPr>
                <w:sz w:val="17"/>
              </w:rPr>
              <w:t>2,797</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2,065</w:t>
            </w:r>
          </w:p>
        </w:tc>
        <w:tc>
          <w:tcPr>
            <w:tcW w:type="dxa" w:w="1440"/>
            <w:shd w:fill="FFDCE0" w:val="clear"/>
          </w:tcPr>
          <w:p>
            <w:r>
              <w:rPr>
                <w:b/>
                <w:sz w:val="17"/>
              </w:rPr>
              <w:t>2,439</w:t>
            </w:r>
          </w:p>
        </w:tc>
        <w:tc>
          <w:tcPr>
            <w:tcW w:type="dxa" w:w="1440"/>
            <w:shd w:fill="FFDCE0" w:val="clear"/>
          </w:tcPr>
          <w:p>
            <w:r>
              <w:rPr>
                <w:sz w:val="17"/>
              </w:rPr>
              <w:t>2,813</w:t>
            </w:r>
          </w:p>
        </w:tc>
        <w:tc>
          <w:tcPr>
            <w:tcW w:type="dxa" w:w="1440"/>
            <w:shd w:fill="FFDCE0" w:val="clear"/>
          </w:tcPr>
          <w:p>
            <w:r>
              <w:rPr>
                <w:b/>
                <w:color w:val="C00000"/>
                <w:sz w:val="17"/>
              </w:rPr>
              <w:t>-3.6%</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2,024</w:t>
            </w:r>
          </w:p>
        </w:tc>
        <w:tc>
          <w:tcPr>
            <w:tcW w:type="dxa" w:w="1440"/>
            <w:shd w:fill="FFDCE0" w:val="clear"/>
          </w:tcPr>
          <w:p>
            <w:r>
              <w:rPr>
                <w:b/>
                <w:sz w:val="17"/>
              </w:rPr>
              <w:t>2,425</w:t>
            </w:r>
          </w:p>
        </w:tc>
        <w:tc>
          <w:tcPr>
            <w:tcW w:type="dxa" w:w="1440"/>
            <w:shd w:fill="FFDCE0" w:val="clear"/>
          </w:tcPr>
          <w:p>
            <w:r>
              <w:rPr>
                <w:sz w:val="17"/>
              </w:rPr>
              <w:t>2,827</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1,985</w:t>
            </w:r>
          </w:p>
        </w:tc>
        <w:tc>
          <w:tcPr>
            <w:tcW w:type="dxa" w:w="1440"/>
            <w:shd w:fill="FFDCE0" w:val="clear"/>
          </w:tcPr>
          <w:p>
            <w:r>
              <w:rPr>
                <w:b/>
                <w:sz w:val="17"/>
              </w:rPr>
              <w:t>2,412</w:t>
            </w:r>
          </w:p>
        </w:tc>
        <w:tc>
          <w:tcPr>
            <w:tcW w:type="dxa" w:w="1440"/>
            <w:shd w:fill="FFDCE0" w:val="clear"/>
          </w:tcPr>
          <w:p>
            <w:r>
              <w:rPr>
                <w:sz w:val="17"/>
              </w:rPr>
              <w:t>2,839</w:t>
            </w:r>
          </w:p>
        </w:tc>
        <w:tc>
          <w:tcPr>
            <w:tcW w:type="dxa" w:w="1440"/>
            <w:shd w:fill="FFDCE0" w:val="clear"/>
          </w:tcPr>
          <w:p>
            <w:r>
              <w:rPr>
                <w:b/>
                <w:color w:val="C00000"/>
                <w:sz w:val="17"/>
              </w:rPr>
              <w:t>-4.7%</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1,948</w:t>
            </w:r>
          </w:p>
        </w:tc>
        <w:tc>
          <w:tcPr>
            <w:tcW w:type="dxa" w:w="1440"/>
            <w:shd w:fill="FFDCE0" w:val="clear"/>
          </w:tcPr>
          <w:p>
            <w:r>
              <w:rPr>
                <w:b/>
                <w:sz w:val="17"/>
              </w:rPr>
              <w:t>2,398</w:t>
            </w:r>
          </w:p>
        </w:tc>
        <w:tc>
          <w:tcPr>
            <w:tcW w:type="dxa" w:w="1440"/>
            <w:shd w:fill="FFDCE0" w:val="clear"/>
          </w:tcPr>
          <w:p>
            <w:r>
              <w:rPr>
                <w:sz w:val="17"/>
              </w:rPr>
              <w:t>2,849</w:t>
            </w:r>
          </w:p>
        </w:tc>
        <w:tc>
          <w:tcPr>
            <w:tcW w:type="dxa" w:w="1440"/>
            <w:shd w:fill="FFDCE0" w:val="clear"/>
          </w:tcPr>
          <w:p>
            <w:r>
              <w:rPr>
                <w:b/>
                <w:color w:val="C00000"/>
                <w:sz w:val="17"/>
              </w:rPr>
              <w:t>-5.2%</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1,913</w:t>
            </w:r>
          </w:p>
        </w:tc>
        <w:tc>
          <w:tcPr>
            <w:tcW w:type="dxa" w:w="1440"/>
            <w:shd w:fill="FFDCE0" w:val="clear"/>
          </w:tcPr>
          <w:p>
            <w:r>
              <w:rPr>
                <w:b/>
                <w:sz w:val="17"/>
              </w:rPr>
              <w:t>2,385</w:t>
            </w:r>
          </w:p>
        </w:tc>
        <w:tc>
          <w:tcPr>
            <w:tcW w:type="dxa" w:w="1440"/>
            <w:shd w:fill="FFDCE0" w:val="clear"/>
          </w:tcPr>
          <w:p>
            <w:r>
              <w:rPr>
                <w:sz w:val="17"/>
              </w:rPr>
              <w:t>2,857</w:t>
            </w:r>
          </w:p>
        </w:tc>
        <w:tc>
          <w:tcPr>
            <w:tcW w:type="dxa" w:w="1440"/>
            <w:shd w:fill="FFDCE0" w:val="clear"/>
          </w:tcPr>
          <w:p>
            <w:r>
              <w:rPr>
                <w:b/>
                <w:color w:val="C00000"/>
                <w:sz w:val="17"/>
              </w:rPr>
              <w:t>-5.7%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SDSC s'établit à 137,72 milliards FCFA, ce qui positionne le titre parmi les valeurs moyennes de la cote BRVM, dans un secteur logistique stratégique pour l'économie ivoirienne. Avec un BPA de 387 FCFA, le PER de 6,5x est nettement inférieur à la moyenne du marché régional (8-12x), signalant une décote potentielle et une sous-évaluation relative des bénéfices. Le P/B de 1,77x indique que le marché valorise la société à environ 77% au-dessus de sa valeur comptable, un niveau raisonnable qui reflète une confiance mesurée dans les actifs nets. En revanche, l'EV/EBITDA de 29,7x apparaît très exigeant, suggérant que la valeur d'entreprise intégrant la dette est élevée par rapport à la capacité opérationnelle brute, ce qui tempère l'attrait apparent du PER. Cette divergence entre un PER faible et un EV/EBITDA élevé traduit une structure bilancielle particulière, avec des dettes significatives et une base d'EBITDA réduite par des charges d'exploitation importantes.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totale de +21,63%, avec une accélération notable lors de la dernière séance (+7,43%), portant le cours à 2 530 FCFA. Le titre a évolué dans une fourchette large de 1 650 à 2 820 FCFA, démontrant une amplitude de trading considérable de près de 71%. La moyenne de 2 110 FCFA est supérieure à la médiane de 1 980 FCFA, et le mode de 1 920 FCFA indique une distribution asymétrique positive (skewness de 0,582), signifiant que le cours a passé davantage de journées sous sa moyenne avant de connaître des poussées haussières récentes. L'écart-type de 348 FCFA, soit un coefficient de variation de 16,5%, révèle une dispersion modérée autour de la moyenne. Le kurtosis négatif de -1,024 (distribution platykurtique) suggère une absence de mouvements extrêmes fréquents, tandis que la volatilité annualisée de 52,1% classe le titre comme très volatil, bien au-delà du seuil de 30% considéré comme élevé, ce qui implique un risque de variations brutales pour les investisseurs.</w:t>
      </w:r>
    </w:p>
    <w:p>
      <w:pPr>
        <w:spacing w:after="120" w:line="276" w:lineRule="auto" w:before="240"/>
      </w:pPr>
      <w:r>
        <w:rPr>
          <w:b/>
          <w:color w:val="003366"/>
          <w:sz w:val="24"/>
        </w:rPr>
        <w:t>**PARTIE 2 : ANALYSE TECHNIQUE DÉTAILLÉE**</w:t>
      </w:r>
    </w:p>
    <w:p>
      <w:pPr>
        <w:spacing w:after="120" w:line="276" w:lineRule="auto"/>
      </w:pPr>
      <w:r>
        <w:t>Les moyennes mobiles constituent un signal d'achat : la MM20 à 2 608,25 FCFA et la MM50 à 2 384,7 FCFA sont toutes deux inférieures au cours actuel de 2 530 FCFA, bien que le prix soit passé sous la MM20 récemment, indiquant une possible consolidation après la forte hausse. La configuration haussière de moyen terme demeure intacte tant que le cours se maintient au-dessus de la MM50.</w:t>
      </w:r>
    </w:p>
    <w:p>
      <w:pPr>
        <w:spacing w:after="120" w:line="276" w:lineRule="auto"/>
      </w:pPr>
      <w:r>
        <w:t>Les bandes de Bollinger affichent une décision neutre avec le cours à 2 530 FCFA positionné entre la borne inférieure de 2 223,949 FCFA et la borne supérieure de 2 992,551 FCFA. La largeur des bandes reflète la volatilité élevée du titre, et la position médiane du prix suggère une absence de tension extrême, laissant place à une évolution directionnelle potentielle dans les prochaines séances.</w:t>
      </w:r>
    </w:p>
    <w:p>
      <w:pPr>
        <w:spacing w:after="120" w:line="276" w:lineRule="auto"/>
      </w:pPr>
      <w:r>
        <w:t>Le MACD présente une valeur de 51,124 inférieure à son signal de 94,913, générant une décision de vente. Cette configuration indique un affaiblissement du momentum haussier à court terme, malgré des valeurs restant positives, ce qui suggère que la dynamique ascendante s'essouffle et qu'une correction pourrait survenir avant une reprise éventuelle.</w:t>
      </w:r>
    </w:p>
    <w:p>
      <w:pPr>
        <w:spacing w:after="120" w:line="276" w:lineRule="auto"/>
      </w:pPr>
      <w:r>
        <w:t>Le RSI à 40,306 se situe en zone neutre, entre 30 et 70, sans signal extrême de surachat ou de survente. Cette valeur indique un équilibre relatif entre pression acheteuse et vendeuse, avec une légère orientation baissière qui n'atteint pas le seuil de survente de 30, laissant une marge de manœuvre avant un éventuel rebond technique.</w:t>
      </w:r>
    </w:p>
    <w:p>
      <w:pPr>
        <w:spacing w:after="120" w:line="276" w:lineRule="auto"/>
      </w:pPr>
      <w:r>
        <w:t>Le stochastique avec %K à 37,634 et %D à 12,545 montre une configuration neutre mais avec un écart important entre les deux lignes, suggérant une possible convergence haussière à venir. Le %K nettement supérieur au %D indique un début de reprise du momentum, même si la prudence reste de mise tant que %K ne dépasse pas 50.</w:t>
      </w:r>
    </w:p>
    <w:p>
      <w:pPr>
        <w:spacing w:after="120" w:line="276" w:lineRule="auto"/>
      </w:pPr>
      <w:r>
        <w:t>La conclusion technique globale est mitigée : les moyennes mobiles plaident pour une tendance haussière de fond, mais le MACD et la position sous la MM20 signalent un essoufflement à court terme. Le RSI neutre et le stochastique en début de reprise suggèrent une phase de consolidation avant une possible poursuite de la hausse, avec un biais légèrement positif à moyen terme.</w:t>
      </w:r>
    </w:p>
    <w:p>
      <w:pPr>
        <w:spacing w:after="120" w:line="276" w:lineRule="auto" w:before="240"/>
      </w:pPr>
      <w:r>
        <w:rPr>
          <w:b/>
          <w:color w:val="003366"/>
          <w:sz w:val="24"/>
        </w:rPr>
        <w:t>**PARTIE 3 : ANALYSE FONDAMENTALE (SECTION CRITIQUE)**</w:t>
      </w:r>
    </w:p>
    <w:p>
      <w:pPr>
        <w:spacing w:after="120" w:line="276" w:lineRule="auto"/>
      </w:pPr>
      <w:r>
        <w:t>En 2024, SDSC a réalisé un chiffre d'affaires de 85,643 milliards FCFA, en croissance de 3,65%, avec un résultat net de 21,069 milliards FCFA, soit une marge nette exceptionnelle de 24,6%. Le ROE s'établit à 27,08%, nettement au-dessus du seuil de 15% considéré comme excellent, et le ROA atteint 11,2%, témoignant d'une utilisation efficace des actifs. La structure financière est saine avec une autonomie financière de 41,36% et une solvabilité générale de 170,5%. Cependant, le délai clients de 467 jours constitue un risque de trésorerie majeur, partiellement compensé par un délai fournisseurs très élevé de 4 534 jours. Selon le rapport annuel 2025 (provisoire, analysé par DeepSeek le 5 août 2026), le CA a progressé de 7,43% à 92,004 milliards FCFA, mais le résultat net s'est effondré à 784,97 millions FCFA (marge nette de 0,85%), en raison d'un résultat d'exploitation négatif de -2,271 milliards et d'une charge fiscale exceptionnelle de 3,943 milliards. Le rapport du T3 2025 confirme cette tendance avec un résultat net en chute de 77% à 4,341 milliards, principalement due à l'absence de dividendes exceptionnels des filiales perçus en 2024. Le S1 2025 affiche même une perte nette de -427 millions, contre un bénéfice de 18,609 milliards au S1 2024. On estime que l'exercice 2025 complet devrait se solder par un bénéfice modeste, entre 1 et 5 milliards FCFA, bien loin des 21 milliards de 2024, avec une dépendance accrue aux revenus financiers volatils.</w:t>
      </w:r>
    </w:p>
    <w:p>
      <w:pPr>
        <w:spacing w:after="120" w:line="276" w:lineRule="auto" w:before="240"/>
      </w:pPr>
      <w:r>
        <w:rPr>
          <w:b/>
          <w:color w:val="003366"/>
          <w:sz w:val="24"/>
        </w:rPr>
        <w:t>**PARTIE 4 : CONCLUSION D'INVESTISSEMENT**</w:t>
      </w:r>
    </w:p>
    <w:p>
      <w:pPr>
        <w:spacing w:after="120" w:line="276" w:lineRule="auto"/>
      </w:pPr>
      <w:r>
        <w:t>La valorisation de SDSC présente un paradoxe : un PER de 6,5x attractif basé sur les bénéfices 2024, mais un EV/EBITDA de 29,7x exigeant et des fondamentaux 2025 en forte dégradation qui rendent ce PER obsolète. Le comportement du cours sur 100 jours est haussier (+21,63%) avec une volatilité très élevée (52,1%), mais les statistiques descriptives révèlent une distribution asymétrique positive avec des pics récents qui pourraient ne pas être durables. Les signaux techniques sont mitigés : les moyennes mobiles restent positives, mais le MACD vendeur et le RSI neutre suggèrent une consolidation à court terme. Les fondamentaux montrent une entreprise dont la rentabilité opérationnelle s'est effondrée en 2025, avec un résultat d'exploitation négatif et une dépendance aux dividendes de filiales volatils, malgré une trésorerie abondante de 74,8 milliards. Les prédictions IA sur 10 jours (2 519 à 2 454 FCFA) confirment une trajectoire baissière à court terme, en ligne avec les signaux techniques. La recommandation finale est **CONSERVER** avec un niveau de confiance **Moyen** et un risque global **Élevé**, car la solidité bilancielle et la croissance du CA contrastent avec la chute de rentabilité et la volatilité du titre. L'horizon d'investissement optimal serait le **moyen terme (3-12 mois)**, en attendant une stabilisation des marges opérationnelles et une clarification de la politique de dividende.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(+28%) et l'am\u00e9lioration de la marge op\u00e9rationnelle d\u00e9montrent la solidit\u00e9 du mod\u00e8le \u00e9conomique. Cependant, la baisse des capitaux propres et la tr\u00e9sorerie nette n\u00e9gative n\u00e9cessitent un suivi attentif."}</w:t>
      </w:r>
    </w:p>
    <w:p>
      <w:pPr>
        <w:spacing w:before="40"/>
        <w:ind w:left="400"/>
      </w:pPr>
      <w:r>
        <w:rPr>
          <w:sz w:val="18"/>
        </w:rPr>
        <w:t>Africa Global Logistics (AGL) affiche une croissance solide avec un chiffre d'affaires en hausse de 8,8% à 86,997 milliards FCFA en 2022. Le résultat net progresse significativement de 28,0% pour atteindre 10,044 milliards FCFA, témoignant d'une amélioration de la rentabilité. La marge nette s'améliore à 11,5% contre 10,4% en 2021, reflétant une meilleure maîtrise des coûts opérationnels. Le total du bilan s'établit à 149,634 milliards FCFA avec des capitaux propres renforcés à 10,044 milliards FCFA. La situation financière apparaît solide avec une trésorerie nette négative réduite et des flux opérationnels positifs.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{'dettes_financieres': '9,708 milliards FCFA', 'creances_et_emplois': '96,934 milliards FCFA', 'immobilisations_corporelles': '30,089 milliards FCFA', 'flux_tresorerie_operationnels': '19,236 millions FCFA'}</w:t>
            </w:r>
          </w:p>
        </w:tc>
        <w:tc>
          <w:tcPr>
            <w:tcW w:type="dxa" w:w="2160"/>
          </w:tcPr>
          <w:p>
            <w:pPr>
              <w:ind w:left="100"/>
            </w:pPr>
            <w:r/>
            <w:r>
              <w:rPr>
                <w:b/>
                <w:sz w:val="16"/>
              </w:rPr>
              <w:t>dividende</w:t>
              <w:br/>
            </w:r>
            <w:r>
              <w:rPr>
                <w:sz w:val="18"/>
              </w:rPr>
              <w:t>5,008 milliards FCFA</w:t>
            </w:r>
          </w:p>
        </w:tc>
        <w:tc>
          <w:tcPr>
            <w:tcW w:type="dxa" w:w="2160"/>
          </w:tcPr>
          <w:p>
            <w:pPr>
              <w:ind w:left="100"/>
            </w:pPr>
            <w:r/>
            <w:r>
              <w:rPr>
                <w:b/>
                <w:sz w:val="16"/>
              </w:rPr>
              <w:t>marge_nette</w:t>
              <w:br/>
            </w:r>
            <w:r>
              <w:rPr>
                <w:sz w:val="18"/>
              </w:rPr>
              <w:t>11,5%</w:t>
            </w:r>
          </w:p>
        </w:tc>
        <w:tc>
          <w:tcPr>
            <w:tcW w:type="dxa" w:w="2160"/>
          </w:tcPr>
          <w:p>
            <w:pPr>
              <w:ind w:left="100"/>
            </w:pPr>
            <w:r/>
            <w:r>
              <w:rPr>
                <w:b/>
                <w:sz w:val="16"/>
              </w:rPr>
              <w:t>total_actif</w:t>
              <w:br/>
            </w:r>
            <w:r>
              <w:rPr>
                <w:sz w:val="18"/>
              </w:rPr>
              <w:t>149,634 milliards FCFA</w:t>
            </w:r>
          </w:p>
        </w:tc>
      </w:tr>
      <w:tr>
        <w:tc>
          <w:tcPr>
            <w:tcW w:type="dxa" w:w="2160"/>
          </w:tcPr>
          <w:p>
            <w:r/>
            <w:r>
              <w:rPr>
                <w:b/>
                <w:sz w:val="16"/>
              </w:rPr>
              <w:t>resultat_net</w:t>
              <w:br/>
            </w:r>
            <w:r>
              <w:rPr>
                <w:sz w:val="18"/>
              </w:rPr>
              <w:t>10,044 milliards FCFA</w:t>
            </w:r>
          </w:p>
        </w:tc>
        <w:tc>
          <w:tcPr>
            <w:tcW w:type="dxa" w:w="2160"/>
          </w:tcPr>
          <w:p>
            <w:r/>
            <w:r>
              <w:rPr>
                <w:b/>
                <w:sz w:val="16"/>
              </w:rPr>
              <w:t>capitaux_propres</w:t>
              <w:br/>
            </w:r>
            <w:r>
              <w:rPr>
                <w:sz w:val="18"/>
              </w:rPr>
              <w:t>10,044 milliards FCFA</w:t>
            </w:r>
          </w:p>
        </w:tc>
        <w:tc>
          <w:tcPr>
            <w:tcW w:type="dxa" w:w="2160"/>
          </w:tcPr>
          <w:p>
            <w:r/>
            <w:r>
              <w:rPr>
                <w:b/>
                <w:sz w:val="16"/>
              </w:rPr>
              <w:t>chiffre_affaires</w:t>
              <w:br/>
            </w:r>
            <w:r>
              <w:rPr>
                <w:sz w:val="18"/>
              </w:rPr>
              <w:t>86,997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8,8% à 86,997 milliards FCFA</w:t>
      </w:r>
    </w:p>
    <w:p>
      <w:pPr>
        <w:pStyle w:val="ListBullet"/>
        <w:spacing w:before="20" w:after="20"/>
        <w:ind w:left="700"/>
      </w:pPr>
      <w:r>
        <w:rPr>
          <w:sz w:val="18"/>
        </w:rPr>
        <w:t>Progression remarquable du résultat net de +28,0% à 10,044 milliards FCFA</w:t>
      </w:r>
    </w:p>
    <w:p>
      <w:pPr>
        <w:pStyle w:val="ListBullet"/>
        <w:spacing w:before="20" w:after="20"/>
        <w:ind w:left="700"/>
      </w:pPr>
      <w:r>
        <w:rPr>
          <w:sz w:val="18"/>
        </w:rPr>
        <w:t>Amélioration de la marge nette de 10,4% à 11,5%</w:t>
      </w:r>
    </w:p>
    <w:p>
      <w:pPr>
        <w:pStyle w:val="ListBullet"/>
        <w:spacing w:before="20" w:after="20"/>
        <w:ind w:left="700"/>
      </w:pPr>
      <w:r>
        <w:rPr>
          <w:sz w:val="18"/>
        </w:rPr>
        <w:t>Total actif stable à 149,634 milliards FCFA</w:t>
      </w:r>
    </w:p>
    <w:p>
      <w:pPr>
        <w:pStyle w:val="ListBullet"/>
        <w:spacing w:before="20" w:after="20"/>
        <w:ind w:left="700"/>
      </w:pPr>
      <w:r>
        <w:rPr>
          <w:sz w:val="18"/>
        </w:rPr>
        <w:t>Capitaux propres en baisse à 10,044 milliards FCFA contre 13,942 milliards FCFA</w:t>
      </w:r>
    </w:p>
    <w:p>
      <w:pPr>
        <w:pStyle w:val="ListBullet"/>
        <w:spacing w:before="20" w:after="20"/>
        <w:ind w:left="700"/>
      </w:pPr>
      <w:r>
        <w:rPr>
          <w:sz w:val="18"/>
        </w:rPr>
        <w:t>Trésorerie nette négative améliorée de -5,671 millions FCFA contre -4,353 millions FCFA précédemment</w:t>
      </w:r>
    </w:p>
    <w:p>
      <w:pPr>
        <w:spacing w:before="40"/>
        <w:ind w:left="400"/>
      </w:pPr>
      <w:r>
        <w:rPr>
          <w:b/>
          <w:color w:val="C05000"/>
          <w:sz w:val="18"/>
        </w:rPr>
        <w:t xml:space="preserve">⚠️ Risques : </w:t>
      </w:r>
      <w:r>
        <w:rPr>
          <w:sz w:val="18"/>
        </w:rPr>
        <w:t>["Tr\u00e9sorerie nette n\u00e9gative malgr\u00e9 l'am\u00e9lioration, pouvant limiter la flexibilit\u00e9 financi\u00e8re", "Baisse significative des capitaux propres de 13,942 \u00e0 10,044 milliards FCFA", "Forte d\u00e9pendance aux cr\u00e9ances clients avec 96,934 milliards FCFA d'encours"]</w:t>
      </w:r>
    </w:p>
    <w:p>
      <w:pPr>
        <w:spacing w:before="40"/>
        <w:ind w:left="400"/>
      </w:pPr>
      <w:r>
        <w:rPr>
          <w:b/>
          <w:color w:val="0064A0"/>
          <w:sz w:val="18"/>
        </w:rPr>
        <w:t xml:space="preserve">🔮 Perspectives : </w:t>
      </w:r>
      <w:r>
        <w:rPr>
          <w:sz w:val="18"/>
        </w:rPr>
        <w:t>Les perspectives restent favorables avec une dynamique de croissance maintenue et une rentabilité en amélioration continue. L'entreprise devrait poursuivre sa stratégie de développement tout en consolidant sa structure financière. La capacité à générer des flux opérationnels positifs constitue un at</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36.40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5,081 titres</w:t>
            </w:r>
          </w:p>
        </w:tc>
        <w:tc>
          <w:tcPr>
            <w:tcW w:type="dxa" w:w="2268"/>
            <w:shd w:fill="FFF2CC" w:val="clear"/>
          </w:tcPr>
          <w:p>
            <w:r>
              <w:rPr>
                <w:b/>
                <w:color w:val="503200"/>
                <w:sz w:val="16"/>
              </w:rPr>
              <w:t xml:space="preserve">Cours actuel : </w:t>
            </w:r>
            <w:r>
              <w:rPr>
                <w:color w:val="000000"/>
                <w:sz w:val="17"/>
              </w:rPr>
              <w:t>1,445 FCFA</w:t>
            </w:r>
          </w:p>
          <w:p>
            <w:r>
              <w:rPr>
                <w:b/>
                <w:color w:val="503200"/>
                <w:sz w:val="16"/>
              </w:rPr>
              <w:t xml:space="preserve">Var. 100 jours : </w:t>
            </w:r>
            <w:r>
              <w:rPr>
                <w:b/>
                <w:color w:val="B40000"/>
                <w:sz w:val="17"/>
              </w:rPr>
              <w:t>-32.32%</w:t>
            </w:r>
          </w:p>
          <w:p>
            <w:r>
              <w:rPr>
                <w:b/>
                <w:color w:val="503200"/>
                <w:sz w:val="16"/>
              </w:rPr>
              <w:t xml:space="preserve">Plus haut 100j : </w:t>
            </w:r>
            <w:r>
              <w:rPr>
                <w:color w:val="000000"/>
                <w:sz w:val="17"/>
              </w:rPr>
              <w:t>2,265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19.0/100 → Faible</w:t>
      </w:r>
    </w:p>
    <w:p>
      <w:pPr>
        <w:spacing w:before="40" w:after="80"/>
      </w:pPr>
      <w:r>
        <w:rPr>
          <w:rFonts w:ascii="Courier New" w:hAnsi="Courier New"/>
          <w:color w:val="006400"/>
          <w:sz w:val="18"/>
        </w:rPr>
        <w:t>███░░░░░░░░░░░░░░░░░  19.0/100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13.13% (Moyenne) — μ=1,641 FCFA, σ=215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β=0.8182 (Neutre (suit le marché)) — Cov=0.000030, Var(idx)=0.000036, ρ=0.152,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5,081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σ_j=3.25%/j (Modérée) — Vol. annualisée≈51.6%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1,357</w:t>
            </w:r>
          </w:p>
        </w:tc>
        <w:tc>
          <w:tcPr>
            <w:tcW w:type="dxa" w:w="1440"/>
            <w:shd w:fill="FAFAFA" w:val="clear"/>
          </w:tcPr>
          <w:p>
            <w:r>
              <w:rPr>
                <w:b/>
                <w:sz w:val="17"/>
              </w:rPr>
              <w:t>1,423</w:t>
            </w:r>
          </w:p>
        </w:tc>
        <w:tc>
          <w:tcPr>
            <w:tcW w:type="dxa" w:w="1440"/>
            <w:shd w:fill="FAFAFA" w:val="clear"/>
          </w:tcPr>
          <w:p>
            <w:r>
              <w:rPr>
                <w:sz w:val="17"/>
              </w:rPr>
              <w:t>1,489</w:t>
            </w:r>
          </w:p>
        </w:tc>
        <w:tc>
          <w:tcPr>
            <w:tcW w:type="dxa" w:w="1440"/>
            <w:shd w:fill="FAFAFA" w:val="clear"/>
          </w:tcPr>
          <w:p>
            <w:r>
              <w:rPr>
                <w:b/>
                <w:color w:val="C00000"/>
                <w:sz w:val="17"/>
              </w:rPr>
              <w:t>-1.5%</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1,318</w:t>
            </w:r>
          </w:p>
        </w:tc>
        <w:tc>
          <w:tcPr>
            <w:tcW w:type="dxa" w:w="1440"/>
            <w:shd w:fill="FFDCE0" w:val="clear"/>
          </w:tcPr>
          <w:p>
            <w:r>
              <w:rPr>
                <w:b/>
                <w:sz w:val="17"/>
              </w:rPr>
              <w:t>1,410</w:t>
            </w:r>
          </w:p>
        </w:tc>
        <w:tc>
          <w:tcPr>
            <w:tcW w:type="dxa" w:w="1440"/>
            <w:shd w:fill="FFDCE0" w:val="clear"/>
          </w:tcPr>
          <w:p>
            <w:r>
              <w:rPr>
                <w:sz w:val="17"/>
              </w:rPr>
              <w:t>1,503</w:t>
            </w:r>
          </w:p>
        </w:tc>
        <w:tc>
          <w:tcPr>
            <w:tcW w:type="dxa" w:w="1440"/>
            <w:shd w:fill="FFDCE0" w:val="clear"/>
          </w:tcPr>
          <w:p>
            <w:r>
              <w:rPr>
                <w:b/>
                <w:color w:val="C00000"/>
                <w:sz w:val="17"/>
              </w:rPr>
              <w:t>-2.4%</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1,284</w:t>
            </w:r>
          </w:p>
        </w:tc>
        <w:tc>
          <w:tcPr>
            <w:tcW w:type="dxa" w:w="1440"/>
            <w:shd w:fill="FFDCE0" w:val="clear"/>
          </w:tcPr>
          <w:p>
            <w:r>
              <w:rPr>
                <w:b/>
                <w:sz w:val="17"/>
              </w:rPr>
              <w:t>1,397</w:t>
            </w:r>
          </w:p>
        </w:tc>
        <w:tc>
          <w:tcPr>
            <w:tcW w:type="dxa" w:w="1440"/>
            <w:shd w:fill="FFDCE0" w:val="clear"/>
          </w:tcPr>
          <w:p>
            <w:r>
              <w:rPr>
                <w:sz w:val="17"/>
              </w:rPr>
              <w:t>1,510</w:t>
            </w:r>
          </w:p>
        </w:tc>
        <w:tc>
          <w:tcPr>
            <w:tcW w:type="dxa" w:w="1440"/>
            <w:shd w:fill="FFDCE0" w:val="clear"/>
          </w:tcPr>
          <w:p>
            <w:r>
              <w:rPr>
                <w:b/>
                <w:color w:val="C00000"/>
                <w:sz w:val="17"/>
              </w:rPr>
              <w:t>-3.3%</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1,255</w:t>
            </w:r>
          </w:p>
        </w:tc>
        <w:tc>
          <w:tcPr>
            <w:tcW w:type="dxa" w:w="1440"/>
            <w:shd w:fill="FFDCE0" w:val="clear"/>
          </w:tcPr>
          <w:p>
            <w:r>
              <w:rPr>
                <w:b/>
                <w:sz w:val="17"/>
              </w:rPr>
              <w:t>1,384</w:t>
            </w:r>
          </w:p>
        </w:tc>
        <w:tc>
          <w:tcPr>
            <w:tcW w:type="dxa" w:w="1440"/>
            <w:shd w:fill="FFDCE0" w:val="clear"/>
          </w:tcPr>
          <w:p>
            <w:r>
              <w:rPr>
                <w:sz w:val="17"/>
              </w:rPr>
              <w:t>1,513</w:t>
            </w:r>
          </w:p>
        </w:tc>
        <w:tc>
          <w:tcPr>
            <w:tcW w:type="dxa" w:w="1440"/>
            <w:shd w:fill="FFDCE0" w:val="clear"/>
          </w:tcPr>
          <w:p>
            <w:r>
              <w:rPr>
                <w:b/>
                <w:color w:val="C00000"/>
                <w:sz w:val="17"/>
              </w:rPr>
              <w:t>-4.2%</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1,228</w:t>
            </w:r>
          </w:p>
        </w:tc>
        <w:tc>
          <w:tcPr>
            <w:tcW w:type="dxa" w:w="1440"/>
            <w:shd w:fill="FFDCE0" w:val="clear"/>
          </w:tcPr>
          <w:p>
            <w:r>
              <w:rPr>
                <w:b/>
                <w:sz w:val="17"/>
              </w:rPr>
              <w:t>1,371</w:t>
            </w:r>
          </w:p>
        </w:tc>
        <w:tc>
          <w:tcPr>
            <w:tcW w:type="dxa" w:w="1440"/>
            <w:shd w:fill="FFDCE0" w:val="clear"/>
          </w:tcPr>
          <w:p>
            <w:r>
              <w:rPr>
                <w:sz w:val="17"/>
              </w:rPr>
              <w:t>1,514</w:t>
            </w:r>
          </w:p>
        </w:tc>
        <w:tc>
          <w:tcPr>
            <w:tcW w:type="dxa" w:w="1440"/>
            <w:shd w:fill="FFDCE0" w:val="clear"/>
          </w:tcPr>
          <w:p>
            <w:r>
              <w:rPr>
                <w:b/>
                <w:color w:val="C00000"/>
                <w:sz w:val="17"/>
              </w:rPr>
              <w:t>-5.1%</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1,203</w:t>
            </w:r>
          </w:p>
        </w:tc>
        <w:tc>
          <w:tcPr>
            <w:tcW w:type="dxa" w:w="1440"/>
            <w:shd w:fill="FFDCE0" w:val="clear"/>
          </w:tcPr>
          <w:p>
            <w:r>
              <w:rPr>
                <w:b/>
                <w:sz w:val="17"/>
              </w:rPr>
              <w:t>1,358</w:t>
            </w:r>
          </w:p>
        </w:tc>
        <w:tc>
          <w:tcPr>
            <w:tcW w:type="dxa" w:w="1440"/>
            <w:shd w:fill="FFDCE0" w:val="clear"/>
          </w:tcPr>
          <w:p>
            <w:r>
              <w:rPr>
                <w:sz w:val="17"/>
              </w:rPr>
              <w:t>1,513</w:t>
            </w:r>
          </w:p>
        </w:tc>
        <w:tc>
          <w:tcPr>
            <w:tcW w:type="dxa" w:w="1440"/>
            <w:shd w:fill="FFDCE0" w:val="clear"/>
          </w:tcPr>
          <w:p>
            <w:r>
              <w:rPr>
                <w:b/>
                <w:color w:val="C00000"/>
                <w:sz w:val="17"/>
              </w:rPr>
              <w:t>-6.0%</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1,180</w:t>
            </w:r>
          </w:p>
        </w:tc>
        <w:tc>
          <w:tcPr>
            <w:tcW w:type="dxa" w:w="1440"/>
            <w:shd w:fill="FFDCE0" w:val="clear"/>
          </w:tcPr>
          <w:p>
            <w:r>
              <w:rPr>
                <w:b/>
                <w:sz w:val="17"/>
              </w:rPr>
              <w:t>1,345</w:t>
            </w:r>
          </w:p>
        </w:tc>
        <w:tc>
          <w:tcPr>
            <w:tcW w:type="dxa" w:w="1440"/>
            <w:shd w:fill="FFDCE0" w:val="clear"/>
          </w:tcPr>
          <w:p>
            <w:r>
              <w:rPr>
                <w:sz w:val="17"/>
              </w:rPr>
              <w:t>1,511</w:t>
            </w:r>
          </w:p>
        </w:tc>
        <w:tc>
          <w:tcPr>
            <w:tcW w:type="dxa" w:w="1440"/>
            <w:shd w:fill="FFDCE0" w:val="clear"/>
          </w:tcPr>
          <w:p>
            <w:r>
              <w:rPr>
                <w:b/>
                <w:color w:val="C00000"/>
                <w:sz w:val="17"/>
              </w:rPr>
              <w:t>-6.9%</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1,158</w:t>
            </w:r>
          </w:p>
        </w:tc>
        <w:tc>
          <w:tcPr>
            <w:tcW w:type="dxa" w:w="1440"/>
            <w:shd w:fill="FFDCE0" w:val="clear"/>
          </w:tcPr>
          <w:p>
            <w:r>
              <w:rPr>
                <w:b/>
                <w:sz w:val="17"/>
              </w:rPr>
              <w:t>1,333</w:t>
            </w:r>
          </w:p>
        </w:tc>
        <w:tc>
          <w:tcPr>
            <w:tcW w:type="dxa" w:w="1440"/>
            <w:shd w:fill="FFDCE0" w:val="clear"/>
          </w:tcPr>
          <w:p>
            <w:r>
              <w:rPr>
                <w:sz w:val="17"/>
              </w:rPr>
              <w:t>1,509</w:t>
            </w:r>
          </w:p>
        </w:tc>
        <w:tc>
          <w:tcPr>
            <w:tcW w:type="dxa" w:w="1440"/>
            <w:shd w:fill="FFDCE0" w:val="clear"/>
          </w:tcPr>
          <w:p>
            <w:r>
              <w:rPr>
                <w:b/>
                <w:color w:val="C00000"/>
                <w:sz w:val="17"/>
              </w:rPr>
              <w:t>-7.7%</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1,137</w:t>
            </w:r>
          </w:p>
        </w:tc>
        <w:tc>
          <w:tcPr>
            <w:tcW w:type="dxa" w:w="1440"/>
            <w:shd w:fill="FFDCE0" w:val="clear"/>
          </w:tcPr>
          <w:p>
            <w:r>
              <w:rPr>
                <w:b/>
                <w:sz w:val="17"/>
              </w:rPr>
              <w:t>1,321</w:t>
            </w:r>
          </w:p>
        </w:tc>
        <w:tc>
          <w:tcPr>
            <w:tcW w:type="dxa" w:w="1440"/>
            <w:shd w:fill="FFDCE0" w:val="clear"/>
          </w:tcPr>
          <w:p>
            <w:r>
              <w:rPr>
                <w:sz w:val="17"/>
              </w:rPr>
              <w:t>1,506</w:t>
            </w:r>
          </w:p>
        </w:tc>
        <w:tc>
          <w:tcPr>
            <w:tcW w:type="dxa" w:w="1440"/>
            <w:shd w:fill="FFDCE0" w:val="clear"/>
          </w:tcPr>
          <w:p>
            <w:r>
              <w:rPr>
                <w:b/>
                <w:color w:val="C00000"/>
                <w:sz w:val="17"/>
              </w:rPr>
              <w:t>-8.6%</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1,117</w:t>
            </w:r>
          </w:p>
        </w:tc>
        <w:tc>
          <w:tcPr>
            <w:tcW w:type="dxa" w:w="1440"/>
            <w:shd w:fill="FFDCE0" w:val="clear"/>
          </w:tcPr>
          <w:p>
            <w:r>
              <w:rPr>
                <w:b/>
                <w:sz w:val="17"/>
              </w:rPr>
              <w:t>1,310</w:t>
            </w:r>
          </w:p>
        </w:tc>
        <w:tc>
          <w:tcPr>
            <w:tcW w:type="dxa" w:w="1440"/>
            <w:shd w:fill="FFDCE0" w:val="clear"/>
          </w:tcPr>
          <w:p>
            <w:r>
              <w:rPr>
                <w:sz w:val="17"/>
              </w:rPr>
              <w:t>1,503</w:t>
            </w:r>
          </w:p>
        </w:tc>
        <w:tc>
          <w:tcPr>
            <w:tcW w:type="dxa" w:w="1440"/>
            <w:shd w:fill="FFDCE0" w:val="clear"/>
          </w:tcPr>
          <w:p>
            <w:r>
              <w:rPr>
                <w:b/>
                <w:color w:val="C00000"/>
                <w:sz w:val="17"/>
              </w:rPr>
              <w:t>-9.4%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Absolument. Voici un rapport d'analyse structuré et professionnel pour l'action SEMC,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SEMC s'établit à 36,40 milliards FCFA, un niveau modeste qui la classe parmi les valeurs de taille moyenne sur la BRVM. Les ratios de valorisation (BPA, PER, P/B, EV/EBITDA) ne sont pas calculables, car les données financières structurées nécessaires (nombre d'actions, capitaux propres, EBITDA) ne sont pas disponibles dans la base de données. Cette absence est due à un manque de données structurées récentes, les derniers rapports financiers complets datant de 2023. Par conséquent, une évaluation précise de la cherté du titre par rapport à ses bénéfices ou à sa valeur comptable est impossible. L'analyse devra donc s'appuyer sur les données de cours, l'analyse technique et les rapports fondamentaux narratifs disponibles, en gardant à l'esprit que le marché intègre probablement une décote pour risque.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SEMC a subi une dépréciation sévère de -32,32%, avec une légère baisse de -0,34% lors de la dernière séance, confirmant une pression vendeuse persistante. Le titre a évolué dans un large range de 1 350 FCFA (plus bas) à 2 265 FCFA (plus haut), mais se négocie actuellement à 1 445 FCFA, proche de son point le plus bas, ce qui illustre une tendance baissière marquée. Les statistiques descriptives confirment cette faiblesse : la moyenne (1 641 FCFA) est supérieure à la médiane (1 555 FCFA), et le skewness positif (1.090) indique que le cours a passé plus de journées sous sa moyenne, avec des épisodes de hausse ponctuels. L'écart-type de 217 FCFA (CV=13,2%) montre une dispersion modérée des prix autour de la moyenne. Le kurtosis proche de zéro (-0.011) suggère une distribution "normale" sans risque de variations extrêmes. La volatilité annualisée de 51,6% est très élevée, classant le titre comme un actif à haut risque, ce qui est cohérent avec la forte baisse observée.</w:t>
      </w:r>
    </w:p>
    <w:p>
      <w:pPr>
        <w:spacing w:after="120" w:line="276" w:lineRule="auto"/>
      </w:pPr>
      <w:r>
        <w:t>---</w:t>
      </w:r>
    </w:p>
    <w:p>
      <w:pPr>
        <w:spacing w:after="120" w:line="276" w:lineRule="auto"/>
      </w:pPr>
      <w:r>
        <w:t>### **PARTIE 2 : ANALYSE TECHNIQUE DÉTAILLÉE**</w:t>
      </w:r>
    </w:p>
    <w:p>
      <w:pPr>
        <w:spacing w:after="120" w:line="276" w:lineRule="auto"/>
      </w:pPr>
      <w:r>
        <w:t>**Moyennes Mobiles:** Les moyennes mobiles sur 20 jours (1 477,25 FCFA) et sur 50 jours (1 520,7 FCFA) sont toutes deux supérieures au cours actuel de 1 445 FCFA. Cette configuration, où le prix est sous ses moyennes clés, est un signal baissier classique. La MM20 étant inférieure à la MM50, la tendance de court terme est plus faible que la tendance de moyen terme, confirmant la dynamique négative. La décision de "Vente" est donc justifiée.</w:t>
      </w:r>
    </w:p>
    <w:p>
      <w:pPr>
        <w:spacing w:after="120" w:line="276" w:lineRule="auto"/>
      </w:pPr>
      <w:r>
        <w:t>**Bandes de Bollinger:** Le cours actuel (1 445 FCFA) se situe à l'intérieur des bandes, plus près de la borne inférieure (1 404,8 FCFA) que de la borne supérieure (1 549,7 FCFA). Cela indique une pression vendeuse, mais sans condition de surachat ou de survente extrême. La largeur des bandes reflète la volatilité élevée du titre. La décision "Neutre" est cohérente, car le prix n'a pas encore franchi la borne inférieure, ce qui pourrait signaler une poursuite de la baisse.</w:t>
      </w:r>
    </w:p>
    <w:p>
      <w:pPr>
        <w:spacing w:after="120" w:line="276" w:lineRule="auto"/>
      </w:pPr>
      <w:r>
        <w:t>**MACD:** Le MACD (-11.362) est négatif et inférieur à sa ligne de signal (-11.135). Cette configuration baissière indique que le momentum de court terme est négatif et que la dynamique de prix est à la baisse. La décision de "Vente" est justifiée, car le croisement sous la ligne de signal est un signal de distribution.</w:t>
      </w:r>
    </w:p>
    <w:p>
      <w:pPr>
        <w:spacing w:after="120" w:line="276" w:lineRule="auto"/>
      </w:pPr>
      <w:r>
        <w:t>**RSI:** Le RSI est à 43,678, une valeur située dans la zone neutre (30-70). Cela signifie que le titre n'est ni suracheté ni survendu. Cependant, la valeur étant inférieure à 50, elle suggère une dynamique baissière sous-jacente. La décision "Neutre" est correcte, mais elle n'infirme pas la tendance baissière globale.</w:t>
      </w:r>
    </w:p>
    <w:p>
      <w:pPr>
        <w:spacing w:after="120" w:line="276" w:lineRule="auto"/>
      </w:pPr>
      <w:r>
        <w:t>**Stochastique:** Le %K (31,818) est inférieur à %D (43,939), indiquant une dynamique baissière. Le croisement de ces deux lignes à la baisse est un signal de vente. La décision "Neutre" peut sembler surprenante, mais elle peut s'expliquer par le fait que les valeurs ne sont pas encore en zone de survente extrême (&lt;20), laissant une marge de manœuvre avant un éventuel rebond technique.</w:t>
      </w:r>
    </w:p>
    <w:p>
      <w:pPr>
        <w:spacing w:after="120" w:line="276" w:lineRule="auto"/>
      </w:pPr>
      <w:r>
        <w:t>**Conclusion technique:** La majorité des indicateurs techniques (MM, MACD) convergent vers un signal de vente, confirmant la tendance baissière de fond. Les oscillateurs (RSI, Stochastique) sont neutres, mais orientés à la baisse, suggérant que le mouvement baissier pourrait se poursuivre avant d'atteindre des conditions de survente. Le signal global est donc baissier, avec un risque de continuation de la baisse vers les supports plus bas.</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(états financiers annuels) ne sont pas disponibles dans la base de données. Cependant, les rapports narratifs fournissent des informations cruciales, bien qu'anciennes. Le rapport du 31/12/2024 (analysé en 2026) indique pour l'exercice 2023 un chiffre d'affaires de 27,88 milliards FCFA, en baisse de 6% par rapport à 2022 (29,60 milliards FCFA). Le résultat net a chuté de 74% à 1,01 milliard FCFA, contre 3,86 milliards FCFA en 2022, avec une marge nette passant de 13,0% à 3,6%. Cette dégradation est due à la perte de clients clés (AIRONE), à la concurrence des emballages alternatifs et à une hausse des coûts. Aucun dividende n'a été distribué. Un autre rapport, daté du 31/12/2024, présente des chiffres radicalement différents pour 2023 (CA de 125,4 milliards FCFA, résultat net de 12,8 milliards FCFA), ce qui est incohérent et suggère des erreurs de données. Le rapport du 31/12/2023 (T1 2023) montre une amélioration avec un CA de 7,65 milliards FCFA (+16,5%) et un bénéfice net de 855,65 millions FCFA (+37,9%). Enfin, le rapport du 31/12/2022 fait état d'un CA de 125,4 milliards FCFA et d'un résultat net de 12,8 milliards FCFA pour 2022. Face à ces données contradictoires, il est impossible de fournir une analyse fondamentale fiable. On peut noter que la société a été rachetée par Sonoco Products Company (finalisé en décembre 2024), ce qui pourrait apporter des capitaux et une expertise stratégique. Cependant, les perspectives restent incertaines et la recommandation "CONSERVER" des rapports semble prudente, compte tenu de la rentabilité fragile et des défis opérationnels.</w:t>
      </w:r>
    </w:p>
    <w:p>
      <w:pPr>
        <w:spacing w:after="120" w:line="276" w:lineRule="auto"/>
      </w:pPr>
      <w:r>
        <w:t>---</w:t>
      </w:r>
    </w:p>
    <w:p>
      <w:pPr>
        <w:spacing w:after="120" w:line="276" w:lineRule="auto"/>
      </w:pPr>
      <w:r>
        <w:t>### **PARTIE 4 : CONCLUSION D'INVESTISSEMENT**</w:t>
      </w:r>
    </w:p>
    <w:p>
      <w:pPr>
        <w:spacing w:after="120" w:line="276" w:lineRule="auto"/>
      </w:pPr>
      <w:r>
        <w:t>La valorisation boursière de SEMC ne peut être évaluée par les ratios classiques (PER, P/B) faute de données fiables, mais la capitalisation de 36,4 milliards FCFA semble refléter une décote pour risque. Le comportement du cours est très préoccupant, avec une chute de 32% sur 100 jours, une volatilité extrême (51,6%) et une distribution des prix qui montre une faiblesse persistante. Les signaux techniques sont majoritairement baissiers (MM, MACD), avec des oscillateurs neutres mais orientés à la baisse, indiquant une poursuite probable du mouvement. Les fondamentaux sont très dégradés, avec des résultats 2023 en forte baisse (marge nette à 3,6%) et des données incohérentes entre les rapports, ce qui rend l'analyse peu fiable. Les prédictions IA pour les 10 prochains jours confirment cette tendance, projetant une baisse continue du cours jusqu'à 1 371 FCFA. La convergence de tous les signaux (technique, comportement du cours, prédictions) vers une poursuite de la baisse, couplée à des fondamentaux incertains, conduit à une recommandation de **VENTE FORTE**. Le niveau de confiance est **Moyen** en raison de l'incohérence des données fondamentales, mais le risque global est **Élevé**. L'horizon d'investissement optimal est le **court terme (&lt;3 mois)** pour les investisseurs cherchant à limiter leurs pertes, ou une attente de stabilisation avant toute nouvelle position.</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1182.22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4,417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007800"/>
                <w:sz w:val="17"/>
              </w:rPr>
              <w:t>+8.57%</w:t>
            </w:r>
          </w:p>
          <w:p>
            <w:r>
              <w:rPr>
                <w:b/>
                <w:color w:val="503200"/>
                <w:sz w:val="16"/>
              </w:rPr>
              <w:t xml:space="preserve">Plus haut 100j : </w:t>
            </w:r>
            <w:r>
              <w:rPr>
                <w:color w:val="000000"/>
                <w:sz w:val="17"/>
              </w:rPr>
              <w:t>39,200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24.2%</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5.66% (Moyenne) — μ=36,485 FCFA, σ=2,065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β=0.5812 (Défensif) — Cov=0.000021, Var(idx)=0.000036, ρ=0.229,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4,417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σ_j=1.53%/j (Stable) — Vol. annualisée≈24.2%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44/100  (Moyen)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36,946</w:t>
            </w:r>
          </w:p>
        </w:tc>
        <w:tc>
          <w:tcPr>
            <w:tcW w:type="dxa" w:w="1440"/>
            <w:shd w:fill="FAFAFA" w:val="clear"/>
          </w:tcPr>
          <w:p>
            <w:r>
              <w:rPr>
                <w:b/>
                <w:sz w:val="17"/>
              </w:rPr>
              <w:t>37,704</w:t>
            </w:r>
          </w:p>
        </w:tc>
        <w:tc>
          <w:tcPr>
            <w:tcW w:type="dxa" w:w="1440"/>
            <w:shd w:fill="FAFAFA" w:val="clear"/>
          </w:tcPr>
          <w:p>
            <w:r>
              <w:rPr>
                <w:sz w:val="17"/>
              </w:rPr>
              <w:t>38,461</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36,557</w:t>
            </w:r>
          </w:p>
        </w:tc>
        <w:tc>
          <w:tcPr>
            <w:tcW w:type="dxa" w:w="1440"/>
            <w:shd w:fill="FAFAFA" w:val="clear"/>
          </w:tcPr>
          <w:p>
            <w:r>
              <w:rPr>
                <w:b/>
                <w:sz w:val="17"/>
              </w:rPr>
              <w:t>37,627</w:t>
            </w:r>
          </w:p>
        </w:tc>
        <w:tc>
          <w:tcPr>
            <w:tcW w:type="dxa" w:w="1440"/>
            <w:shd w:fill="FAFAFA" w:val="clear"/>
          </w:tcPr>
          <w:p>
            <w:r>
              <w:rPr>
                <w:sz w:val="17"/>
              </w:rPr>
              <w:t>38,696</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36,238</w:t>
            </w:r>
          </w:p>
        </w:tc>
        <w:tc>
          <w:tcPr>
            <w:tcW w:type="dxa" w:w="1440"/>
            <w:shd w:fill="FAFAFA" w:val="clear"/>
          </w:tcPr>
          <w:p>
            <w:r>
              <w:rPr>
                <w:b/>
                <w:sz w:val="17"/>
              </w:rPr>
              <w:t>37,544</w:t>
            </w:r>
          </w:p>
        </w:tc>
        <w:tc>
          <w:tcPr>
            <w:tcW w:type="dxa" w:w="1440"/>
            <w:shd w:fill="FAFAFA" w:val="clear"/>
          </w:tcPr>
          <w:p>
            <w:r>
              <w:rPr>
                <w:sz w:val="17"/>
              </w:rPr>
              <w:t>38,851</w:t>
            </w:r>
          </w:p>
        </w:tc>
        <w:tc>
          <w:tcPr>
            <w:tcW w:type="dxa" w:w="1440"/>
            <w:shd w:fill="FAFAFA" w:val="clear"/>
          </w:tcPr>
          <w:p>
            <w:r>
              <w:rPr>
                <w:b/>
                <w:color w:val="C00000"/>
                <w:sz w:val="17"/>
              </w:rPr>
              <w:t>-1.2%</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35,960</w:t>
            </w:r>
          </w:p>
        </w:tc>
        <w:tc>
          <w:tcPr>
            <w:tcW w:type="dxa" w:w="1440"/>
            <w:shd w:fill="FAFAFA" w:val="clear"/>
          </w:tcPr>
          <w:p>
            <w:r>
              <w:rPr>
                <w:b/>
                <w:sz w:val="17"/>
              </w:rPr>
              <w:t>37,465</w:t>
            </w:r>
          </w:p>
        </w:tc>
        <w:tc>
          <w:tcPr>
            <w:tcW w:type="dxa" w:w="1440"/>
            <w:shd w:fill="FAFAFA" w:val="clear"/>
          </w:tcPr>
          <w:p>
            <w:r>
              <w:rPr>
                <w:sz w:val="17"/>
              </w:rPr>
              <w:t>38,971</w:t>
            </w:r>
          </w:p>
        </w:tc>
        <w:tc>
          <w:tcPr>
            <w:tcW w:type="dxa" w:w="1440"/>
            <w:shd w:fill="FAFAFA" w:val="clear"/>
          </w:tcPr>
          <w:p>
            <w:r>
              <w:rPr>
                <w:b/>
                <w:color w:val="C00000"/>
                <w:sz w:val="17"/>
              </w:rPr>
              <w:t>-1.4%</w:t>
            </w:r>
          </w:p>
        </w:tc>
      </w:tr>
      <w:tr>
        <w:tc>
          <w:tcPr>
            <w:tcW w:type="dxa" w:w="1440"/>
            <w:shd w:fill="FAFAFA" w:val="clear"/>
          </w:tcPr>
          <w:p>
            <w:r>
              <w:rPr>
                <w:sz w:val="17"/>
              </w:rPr>
              <w:t>J+5  Moyenne</w:t>
            </w:r>
          </w:p>
        </w:tc>
        <w:tc>
          <w:tcPr>
            <w:tcW w:type="dxa" w:w="1440"/>
            <w:shd w:fill="FAFAFA" w:val="clear"/>
          </w:tcPr>
          <w:p>
            <w:r>
              <w:rPr>
                <w:sz w:val="17"/>
              </w:rPr>
              <w:t>2026-08-14</w:t>
            </w:r>
          </w:p>
        </w:tc>
        <w:tc>
          <w:tcPr>
            <w:tcW w:type="dxa" w:w="1440"/>
            <w:shd w:fill="FAFAFA" w:val="clear"/>
          </w:tcPr>
          <w:p>
            <w:r>
              <w:rPr>
                <w:sz w:val="17"/>
              </w:rPr>
              <w:t>35,710</w:t>
            </w:r>
          </w:p>
        </w:tc>
        <w:tc>
          <w:tcPr>
            <w:tcW w:type="dxa" w:w="1440"/>
            <w:shd w:fill="FAFAFA" w:val="clear"/>
          </w:tcPr>
          <w:p>
            <w:r>
              <w:rPr>
                <w:b/>
                <w:sz w:val="17"/>
              </w:rPr>
              <w:t>37,390</w:t>
            </w:r>
          </w:p>
        </w:tc>
        <w:tc>
          <w:tcPr>
            <w:tcW w:type="dxa" w:w="1440"/>
            <w:shd w:fill="FAFAFA" w:val="clear"/>
          </w:tcPr>
          <w:p>
            <w:r>
              <w:rPr>
                <w:sz w:val="17"/>
              </w:rPr>
              <w:t>39,069</w:t>
            </w:r>
          </w:p>
        </w:tc>
        <w:tc>
          <w:tcPr>
            <w:tcW w:type="dxa" w:w="1440"/>
            <w:shd w:fill="FAFAFA" w:val="clear"/>
          </w:tcPr>
          <w:p>
            <w:r>
              <w:rPr>
                <w:b/>
                <w:color w:val="C00000"/>
                <w:sz w:val="17"/>
              </w:rPr>
              <w:t>-1.6%</w:t>
            </w:r>
          </w:p>
        </w:tc>
      </w:tr>
      <w:tr>
        <w:tc>
          <w:tcPr>
            <w:tcW w:type="dxa" w:w="1440"/>
            <w:shd w:fill="FAFAFA" w:val="clear"/>
          </w:tcPr>
          <w:p>
            <w:r>
              <w:rPr>
                <w:sz w:val="17"/>
              </w:rPr>
              <w:t>J+6  Moyenne</w:t>
            </w:r>
          </w:p>
        </w:tc>
        <w:tc>
          <w:tcPr>
            <w:tcW w:type="dxa" w:w="1440"/>
            <w:shd w:fill="FAFAFA" w:val="clear"/>
          </w:tcPr>
          <w:p>
            <w:r>
              <w:rPr>
                <w:sz w:val="17"/>
              </w:rPr>
              <w:t>2026-08-17</w:t>
            </w:r>
          </w:p>
        </w:tc>
        <w:tc>
          <w:tcPr>
            <w:tcW w:type="dxa" w:w="1440"/>
            <w:shd w:fill="FAFAFA" w:val="clear"/>
          </w:tcPr>
          <w:p>
            <w:r>
              <w:rPr>
                <w:sz w:val="17"/>
              </w:rPr>
              <w:t>35,479</w:t>
            </w:r>
          </w:p>
        </w:tc>
        <w:tc>
          <w:tcPr>
            <w:tcW w:type="dxa" w:w="1440"/>
            <w:shd w:fill="FAFAFA" w:val="clear"/>
          </w:tcPr>
          <w:p>
            <w:r>
              <w:rPr>
                <w:b/>
                <w:sz w:val="17"/>
              </w:rPr>
              <w:t>37,316</w:t>
            </w:r>
          </w:p>
        </w:tc>
        <w:tc>
          <w:tcPr>
            <w:tcW w:type="dxa" w:w="1440"/>
            <w:shd w:fill="FAFAFA" w:val="clear"/>
          </w:tcPr>
          <w:p>
            <w:r>
              <w:rPr>
                <w:sz w:val="17"/>
              </w:rPr>
              <w:t>39,152</w:t>
            </w:r>
          </w:p>
        </w:tc>
        <w:tc>
          <w:tcPr>
            <w:tcW w:type="dxa" w:w="1440"/>
            <w:shd w:fill="FAFAFA" w:val="clear"/>
          </w:tcPr>
          <w:p>
            <w:r>
              <w:rPr>
                <w:b/>
                <w:color w:val="C00000"/>
                <w:sz w:val="17"/>
              </w:rPr>
              <w:t>-1.8%</w:t>
            </w:r>
          </w:p>
        </w:tc>
      </w:tr>
      <w:tr>
        <w:tc>
          <w:tcPr>
            <w:tcW w:type="dxa" w:w="1440"/>
            <w:shd w:fill="FAFAFA" w:val="clear"/>
          </w:tcPr>
          <w:p>
            <w:r>
              <w:rPr>
                <w:sz w:val="17"/>
              </w:rPr>
              <w:t>J+7  Moyenne</w:t>
            </w:r>
          </w:p>
        </w:tc>
        <w:tc>
          <w:tcPr>
            <w:tcW w:type="dxa" w:w="1440"/>
            <w:shd w:fill="FAFAFA" w:val="clear"/>
          </w:tcPr>
          <w:p>
            <w:r>
              <w:rPr>
                <w:sz w:val="17"/>
              </w:rPr>
              <w:t>2026-08-18</w:t>
            </w:r>
          </w:p>
        </w:tc>
        <w:tc>
          <w:tcPr>
            <w:tcW w:type="dxa" w:w="1440"/>
            <w:shd w:fill="FAFAFA" w:val="clear"/>
          </w:tcPr>
          <w:p>
            <w:r>
              <w:rPr>
                <w:sz w:val="17"/>
              </w:rPr>
              <w:t>35,264</w:t>
            </w:r>
          </w:p>
        </w:tc>
        <w:tc>
          <w:tcPr>
            <w:tcW w:type="dxa" w:w="1440"/>
            <w:shd w:fill="FAFAFA" w:val="clear"/>
          </w:tcPr>
          <w:p>
            <w:r>
              <w:rPr>
                <w:b/>
                <w:sz w:val="17"/>
              </w:rPr>
              <w:t>37,244</w:t>
            </w:r>
          </w:p>
        </w:tc>
        <w:tc>
          <w:tcPr>
            <w:tcW w:type="dxa" w:w="1440"/>
            <w:shd w:fill="FAFAFA" w:val="clear"/>
          </w:tcPr>
          <w:p>
            <w:r>
              <w:rPr>
                <w:sz w:val="17"/>
              </w:rPr>
              <w:t>39,224</w:t>
            </w:r>
          </w:p>
        </w:tc>
        <w:tc>
          <w:tcPr>
            <w:tcW w:type="dxa" w:w="1440"/>
            <w:shd w:fill="FAFAFA" w:val="clear"/>
          </w:tcPr>
          <w:p>
            <w:r>
              <w:rPr>
                <w:b/>
                <w:color w:val="C00000"/>
                <w:sz w:val="17"/>
              </w:rPr>
              <w:t>-2.0%</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35,061</w:t>
            </w:r>
          </w:p>
        </w:tc>
        <w:tc>
          <w:tcPr>
            <w:tcW w:type="dxa" w:w="1440"/>
            <w:shd w:fill="FFDCE0" w:val="clear"/>
          </w:tcPr>
          <w:p>
            <w:r>
              <w:rPr>
                <w:b/>
                <w:sz w:val="17"/>
              </w:rPr>
              <w:t>37,174</w:t>
            </w:r>
          </w:p>
        </w:tc>
        <w:tc>
          <w:tcPr>
            <w:tcW w:type="dxa" w:w="1440"/>
            <w:shd w:fill="FFDCE0" w:val="clear"/>
          </w:tcPr>
          <w:p>
            <w:r>
              <w:rPr>
                <w:sz w:val="17"/>
              </w:rPr>
              <w:t>39,286</w:t>
            </w:r>
          </w:p>
        </w:tc>
        <w:tc>
          <w:tcPr>
            <w:tcW w:type="dxa" w:w="1440"/>
            <w:shd w:fill="FFDCE0" w:val="clear"/>
          </w:tcPr>
          <w:p>
            <w:r>
              <w:rPr>
                <w:b/>
                <w:color w:val="C00000"/>
                <w:sz w:val="17"/>
              </w:rPr>
              <w:t>-2.2%</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34,868</w:t>
            </w:r>
          </w:p>
        </w:tc>
        <w:tc>
          <w:tcPr>
            <w:tcW w:type="dxa" w:w="1440"/>
            <w:shd w:fill="FFDCE0" w:val="clear"/>
          </w:tcPr>
          <w:p>
            <w:r>
              <w:rPr>
                <w:b/>
                <w:sz w:val="17"/>
              </w:rPr>
              <w:t>37,104</w:t>
            </w:r>
          </w:p>
        </w:tc>
        <w:tc>
          <w:tcPr>
            <w:tcW w:type="dxa" w:w="1440"/>
            <w:shd w:fill="FFDCE0" w:val="clear"/>
          </w:tcPr>
          <w:p>
            <w:r>
              <w:rPr>
                <w:sz w:val="17"/>
              </w:rPr>
              <w:t>39,341</w:t>
            </w:r>
          </w:p>
        </w:tc>
        <w:tc>
          <w:tcPr>
            <w:tcW w:type="dxa" w:w="1440"/>
            <w:shd w:fill="FFDCE0" w:val="clear"/>
          </w:tcPr>
          <w:p>
            <w:r>
              <w:rPr>
                <w:b/>
                <w:color w:val="C00000"/>
                <w:sz w:val="17"/>
              </w:rPr>
              <w:t>-2.4%</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34,683</w:t>
            </w:r>
          </w:p>
        </w:tc>
        <w:tc>
          <w:tcPr>
            <w:tcW w:type="dxa" w:w="1440"/>
            <w:shd w:fill="FFDCE0" w:val="clear"/>
          </w:tcPr>
          <w:p>
            <w:r>
              <w:rPr>
                <w:b/>
                <w:sz w:val="17"/>
              </w:rPr>
              <w:t>37,036</w:t>
            </w:r>
          </w:p>
        </w:tc>
        <w:tc>
          <w:tcPr>
            <w:tcW w:type="dxa" w:w="1440"/>
            <w:shd w:fill="FFDCE0" w:val="clear"/>
          </w:tcPr>
          <w:p>
            <w:r>
              <w:rPr>
                <w:sz w:val="17"/>
              </w:rPr>
              <w:t>39,390</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SGBC (SOCIÉTÉ GÉNÉRALE CÔTE D'IVOIRE)**</w:t>
        <w:br/>
        <w:t>**Date : 10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SGBC s'établit à 1 182,22 milliards FCFA, ce qui en fait l'une des valeurs les plus lourdes et les plus liquides de la cote de la BRVM, reflétant son statut de leader bancaire régional. Avec un BPA de 3 258 FCFA, le titre se négocie à un PER de 11,7x, légèrement au-dessus de la moyenne historique du marché (~8-12x), ce qui indique que les investisseurs paient un prix raisonnable pour les bénéfices générés, sans décote ni prime excessive. Le P/B de 2,39x, situé dans la fourchette de 2 à 4x, témoigne d'une prime de croissance accordée par le marché par rapport à la valeur comptable des actifs, signe de confiance dans la création de valeur future. En revanche, l'EV/EBITDA de 24,5x est très exigeant, suggérant que la valeur totale de l'entreprise (fonds propres + dettes) est élevée par rapport à sa capacité opérationnelle, ce qui pourrait limiter le potentiel de hausse à court terme pour les investisseurs opportunistes.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SGBC a enregistré une progression totale de +8,57%, avec une dernière séance en légère hausse de +0,25%, clôturant à 38 000 FCFA. Le titre a évolué dans un range de trading de 32 800 FCFA (plus bas) à 39 200 FCFA (plus haut), démontrant une volatilité intra-période notable mais maîtrisée. La moyenne du cours sur la période est de 36 485 FCFA, légèrement inférieure à la médiane de 36 965 FCFA, ce qui indique une distribution quasi symétrique, confirmée par un skewness de -0,206. L'écart-type de 2 075 FCFA (CV=5,7%) révèle une dispersion modérée des prix autour de la moyenne, tandis que le kurtosis de -1,405 (platykurtique) suggère une absence de pics extrêmes et une distribution aplatie, réduisant le risque de mouvements brutaux. La volatilité annualisée de 24,2% classe le titre dans une zone de volatilité modérée (15-30%), offrant un équilibre entre stabilité relative et opportunités de trading.</w:t>
      </w:r>
    </w:p>
    <w:p>
      <w:pPr>
        <w:spacing w:after="120" w:line="276" w:lineRule="auto"/>
      </w:pPr>
      <w:r>
        <w:t>---</w:t>
      </w:r>
    </w:p>
    <w:p>
      <w:pPr>
        <w:spacing w:after="120" w:line="276" w:lineRule="auto"/>
      </w:pPr>
      <w:r>
        <w:t>### PARTIE 2 : ANALYSE TECHNIQUE DÉTAILLÉE</w:t>
      </w:r>
    </w:p>
    <w:p>
      <w:pPr>
        <w:spacing w:after="120" w:line="276" w:lineRule="auto"/>
      </w:pPr>
      <w:r>
        <w:t>**Moyennes Mobiles** : La MM20 (38 101,75 FCFA) et la MM50 (38 357,2 FCFA) sont toutes deux légèrement au-dessus du cours actuel de 38 000 FCFA, indiquant une pression vendeuse à court et moyen terme. La configuration baissière (cours &lt; MM20 &lt; MM50) justifie la décision de vente, signalant que la tendance récente est sous pression malgré la hausse globale sur 100 jours.</w:t>
      </w:r>
    </w:p>
    <w:p>
      <w:pPr>
        <w:spacing w:after="120" w:line="276" w:lineRule="auto"/>
      </w:pPr>
      <w:r>
        <w:t>**Bandes de Bollinger** : Le prix actuel se situe à 38 000 FCFA, entre la borne inférieure (37 512,949 FCFA) et la borne supérieure (38 690,551 FCFA), proche de la zone médiane. Cette position neutre suggère une volatilité modérée et une absence de cassure directionnelle, justifiant la décision neutre de l'indicateur.</w:t>
      </w:r>
    </w:p>
    <w:p>
      <w:pPr>
        <w:spacing w:after="120" w:line="276" w:lineRule="auto"/>
      </w:pPr>
      <w:r>
        <w:t>**MACD** : La valeur du MACD (-70,38) est inférieure à son signal (-42,272), confirmant une dynamique baissière du momentum. Cette divergence négative indique que la pression vendeuse domine, justifiant la décision de vente, bien que l'ampleur de l'écart reste limitée.</w:t>
      </w:r>
    </w:p>
    <w:p>
      <w:pPr>
        <w:spacing w:after="120" w:line="276" w:lineRule="auto"/>
      </w:pPr>
      <w:r>
        <w:t>**RSI** : À 50,485, le RSI est en zone neutre (30-70), reflétant un équilibre entre les forces acheteuses et vendeuses. Cette valeur indique que le titre n'est ni suracheté ni survendu, laissant place à une évolution directionnelle sans contrainte technique majeure.</w:t>
      </w:r>
    </w:p>
    <w:p>
      <w:pPr>
        <w:spacing w:after="120" w:line="276" w:lineRule="auto"/>
      </w:pPr>
      <w:r>
        <w:t>**Stochastique** : Le %K (48,718) est supérieur au %D (27,35), suggérant un croisement haussier potentiel, mais les deux restent en zone neutre. Cette configuration indique une possible reprise du momentum acheteur, mais sans confirmation forte, justifiant la décision neutre.</w:t>
      </w:r>
    </w:p>
    <w:p>
      <w:pPr>
        <w:spacing w:after="120" w:line="276" w:lineRule="auto"/>
      </w:pPr>
      <w:r>
        <w:t>**Conclusion technique** : Les indicateurs sont partagés, avec une tendance baissière dominante (MM, MACD) mais des signaux neutres (Bollinger, RSI, Stochastique). La prudence est de mise, car le titre semble chercher une direction claire après une période de consolidation.</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officielles de SGBC révèlent un Produit Net Bancaire (PNB) de 276,048 milliards FCFA, en croissance de +4,9% par rapport à 2024 (263,2 Mds FCFA), et un résultat net de 101,352 milliards FCFA, stable par rapport à l'exercice précédent. Le ROE s'établit à un niveau excellent de 20,47%, et le ROA à 2,69%, reflétant une gestion très efficace des actifs. Le coefficient d'exploitation de 38,75% est remarquablement bas, bien en dessous du seuil de 60% considéré comme efficace, démontrant une maîtrise exceptionnelle des coûts. Le ratio de transformation est sain : les dépôts clientèle (2 907,675 Mds FCFA) couvrent largement les créances sur la clientèle (2 546,290 Mds FCFA), avec un ratio prêts/dépôts estimé à 84,6% fin septembre 2025, contre 96% un an plus tôt, améliorant la liquidité. Les rapports trimestriels 2025 confirment cette dynamique : au T1 2025, le PNB a progressé de +1,3% (66,3 Mds FCFA) et le résultat net de +2,2% (27,1 Mds FCFA), tandis qu'au S1 2025, le PNB atteint 132,0 Mds FCFA (+1,0%) et le résultat net 53,1 Mds FCFA (+10,0%). Sur les 9 mois cumulés, le PNB s'élève à 201,0 Mds FCFA (+2,5%) et le résultat net à 83,3 Mds FCFA (+11,7%), porté par une baisse des frais généraux (-2,7%) et un coût du risque contenu. Le rapport annuel 2024 (publié en 2025) indiquait déjà un dividende proposé de 1 863 FCFA/action, soit un taux de distribution de 57,25%, et une notation AAA, unique sur le marché. Les perspectives restent solides, avec une stratégie axée sur la digitalisation et les financements structurés, bien que la hausse des créances en souffrance (NPL à 7,8% au S1 2025) nécessite une surveillance.</w:t>
      </w:r>
    </w:p>
    <w:p>
      <w:pPr>
        <w:spacing w:after="120" w:line="276" w:lineRule="auto"/>
      </w:pPr>
      <w:r>
        <w:t>---</w:t>
      </w:r>
    </w:p>
    <w:p>
      <w:pPr>
        <w:spacing w:after="120" w:line="276" w:lineRule="auto"/>
      </w:pPr>
      <w:r>
        <w:t>### PARTIE 4 : CONCLUSION D'INVESTISSEMENT</w:t>
      </w:r>
    </w:p>
    <w:p>
      <w:pPr>
        <w:spacing w:after="120" w:line="276" w:lineRule="auto"/>
      </w:pPr>
      <w:r>
        <w:t>La valorisation de SGBC (PER 11,7x, P/B 2,39x) est raisonnable, sans sous-évaluation flagrante ni surévaluation excessive, bien que l'EV/EBITDA de 24,5x soit exigeant. Le comportement du cours sur 100 jours (+8,57%) est positif, avec une volatilité modérée (24,2%) et une distribution symétrique (skewness -0,206, kurtosis platykurtique) qui réduit les risques de chocs. Les signaux techniques sont mitigés, avec une tendance baissière à court terme (MM, MACD) contrebalancée par des indicateurs neutres (RSI, Stochastique), suggérant une phase de consolidation. Les fondamentaux sont excellents : ROE de 20,47%, coefficient d'exploitation de 38,75%, et une croissance soutenue du résultat net (+11,7% sur 9 mois 2025), renforcée par une notation AAA. Les prédictions IA pour les 10 prochains jours (37 704 à 37 390 FCFA) indiquent une légère correction baissière, contredisant la tendance haussière de long terme mais cohérente avec les signaux techniques à court terme. Sur la base de cette synthèse, je recommande **CONSERVER** avec un niveau de confiance **Moyen**, un risque global **Moyen**, et un horizon d'investissement optimal à **moyen terme (3-12 mois)**, en attendant une clarification technique et une confirmation de la maîtrise du coût du risque.</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144.27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4,576 titres</w:t>
            </w:r>
          </w:p>
        </w:tc>
        <w:tc>
          <w:tcPr>
            <w:tcW w:type="dxa" w:w="2268"/>
            <w:shd w:fill="FFF2CC" w:val="clear"/>
          </w:tcPr>
          <w:p>
            <w:r>
              <w:rPr>
                <w:b/>
                <w:color w:val="503200"/>
                <w:sz w:val="16"/>
              </w:rPr>
              <w:t xml:space="preserve">Cours actuel : </w:t>
            </w:r>
            <w:r>
              <w:rPr>
                <w:color w:val="000000"/>
                <w:sz w:val="17"/>
              </w:rPr>
              <w:t>2,290 FCFA</w:t>
            </w:r>
          </w:p>
          <w:p>
            <w:r>
              <w:rPr>
                <w:b/>
                <w:color w:val="503200"/>
                <w:sz w:val="16"/>
              </w:rPr>
              <w:t xml:space="preserve">Var. 100 jours : </w:t>
            </w:r>
            <w:r>
              <w:rPr>
                <w:b/>
                <w:color w:val="007800"/>
                <w:sz w:val="17"/>
              </w:rPr>
              <w:t>+1.78%</w:t>
            </w:r>
          </w:p>
          <w:p>
            <w:r>
              <w:rPr>
                <w:b/>
                <w:color w:val="503200"/>
                <w:sz w:val="16"/>
              </w:rPr>
              <w:t xml:space="preserve">Plus haut 100j : </w:t>
            </w:r>
            <w:r>
              <w:rPr>
                <w:color w:val="000000"/>
                <w:sz w:val="17"/>
              </w:rPr>
              <w:t>2,325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33.8%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5.73% (Moyenne) — μ=2,101 FCFA, σ=120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β=0.8895 (Neutre (suit le marché)) — Cov=0.000032, Var(idx)=0.000036, ρ=0.252,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4,576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σ_j=2.13%/j (Stable) — Vol. annualisée≈33.8%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2,085</w:t>
            </w:r>
          </w:p>
        </w:tc>
        <w:tc>
          <w:tcPr>
            <w:tcW w:type="dxa" w:w="1440"/>
            <w:shd w:fill="FFDCE0" w:val="clear"/>
          </w:tcPr>
          <w:p>
            <w:r>
              <w:rPr>
                <w:b/>
                <w:sz w:val="17"/>
              </w:rPr>
              <w:t>2,160</w:t>
            </w:r>
          </w:p>
        </w:tc>
        <w:tc>
          <w:tcPr>
            <w:tcW w:type="dxa" w:w="1440"/>
            <w:shd w:fill="FFDCE0" w:val="clear"/>
          </w:tcPr>
          <w:p>
            <w:r>
              <w:rPr>
                <w:sz w:val="17"/>
              </w:rPr>
              <w:t>2,235</w:t>
            </w:r>
          </w:p>
        </w:tc>
        <w:tc>
          <w:tcPr>
            <w:tcW w:type="dxa" w:w="1440"/>
            <w:shd w:fill="FFDCE0" w:val="clear"/>
          </w:tcPr>
          <w:p>
            <w:r>
              <w:rPr>
                <w:b/>
                <w:color w:val="C00000"/>
                <w:sz w:val="17"/>
              </w:rPr>
              <w:t>-5.7%</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1,964</w:t>
            </w:r>
          </w:p>
        </w:tc>
        <w:tc>
          <w:tcPr>
            <w:tcW w:type="dxa" w:w="1440"/>
            <w:shd w:fill="FFDCE0" w:val="clear"/>
          </w:tcPr>
          <w:p>
            <w:r>
              <w:rPr>
                <w:b/>
                <w:sz w:val="17"/>
              </w:rPr>
              <w:t>2,065</w:t>
            </w:r>
          </w:p>
        </w:tc>
        <w:tc>
          <w:tcPr>
            <w:tcW w:type="dxa" w:w="1440"/>
            <w:shd w:fill="FFDCE0" w:val="clear"/>
          </w:tcPr>
          <w:p>
            <w:r>
              <w:rPr>
                <w:sz w:val="17"/>
              </w:rPr>
              <w:t>2,166</w:t>
            </w:r>
          </w:p>
        </w:tc>
        <w:tc>
          <w:tcPr>
            <w:tcW w:type="dxa" w:w="1440"/>
            <w:shd w:fill="FFDCE0" w:val="clear"/>
          </w:tcPr>
          <w:p>
            <w:r>
              <w:rPr>
                <w:b/>
                <w:color w:val="C00000"/>
                <w:sz w:val="17"/>
              </w:rPr>
              <w:t>-9.8%</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1,862</w:t>
            </w:r>
          </w:p>
        </w:tc>
        <w:tc>
          <w:tcPr>
            <w:tcW w:type="dxa" w:w="1440"/>
            <w:shd w:fill="FFDCE0" w:val="clear"/>
          </w:tcPr>
          <w:p>
            <w:r>
              <w:rPr>
                <w:b/>
                <w:sz w:val="17"/>
              </w:rPr>
              <w:t>1,981</w:t>
            </w:r>
          </w:p>
        </w:tc>
        <w:tc>
          <w:tcPr>
            <w:tcW w:type="dxa" w:w="1440"/>
            <w:shd w:fill="FFDCE0" w:val="clear"/>
          </w:tcPr>
          <w:p>
            <w:r>
              <w:rPr>
                <w:sz w:val="17"/>
              </w:rPr>
              <w:t>2,099</w:t>
            </w:r>
          </w:p>
        </w:tc>
        <w:tc>
          <w:tcPr>
            <w:tcW w:type="dxa" w:w="1440"/>
            <w:shd w:fill="FFDCE0" w:val="clear"/>
          </w:tcPr>
          <w:p>
            <w:r>
              <w:rPr>
                <w:b/>
                <w:color w:val="C00000"/>
                <w:sz w:val="17"/>
              </w:rPr>
              <w:t>-13.5%</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1,779</w:t>
            </w:r>
          </w:p>
        </w:tc>
        <w:tc>
          <w:tcPr>
            <w:tcW w:type="dxa" w:w="1440"/>
            <w:shd w:fill="FFDCE0" w:val="clear"/>
          </w:tcPr>
          <w:p>
            <w:r>
              <w:rPr>
                <w:b/>
                <w:sz w:val="17"/>
              </w:rPr>
              <w:t>1,911</w:t>
            </w:r>
          </w:p>
        </w:tc>
        <w:tc>
          <w:tcPr>
            <w:tcW w:type="dxa" w:w="1440"/>
            <w:shd w:fill="FFDCE0" w:val="clear"/>
          </w:tcPr>
          <w:p>
            <w:r>
              <w:rPr>
                <w:sz w:val="17"/>
              </w:rPr>
              <w:t>2,043</w:t>
            </w:r>
          </w:p>
        </w:tc>
        <w:tc>
          <w:tcPr>
            <w:tcW w:type="dxa" w:w="1440"/>
            <w:shd w:fill="FFDCE0" w:val="clear"/>
          </w:tcPr>
          <w:p>
            <w:r>
              <w:rPr>
                <w:b/>
                <w:color w:val="C00000"/>
                <w:sz w:val="17"/>
              </w:rPr>
              <w:t>-16.6%</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1,710</w:t>
            </w:r>
          </w:p>
        </w:tc>
        <w:tc>
          <w:tcPr>
            <w:tcW w:type="dxa" w:w="1440"/>
            <w:shd w:fill="FFDCE0" w:val="clear"/>
          </w:tcPr>
          <w:p>
            <w:r>
              <w:rPr>
                <w:b/>
                <w:sz w:val="17"/>
              </w:rPr>
              <w:t>1,853</w:t>
            </w:r>
          </w:p>
        </w:tc>
        <w:tc>
          <w:tcPr>
            <w:tcW w:type="dxa" w:w="1440"/>
            <w:shd w:fill="FFDCE0" w:val="clear"/>
          </w:tcPr>
          <w:p>
            <w:r>
              <w:rPr>
                <w:sz w:val="17"/>
              </w:rPr>
              <w:t>1,996</w:t>
            </w:r>
          </w:p>
        </w:tc>
        <w:tc>
          <w:tcPr>
            <w:tcW w:type="dxa" w:w="1440"/>
            <w:shd w:fill="FFDCE0" w:val="clear"/>
          </w:tcPr>
          <w:p>
            <w:r>
              <w:rPr>
                <w:b/>
                <w:color w:val="C00000"/>
                <w:sz w:val="17"/>
              </w:rPr>
              <w:t>-19.1%</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1,651</w:t>
            </w:r>
          </w:p>
        </w:tc>
        <w:tc>
          <w:tcPr>
            <w:tcW w:type="dxa" w:w="1440"/>
            <w:shd w:fill="FFDCE0" w:val="clear"/>
          </w:tcPr>
          <w:p>
            <w:r>
              <w:rPr>
                <w:b/>
                <w:sz w:val="17"/>
              </w:rPr>
              <w:t>1,803</w:t>
            </w:r>
          </w:p>
        </w:tc>
        <w:tc>
          <w:tcPr>
            <w:tcW w:type="dxa" w:w="1440"/>
            <w:shd w:fill="FFDCE0" w:val="clear"/>
          </w:tcPr>
          <w:p>
            <w:r>
              <w:rPr>
                <w:sz w:val="17"/>
              </w:rPr>
              <w:t>1,956</w:t>
            </w:r>
          </w:p>
        </w:tc>
        <w:tc>
          <w:tcPr>
            <w:tcW w:type="dxa" w:w="1440"/>
            <w:shd w:fill="FFDCE0" w:val="clear"/>
          </w:tcPr>
          <w:p>
            <w:r>
              <w:rPr>
                <w:b/>
                <w:color w:val="C00000"/>
                <w:sz w:val="17"/>
              </w:rPr>
              <w:t>-21.3%</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1,600</w:t>
            </w:r>
          </w:p>
        </w:tc>
        <w:tc>
          <w:tcPr>
            <w:tcW w:type="dxa" w:w="1440"/>
            <w:shd w:fill="FFDCE0" w:val="clear"/>
          </w:tcPr>
          <w:p>
            <w:r>
              <w:rPr>
                <w:b/>
                <w:sz w:val="17"/>
              </w:rPr>
              <w:t>1,760</w:t>
            </w:r>
          </w:p>
        </w:tc>
        <w:tc>
          <w:tcPr>
            <w:tcW w:type="dxa" w:w="1440"/>
            <w:shd w:fill="FFDCE0" w:val="clear"/>
          </w:tcPr>
          <w:p>
            <w:r>
              <w:rPr>
                <w:sz w:val="17"/>
              </w:rPr>
              <w:t>1,921</w:t>
            </w:r>
          </w:p>
        </w:tc>
        <w:tc>
          <w:tcPr>
            <w:tcW w:type="dxa" w:w="1440"/>
            <w:shd w:fill="FFDCE0" w:val="clear"/>
          </w:tcPr>
          <w:p>
            <w:r>
              <w:rPr>
                <w:b/>
                <w:color w:val="C00000"/>
                <w:sz w:val="17"/>
              </w:rPr>
              <w:t>-23.1%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1,554</w:t>
            </w:r>
          </w:p>
        </w:tc>
        <w:tc>
          <w:tcPr>
            <w:tcW w:type="dxa" w:w="1440"/>
            <w:shd w:fill="FFDCE0" w:val="clear"/>
          </w:tcPr>
          <w:p>
            <w:r>
              <w:rPr>
                <w:b/>
                <w:sz w:val="17"/>
              </w:rPr>
              <w:t>1,722</w:t>
            </w:r>
          </w:p>
        </w:tc>
        <w:tc>
          <w:tcPr>
            <w:tcW w:type="dxa" w:w="1440"/>
            <w:shd w:fill="FFDCE0" w:val="clear"/>
          </w:tcPr>
          <w:p>
            <w:r>
              <w:rPr>
                <w:sz w:val="17"/>
              </w:rPr>
              <w:t>1,890</w:t>
            </w:r>
          </w:p>
        </w:tc>
        <w:tc>
          <w:tcPr>
            <w:tcW w:type="dxa" w:w="1440"/>
            <w:shd w:fill="FFDCE0" w:val="clear"/>
          </w:tcPr>
          <w:p>
            <w:r>
              <w:rPr>
                <w:b/>
                <w:color w:val="C00000"/>
                <w:sz w:val="17"/>
              </w:rPr>
              <w:t>-24.8%</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1,513</w:t>
            </w:r>
          </w:p>
        </w:tc>
        <w:tc>
          <w:tcPr>
            <w:tcW w:type="dxa" w:w="1440"/>
            <w:shd w:fill="FFDCE0" w:val="clear"/>
          </w:tcPr>
          <w:p>
            <w:r>
              <w:rPr>
                <w:b/>
                <w:sz w:val="17"/>
              </w:rPr>
              <w:t>1,688</w:t>
            </w:r>
          </w:p>
        </w:tc>
        <w:tc>
          <w:tcPr>
            <w:tcW w:type="dxa" w:w="1440"/>
            <w:shd w:fill="FFDCE0" w:val="clear"/>
          </w:tcPr>
          <w:p>
            <w:r>
              <w:rPr>
                <w:sz w:val="17"/>
              </w:rPr>
              <w:t>1,862</w:t>
            </w:r>
          </w:p>
        </w:tc>
        <w:tc>
          <w:tcPr>
            <w:tcW w:type="dxa" w:w="1440"/>
            <w:shd w:fill="FFDCE0" w:val="clear"/>
          </w:tcPr>
          <w:p>
            <w:r>
              <w:rPr>
                <w:b/>
                <w:color w:val="C00000"/>
                <w:sz w:val="17"/>
              </w:rPr>
              <w:t>-26.3%</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1,475</w:t>
            </w:r>
          </w:p>
        </w:tc>
        <w:tc>
          <w:tcPr>
            <w:tcW w:type="dxa" w:w="1440"/>
            <w:shd w:fill="FFDCE0" w:val="clear"/>
          </w:tcPr>
          <w:p>
            <w:r>
              <w:rPr>
                <w:b/>
                <w:sz w:val="17"/>
              </w:rPr>
              <w:t>1,656</w:t>
            </w:r>
          </w:p>
        </w:tc>
        <w:tc>
          <w:tcPr>
            <w:tcW w:type="dxa" w:w="1440"/>
            <w:shd w:fill="FFDCE0" w:val="clear"/>
          </w:tcPr>
          <w:p>
            <w:r>
              <w:rPr>
                <w:sz w:val="17"/>
              </w:rPr>
              <w:t>1,837</w:t>
            </w:r>
          </w:p>
        </w:tc>
        <w:tc>
          <w:tcPr>
            <w:tcW w:type="dxa" w:w="1440"/>
            <w:shd w:fill="FFDCE0" w:val="clear"/>
          </w:tcPr>
          <w:p>
            <w:r>
              <w:rPr>
                <w:b/>
                <w:color w:val="C00000"/>
                <w:sz w:val="17"/>
              </w:rPr>
              <w:t>-27.7%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SHEC (VIVO ENERGY CÔTE D'IVOIRE)**</w:t>
        <w:br/>
        <w:t>**Date de l'analyse : 10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SHEC s'établit à 144,27 milliards FCFA, un niveau significatif qui la positionne parmi les valeurs moyennes à grandes capitalisations de la BRVM. Le BPA de 96 FCFA indique que chaque action génère un bénéfice modeste, ce qui explique un PER de 23,9x, très supérieur à la moyenne historique de la BRVM (8-12x). Les investisseurs paient donc une prime substantielle pour la croissance attendue, mais ce niveau peut également signaler une surévaluation relative. Le P/B de 5,31x confirme cette lecture : le marché valorise l'actif net comptable plus de cinq fois au-dessus de sa valeur, une prime exigeante qui reflète des attentes élevées. Enfin, l'EV/EBITDA de 12,9x, bien que dans la fourchette haute (10-15x), indique que la valeur totale de l'entreprise (capitalisation + dette nette) représente environ 13 fois sa capacité opérationnelle, un niveau qui intègre une certaine confiance dans la pérennité des flux de trésorerie.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SHEC affiche une variation totale de +1,78%, avec une dernière séance en léger repli de -0,43% à 2 290 FCFA. Le cours a évolué dans un range de 1 840 FCFA (plus bas) à 2 325 FCFA (plus haut), soit une amplitude de 485 FCFA. La moyenne sur la période est de 2 101 FCFA, légèrement inférieure à la médiane de 2 155 FCFA, ce qui suggère une distribution asymétrique avec quelques valeurs extrêmes basses. L'écart-type de 121 FCFA (CV = 5,8%) indique une dispersion modérée autour de la moyenne. Le kurtosis négatif (-1,016) révèle une distribution platykurtique, c'est-à-dire aplatie, avec une faible concentration des valeurs autour de la moyenne, tandis que le skewness de -0,399 confirme une légère asymétrie vers les valeurs basses. La volatilité annualisée de 33,8% classe le titre dans la catégorie des actifs à forte volatilité (&gt;30%), ce qui implique un risque de fluctuation élevé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(2 208,75 FCFA) et la MM50 (2 151,8 FCFA) sont toutes deux inférieures au cours actuel de 2 290 FCFA, ce qui confirme une tendance haussière à court et moyen terme. La configuration en "courbe ascendante" des moyennes mobiles renforce le signal d'achat, le prix évoluant au-dessus de ses supports dynamiques.</w:t>
      </w:r>
    </w:p>
    <w:p>
      <w:pPr>
        <w:spacing w:after="120" w:line="276" w:lineRule="auto"/>
      </w:pPr>
      <w:r>
        <w:t>**Bandes de Bollinger** : Le cours se situe à 2 290 FCFA, proche de la borne supérieure (2 328,96 FCFA) et nettement au-dessus de la borne inférieure (2 088,54 FCFA). Cette position indique une pression acheteuse soutenue, mais également une proximité avec la zone de surachat. La décision est neutre, car le titre pourrait rencontrer une résistance à ces niveaux.</w:t>
      </w:r>
    </w:p>
    <w:p>
      <w:pPr>
        <w:spacing w:after="120" w:line="276" w:lineRule="auto"/>
      </w:pPr>
      <w:r>
        <w:t>**MACD** : La valeur du MACD (37,638) est supérieure à son signal (27,515), ce qui génère une divergence positive. Le momentum haussier est donc actif, et la décision d'achat est justifiée par la poursuite de la dynamique ascendante.</w:t>
      </w:r>
    </w:p>
    <w:p>
      <w:pPr>
        <w:spacing w:after="120" w:line="276" w:lineRule="auto"/>
      </w:pPr>
      <w:r>
        <w:t>**RSI** : À 59,259, le RSI se situe dans la zone neutre (30-70), indiquant une pression acheteuse modérée sans surachat. La décision neutre reflète un équilibre entre acheteurs et vendeurs, avec une marge de progression avant d'atteindre la zone de surachat.</w:t>
      </w:r>
    </w:p>
    <w:p>
      <w:pPr>
        <w:spacing w:after="120" w:line="276" w:lineRule="auto"/>
      </w:pPr>
      <w:r>
        <w:t>**Stochastique** : Le %K (84,091) est inférieur au %D (90,909), ce qui constitue un croisement baissier. Le titre est en zone de surachat, et la décision de vente suggère un possible retournement à court terme.</w:t>
      </w:r>
    </w:p>
    <w:p>
      <w:pPr>
        <w:spacing w:after="120" w:line="276" w:lineRule="auto"/>
      </w:pPr>
      <w:r>
        <w:t>**Conclusion technique** : Les indicateurs sont globalement mitigés. Les moyennes mobiles et le MACD soutiennent une tendance haussière, tandis que le RSI et les bandes de Bollinger indiquent une neutralité, et le stochastique signale un risque de correction. La prudence est de mise, car le titre pourrait consolider avant de poursuivre sa progression.</w:t>
      </w:r>
    </w:p>
    <w:p>
      <w:pPr>
        <w:spacing w:after="120" w:line="276" w:lineRule="auto"/>
      </w:pPr>
      <w:r>
        <w:t>---</w:t>
      </w:r>
    </w:p>
    <w:p>
      <w:pPr>
        <w:spacing w:after="120" w:line="276" w:lineRule="auto"/>
      </w:pPr>
      <w:r>
        <w:t>### PARTIE 3 : ANALYSE FONDAMENTALE (SECTION CRITIQUE)</w:t>
      </w:r>
    </w:p>
    <w:p>
      <w:pPr>
        <w:spacing w:after="120" w:line="276" w:lineRule="auto"/>
      </w:pPr>
      <w:r>
        <w:t>En 2025, SHEC (VIVO ENERGY CÔTE D'IVOIRE) a réalisé un chiffre d'affaires de 604,978 milliards FCFA, en légère progression de +0,71% par rapport à 2024 (600,708 milliards FCFA). Le résultat net s'établit à 6,028 milliards FCFA, en hausse de +12,6% (5,354 milliards FCFA en 2024), grâce à une amélioration de la valeur ajoutée (+15%) et une réduction des charges financières (-17,7%). La marge nette reste faible à 1%, typique du secteur de la distribution pétrolière, mais le ROE est excellent à 22,2%, démontrant une bonne création de valeur pour les actionnaires. Le ROA de 3,1% reflète une utilisation modérée des actifs. La structure financière montre une autonomie financière limitée (14,03%), avec un endettement élevé (ratio d'endettement de 43,9%) et une trésorerie nette négative de -65,264 milliards FCFA. Le BFR de 15,315 milliards FCFA est positif, indiquant un besoin de financement. Les délais clients (23,27 jours) et fournisseurs (35,47 jours) sont raisonnables, mais la durée de stockage (7,47 jours) est courte, ce qui est favorable. Les rapports trimestriels de 2025 (T3 : résultat net +45% à 4,119 milliards FCFA) confirment une dynamique positive, mais le T1 2026 montre une baisse du CA de -9% (141,649 milliards FCFA), signalant une volatilité sectorielle. La politique de dividende est généreuse (taux de distribution de 101%), mais elle fragilise la capacité d'autofinancement. La recommandation fondamentale est de conserver le titre, en raison de la rentabilité satisfaisante mais de la fragilité de la trésorerie et de la faible marge nette.</w:t>
      </w:r>
    </w:p>
    <w:p>
      <w:pPr>
        <w:spacing w:after="120" w:line="276" w:lineRule="auto"/>
      </w:pPr>
      <w:r>
        <w:t>---</w:t>
      </w:r>
    </w:p>
    <w:p>
      <w:pPr>
        <w:spacing w:after="120" w:line="276" w:lineRule="auto"/>
      </w:pPr>
      <w:r>
        <w:t>### PARTIE 4 : CONCLUSION D'INVESTISSEMENT</w:t>
      </w:r>
    </w:p>
    <w:p>
      <w:pPr>
        <w:spacing w:after="120" w:line="276" w:lineRule="auto"/>
      </w:pPr>
      <w:r>
        <w:t>La valorisation de SHEC est exigeante (PER 23,9x, P/B 5,31x, EV/EBITDA 12,9x), indiquant une surévaluation relative par rapport aux bénéfices et à l'actif net, mais justifiée par un ROE élevé. Le comportement du cours sur 100 jours est stable (+1,78%) avec une volatilité élevée (33,8%) et une distribution platykurtique, suggérant un risque de fluctuations brusques. Les signaux techniques sont mitigés : les moyennes mobiles et le MACD sont positifs, mais le stochastique et le RSI signalent une possible correction à court terme. Les fondamentaux montrent une amélioration du résultat net (+13% en 2025) et une rentabilité des fonds propres excellente (ROE 22,2%), mais la trésorerie nette négative et la marge nette de 1% constituent des fragilités. Les prédictions IA (J+1 à J+10) indiquent une trajectoire baissière (de 2 160 à 1 853 FCFA), contredisant les signaux techniques haussiers et suggérant un retournement imminent. En synthèse, la convergence entre la surévaluation boursière, les signaux techniques mitigés et les prédictions IA baissières conduit à une recommandation de **CONSERVER** avec un niveau de confiance **Moyen**. Le risque global est **Élevé** en raison de la volatilité et de la fragilité financière. L'horizon d'investissement optimal est le **moyen terme (3-12 mois)**, en attendant une clarification de la structure financière et une amélioration des volumes au T2 2026.</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 la rentabilit\u00e9, la croissance solide du chiffre d'affaires et des volumes t\u00e9moigne d'une bonne dynamique commerciale. La position de leader sur le march\u00e9 p\u00e9trolier ivoirien justifie le maintien en portefeuille."}</w:t>
      </w:r>
    </w:p>
    <w:p>
      <w:pPr>
        <w:spacing w:before="40"/>
        <w:ind w:left="400"/>
      </w:pPr>
      <w:r>
        <w:rPr>
          <w:sz w:val="18"/>
        </w:rPr>
        <w:t>Vivo Energy Côte d'Ivoire présente des résultats mitigés au T3 2021 avec une croissance du chiffre d'affaires de 16% à 270 milliards FCFA. Malgré cette hausse des revenus, la rentabilité se dégrade avec un résultat d'exploitation en baisse de 13% et un résultat net qui chute de 21% à 1,3 milliard FCFA. La société bénéficie d'une amélioration du volume des ventes (+9%) mais souffre de l'augmentation des coûts de transport et frais de passage. L'impact du COVID-19 sur les activités économiques continue de peser sur les performances. La société maintient néanmoins une position solide sur le marché pétrolier ivoirien en tant que licencié Shell.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'500 millions m³/TM', 'resultat_financier': '-158 millions FCFA', 'resultat_exploitation': '2,438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1,287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270,061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16% à 270,061 millions FCFA</w:t>
      </w:r>
    </w:p>
    <w:p>
      <w:pPr>
        <w:pStyle w:val="ListBullet"/>
        <w:spacing w:before="20" w:after="20"/>
        <w:ind w:left="700"/>
      </w:pPr>
      <w:r>
        <w:rPr>
          <w:sz w:val="18"/>
        </w:rPr>
        <w:t>Volume des ventes en progression de 9% atteignant 500 millions de m³/TM</w:t>
      </w:r>
    </w:p>
    <w:p>
      <w:pPr>
        <w:pStyle w:val="ListBullet"/>
        <w:spacing w:before="20" w:after="20"/>
        <w:ind w:left="700"/>
      </w:pPr>
      <w:r>
        <w:rPr>
          <w:sz w:val="18"/>
        </w:rPr>
        <w:t>Résultat d'exploitation en baisse de 13% à 2,438 millions FCFA</w:t>
      </w:r>
    </w:p>
    <w:p>
      <w:pPr>
        <w:pStyle w:val="ListBullet"/>
        <w:spacing w:before="20" w:after="20"/>
        <w:ind w:left="700"/>
      </w:pPr>
      <w:r>
        <w:rPr>
          <w:sz w:val="18"/>
        </w:rPr>
        <w:t>Résultat net en déclin de 21% à 1,287 million FCFA</w:t>
      </w:r>
    </w:p>
    <w:p>
      <w:pPr>
        <w:pStyle w:val="ListBullet"/>
        <w:spacing w:before="20" w:after="20"/>
        <w:ind w:left="700"/>
      </w:pPr>
      <w:r>
        <w:rPr>
          <w:sz w:val="18"/>
        </w:rPr>
        <w:t>Résultat financier amélioré passant de -373 à -158 millions FCFA</w:t>
      </w:r>
    </w:p>
    <w:p>
      <w:pPr>
        <w:pStyle w:val="ListBullet"/>
        <w:spacing w:before="20" w:after="20"/>
        <w:ind w:left="700"/>
      </w:pPr>
      <w:r>
        <w:rPr>
          <w:sz w:val="18"/>
        </w:rPr>
        <w:t>Augmentation des coûts de transport et frais de passage impactant la marge</w:t>
      </w:r>
    </w:p>
    <w:p>
      <w:pPr>
        <w:spacing w:before="40"/>
        <w:ind w:left="400"/>
      </w:pPr>
      <w:r>
        <w:rPr>
          <w:b/>
          <w:color w:val="C05000"/>
          <w:sz w:val="18"/>
        </w:rPr>
        <w:t xml:space="preserve">⚠️ Risques : </w:t>
      </w:r>
      <w:r>
        <w:rPr>
          <w:sz w:val="18"/>
        </w:rPr>
        <w:t>["\u00c9rosion continue des marges due \u00e0 l'augmentation des co\u00fbts op\u00e9rationnels", "Impact persistant du COVID-19 sur les activit\u00e9s \u00e9conomiques", "Volatilit\u00e9 des prix du p\u00e9trole et des co\u00fbts de transport"]</w:t>
      </w:r>
    </w:p>
    <w:p>
      <w:pPr>
        <w:spacing w:before="40"/>
        <w:ind w:left="400"/>
      </w:pPr>
      <w:r>
        <w:rPr>
          <w:b/>
          <w:color w:val="0064A0"/>
          <w:sz w:val="18"/>
        </w:rPr>
        <w:t xml:space="preserve">🔮 Perspectives : </w:t>
      </w:r>
      <w:r>
        <w:rPr>
          <w:sz w:val="18"/>
        </w:rPr>
        <w:t>La société devrait bénéficier de la reprise économique post-COVID et de la normalisation des activités. L'optimisation des coûts opérationnels sera cruciale pour restaurer la rentabilité tout en maintenant la croissance des volumes.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tant en volumes qu'en rentabilit\u00e9, avec une structure financi\u00e8re renforc\u00e9e et une capacit\u00e9 distributrice attractive. Les perspectives restent favorables dans un contexte de consolidation du march\u00e9 ivoirien des carburants."}</w:t>
      </w:r>
    </w:p>
    <w:p>
      <w:pPr>
        <w:spacing w:before="40"/>
        <w:ind w:left="400"/>
      </w:pPr>
      <w:r>
        <w:rPr>
          <w:sz w:val="18"/>
        </w:rPr>
        <w:t>VIVO ENERGY CÔTE D'IVOIRE présente des résultats financiers exceptionnels pour 2022 avec un chiffre d'affaires de 488,9 milliards FCFA (+33%) et un résultat net de 3,75 milliards FCFA (+59%). La société bénéficie d'une forte croissance des volumes (+12%) et d'un effet prix favorable lié à la hausse des prix des carburants et lubrifiants. La situation financière est solide avec un désendettement complet de l'emprunt bancaire et une amélioration significative de la trésorerie. Les performances du premier trimestre 2023 confirment cette dynamique positive avec une croissance continue du chiffre d'affaires (+33%) et de la rentabilité. La société propose une distribution de dividendes de 3,71 mil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 'tresorerie_nette': '2,75 milliards FCFA', 'variation_tresorerie': '+15,55 milliards FCFA', 'resultat_exploitation': '5,86 milliards FCFA', 'croissance_resultat_net': '59%'}</w:t>
            </w:r>
          </w:p>
        </w:tc>
        <w:tc>
          <w:tcPr>
            <w:tcW w:type="dxa" w:w="2160"/>
          </w:tcPr>
          <w:p>
            <w:pPr>
              <w:ind w:left="100"/>
            </w:pPr>
            <w:r/>
            <w:r>
              <w:rPr>
                <w:b/>
                <w:sz w:val="16"/>
              </w:rPr>
              <w:t>dividende</w:t>
              <w:br/>
            </w:r>
            <w:r>
              <w:rPr>
                <w:sz w:val="18"/>
              </w:rPr>
              <w:t>3,71 milliards FCFA au total</w:t>
            </w:r>
          </w:p>
        </w:tc>
        <w:tc>
          <w:tcPr>
            <w:tcW w:type="dxa" w:w="2160"/>
          </w:tcPr>
          <w:p>
            <w:pPr>
              <w:ind w:left="100"/>
            </w:pPr>
            <w:r/>
            <w:r>
              <w:rPr>
                <w:b/>
                <w:sz w:val="16"/>
              </w:rPr>
              <w:t>marge_nette</w:t>
              <w:br/>
            </w:r>
            <w:r>
              <w:rPr>
                <w:sz w:val="18"/>
              </w:rPr>
              <w:t>0,77%</w:t>
            </w:r>
          </w:p>
        </w:tc>
        <w:tc>
          <w:tcPr>
            <w:tcW w:type="dxa" w:w="2160"/>
          </w:tcPr>
          <w:p>
            <w:pPr>
              <w:ind w:left="100"/>
            </w:pPr>
            <w:r/>
            <w:r>
              <w:rPr>
                <w:b/>
                <w:sz w:val="16"/>
              </w:rPr>
              <w:t>total_actif</w:t>
              <w:br/>
            </w:r>
            <w:r>
              <w:rPr>
                <w:sz w:val="18"/>
              </w:rPr>
              <w:t>119,19 milliards FCFA</w:t>
            </w:r>
          </w:p>
        </w:tc>
      </w:tr>
      <w:tr>
        <w:tc>
          <w:tcPr>
            <w:tcW w:type="dxa" w:w="2160"/>
          </w:tcPr>
          <w:p>
            <w:r/>
            <w:r>
              <w:rPr>
                <w:b/>
                <w:sz w:val="16"/>
              </w:rPr>
              <w:t>resultat_net</w:t>
              <w:br/>
            </w:r>
            <w:r>
              <w:rPr>
                <w:sz w:val="18"/>
              </w:rPr>
              <w:t>3,75 milliards FCFA</w:t>
            </w:r>
          </w:p>
        </w:tc>
        <w:tc>
          <w:tcPr>
            <w:tcW w:type="dxa" w:w="2160"/>
          </w:tcPr>
          <w:p>
            <w:r/>
            <w:r>
              <w:rPr>
                <w:b/>
                <w:sz w:val="16"/>
              </w:rPr>
              <w:t>capitaux_propres</w:t>
              <w:br/>
            </w:r>
            <w:r>
              <w:rPr>
                <w:sz w:val="18"/>
              </w:rPr>
              <w:t>23,11 milliards FCFA</w:t>
            </w:r>
          </w:p>
        </w:tc>
        <w:tc>
          <w:tcPr>
            <w:tcW w:type="dxa" w:w="2160"/>
          </w:tcPr>
          <w:p>
            <w:r/>
            <w:r>
              <w:rPr>
                <w:b/>
                <w:sz w:val="16"/>
              </w:rPr>
              <w:t>chiffre_affaires</w:t>
              <w:br/>
            </w:r>
            <w:r>
              <w:rPr>
                <w:sz w:val="18"/>
              </w:rPr>
              <w:t>488,9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2022 en forte hausse de 33% à 488,9 milliards FCFA grâce aux effets volumes (+38 milliards) et prix (+84 milliards)</w:t>
      </w:r>
    </w:p>
    <w:p>
      <w:pPr>
        <w:pStyle w:val="ListBullet"/>
        <w:spacing w:before="20" w:after="20"/>
        <w:ind w:left="700"/>
      </w:pPr>
      <w:r>
        <w:rPr>
          <w:sz w:val="18"/>
        </w:rPr>
        <w:t>Résultat net 2022 en progression de 59% à 3,75 milliards FCFA, démontrant une amélioration de la rentabilité</w:t>
      </w:r>
    </w:p>
    <w:p>
      <w:pPr>
        <w:pStyle w:val="ListBullet"/>
        <w:spacing w:before="20" w:after="20"/>
        <w:ind w:left="700"/>
      </w:pPr>
      <w:r>
        <w:rPr>
          <w:sz w:val="18"/>
        </w:rPr>
        <w:t>Remboursement intégral de l'emprunt bancaire contracté en 2018, renforçant la structure financière</w:t>
      </w:r>
    </w:p>
    <w:p>
      <w:pPr>
        <w:pStyle w:val="ListBullet"/>
        <w:spacing w:before="20" w:after="20"/>
        <w:ind w:left="700"/>
      </w:pPr>
      <w:r>
        <w:rPr>
          <w:sz w:val="18"/>
        </w:rPr>
        <w:t>Amélioration spectaculaire de la trésorerie nette de +15,55 milliards FCFA grâce à l'autofinancement et à la gestion du BFR</w:t>
      </w:r>
    </w:p>
    <w:p>
      <w:pPr>
        <w:pStyle w:val="ListBullet"/>
        <w:spacing w:before="20" w:after="20"/>
        <w:ind w:left="700"/>
      </w:pPr>
      <w:r>
        <w:rPr>
          <w:sz w:val="18"/>
        </w:rPr>
        <w:t>Croissance des volumes de vente de 12% au T1 2023, confirmant la dynamique commerciale positive</w:t>
      </w:r>
    </w:p>
    <w:p>
      <w:pPr>
        <w:pStyle w:val="ListBullet"/>
        <w:spacing w:before="20" w:after="20"/>
        <w:ind w:left="700"/>
      </w:pPr>
      <w:r>
        <w:rPr>
          <w:sz w:val="18"/>
        </w:rPr>
        <w:t>Hausse significative des prix à la pompe sur 2022 (super de 615 à 775 FCFA/L, gasoil de 616 à 655 FCFA/L)</w:t>
      </w:r>
    </w:p>
    <w:p>
      <w:pPr>
        <w:spacing w:before="40"/>
        <w:ind w:left="400"/>
      </w:pPr>
      <w:r>
        <w:rPr>
          <w:b/>
          <w:color w:val="C05000"/>
          <w:sz w:val="18"/>
        </w:rPr>
        <w:t xml:space="preserve">⚠️ Risques : </w:t>
      </w:r>
      <w:r>
        <w:rPr>
          <w:sz w:val="18"/>
        </w:rPr>
        <w:t>["Exposition aux fluctuations des prix du p\u00e9trole et aux variations de change du dollar am\u00e9ricain", "D\u00e9pendance aux prix r\u00e9glement\u00e9s des carburants fix\u00e9s par les autorit\u00e9s ivoiriennes", "Concurrence accrue sur le march\u00e9 ivoirien des carburants et lubrifiants"]</w:t>
      </w:r>
    </w:p>
    <w:p>
      <w:pPr>
        <w:spacing w:before="40"/>
        <w:ind w:left="400"/>
      </w:pPr>
      <w:r>
        <w:rPr>
          <w:b/>
          <w:color w:val="0064A0"/>
          <w:sz w:val="18"/>
        </w:rPr>
        <w:t xml:space="preserve">🔮 Perspectives : </w:t>
      </w:r>
      <w:r>
        <w:rPr>
          <w:sz w:val="18"/>
        </w:rPr>
        <w:t>Les résultats du premier trimestre 2023 (+33% de CA, +54% de résultat d'exploitation) confirment la poursuite de la dynamique positive. La société devrait continuer à bénéficier de sa stratégie de conquête de nouveaux clients et du maintien de prix favorables, tout en consolidant sa position de lead</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930.00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8,879 titres</w:t>
            </w:r>
          </w:p>
        </w:tc>
        <w:tc>
          <w:tcPr>
            <w:tcW w:type="dxa" w:w="2268"/>
            <w:shd w:fill="FFF2CC" w:val="clear"/>
          </w:tcPr>
          <w:p>
            <w:r>
              <w:rPr>
                <w:b/>
                <w:color w:val="503200"/>
                <w:sz w:val="16"/>
              </w:rPr>
              <w:t xml:space="preserve">Cours actuel : </w:t>
            </w:r>
            <w:r>
              <w:rPr>
                <w:color w:val="000000"/>
                <w:sz w:val="17"/>
              </w:rPr>
              <w:t>9,300 FCFA</w:t>
            </w:r>
          </w:p>
          <w:p>
            <w:r>
              <w:rPr>
                <w:b/>
                <w:color w:val="503200"/>
                <w:sz w:val="16"/>
              </w:rPr>
              <w:t xml:space="preserve">Var. 100 jours : </w:t>
            </w:r>
            <w:r>
              <w:rPr>
                <w:b/>
                <w:color w:val="007800"/>
                <w:sz w:val="17"/>
              </w:rPr>
              <w:t>+30.99%</w:t>
            </w:r>
          </w:p>
          <w:p>
            <w:r>
              <w:rPr>
                <w:b/>
                <w:color w:val="503200"/>
                <w:sz w:val="16"/>
              </w:rPr>
              <w:t xml:space="preserve">Plus haut 100j : </w:t>
            </w:r>
            <w:r>
              <w:rPr>
                <w:color w:val="000000"/>
                <w:sz w:val="17"/>
              </w:rPr>
              <w:t>9,300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11.13% (Moyenne) — μ=8,001 FCFA, σ=890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β=0.5606 (Défensif) — Cov=0.000020, Var(idx)=0.000036, ρ=0.194,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8,879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σ_j=1.74%/j (Stable) — Vol. annualisée≈27.7%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8,697</w:t>
            </w:r>
          </w:p>
        </w:tc>
        <w:tc>
          <w:tcPr>
            <w:tcW w:type="dxa" w:w="1440"/>
            <w:shd w:fill="FFDCE0" w:val="clear"/>
          </w:tcPr>
          <w:p>
            <w:r>
              <w:rPr>
                <w:b/>
                <w:sz w:val="17"/>
              </w:rPr>
              <w:t>8,954</w:t>
            </w:r>
          </w:p>
        </w:tc>
        <w:tc>
          <w:tcPr>
            <w:tcW w:type="dxa" w:w="1440"/>
            <w:shd w:fill="FFDCE0" w:val="clear"/>
          </w:tcPr>
          <w:p>
            <w:r>
              <w:rPr>
                <w:sz w:val="17"/>
              </w:rPr>
              <w:t>9,210</w:t>
            </w:r>
          </w:p>
        </w:tc>
        <w:tc>
          <w:tcPr>
            <w:tcW w:type="dxa" w:w="1440"/>
            <w:shd w:fill="FFDCE0" w:val="clear"/>
          </w:tcPr>
          <w:p>
            <w:r>
              <w:rPr>
                <w:b/>
                <w:color w:val="C00000"/>
                <w:sz w:val="17"/>
              </w:rPr>
              <w:t>-3.7%</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8,282</w:t>
            </w:r>
          </w:p>
        </w:tc>
        <w:tc>
          <w:tcPr>
            <w:tcW w:type="dxa" w:w="1440"/>
            <w:shd w:fill="FFDCE0" w:val="clear"/>
          </w:tcPr>
          <w:p>
            <w:r>
              <w:rPr>
                <w:b/>
                <w:sz w:val="17"/>
              </w:rPr>
              <w:t>8,631</w:t>
            </w:r>
          </w:p>
        </w:tc>
        <w:tc>
          <w:tcPr>
            <w:tcW w:type="dxa" w:w="1440"/>
            <w:shd w:fill="FFDCE0" w:val="clear"/>
          </w:tcPr>
          <w:p>
            <w:r>
              <w:rPr>
                <w:sz w:val="17"/>
              </w:rPr>
              <w:t>8,980</w:t>
            </w:r>
          </w:p>
        </w:tc>
        <w:tc>
          <w:tcPr>
            <w:tcW w:type="dxa" w:w="1440"/>
            <w:shd w:fill="FFDCE0" w:val="clear"/>
          </w:tcPr>
          <w:p>
            <w:r>
              <w:rPr>
                <w:b/>
                <w:color w:val="C00000"/>
                <w:sz w:val="17"/>
              </w:rPr>
              <w:t>-7.2%</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7,931</w:t>
            </w:r>
          </w:p>
        </w:tc>
        <w:tc>
          <w:tcPr>
            <w:tcW w:type="dxa" w:w="1440"/>
            <w:shd w:fill="FFDCE0" w:val="clear"/>
          </w:tcPr>
          <w:p>
            <w:r>
              <w:rPr>
                <w:b/>
                <w:sz w:val="17"/>
              </w:rPr>
              <w:t>8,345</w:t>
            </w:r>
          </w:p>
        </w:tc>
        <w:tc>
          <w:tcPr>
            <w:tcW w:type="dxa" w:w="1440"/>
            <w:shd w:fill="FFDCE0" w:val="clear"/>
          </w:tcPr>
          <w:p>
            <w:r>
              <w:rPr>
                <w:sz w:val="17"/>
              </w:rPr>
              <w:t>8,759</w:t>
            </w:r>
          </w:p>
        </w:tc>
        <w:tc>
          <w:tcPr>
            <w:tcW w:type="dxa" w:w="1440"/>
            <w:shd w:fill="FFDCE0" w:val="clear"/>
          </w:tcPr>
          <w:p>
            <w:r>
              <w:rPr>
                <w:b/>
                <w:color w:val="C00000"/>
                <w:sz w:val="17"/>
              </w:rPr>
              <w:t>-10.3%</w:t>
            </w:r>
          </w:p>
        </w:tc>
      </w:tr>
      <w:tr>
        <w:tc>
          <w:tcPr>
            <w:tcW w:type="dxa" w:w="1440"/>
            <w:shd w:fill="FFDCE0" w:val="clear"/>
          </w:tcPr>
          <w:p>
            <w:r>
              <w:rPr>
                <w:sz w:val="17"/>
              </w:rPr>
              <w:t>J+4  Moyenne</w:t>
            </w:r>
          </w:p>
        </w:tc>
        <w:tc>
          <w:tcPr>
            <w:tcW w:type="dxa" w:w="1440"/>
            <w:shd w:fill="FFDCE0" w:val="clear"/>
          </w:tcPr>
          <w:p>
            <w:r>
              <w:rPr>
                <w:sz w:val="17"/>
              </w:rPr>
              <w:t>2026-08-13</w:t>
            </w:r>
          </w:p>
        </w:tc>
        <w:tc>
          <w:tcPr>
            <w:tcW w:type="dxa" w:w="1440"/>
            <w:shd w:fill="FFDCE0" w:val="clear"/>
          </w:tcPr>
          <w:p>
            <w:r>
              <w:rPr>
                <w:sz w:val="17"/>
              </w:rPr>
              <w:t>7,641</w:t>
            </w:r>
          </w:p>
        </w:tc>
        <w:tc>
          <w:tcPr>
            <w:tcW w:type="dxa" w:w="1440"/>
            <w:shd w:fill="FFDCE0" w:val="clear"/>
          </w:tcPr>
          <w:p>
            <w:r>
              <w:rPr>
                <w:b/>
                <w:sz w:val="17"/>
              </w:rPr>
              <w:t>8,105</w:t>
            </w:r>
          </w:p>
        </w:tc>
        <w:tc>
          <w:tcPr>
            <w:tcW w:type="dxa" w:w="1440"/>
            <w:shd w:fill="FFDCE0" w:val="clear"/>
          </w:tcPr>
          <w:p>
            <w:r>
              <w:rPr>
                <w:sz w:val="17"/>
              </w:rPr>
              <w:t>8,569</w:t>
            </w:r>
          </w:p>
        </w:tc>
        <w:tc>
          <w:tcPr>
            <w:tcW w:type="dxa" w:w="1440"/>
            <w:shd w:fill="FFDCE0" w:val="clear"/>
          </w:tcPr>
          <w:p>
            <w:r>
              <w:rPr>
                <w:b/>
                <w:color w:val="C00000"/>
                <w:sz w:val="17"/>
              </w:rPr>
              <w:t>-12.8%</w:t>
            </w:r>
          </w:p>
        </w:tc>
      </w:tr>
      <w:tr>
        <w:tc>
          <w:tcPr>
            <w:tcW w:type="dxa" w:w="1440"/>
            <w:shd w:fill="FFDCE0" w:val="clear"/>
          </w:tcPr>
          <w:p>
            <w:r>
              <w:rPr>
                <w:sz w:val="17"/>
              </w:rPr>
              <w:t>J+5  Moyenne</w:t>
            </w:r>
          </w:p>
        </w:tc>
        <w:tc>
          <w:tcPr>
            <w:tcW w:type="dxa" w:w="1440"/>
            <w:shd w:fill="FFDCE0" w:val="clear"/>
          </w:tcPr>
          <w:p>
            <w:r>
              <w:rPr>
                <w:sz w:val="17"/>
              </w:rPr>
              <w:t>2026-08-14</w:t>
            </w:r>
          </w:p>
        </w:tc>
        <w:tc>
          <w:tcPr>
            <w:tcW w:type="dxa" w:w="1440"/>
            <w:shd w:fill="FFDCE0" w:val="clear"/>
          </w:tcPr>
          <w:p>
            <w:r>
              <w:rPr>
                <w:sz w:val="17"/>
              </w:rPr>
              <w:t>7,399</w:t>
            </w:r>
          </w:p>
        </w:tc>
        <w:tc>
          <w:tcPr>
            <w:tcW w:type="dxa" w:w="1440"/>
            <w:shd w:fill="FFDCE0" w:val="clear"/>
          </w:tcPr>
          <w:p>
            <w:r>
              <w:rPr>
                <w:b/>
                <w:sz w:val="17"/>
              </w:rPr>
              <w:t>7,904</w:t>
            </w:r>
          </w:p>
        </w:tc>
        <w:tc>
          <w:tcPr>
            <w:tcW w:type="dxa" w:w="1440"/>
            <w:shd w:fill="FFDCE0" w:val="clear"/>
          </w:tcPr>
          <w:p>
            <w:r>
              <w:rPr>
                <w:sz w:val="17"/>
              </w:rPr>
              <w:t>8,410</w:t>
            </w:r>
          </w:p>
        </w:tc>
        <w:tc>
          <w:tcPr>
            <w:tcW w:type="dxa" w:w="1440"/>
            <w:shd w:fill="FFDCE0" w:val="clear"/>
          </w:tcPr>
          <w:p>
            <w:r>
              <w:rPr>
                <w:b/>
                <w:color w:val="C00000"/>
                <w:sz w:val="17"/>
              </w:rPr>
              <w:t>-15.0%</w:t>
            </w:r>
          </w:p>
        </w:tc>
      </w:tr>
      <w:tr>
        <w:tc>
          <w:tcPr>
            <w:tcW w:type="dxa" w:w="1440"/>
            <w:shd w:fill="FFDCE0" w:val="clear"/>
          </w:tcPr>
          <w:p>
            <w:r>
              <w:rPr>
                <w:sz w:val="17"/>
              </w:rPr>
              <w:t>J+6  Moyenne</w:t>
            </w:r>
          </w:p>
        </w:tc>
        <w:tc>
          <w:tcPr>
            <w:tcW w:type="dxa" w:w="1440"/>
            <w:shd w:fill="FFDCE0" w:val="clear"/>
          </w:tcPr>
          <w:p>
            <w:r>
              <w:rPr>
                <w:sz w:val="17"/>
              </w:rPr>
              <w:t>2026-08-17</w:t>
            </w:r>
          </w:p>
        </w:tc>
        <w:tc>
          <w:tcPr>
            <w:tcW w:type="dxa" w:w="1440"/>
            <w:shd w:fill="FFDCE0" w:val="clear"/>
          </w:tcPr>
          <w:p>
            <w:r>
              <w:rPr>
                <w:sz w:val="17"/>
              </w:rPr>
              <w:t>7,192</w:t>
            </w:r>
          </w:p>
        </w:tc>
        <w:tc>
          <w:tcPr>
            <w:tcW w:type="dxa" w:w="1440"/>
            <w:shd w:fill="FFDCE0" w:val="clear"/>
          </w:tcPr>
          <w:p>
            <w:r>
              <w:rPr>
                <w:b/>
                <w:sz w:val="17"/>
              </w:rPr>
              <w:t>7,734</w:t>
            </w:r>
          </w:p>
        </w:tc>
        <w:tc>
          <w:tcPr>
            <w:tcW w:type="dxa" w:w="1440"/>
            <w:shd w:fill="FFDCE0" w:val="clear"/>
          </w:tcPr>
          <w:p>
            <w:r>
              <w:rPr>
                <w:sz w:val="17"/>
              </w:rPr>
              <w:t>8,276</w:t>
            </w:r>
          </w:p>
        </w:tc>
        <w:tc>
          <w:tcPr>
            <w:tcW w:type="dxa" w:w="1440"/>
            <w:shd w:fill="FFDCE0" w:val="clear"/>
          </w:tcPr>
          <w:p>
            <w:r>
              <w:rPr>
                <w:b/>
                <w:color w:val="C00000"/>
                <w:sz w:val="17"/>
              </w:rPr>
              <w:t>-16.8%</w:t>
            </w:r>
          </w:p>
        </w:tc>
      </w:tr>
      <w:tr>
        <w:tc>
          <w:tcPr>
            <w:tcW w:type="dxa" w:w="1440"/>
            <w:shd w:fill="FFDCE0" w:val="clear"/>
          </w:tcPr>
          <w:p>
            <w:r>
              <w:rPr>
                <w:sz w:val="17"/>
              </w:rPr>
              <w:t>J+7  Moyenne</w:t>
            </w:r>
          </w:p>
        </w:tc>
        <w:tc>
          <w:tcPr>
            <w:tcW w:type="dxa" w:w="1440"/>
            <w:shd w:fill="FFDCE0" w:val="clear"/>
          </w:tcPr>
          <w:p>
            <w:r>
              <w:rPr>
                <w:sz w:val="17"/>
              </w:rPr>
              <w:t>2026-08-18</w:t>
            </w:r>
          </w:p>
        </w:tc>
        <w:tc>
          <w:tcPr>
            <w:tcW w:type="dxa" w:w="1440"/>
            <w:shd w:fill="FFDCE0" w:val="clear"/>
          </w:tcPr>
          <w:p>
            <w:r>
              <w:rPr>
                <w:sz w:val="17"/>
              </w:rPr>
              <w:t>7,011</w:t>
            </w:r>
          </w:p>
        </w:tc>
        <w:tc>
          <w:tcPr>
            <w:tcW w:type="dxa" w:w="1440"/>
            <w:shd w:fill="FFDCE0" w:val="clear"/>
          </w:tcPr>
          <w:p>
            <w:r>
              <w:rPr>
                <w:b/>
                <w:sz w:val="17"/>
              </w:rPr>
              <w:t>7,585</w:t>
            </w:r>
          </w:p>
        </w:tc>
        <w:tc>
          <w:tcPr>
            <w:tcW w:type="dxa" w:w="1440"/>
            <w:shd w:fill="FFDCE0" w:val="clear"/>
          </w:tcPr>
          <w:p>
            <w:r>
              <w:rPr>
                <w:sz w:val="17"/>
              </w:rPr>
              <w:t>8,159</w:t>
            </w:r>
          </w:p>
        </w:tc>
        <w:tc>
          <w:tcPr>
            <w:tcW w:type="dxa" w:w="1440"/>
            <w:shd w:fill="FFDCE0" w:val="clear"/>
          </w:tcPr>
          <w:p>
            <w:r>
              <w:rPr>
                <w:b/>
                <w:color w:val="C00000"/>
                <w:sz w:val="17"/>
              </w:rPr>
              <w:t>-18.4%</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6,850</w:t>
            </w:r>
          </w:p>
        </w:tc>
        <w:tc>
          <w:tcPr>
            <w:tcW w:type="dxa" w:w="1440"/>
            <w:shd w:fill="FFDCE0" w:val="clear"/>
          </w:tcPr>
          <w:p>
            <w:r>
              <w:rPr>
                <w:b/>
                <w:sz w:val="17"/>
              </w:rPr>
              <w:t>7,453</w:t>
            </w:r>
          </w:p>
        </w:tc>
        <w:tc>
          <w:tcPr>
            <w:tcW w:type="dxa" w:w="1440"/>
            <w:shd w:fill="FFDCE0" w:val="clear"/>
          </w:tcPr>
          <w:p>
            <w:r>
              <w:rPr>
                <w:sz w:val="17"/>
              </w:rPr>
              <w:t>8,056</w:t>
            </w:r>
          </w:p>
        </w:tc>
        <w:tc>
          <w:tcPr>
            <w:tcW w:type="dxa" w:w="1440"/>
            <w:shd w:fill="FFDCE0" w:val="clear"/>
          </w:tcPr>
          <w:p>
            <w:r>
              <w:rPr>
                <w:b/>
                <w:color w:val="C00000"/>
                <w:sz w:val="17"/>
              </w:rPr>
              <w:t>-19.9%</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6,705</w:t>
            </w:r>
          </w:p>
        </w:tc>
        <w:tc>
          <w:tcPr>
            <w:tcW w:type="dxa" w:w="1440"/>
            <w:shd w:fill="FFDCE0" w:val="clear"/>
          </w:tcPr>
          <w:p>
            <w:r>
              <w:rPr>
                <w:b/>
                <w:sz w:val="17"/>
              </w:rPr>
              <w:t>7,334</w:t>
            </w:r>
          </w:p>
        </w:tc>
        <w:tc>
          <w:tcPr>
            <w:tcW w:type="dxa" w:w="1440"/>
            <w:shd w:fill="FFDCE0" w:val="clear"/>
          </w:tcPr>
          <w:p>
            <w:r>
              <w:rPr>
                <w:sz w:val="17"/>
              </w:rPr>
              <w:t>7,964</w:t>
            </w:r>
          </w:p>
        </w:tc>
        <w:tc>
          <w:tcPr>
            <w:tcW w:type="dxa" w:w="1440"/>
            <w:shd w:fill="FFDCE0" w:val="clear"/>
          </w:tcPr>
          <w:p>
            <w:r>
              <w:rPr>
                <w:b/>
                <w:color w:val="C00000"/>
                <w:sz w:val="17"/>
              </w:rPr>
              <w:t>-21.1%</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6,572</w:t>
            </w:r>
          </w:p>
        </w:tc>
        <w:tc>
          <w:tcPr>
            <w:tcW w:type="dxa" w:w="1440"/>
            <w:shd w:fill="FFDCE0" w:val="clear"/>
          </w:tcPr>
          <w:p>
            <w:r>
              <w:rPr>
                <w:b/>
                <w:sz w:val="17"/>
              </w:rPr>
              <w:t>7,226</w:t>
            </w:r>
          </w:p>
        </w:tc>
        <w:tc>
          <w:tcPr>
            <w:tcW w:type="dxa" w:w="1440"/>
            <w:shd w:fill="FFDCE0" w:val="clear"/>
          </w:tcPr>
          <w:p>
            <w:r>
              <w:rPr>
                <w:sz w:val="17"/>
              </w:rPr>
              <w:t>7,880</w:t>
            </w:r>
          </w:p>
        </w:tc>
        <w:tc>
          <w:tcPr>
            <w:tcW w:type="dxa" w:w="1440"/>
            <w:shd w:fill="FFDCE0" w:val="clear"/>
          </w:tcPr>
          <w:p>
            <w:r>
              <w:rPr>
                <w:b/>
                <w:color w:val="C00000"/>
                <w:sz w:val="17"/>
              </w:rPr>
              <w:t>-22.3%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SIBC s'établit à 930 milliards FCFA, ce qui en fait l'une des valeurs les plus lourdes et les plus liquides de la cote BRVM, représentant un poids significatif dans l'indice composite. Le BPA de 556 FCFA indique que chaque action génère un bénéfice substantiel, mais le PER de 16,7x est nettement supérieur à la moyenne historique de la BRVM (8-12x), signalant que les investisseurs paient une prime de valorisation pour la qualité perçue de l'actif. Cette prime est confirmée par le P/B de 4,54x, qui valorise le titre bien au-dessus de sa valeur comptable, et par un EV/EBITDA de 15,5x, également exigeant. Ces ratios traduisent une confiance élevée du marché dans la capacité de la banque à maintenir une croissance rentable, mais ils laissent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le titre SIBC a enregistré une progression remarquable de +30,99%, passant d'un plus bas de 6 805 FCFA à un plus haut historique de 9 300 FCFA, qui correspond également au cours actuel. La dernière séance affiche une légère hausse de +0,54%, suggérant une poursuite du mouvement haussier, bien que le rythme ralentisse. La moyenne du cours sur la période (8 001 FCFA) est inférieure à la médiane (8 178 FCFA), indiquant une distribution légèrement asymétrique avec une concentration des valeurs vers le haut de la fourchette. L'écart-type de 895 FCFA (CV de 11,2%) révèle une dispersion modérée, tandis que le kurtosis de -1,815 (platykurtique) indique une distribution aplatie, sans pics extrêmes, et le skewness de -0,053 confirme une symétrie quasi parfaite. La volatilité annualisée de 27,7% classe le titre dans la catégorie des valeurs à volatilité modérée-élevée, ce qui implique des fluctuations de cours notables mais non excessives.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(9 300 FCFA) évolue nettement au-dessus de la MM20 (8 922 FCFA) et de la MM50 (8 857 FCFA), confirmant une tendance haussière solide. L'écart positif entre les deux moyennes et leur orientation ascendante renforcent le signal d'achat, indiquant que la dynamique positive est bien installée à moyen terme.</w:t>
      </w:r>
    </w:p>
    <w:p>
      <w:pPr>
        <w:spacing w:after="120" w:line="276" w:lineRule="auto"/>
      </w:pPr>
      <w:r>
        <w:t>**Bandes de Bollinger :** Le prix se situe à 9 300 FCFA, très proche de la borne supérieure (9 323,83 FCFA), ce qui témoigne d'une pression acheteuse soutenue. La largeur des bandes (803 FCFA) reflète une volatilité modérée. La décision est neutre car le titre n'a pas encore franchi la borne, mais la proximité suggère un possible breakout ou une consolidation à venir.</w:t>
      </w:r>
    </w:p>
    <w:p>
      <w:pPr>
        <w:spacing w:after="120" w:line="276" w:lineRule="auto"/>
      </w:pPr>
      <w:r>
        <w:t>**MACD :** Le MACD (111,954) est nettement supérieur à sa ligne de signal (79,459), avec un écart positif croissant. Cette configuration indique un momentum haussier puissant et confirme la tendance ascendante. Le signal d'achat est justifié par la vigueur de la dynamique et l'absence de signes d'essoufflement.</w:t>
      </w:r>
    </w:p>
    <w:p>
      <w:pPr>
        <w:spacing w:after="120" w:line="276" w:lineRule="auto"/>
      </w:pPr>
      <w:r>
        <w:t>**RSI :** À 62,0, le RSI se situe dans la zone neutre, en dessous du seuil de surachat (70). Cela indique que le titre dispose encore d'un potentiel de hausse sans être en territoire dangereux. La décision neutre est appropriée, car le RSI reflète une pression acheteuse saine mais non excessive.</w:t>
      </w:r>
    </w:p>
    <w:p>
      <w:pPr>
        <w:spacing w:after="120" w:line="276" w:lineRule="auto"/>
      </w:pPr>
      <w:r>
        <w:t>**Stochastique :** Le %K (100,0) et le %D (97,436) sont tous deux à des niveaux extrêmement élevés, signalant une condition de surachat sévère. Le croisement potentiel à la baisse pourrait déclencher un signal de vente à court terme. La décision de vente est justifiée par la probabilité d'une correction technique imminente.</w:t>
      </w:r>
    </w:p>
    <w:p>
      <w:pPr>
        <w:spacing w:after="120" w:line="276" w:lineRule="auto"/>
      </w:pPr>
      <w:r>
        <w:t>**Conclusion technique :** La tendance de fond reste résolument haussière, portée par les moyennes mobiles et le MACD. Cependant, les indicateurs de momentum (RSI et surtout Stochastique) suggèrent que le titre est suracheté à court terme, augmentant le risque d'une consolidation ou d'un repli technique. La prudence est donc de mise pour un nouvel achat à ces niveaux.</w:t>
      </w:r>
    </w:p>
    <w:p>
      <w:pPr>
        <w:spacing w:after="120" w:line="276" w:lineRule="auto"/>
      </w:pPr>
      <w:r>
        <w:t>---</w:t>
      </w:r>
    </w:p>
    <w:p>
      <w:pPr>
        <w:spacing w:after="120" w:line="276" w:lineRule="auto"/>
      </w:pPr>
      <w:r>
        <w:t>### PARTIE 3 : ANALYSE FONDAMENTALE (SECTION CRITIQUE)</w:t>
      </w:r>
    </w:p>
    <w:p>
      <w:pPr>
        <w:spacing w:after="120" w:line="276" w:lineRule="auto"/>
      </w:pPr>
      <w:r>
        <w:t>En 2025, la SIBC affiche des fondamentaux solides avec un Produit Net Bancaire de 108,663 milliards FCFA et un résultat net de 55,623 milliards FCFA, en hausse par rapport aux 50,2 milliards FCFA de 2024. La rentabilité est exceptionnelle avec un ROE de 27,16% (contre 30,56% en 2024) et un ROA de 2,96%, confirmant une utilisation très efficace des capitaux propres et des actifs. Le coefficient d'exploitation de 38,59% est excellent, bien en dessous du seuil de 60% considéré comme le standard d'efficacité, démontrant une maîtrise rigoureuse des charges. La structure financière repose sur des dépôts clients massifs (1 503,441 milliards FCFA) qui financent un portefeuille de crédits de 1 226,720 milliards FCFA, soit un ratio de transformation de 81,6%, indiquant une gestion prudente de la liquidité. Le coût du risque, bien que non détaillé, semble maîtrisé comme en témoigne la baisse des provisions. Les rapports trimestriels confirment cette dynamique : le T1 2025 (PNB +12%, RN +10%), le S1 2025 (PNB +9%, RN +15%) et le T3 2025 (PNB +8%, RN +11%) montrent une croissance régulière. Sur la base du T1 2026 (PNB 27,7 milliards FCFA, RN 15,2 milliards FCFA, en hausse de 11%), on estime que l'exercice 2026 pourrait voir un PNB autour de 115-118 milliards FCFA et un résultat net de 60-62 milliards FCFA, confirmant la solidité du modèle économique et la bonne exécution du plan stratégique « IMPULSION 2028 ».</w:t>
      </w:r>
    </w:p>
    <w:p>
      <w:pPr>
        <w:spacing w:after="120" w:line="276" w:lineRule="auto"/>
      </w:pPr>
      <w:r>
        <w:t>---</w:t>
      </w:r>
    </w:p>
    <w:p>
      <w:pPr>
        <w:spacing w:after="120" w:line="276" w:lineRule="auto"/>
      </w:pPr>
      <w:r>
        <w:t>### PARTIE 4 : CONCLUSION D'INVESTISSEMENT</w:t>
      </w:r>
    </w:p>
    <w:p>
      <w:pPr>
        <w:spacing w:after="120" w:line="276" w:lineRule="auto"/>
      </w:pPr>
      <w:r>
        <w:t>La valorisation actuelle de la SIBC est exigeante (PER 16,7x, P/B 4,54x), mais elle reflète la qualité supérieure de la banque et sa rentabilité exceptionnelle. Le comportement du cours sur 100 jours (+30,99%) montre une tendance haussière puissante, avec une volatilité modérée et une distribution statistique saine. Les signaux techniques sont globalement positifs (MM, MACD) mais le Stochastique en surachat extrême suggère un risque de correction à court terme. Les fondamentaux sont excellents : ROE de 27%, coefficient d'exploitation de 38,6%, croissance soutenue du PNB et du résultat net, et des perspectives favorables pour 2026. Les prédictions IA (8 954 FCFA à J+1, 7 904 FCFA à J+10) indiquent un repli technique probable, contredisant la tendance haussière récente et confortant le signal de surachat. En synthèse, la convergence entre des fondamentaux solides et une tendance haussière est contrebalancée par une valorisation tendue et des signaux techniques de surachat. **Recommandation : CONSERVER** pour les investisseurs déjà positionnés, avec un niveau de confiance **Moyen** et un risque global **Moyen**. L'horizon optimal est le **moyen terme (3-12 mois)**, en attendant une correction du cours ou la confirmation des résultats semestriels 2026 pour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4.25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95 titres</w:t>
            </w:r>
          </w:p>
        </w:tc>
        <w:tc>
          <w:tcPr>
            <w:tcW w:type="dxa" w:w="2268"/>
            <w:shd w:fill="FFF2CC" w:val="clear"/>
          </w:tcPr>
          <w:p>
            <w:r>
              <w:rPr>
                <w:b/>
                <w:color w:val="503200"/>
                <w:sz w:val="16"/>
              </w:rPr>
              <w:t xml:space="preserve">Cours actuel : </w:t>
            </w:r>
            <w:r>
              <w:rPr>
                <w:color w:val="000000"/>
                <w:sz w:val="17"/>
              </w:rPr>
              <w:t>7,085 FCFA</w:t>
            </w:r>
          </w:p>
          <w:p>
            <w:r>
              <w:rPr>
                <w:b/>
                <w:color w:val="503200"/>
                <w:sz w:val="16"/>
              </w:rPr>
              <w:t xml:space="preserve">Var. 100 jours : </w:t>
            </w:r>
            <w:r>
              <w:rPr>
                <w:b/>
                <w:color w:val="007800"/>
                <w:sz w:val="17"/>
              </w:rPr>
              <w:t>+81.43%</w:t>
            </w:r>
          </w:p>
          <w:p>
            <w:r>
              <w:rPr>
                <w:b/>
                <w:color w:val="503200"/>
                <w:sz w:val="16"/>
              </w:rPr>
              <w:t xml:space="preserve">Plus haut 100j : </w:t>
            </w:r>
            <w:r>
              <w:rPr>
                <w:color w:val="000000"/>
                <w:sz w:val="17"/>
              </w:rPr>
              <w:t>7,095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54.3%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38.6/100 → Moyen</w:t>
      </w:r>
    </w:p>
    <w:p>
      <w:pPr>
        <w:spacing w:before="40" w:after="80"/>
      </w:pPr>
      <w:r>
        <w:rPr>
          <w:rFonts w:ascii="Courier New" w:hAnsi="Courier New"/>
          <w:color w:val="825A00"/>
          <w:sz w:val="18"/>
        </w:rPr>
        <w:t>███████░░░░░░░░░░░░░  38.6/100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15.63% (Élevée) — μ=4,633 FCFA, σ=724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β=-0.1869 (Contre-cyclique) — Cov=-0.000007, Var(idx)=0.000036, ρ=-0.033,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95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σ_j=3.42%/j (Modérée) — Vol. annualisée≈54.3%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6,596</w:t>
            </w:r>
          </w:p>
        </w:tc>
        <w:tc>
          <w:tcPr>
            <w:tcW w:type="dxa" w:w="1440"/>
            <w:shd w:fill="FAFAFA" w:val="clear"/>
          </w:tcPr>
          <w:p>
            <w:r>
              <w:rPr>
                <w:b/>
                <w:sz w:val="17"/>
              </w:rPr>
              <w:t>7,058</w:t>
            </w:r>
          </w:p>
        </w:tc>
        <w:tc>
          <w:tcPr>
            <w:tcW w:type="dxa" w:w="1440"/>
            <w:shd w:fill="FAFAFA" w:val="clear"/>
          </w:tcPr>
          <w:p>
            <w:r>
              <w:rPr>
                <w:sz w:val="17"/>
              </w:rPr>
              <w:t>7,519</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6,347</w:t>
            </w:r>
          </w:p>
        </w:tc>
        <w:tc>
          <w:tcPr>
            <w:tcW w:type="dxa" w:w="1440"/>
            <w:shd w:fill="FAFAFA" w:val="clear"/>
          </w:tcPr>
          <w:p>
            <w:r>
              <w:rPr>
                <w:b/>
                <w:sz w:val="17"/>
              </w:rPr>
              <w:t>6,994</w:t>
            </w:r>
          </w:p>
        </w:tc>
        <w:tc>
          <w:tcPr>
            <w:tcW w:type="dxa" w:w="1440"/>
            <w:shd w:fill="FAFAFA" w:val="clear"/>
          </w:tcPr>
          <w:p>
            <w:r>
              <w:rPr>
                <w:sz w:val="17"/>
              </w:rPr>
              <w:t>7,641</w:t>
            </w:r>
          </w:p>
        </w:tc>
        <w:tc>
          <w:tcPr>
            <w:tcW w:type="dxa" w:w="1440"/>
            <w:shd w:fill="FAFAFA" w:val="clear"/>
          </w:tcPr>
          <w:p>
            <w:r>
              <w:rPr>
                <w:b/>
                <w:color w:val="C00000"/>
                <w:sz w:val="17"/>
              </w:rPr>
              <w:t>-1.3%</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6,127</w:t>
            </w:r>
          </w:p>
        </w:tc>
        <w:tc>
          <w:tcPr>
            <w:tcW w:type="dxa" w:w="1440"/>
            <w:shd w:fill="FFDCE0" w:val="clear"/>
          </w:tcPr>
          <w:p>
            <w:r>
              <w:rPr>
                <w:b/>
                <w:sz w:val="17"/>
              </w:rPr>
              <w:t>6,909</w:t>
            </w:r>
          </w:p>
        </w:tc>
        <w:tc>
          <w:tcPr>
            <w:tcW w:type="dxa" w:w="1440"/>
            <w:shd w:fill="FFDCE0" w:val="clear"/>
          </w:tcPr>
          <w:p>
            <w:r>
              <w:rPr>
                <w:sz w:val="17"/>
              </w:rPr>
              <w:t>7,692</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5,923</w:t>
            </w:r>
          </w:p>
        </w:tc>
        <w:tc>
          <w:tcPr>
            <w:tcW w:type="dxa" w:w="1440"/>
            <w:shd w:fill="FFDCE0" w:val="clear"/>
          </w:tcPr>
          <w:p>
            <w:r>
              <w:rPr>
                <w:b/>
                <w:sz w:val="17"/>
              </w:rPr>
              <w:t>6,815</w:t>
            </w:r>
          </w:p>
        </w:tc>
        <w:tc>
          <w:tcPr>
            <w:tcW w:type="dxa" w:w="1440"/>
            <w:shd w:fill="FFDCE0" w:val="clear"/>
          </w:tcPr>
          <w:p>
            <w:r>
              <w:rPr>
                <w:sz w:val="17"/>
              </w:rPr>
              <w:t>7,706</w:t>
            </w:r>
          </w:p>
        </w:tc>
        <w:tc>
          <w:tcPr>
            <w:tcW w:type="dxa" w:w="1440"/>
            <w:shd w:fill="FFDCE0" w:val="clear"/>
          </w:tcPr>
          <w:p>
            <w:r>
              <w:rPr>
                <w:b/>
                <w:color w:val="C00000"/>
                <w:sz w:val="17"/>
              </w:rPr>
              <w:t>-3.8%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5,733</w:t>
            </w:r>
          </w:p>
        </w:tc>
        <w:tc>
          <w:tcPr>
            <w:tcW w:type="dxa" w:w="1440"/>
            <w:shd w:fill="FFDCE0" w:val="clear"/>
          </w:tcPr>
          <w:p>
            <w:r>
              <w:rPr>
                <w:b/>
                <w:sz w:val="17"/>
              </w:rPr>
              <w:t>6,715</w:t>
            </w:r>
          </w:p>
        </w:tc>
        <w:tc>
          <w:tcPr>
            <w:tcW w:type="dxa" w:w="1440"/>
            <w:shd w:fill="FFDCE0" w:val="clear"/>
          </w:tcPr>
          <w:p>
            <w:r>
              <w:rPr>
                <w:sz w:val="17"/>
              </w:rPr>
              <w:t>7,697</w:t>
            </w:r>
          </w:p>
        </w:tc>
        <w:tc>
          <w:tcPr>
            <w:tcW w:type="dxa" w:w="1440"/>
            <w:shd w:fill="FFDCE0" w:val="clear"/>
          </w:tcPr>
          <w:p>
            <w:r>
              <w:rPr>
                <w:b/>
                <w:color w:val="C00000"/>
                <w:sz w:val="17"/>
              </w:rPr>
              <w:t>-5.2%</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5,553</w:t>
            </w:r>
          </w:p>
        </w:tc>
        <w:tc>
          <w:tcPr>
            <w:tcW w:type="dxa" w:w="1440"/>
            <w:shd w:fill="FFDCE0" w:val="clear"/>
          </w:tcPr>
          <w:p>
            <w:r>
              <w:rPr>
                <w:b/>
                <w:sz w:val="17"/>
              </w:rPr>
              <w:t>6,613</w:t>
            </w:r>
          </w:p>
        </w:tc>
        <w:tc>
          <w:tcPr>
            <w:tcW w:type="dxa" w:w="1440"/>
            <w:shd w:fill="FFDCE0" w:val="clear"/>
          </w:tcPr>
          <w:p>
            <w:r>
              <w:rPr>
                <w:sz w:val="17"/>
              </w:rPr>
              <w:t>7,672</w:t>
            </w:r>
          </w:p>
        </w:tc>
        <w:tc>
          <w:tcPr>
            <w:tcW w:type="dxa" w:w="1440"/>
            <w:shd w:fill="FFDCE0" w:val="clear"/>
          </w:tcPr>
          <w:p>
            <w:r>
              <w:rPr>
                <w:b/>
                <w:color w:val="C00000"/>
                <w:sz w:val="17"/>
              </w:rPr>
              <w:t>-6.7%</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5,384</w:t>
            </w:r>
          </w:p>
        </w:tc>
        <w:tc>
          <w:tcPr>
            <w:tcW w:type="dxa" w:w="1440"/>
            <w:shd w:fill="FFDCE0" w:val="clear"/>
          </w:tcPr>
          <w:p>
            <w:r>
              <w:rPr>
                <w:b/>
                <w:sz w:val="17"/>
              </w:rPr>
              <w:t>6,510</w:t>
            </w:r>
          </w:p>
        </w:tc>
        <w:tc>
          <w:tcPr>
            <w:tcW w:type="dxa" w:w="1440"/>
            <w:shd w:fill="FFDCE0" w:val="clear"/>
          </w:tcPr>
          <w:p>
            <w:r>
              <w:rPr>
                <w:sz w:val="17"/>
              </w:rPr>
              <w:t>7,637</w:t>
            </w:r>
          </w:p>
        </w:tc>
        <w:tc>
          <w:tcPr>
            <w:tcW w:type="dxa" w:w="1440"/>
            <w:shd w:fill="FFDCE0" w:val="clear"/>
          </w:tcPr>
          <w:p>
            <w:r>
              <w:rPr>
                <w:b/>
                <w:color w:val="C00000"/>
                <w:sz w:val="17"/>
              </w:rPr>
              <w:t>-8.1%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5,224</w:t>
            </w:r>
          </w:p>
        </w:tc>
        <w:tc>
          <w:tcPr>
            <w:tcW w:type="dxa" w:w="1440"/>
            <w:shd w:fill="FFDCE0" w:val="clear"/>
          </w:tcPr>
          <w:p>
            <w:r>
              <w:rPr>
                <w:b/>
                <w:sz w:val="17"/>
              </w:rPr>
              <w:t>6,409</w:t>
            </w:r>
          </w:p>
        </w:tc>
        <w:tc>
          <w:tcPr>
            <w:tcW w:type="dxa" w:w="1440"/>
            <w:shd w:fill="FFDCE0" w:val="clear"/>
          </w:tcPr>
          <w:p>
            <w:r>
              <w:rPr>
                <w:sz w:val="17"/>
              </w:rPr>
              <w:t>7,595</w:t>
            </w:r>
          </w:p>
        </w:tc>
        <w:tc>
          <w:tcPr>
            <w:tcW w:type="dxa" w:w="1440"/>
            <w:shd w:fill="FFDCE0" w:val="clear"/>
          </w:tcPr>
          <w:p>
            <w:r>
              <w:rPr>
                <w:b/>
                <w:color w:val="C00000"/>
                <w:sz w:val="17"/>
              </w:rPr>
              <w:t>-9.5%</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5,072</w:t>
            </w:r>
          </w:p>
        </w:tc>
        <w:tc>
          <w:tcPr>
            <w:tcW w:type="dxa" w:w="1440"/>
            <w:shd w:fill="FFDCE0" w:val="clear"/>
          </w:tcPr>
          <w:p>
            <w:r>
              <w:rPr>
                <w:b/>
                <w:sz w:val="17"/>
              </w:rPr>
              <w:t>6,310</w:t>
            </w:r>
          </w:p>
        </w:tc>
        <w:tc>
          <w:tcPr>
            <w:tcW w:type="dxa" w:w="1440"/>
            <w:shd w:fill="FFDCE0" w:val="clear"/>
          </w:tcPr>
          <w:p>
            <w:r>
              <w:rPr>
                <w:sz w:val="17"/>
              </w:rPr>
              <w:t>7,548</w:t>
            </w:r>
          </w:p>
        </w:tc>
        <w:tc>
          <w:tcPr>
            <w:tcW w:type="dxa" w:w="1440"/>
            <w:shd w:fill="FFDCE0" w:val="clear"/>
          </w:tcPr>
          <w:p>
            <w:r>
              <w:rPr>
                <w:b/>
                <w:color w:val="C00000"/>
                <w:sz w:val="17"/>
              </w:rPr>
              <w:t>-10.9%</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4,929</w:t>
            </w:r>
          </w:p>
        </w:tc>
        <w:tc>
          <w:tcPr>
            <w:tcW w:type="dxa" w:w="1440"/>
            <w:shd w:fill="FFDCE0" w:val="clear"/>
          </w:tcPr>
          <w:p>
            <w:r>
              <w:rPr>
                <w:b/>
                <w:sz w:val="17"/>
              </w:rPr>
              <w:t>6,215</w:t>
            </w:r>
          </w:p>
        </w:tc>
        <w:tc>
          <w:tcPr>
            <w:tcW w:type="dxa" w:w="1440"/>
            <w:shd w:fill="FFDCE0" w:val="clear"/>
          </w:tcPr>
          <w:p>
            <w:r>
              <w:rPr>
                <w:sz w:val="17"/>
              </w:rPr>
              <w:t>7,500</w:t>
            </w:r>
          </w:p>
        </w:tc>
        <w:tc>
          <w:tcPr>
            <w:tcW w:type="dxa" w:w="1440"/>
            <w:shd w:fill="FFDCE0" w:val="clear"/>
          </w:tcPr>
          <w:p>
            <w:r>
              <w:rPr>
                <w:b/>
                <w:color w:val="C00000"/>
                <w:sz w:val="17"/>
              </w:rPr>
              <w:t>-12.3%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SICC s'établit à 4,25 milliards FCFA, un niveau modeste qui la positionne parmi les petites capitalisations de la BRVM, représentant une fraction infime du marché global. Les ratios de valorisation (BPA, PER, P/B, EV/EBITDA) ne sont pas calculables en raison de l'absence de données financières structurées disponibles dans la base, ce qui limite une comparaison directe avec les références du marché (PER moyen BRVM de 8 à 12x). Toutefois, sur la base des bénéfices historiques rapportés (19,25 millions FCFA en 2023), un PER implicite ressortirait à environ 220x, soit une valorisation extrêmement élevée qui suggère que le marché anticipe une forte croissance future ou reflète une spéculation sur le titre. Cette situation rend l'analyse de valorisation particulièrement délicate et nécessite une prudence accrue.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SICC a enregistré une progression spectaculaire de +81,43%, passant d'un plus bas de 3 765 FCFA à un plus haut de 7 095 FCFA, avec un cours actuel de 7 085 FCFA, proche du sommet de la période. La dernière séance s'est soldée par une stagnation (0,00%), marquant une pause après cette forte ascension. La moyenne du cours sur la période (4 633 FCFA) est nettement supérieure à la médiane (4 390 FCFA), et le mode (4 380 FCFA) est proche de la médiane, ce qui indique une distribution asymétrique positive (skewness de 1,712) : le titre a passé la majorité du temps sous sa moyenne, avec des pics récents qui tirent la moyenne vers le haut. L'écart-type de 728 FCFA (CV de 15,7%) révèle une dispersion modérée, mais le kurtosis de 2,722 signale un risque de mouvements extrêmes. La volatilité annualisée de 54,3% classe SICC comme un actif à très haute volatilité, typique des petites capitalisations spéculatives.</w:t>
      </w:r>
    </w:p>
    <w:p>
      <w:pPr>
        <w:spacing w:after="120" w:line="276" w:lineRule="auto" w:before="240"/>
      </w:pPr>
      <w:r>
        <w:rPr>
          <w:b/>
          <w:color w:val="003366"/>
          <w:sz w:val="24"/>
        </w:rPr>
        <w:t>**PARTIE 2 : ANALYSE TECHNIQUE DÉTAILLÉE**</w:t>
      </w:r>
    </w:p>
    <w:p>
      <w:pPr>
        <w:spacing w:after="120" w:line="276" w:lineRule="auto"/>
      </w:pPr>
      <w:r>
        <w:t>**Moyennes Mobiles** : Le cours actuel (7 085 FCFA) évolue nettement au-dessus de la MM20 (5 791 FCFA) et de la MM50 (5 093 FCFA), confirmant une tendance haussière solide à court et moyen terme. L'écart positif entre ces deux moyennes (+698 FCFA) indique un momentum haussier soutenu, justifiant la décision d'ACHAT.</w:t>
      </w:r>
    </w:p>
    <w:p>
      <w:pPr>
        <w:spacing w:after="120" w:line="276" w:lineRule="auto"/>
      </w:pPr>
      <w:r>
        <w:t>**Bandes de Bollinger** : Le prix se situe à 7 085 FCFA, très proche de la borne supérieure (7 268 FCFA), ce qui témoigne d'une pression acheteuse intense. La largeur des bandes (2 953 FCFA) reflète une volatilité élevée. Le signal NEUTRE suggère que le marché attend une confirmation directionnelle, le titre étant en zone de surachat potentiel.</w:t>
      </w:r>
    </w:p>
    <w:p>
      <w:pPr>
        <w:spacing w:after="120" w:line="276" w:lineRule="auto"/>
      </w:pPr>
      <w:r>
        <w:t>**MACD** : La valeur du MACD (545,091) est nettement supérieure à son signal (400,505), avec un écart positif de 144,6 points, indiquant un momentum haussier puissant. Cette configuration confirme la tendance haussière en cours, justifiant la décision d'ACHAT.</w:t>
      </w:r>
    </w:p>
    <w:p>
      <w:pPr>
        <w:spacing w:after="120" w:line="276" w:lineRule="auto"/>
      </w:pPr>
      <w:r>
        <w:t>**RSI** : À 78,469, le RSI dépasse largement le seuil de surachat (70), signalant que le titre est techniquement surévalué à court terme. Cette situation suggère un risque de correction imminente, justifiant la décision de VENTE.</w:t>
      </w:r>
    </w:p>
    <w:p>
      <w:pPr>
        <w:spacing w:after="120" w:line="276" w:lineRule="auto"/>
      </w:pPr>
      <w:r>
        <w:t>**Stochastique** : Avec %K à 99,443 et %D à 99,629, l'oscillateur stochastique est en zone de surachat extrême, indiquant une possible exhaustion du mouvement haussier. La décision de VENTE est cohérente avec cette lecture.</w:t>
      </w:r>
    </w:p>
    <w:p>
      <w:pPr>
        <w:spacing w:after="120" w:line="276" w:lineRule="auto"/>
      </w:pPr>
      <w:r>
        <w:t>**Conclusion technique** : Les indicateurs de tendance (MM, MACD) sont résolument haussiers, mais les oscillateurs de momentum (RSI, Stochastique) signalent un surachat extrême. Cette divergence classique suggère qu'un repli technique est probable à court terme, bien que la tendance de fond reste positive. Les investisseurs devraient surveiller un éventuel retour vers la zone des 6 500-6 800 FCFA comme support potentiel.</w:t>
      </w:r>
    </w:p>
    <w:p>
      <w:pPr>
        <w:spacing w:after="120" w:line="276" w:lineRule="auto" w:before="240"/>
      </w:pPr>
      <w:r>
        <w:rPr>
          <w:b/>
          <w:color w:val="003366"/>
          <w:sz w:val="24"/>
        </w:rPr>
        <w:t>**PARTIE 3 : ANALYSE FONDAMENTALE (SECTION CRITIQUE)**</w:t>
      </w:r>
    </w:p>
    <w:p>
      <w:pPr>
        <w:spacing w:after="120" w:line="276" w:lineRule="auto"/>
      </w:pPr>
      <w:r>
        <w:t>Les données financières disponibles proviennent des rapports annuels 2023 et 2022 (analysés le 15 mars 2026, donc anciens de plus d'un an). En 2023, le chiffre d'affaires s'est établi à 701,09 millions FCFA, en forte baisse de 38,4% par rapport à 2022 (1 138,17 millions FCFA), mais le résultat net est redevenu positif à +19,25 millions FCFA (contre -39,95 millions en 2022), marquant un retour à la profitabilité après deux années de pertes. La marge nette reste faible (2,75% en 2023), bien en dessous de la moyenne sectorielle (5-10%). Les charges totales ont été drastiquement réduites (-43,68%), notamment via le transfert de 50% du personnel vers la SIPAL, ce qui a permis de compenser la chute du CA. Les pertes cumulées s'élèvent à 689,86 millions FCFA, empêchant toute distribution de dividende (conformément à l'OHADA). Les risques opérationnels demeurent importants : vols de noix de coco, arrêt du site de Boulay, trésorerie tendue (découverts bancaires multipliés par 14). L'AGO du 22 mai 2026 portant sur l'exercice 2024 pourrait apporter des éclaircissements sur la situation récente, mais les données 2024 ne sont pas encore disponibles. La recommandation fondamentale reste CONSERVER avec vigilance, la société étant en phase de redressement fragile.</w:t>
      </w:r>
    </w:p>
    <w:p>
      <w:pPr>
        <w:spacing w:after="120" w:line="276" w:lineRule="auto" w:before="240"/>
      </w:pPr>
      <w:r>
        <w:rPr>
          <w:b/>
          <w:color w:val="003366"/>
          <w:sz w:val="24"/>
        </w:rPr>
        <w:t>**PARTIE 4 : CONCLUSION D'INVESTISSEMENT**</w:t>
      </w:r>
    </w:p>
    <w:p>
      <w:pPr>
        <w:spacing w:after="120" w:line="276" w:lineRule="auto"/>
      </w:pPr>
      <w:r>
        <w:t>La valorisation de SICC est difficile à apprécier faute de ratios calculables, mais le PER implicite d'environ 220x sur les bénéfices 2023 suggère une surévaluation significative. Le comportement du cours (+81,43% en 100 jours) avec une volatilité annualisée de 54,3% et un kurtosis élevé indique un profil spéculatif à haut risque. Les signaux techniques sont mitigés : tendance haussière confirmée par les MM et le MACD, mais surachat extrême signalé par le RSI (78,5) et le stochastique (99,4), laissant présager une correction. Les fondamentaux montrent un retour à la profitabilité en 2023 mais sur une base fragile, avec un CA en chute de 38,4% et des pertes cumulées de 690 millions FCFA. Les prédictions IA (7 058 à 6 715 FCFA sur 10 jours) confirment un repli progressif, en cohérence avec les signaux de surachat technique. La convergence entre les signaux techniques (correction attendue) et les prédictions IA, contrastant avec la faiblesse fondamentale, conduit à une recommandation de **VENTE** pour les investisseurs à court terme, avec un niveau de confiance **Moyen** et un risque global **Élevé**. L'horizon optimal serait de réévaluer la position après une correction vers 5 500-6 000 FCFA, ou après publication des résultats 2024.</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18.56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5,778 titres</w:t>
            </w:r>
          </w:p>
        </w:tc>
        <w:tc>
          <w:tcPr>
            <w:tcW w:type="dxa" w:w="2268"/>
            <w:shd w:fill="FFF2CC" w:val="clear"/>
          </w:tcPr>
          <w:p>
            <w:r>
              <w:rPr>
                <w:b/>
                <w:color w:val="503200"/>
                <w:sz w:val="16"/>
              </w:rPr>
              <w:t xml:space="preserve">Cours actuel : </w:t>
            </w:r>
            <w:r>
              <w:rPr>
                <w:color w:val="000000"/>
                <w:sz w:val="17"/>
              </w:rPr>
              <w:t>2,125 FCFA</w:t>
            </w:r>
          </w:p>
          <w:p>
            <w:r>
              <w:rPr>
                <w:b/>
                <w:color w:val="503200"/>
                <w:sz w:val="16"/>
              </w:rPr>
              <w:t xml:space="preserve">Var. 100 jours : </w:t>
            </w:r>
            <w:r>
              <w:rPr>
                <w:b/>
                <w:color w:val="B40000"/>
                <w:sz w:val="17"/>
              </w:rPr>
              <w:t>-25.04%</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10.79% (Moyenne) — μ=2,654 FCFA, σ=286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β=0.1095 (Défensif) — Cov=0.000004, Var(idx)=0.000036, ρ=0.021,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σ_j=3.19%/j (Modérée) — Vol. annualisée≈50.6%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1,873</w:t>
            </w:r>
          </w:p>
        </w:tc>
        <w:tc>
          <w:tcPr>
            <w:tcW w:type="dxa" w:w="1440"/>
            <w:shd w:fill="FFDCE0" w:val="clear"/>
          </w:tcPr>
          <w:p>
            <w:r>
              <w:rPr>
                <w:b/>
                <w:sz w:val="17"/>
              </w:rPr>
              <w:t>2,010</w:t>
            </w:r>
          </w:p>
        </w:tc>
        <w:tc>
          <w:tcPr>
            <w:tcW w:type="dxa" w:w="1440"/>
            <w:shd w:fill="FFDCE0" w:val="clear"/>
          </w:tcPr>
          <w:p>
            <w:r>
              <w:rPr>
                <w:sz w:val="17"/>
              </w:rPr>
              <w:t>2,146</w:t>
            </w:r>
          </w:p>
        </w:tc>
        <w:tc>
          <w:tcPr>
            <w:tcW w:type="dxa" w:w="1440"/>
            <w:shd w:fill="FFDCE0" w:val="clear"/>
          </w:tcPr>
          <w:p>
            <w:r>
              <w:rPr>
                <w:b/>
                <w:color w:val="C00000"/>
                <w:sz w:val="17"/>
              </w:rPr>
              <w:t>-5.4%</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1,784</w:t>
            </w:r>
          </w:p>
        </w:tc>
        <w:tc>
          <w:tcPr>
            <w:tcW w:type="dxa" w:w="1440"/>
            <w:shd w:fill="FFDCE0" w:val="clear"/>
          </w:tcPr>
          <w:p>
            <w:r>
              <w:rPr>
                <w:b/>
                <w:sz w:val="17"/>
              </w:rPr>
              <w:t>1,973</w:t>
            </w:r>
          </w:p>
        </w:tc>
        <w:tc>
          <w:tcPr>
            <w:tcW w:type="dxa" w:w="1440"/>
            <w:shd w:fill="FFDCE0" w:val="clear"/>
          </w:tcPr>
          <w:p>
            <w:r>
              <w:rPr>
                <w:sz w:val="17"/>
              </w:rPr>
              <w:t>2,163</w:t>
            </w:r>
          </w:p>
        </w:tc>
        <w:tc>
          <w:tcPr>
            <w:tcW w:type="dxa" w:w="1440"/>
            <w:shd w:fill="FFDCE0" w:val="clear"/>
          </w:tcPr>
          <w:p>
            <w:r>
              <w:rPr>
                <w:b/>
                <w:color w:val="C00000"/>
                <w:sz w:val="17"/>
              </w:rPr>
              <w:t>-7.1%</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1,705</w:t>
            </w:r>
          </w:p>
        </w:tc>
        <w:tc>
          <w:tcPr>
            <w:tcW w:type="dxa" w:w="1440"/>
            <w:shd w:fill="FFDCE0" w:val="clear"/>
          </w:tcPr>
          <w:p>
            <w:r>
              <w:rPr>
                <w:b/>
                <w:sz w:val="17"/>
              </w:rPr>
              <w:t>1,932</w:t>
            </w:r>
          </w:p>
        </w:tc>
        <w:tc>
          <w:tcPr>
            <w:tcW w:type="dxa" w:w="1440"/>
            <w:shd w:fill="FFDCE0" w:val="clear"/>
          </w:tcPr>
          <w:p>
            <w:r>
              <w:rPr>
                <w:sz w:val="17"/>
              </w:rPr>
              <w:t>2,159</w:t>
            </w:r>
          </w:p>
        </w:tc>
        <w:tc>
          <w:tcPr>
            <w:tcW w:type="dxa" w:w="1440"/>
            <w:shd w:fill="FFDCE0" w:val="clear"/>
          </w:tcPr>
          <w:p>
            <w:r>
              <w:rPr>
                <w:b/>
                <w:color w:val="C00000"/>
                <w:sz w:val="17"/>
              </w:rPr>
              <w:t>-9.1%</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1,634</w:t>
            </w:r>
          </w:p>
        </w:tc>
        <w:tc>
          <w:tcPr>
            <w:tcW w:type="dxa" w:w="1440"/>
            <w:shd w:fill="FFDCE0" w:val="clear"/>
          </w:tcPr>
          <w:p>
            <w:r>
              <w:rPr>
                <w:b/>
                <w:sz w:val="17"/>
              </w:rPr>
              <w:t>1,890</w:t>
            </w:r>
          </w:p>
        </w:tc>
        <w:tc>
          <w:tcPr>
            <w:tcW w:type="dxa" w:w="1440"/>
            <w:shd w:fill="FFDCE0" w:val="clear"/>
          </w:tcPr>
          <w:p>
            <w:r>
              <w:rPr>
                <w:sz w:val="17"/>
              </w:rPr>
              <w:t>2,147</w:t>
            </w:r>
          </w:p>
        </w:tc>
        <w:tc>
          <w:tcPr>
            <w:tcW w:type="dxa" w:w="1440"/>
            <w:shd w:fill="FFDCE0" w:val="clear"/>
          </w:tcPr>
          <w:p>
            <w:r>
              <w:rPr>
                <w:b/>
                <w:color w:val="C00000"/>
                <w:sz w:val="17"/>
              </w:rPr>
              <w:t>-11.0%</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1,569</w:t>
            </w:r>
          </w:p>
        </w:tc>
        <w:tc>
          <w:tcPr>
            <w:tcW w:type="dxa" w:w="1440"/>
            <w:shd w:fill="FFDCE0" w:val="clear"/>
          </w:tcPr>
          <w:p>
            <w:r>
              <w:rPr>
                <w:b/>
                <w:sz w:val="17"/>
              </w:rPr>
              <w:t>1,850</w:t>
            </w:r>
          </w:p>
        </w:tc>
        <w:tc>
          <w:tcPr>
            <w:tcW w:type="dxa" w:w="1440"/>
            <w:shd w:fill="FFDCE0" w:val="clear"/>
          </w:tcPr>
          <w:p>
            <w:r>
              <w:rPr>
                <w:sz w:val="17"/>
              </w:rPr>
              <w:t>2,130</w:t>
            </w:r>
          </w:p>
        </w:tc>
        <w:tc>
          <w:tcPr>
            <w:tcW w:type="dxa" w:w="1440"/>
            <w:shd w:fill="FFDCE0" w:val="clear"/>
          </w:tcPr>
          <w:p>
            <w:r>
              <w:rPr>
                <w:b/>
                <w:color w:val="C00000"/>
                <w:sz w:val="17"/>
              </w:rPr>
              <w:t>-13.0%</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1,509</w:t>
            </w:r>
          </w:p>
        </w:tc>
        <w:tc>
          <w:tcPr>
            <w:tcW w:type="dxa" w:w="1440"/>
            <w:shd w:fill="FFDCE0" w:val="clear"/>
          </w:tcPr>
          <w:p>
            <w:r>
              <w:rPr>
                <w:b/>
                <w:sz w:val="17"/>
              </w:rPr>
              <w:t>1,810</w:t>
            </w:r>
          </w:p>
        </w:tc>
        <w:tc>
          <w:tcPr>
            <w:tcW w:type="dxa" w:w="1440"/>
            <w:shd w:fill="FFDCE0" w:val="clear"/>
          </w:tcPr>
          <w:p>
            <w:r>
              <w:rPr>
                <w:sz w:val="17"/>
              </w:rPr>
              <w:t>2,111</w:t>
            </w:r>
          </w:p>
        </w:tc>
        <w:tc>
          <w:tcPr>
            <w:tcW w:type="dxa" w:w="1440"/>
            <w:shd w:fill="FFDCE0" w:val="clear"/>
          </w:tcPr>
          <w:p>
            <w:r>
              <w:rPr>
                <w:b/>
                <w:color w:val="C00000"/>
                <w:sz w:val="17"/>
              </w:rPr>
              <w:t>-14.8%</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1,454</w:t>
            </w:r>
          </w:p>
        </w:tc>
        <w:tc>
          <w:tcPr>
            <w:tcW w:type="dxa" w:w="1440"/>
            <w:shd w:fill="FFDCE0" w:val="clear"/>
          </w:tcPr>
          <w:p>
            <w:r>
              <w:rPr>
                <w:b/>
                <w:sz w:val="17"/>
              </w:rPr>
              <w:t>1,772</w:t>
            </w:r>
          </w:p>
        </w:tc>
        <w:tc>
          <w:tcPr>
            <w:tcW w:type="dxa" w:w="1440"/>
            <w:shd w:fill="FFDCE0" w:val="clear"/>
          </w:tcPr>
          <w:p>
            <w:r>
              <w:rPr>
                <w:sz w:val="17"/>
              </w:rPr>
              <w:t>2,090</w:t>
            </w:r>
          </w:p>
        </w:tc>
        <w:tc>
          <w:tcPr>
            <w:tcW w:type="dxa" w:w="1440"/>
            <w:shd w:fill="FFDCE0" w:val="clear"/>
          </w:tcPr>
          <w:p>
            <w:r>
              <w:rPr>
                <w:b/>
                <w:color w:val="C00000"/>
                <w:sz w:val="17"/>
              </w:rPr>
              <w:t>-16.6%</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1,403</w:t>
            </w:r>
          </w:p>
        </w:tc>
        <w:tc>
          <w:tcPr>
            <w:tcW w:type="dxa" w:w="1440"/>
            <w:shd w:fill="FFDCE0" w:val="clear"/>
          </w:tcPr>
          <w:p>
            <w:r>
              <w:rPr>
                <w:b/>
                <w:sz w:val="17"/>
              </w:rPr>
              <w:t>1,736</w:t>
            </w:r>
          </w:p>
        </w:tc>
        <w:tc>
          <w:tcPr>
            <w:tcW w:type="dxa" w:w="1440"/>
            <w:shd w:fill="FFDCE0" w:val="clear"/>
          </w:tcPr>
          <w:p>
            <w:r>
              <w:rPr>
                <w:sz w:val="17"/>
              </w:rPr>
              <w:t>2,069</w:t>
            </w:r>
          </w:p>
        </w:tc>
        <w:tc>
          <w:tcPr>
            <w:tcW w:type="dxa" w:w="1440"/>
            <w:shd w:fill="FFDCE0" w:val="clear"/>
          </w:tcPr>
          <w:p>
            <w:r>
              <w:rPr>
                <w:b/>
                <w:color w:val="C00000"/>
                <w:sz w:val="17"/>
              </w:rPr>
              <w:t>-18.3%</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1,354</w:t>
            </w:r>
          </w:p>
        </w:tc>
        <w:tc>
          <w:tcPr>
            <w:tcW w:type="dxa" w:w="1440"/>
            <w:shd w:fill="FFDCE0" w:val="clear"/>
          </w:tcPr>
          <w:p>
            <w:r>
              <w:rPr>
                <w:b/>
                <w:sz w:val="17"/>
              </w:rPr>
              <w:t>1,700</w:t>
            </w:r>
          </w:p>
        </w:tc>
        <w:tc>
          <w:tcPr>
            <w:tcW w:type="dxa" w:w="1440"/>
            <w:shd w:fill="FFDCE0" w:val="clear"/>
          </w:tcPr>
          <w:p>
            <w:r>
              <w:rPr>
                <w:sz w:val="17"/>
              </w:rPr>
              <w:t>2,046</w:t>
            </w:r>
          </w:p>
        </w:tc>
        <w:tc>
          <w:tcPr>
            <w:tcW w:type="dxa" w:w="1440"/>
            <w:shd w:fill="FFDCE0" w:val="clear"/>
          </w:tcPr>
          <w:p>
            <w:r>
              <w:rPr>
                <w:b/>
                <w:color w:val="C00000"/>
                <w:sz w:val="17"/>
              </w:rPr>
              <w:t>-20.0%</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1,308</w:t>
            </w:r>
          </w:p>
        </w:tc>
        <w:tc>
          <w:tcPr>
            <w:tcW w:type="dxa" w:w="1440"/>
            <w:shd w:fill="FFDCE0" w:val="clear"/>
          </w:tcPr>
          <w:p>
            <w:r>
              <w:rPr>
                <w:b/>
                <w:sz w:val="17"/>
              </w:rPr>
              <w:t>1,666</w:t>
            </w:r>
          </w:p>
        </w:tc>
        <w:tc>
          <w:tcPr>
            <w:tcW w:type="dxa" w:w="1440"/>
            <w:shd w:fill="FFDCE0" w:val="clear"/>
          </w:tcPr>
          <w:p>
            <w:r>
              <w:rPr>
                <w:sz w:val="17"/>
              </w:rPr>
              <w:t>2,023</w:t>
            </w:r>
          </w:p>
        </w:tc>
        <w:tc>
          <w:tcPr>
            <w:tcW w:type="dxa" w:w="1440"/>
            <w:shd w:fill="FFDCE0" w:val="clear"/>
          </w:tcPr>
          <w:p>
            <w:r>
              <w:rPr>
                <w:b/>
                <w:color w:val="C00000"/>
                <w:sz w:val="17"/>
              </w:rPr>
              <w:t>-21.6%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(ERIUM COTE D'IVOIRE)**</w:t>
        <w:br/>
        <w:t>**Date de l'analyse : 10 août 2026**</w:t>
        <w:br/>
        <w:t>**Cours de référence : 2 125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SIVC s'établit à 18,56 milliards FCFA, un niveau modeste dans l'écosystème BRVM qui la positionne comme une valeur de moyenne capitalisation. Avec un BPA de 43 FCFA, le titre se paie 49,2 fois ses bénéfices, un PER extrêmement élevé comparé à la moyenne historique de la BRVM (8-12x), signalant une prime de valorisation considérable qui laisse peu de place à l'erreur. Le P/B de 5,67x confirme cette exubérance, le marché valorisant la société près de 6 fois sa valeur comptable, ce qui reflète des attentes de croissance très fortes. L'EV/EBITDA de 15,8x, bien que plus modéré, reste exigeant et indique que la valeur d'entreprise intègre déjà une amélioration significative de la performance opérationnelle. Ces ratios suggèrent que le marché anticipe une forte progression des bénéfices, mais ils exposent également le titre à un risque de correction sévère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SIVC a subi une dépréciation massive de -25,04%, passant d'un plus haut de 3 215 FCFA à un plus bas de 1 920 FCFA, avant de rebondir légèrement de +2,41% lors de la dernière séance pour clôturer à 2 125 FCFA. La moyenne du cours sur la période (2 654 FCFA) est inférieure à la médiane (2 770 FCFA), et le skewness négatif de -0,750 indique une distribution asymétrique avec des queues de distribution plus longues vers les valeurs basses, confirmant la pression vendeuse dominante. L'écart-type de 288 FCFA (CV = 10,8%) révèle une dispersion modérée, tandis que le kurtosis de -0,449 (mésokurtique) suggère l'absence de mouvements extrêmes imprévisibles, les variations se concentrant autour de la moyenne. La volatilité annualisée de 50,6% classe le titre dans la catégorie des valeurs à très haut risque, bien au-delà du seuil de 30% considéré comme élevé. Cette combinaison de forte volatilité et de tendance baissière marquée témoigne d'un marché en pleine phase de dégorgement après une période de valorisation excessive.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2 125 FCFA évolue nettement sous sa MM20 (2 235 FCFA) et sa MM50 (2 468,7 FCFA), configuration typique d'une tendance baissière de moyen terme. L'écart croissant entre le prix et les moyennes mobiles indique une accélération de la baisse, justifiant pleinement la décision de vente. Le titre devra reconquérir la MM20 pour amorcer un rebond technique crédible.</w:t>
      </w:r>
    </w:p>
    <w:p>
      <w:pPr>
        <w:spacing w:after="120" w:line="276" w:lineRule="auto"/>
      </w:pPr>
      <w:r>
        <w:t>**Bandes de Bollinger :** Le cours se positionne dans la moitié inférieure du canal, entre la borne inférieure (2 010 FCFA) et la moyenne mobile, avec une décision neutre. L'écart entre les bornes (2 010 à 2 460 FCFA) reflète une volatilité encore élevée. Un test de la borne inférieure est probable à court terme, et un éventuel rebond technique pourrait se matérialiser à ce niveau de support majeur.</w:t>
      </w:r>
    </w:p>
    <w:p>
      <w:pPr>
        <w:spacing w:after="120" w:line="276" w:lineRule="auto"/>
      </w:pPr>
      <w:r>
        <w:t>**MACD :** Le MACD (-86,33) est légèrement au-dessus de sa ligne de signal (-88,70), générant un signal d'achat précoce. Bien que les deux lignes restent profondément en territoire négatif, ce croisement suggère un ralentissement du momentum baissier. La prudence reste de mise tant que le MACD n'aura pas franchi la ligne zéro, ce qui nécessiterait une stabilisation durable du cours.</w:t>
      </w:r>
    </w:p>
    <w:p>
      <w:pPr>
        <w:spacing w:after="120" w:line="276" w:lineRule="auto"/>
      </w:pPr>
      <w:r>
        <w:t>**RSI :** À 26,89, le RSI évolue en zone de survente (&lt;30), indiquant que la pression vendeuse a probablement atteint son paroxysme. Historiquement, de tels niveaux précèdent souvent un rebond technique, mais en tendance baissière forte, le RSI peut rester en survente prolongée. Le signal d'achat doit donc être interprété avec prudence.</w:t>
      </w:r>
    </w:p>
    <w:p>
      <w:pPr>
        <w:spacing w:after="120" w:line="276" w:lineRule="auto"/>
      </w:pPr>
      <w:r>
        <w:t>**Stochastique :** Le %K (22,22) et le %D (7,41) évoluent en zone de survente, avec un %K nettement au-dessus du %D, suggérant un début de retournement haussier. La décision neutre reflète toutefois l'absence de confirmation par un croisement au-dessus de la zone des 20, qui validerait un signal d'achat plus robuste.</w:t>
      </w:r>
    </w:p>
    <w:p>
      <w:pPr>
        <w:spacing w:after="120" w:line="276" w:lineRule="auto"/>
      </w:pPr>
      <w:r>
        <w:t>**Conclusion technique :** Les indicateurs oscillateurs (RSI, MACD, Stochastique) convergent vers un scénario de rebond technique imminent, mais les moyennes mobiles et la structure générale du marché restent résolument baissières. Le titre est dans une phase de capitulation potentielle, mais toute reprise devra être confirmée par un retour au-dessus de la MM20 à 2 235 FCFA. La configuration actuelle est celle d'un "rebond de chat mort" possible, nécessitant une validation par le volume et la durée.</w:t>
      </w:r>
    </w:p>
    <w:p>
      <w:pPr>
        <w:spacing w:after="120" w:line="276" w:lineRule="auto"/>
      </w:pPr>
      <w:r>
        <w:t>---</w:t>
      </w:r>
    </w:p>
    <w:p>
      <w:pPr>
        <w:spacing w:after="120" w:line="276" w:lineRule="auto"/>
      </w:pPr>
      <w:r>
        <w:t>### PARTIE 3 : ANALYSE FONDAMENTALE (SECTION CRITIQUE)</w:t>
      </w:r>
    </w:p>
    <w:p>
      <w:pPr>
        <w:spacing w:after="120" w:line="276" w:lineRule="auto"/>
      </w:pPr>
      <w:r>
        <w:t>En 2024, SIVC (alors Air Liquide CI) affichait un chiffre d'affaires de 9,283 milliards FCFA et un résultat net de 376,96 millions FCFA, soit une marge nette de 4,06%. Le ROE s'établissait à 11,52% et le ROA à 2,69%, des niveaux corrects mais non exceptionnels. Le coefficient d'exploitation de 95,83% révèle une structure de coûts très lourde, typique d'une entreprise industrielle en transition, et le coût du risque de 3,10% suggère une dégradation de la qualité du portefeuille. Les rapports trimestriels 2025 montrent une nette amélioration : au S1 2025, le CA progressait de +8,8% à 4,897 milliards FCFA avec un résultat net de 512,9 millions FCFA (marge nette de 10,5%), et au T3 2025, le CA cumulé atteignait 7,584 milliards FCFA (+13%) avec un résultat net de 832,5 millions FCFA, portant la marge nette à 11%. Sur la base de ces tendances, on estime que l'exercice 2025 devrait se solder par un CA d'environ 10,07 milliards FCFA et un résultat net de l'ordre de 179 millions FCFA selon le rapport annuel 2025 (ERIUM CI), marquant une chute de -52% du bénéfice malgré une croissance de +8,5% du CA, en raison d'une forte hausse des charges et d'une dégradation du résultat financier. Le changement de dénomination sociale en ERIUM COTE D'IVOIRE (novembre 2025) et le franchissement de seuil par Air Liquide International (cession de 72,08% à ERIUM LTD) constituent des événements majeurs qui rebattent les cartes du contrôle actionnarial. La trésorerie nette reste négative à -2,143 milliards FCFA, mais le BFR négatif de -1,740 milliard FCFA offre une certaine souplesse opérationnelle. La solidité financière est donc contrastée : croissance commerciale réelle, mais rentabilité volatile et structure financière fragile.</w:t>
      </w:r>
    </w:p>
    <w:p>
      <w:pPr>
        <w:spacing w:after="120" w:line="276" w:lineRule="auto"/>
      </w:pPr>
      <w:r>
        <w:t>---</w:t>
      </w:r>
    </w:p>
    <w:p>
      <w:pPr>
        <w:spacing w:after="120" w:line="276" w:lineRule="auto"/>
      </w:pPr>
      <w:r>
        <w:t>### PARTIE 4 : CONCLUSION D'INVESTISSEMENT</w:t>
      </w:r>
    </w:p>
    <w:p>
      <w:pPr>
        <w:spacing w:after="120" w:line="276" w:lineRule="auto"/>
      </w:pPr>
      <w:r>
        <w:t>La synthèse des quatre analyses révèle une situation complexe et paradoxale. La valorisation (PER de 49,2x, P/B de 5,67x) est extrêmement exigeante et intègre des attentes de croissance qui ne se sont pas matérialisées en 2025, le résultat net ayant chuté de 52% malgré une hausse du CA. Le comportement du cours (-25% sur 100 jours, volatilité de 50,6%) confirme le désenchantement des investisseurs, tandis que les indicateurs techniques oscillent entre signaux de survente (RSI à 26,9) et tendance baissière structurelle (MM20/MM50). Les fondamentaux montrent une amélioration opérationnelle au T3 2025 (marge nette de 11%), mais le rapport annuel 2025 déçoit avec une marge nette retombée à 1,78%, illustrant une forte instabilité des résultats. Les prédictions IA (2 010 FCFA à J+1, puis décroissance vers 1 850 FCFA à J+10) anticipent une poursuite de la baisse, contredisant les signaux de rebond technique. La convergence entre la valorisation excessive, la tendance baissière du cours, la dégradation des résultats 2025 et les prédictions IA conduit à une recommandation de **VENTE**, avec un niveau de confiance **Moyen** et un risque global **Élevé**. L'horizon d'investissement optimal serait le court terme (&lt;3 mois) pour les investisseurs déjà positionnés, avec un stop-loss sous les 1 920 FCFA. Les investisseurs potentiels devraient attendre une stabilisation du cours et une clarification de la stratégie du nouveau actionnaire ERIUM LTD avant toute prise de position.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affiche des pertes r\u00e9currentes avec une d\u00e9gradation continue de la rentabilit\u00e9 op\u00e9rationnelle et un environnement \u00e9conomique tr\u00e8s instable. Les perspectives restent incertaines malgr\u00e9 les efforts de restructuration."}</w:t>
      </w:r>
    </w:p>
    <w:p>
      <w:pPr>
        <w:spacing w:before="40"/>
        <w:ind w:left="400"/>
      </w:pPr>
      <w:r>
        <w:rPr>
          <w:sz w:val="18"/>
        </w:rPr>
        <w:t>Air Liquide Côte d'Ivoire a enregistré une performance dégradée au premier semestre 2020 avec un chiffre d'affaires en recul de 5% à 3,3 milliards FCFA, impacté par la pandémie COVID-19. La société affiche une perte nette de 112 millions FCFA contre un bénéfice de 147 millions FCFA au premier semestre 2019, soit une dégradation de 176%. Le résultat d'exploitation s'est détérioré de 19% à -226 millions FCFA en raison de coûts de restructuration plus élevés. Cependant, l'amélioration du système de gestion clients et stock a permis une réduction des provisions. Le résultat financier s'améliore légèrement grâce au remboursement progressif des emprunts bancaires.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'resultat_financier': '-87 657 K.FCFA', 'resultat_exploitation': '-226 184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-112 006 K.FCFA (S1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3 303 060 K.FCFA (S1 2020)</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 à 3,3 milliards FCFA au S1 2020</w:t>
      </w:r>
    </w:p>
    <w:p>
      <w:pPr>
        <w:pStyle w:val="ListBullet"/>
        <w:spacing w:before="20" w:after="20"/>
        <w:ind w:left="700"/>
      </w:pPr>
      <w:r>
        <w:rPr>
          <w:sz w:val="18"/>
        </w:rPr>
        <w:t>Perte nette de 112 millions FCFA contre un bénéfice de 147 millions FCFA au S1 2019</w:t>
      </w:r>
    </w:p>
    <w:p>
      <w:pPr>
        <w:pStyle w:val="ListBullet"/>
        <w:spacing w:before="20" w:after="20"/>
        <w:ind w:left="700"/>
      </w:pPr>
      <w:r>
        <w:rPr>
          <w:sz w:val="18"/>
        </w:rPr>
        <w:t>Résultat d'exploitation négatif aggravé de 19% à -226 millions FCFA</w:t>
      </w:r>
    </w:p>
    <w:p>
      <w:pPr>
        <w:pStyle w:val="ListBullet"/>
        <w:spacing w:before="20" w:after="20"/>
        <w:ind w:left="700"/>
      </w:pPr>
      <w:r>
        <w:rPr>
          <w:sz w:val="18"/>
        </w:rPr>
        <w:t>Impact significatif de la pandémie COVID-19 sur l'activité</w:t>
      </w:r>
    </w:p>
    <w:p>
      <w:pPr>
        <w:pStyle w:val="ListBullet"/>
        <w:spacing w:before="20" w:after="20"/>
        <w:ind w:left="700"/>
      </w:pPr>
      <w:r>
        <w:rPr>
          <w:sz w:val="18"/>
        </w:rPr>
        <w:t>Coûts de restructuration organisationnelle élevés</w:t>
      </w:r>
    </w:p>
    <w:p>
      <w:pPr>
        <w:pStyle w:val="ListBullet"/>
        <w:spacing w:before="20" w:after="20"/>
        <w:ind w:left="700"/>
      </w:pPr>
      <w:r>
        <w:rPr>
          <w:sz w:val="18"/>
        </w:rPr>
        <w:t>Amélioration du système de gestion clients et stock réduisant les provisions</w:t>
      </w:r>
    </w:p>
    <w:p>
      <w:pPr>
        <w:spacing w:before="40"/>
        <w:ind w:left="400"/>
      </w:pPr>
      <w:r>
        <w:rPr>
          <w:b/>
          <w:color w:val="C05000"/>
          <w:sz w:val="18"/>
        </w:rPr>
        <w:t xml:space="preserve">⚠️ Risques : </w:t>
      </w:r>
      <w:r>
        <w:rPr>
          <w:sz w:val="18"/>
        </w:rPr>
        <w:t>["Impact prolong\u00e9 de la pand\u00e9mie COVID-19 sur l'activit\u00e9", "Contexte \u00e9conomique tr\u00e8s instable en C\u00f4te d'Ivoire", "Difficult\u00e9s r\u00e9currentes de rentabilit\u00e9 op\u00e9rationnelle avec des pertes d'exploitation persistantes"]</w:t>
      </w:r>
    </w:p>
    <w:p>
      <w:pPr>
        <w:spacing w:before="40"/>
        <w:ind w:left="400"/>
      </w:pPr>
      <w:r>
        <w:rPr>
          <w:b/>
          <w:color w:val="0064A0"/>
          <w:sz w:val="18"/>
        </w:rPr>
        <w:t xml:space="preserve">🔮 Perspectives : </w:t>
      </w:r>
      <w:r>
        <w:rPr>
          <w:sz w:val="18"/>
        </w:rPr>
        <w:t>Les perspectives du second semestre 2020 restent marquées par l'incertitude liée à la pandémie COVID-19 toujours présente. La société mise sur l'amélioration du processus de collecte de cash et la conservation de sa part de marché pour garantir la continuité d'exploitation dans un environnement écon</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609.05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993 titres</w:t>
            </w:r>
          </w:p>
        </w:tc>
        <w:tc>
          <w:tcPr>
            <w:tcW w:type="dxa" w:w="2268"/>
            <w:shd w:fill="FFF2CC" w:val="clear"/>
          </w:tcPr>
          <w:p>
            <w:r>
              <w:rPr>
                <w:b/>
                <w:color w:val="503200"/>
                <w:sz w:val="16"/>
              </w:rPr>
              <w:t xml:space="preserve">Cours actuel : </w:t>
            </w:r>
            <w:r>
              <w:rPr>
                <w:color w:val="000000"/>
                <w:sz w:val="17"/>
              </w:rPr>
              <w:t>37,000 FCFA</w:t>
            </w:r>
          </w:p>
          <w:p>
            <w:r>
              <w:rPr>
                <w:b/>
                <w:color w:val="503200"/>
                <w:sz w:val="16"/>
              </w:rPr>
              <w:t xml:space="preserve">Var. 100 jours : </w:t>
            </w:r>
            <w:r>
              <w:rPr>
                <w:b/>
                <w:color w:val="B40000"/>
                <w:sz w:val="17"/>
              </w:rPr>
              <w:t>-5.16%</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2.40% (Faible) — μ=38,546 FCFA, σ=925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β=0.1537 (Défensif) — Cov=0.000006, Var(idx)=0.000036, ρ=0.051,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993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35,730</w:t>
            </w:r>
          </w:p>
        </w:tc>
        <w:tc>
          <w:tcPr>
            <w:tcW w:type="dxa" w:w="1440"/>
            <w:shd w:fill="FAFAFA" w:val="clear"/>
          </w:tcPr>
          <w:p>
            <w:r>
              <w:rPr>
                <w:b/>
                <w:sz w:val="17"/>
              </w:rPr>
              <w:t>37,027</w:t>
            </w:r>
          </w:p>
        </w:tc>
        <w:tc>
          <w:tcPr>
            <w:tcW w:type="dxa" w:w="1440"/>
            <w:shd w:fill="FAFAFA" w:val="clear"/>
          </w:tcPr>
          <w:p>
            <w:r>
              <w:rPr>
                <w:sz w:val="17"/>
              </w:rPr>
              <w:t>38,324</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35,122</w:t>
            </w:r>
          </w:p>
        </w:tc>
        <w:tc>
          <w:tcPr>
            <w:tcW w:type="dxa" w:w="1440"/>
            <w:shd w:fill="FAFAFA" w:val="clear"/>
          </w:tcPr>
          <w:p>
            <w:r>
              <w:rPr>
                <w:b/>
                <w:sz w:val="17"/>
              </w:rPr>
              <w:t>36,952</w:t>
            </w:r>
          </w:p>
        </w:tc>
        <w:tc>
          <w:tcPr>
            <w:tcW w:type="dxa" w:w="1440"/>
            <w:shd w:fill="FAFAFA" w:val="clear"/>
          </w:tcPr>
          <w:p>
            <w:r>
              <w:rPr>
                <w:sz w:val="17"/>
              </w:rPr>
              <w:t>38,782</w:t>
            </w:r>
          </w:p>
        </w:tc>
        <w:tc>
          <w:tcPr>
            <w:tcW w:type="dxa" w:w="1440"/>
            <w:shd w:fill="FAFAFA" w:val="clear"/>
          </w:tcPr>
          <w:p>
            <w:r>
              <w:rPr>
                <w:b/>
                <w:color w:val="C00000"/>
                <w:sz w:val="17"/>
              </w:rPr>
              <w:t>-0.1%</w:t>
            </w:r>
          </w:p>
        </w:tc>
      </w:tr>
      <w:tr>
        <w:tc>
          <w:tcPr>
            <w:tcW w:type="dxa" w:w="1440"/>
            <w:shd w:fill="FAFAFA" w:val="clear"/>
          </w:tcPr>
          <w:p>
            <w:r>
              <w:rPr>
                <w:sz w:val="17"/>
              </w:rPr>
              <w:t>J+3  Moyenne</w:t>
            </w:r>
          </w:p>
        </w:tc>
        <w:tc>
          <w:tcPr>
            <w:tcW w:type="dxa" w:w="1440"/>
            <w:shd w:fill="FAFAFA" w:val="clear"/>
          </w:tcPr>
          <w:p>
            <w:r>
              <w:rPr>
                <w:sz w:val="17"/>
              </w:rPr>
              <w:t>2026-08-12</w:t>
            </w:r>
          </w:p>
        </w:tc>
        <w:tc>
          <w:tcPr>
            <w:tcW w:type="dxa" w:w="1440"/>
            <w:shd w:fill="FAFAFA" w:val="clear"/>
          </w:tcPr>
          <w:p>
            <w:r>
              <w:rPr>
                <w:sz w:val="17"/>
              </w:rPr>
              <w:t>34,680</w:t>
            </w:r>
          </w:p>
        </w:tc>
        <w:tc>
          <w:tcPr>
            <w:tcW w:type="dxa" w:w="1440"/>
            <w:shd w:fill="FAFAFA" w:val="clear"/>
          </w:tcPr>
          <w:p>
            <w:r>
              <w:rPr>
                <w:b/>
                <w:sz w:val="17"/>
              </w:rPr>
              <w:t>36,920</w:t>
            </w:r>
          </w:p>
        </w:tc>
        <w:tc>
          <w:tcPr>
            <w:tcW w:type="dxa" w:w="1440"/>
            <w:shd w:fill="FAFAFA" w:val="clear"/>
          </w:tcPr>
          <w:p>
            <w:r>
              <w:rPr>
                <w:sz w:val="17"/>
              </w:rPr>
              <w:t>39,159</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34,311</w:t>
            </w:r>
          </w:p>
        </w:tc>
        <w:tc>
          <w:tcPr>
            <w:tcW w:type="dxa" w:w="1440"/>
            <w:shd w:fill="FAFAFA" w:val="clear"/>
          </w:tcPr>
          <w:p>
            <w:r>
              <w:rPr>
                <w:b/>
                <w:sz w:val="17"/>
              </w:rPr>
              <w:t>36,895</w:t>
            </w:r>
          </w:p>
        </w:tc>
        <w:tc>
          <w:tcPr>
            <w:tcW w:type="dxa" w:w="1440"/>
            <w:shd w:fill="FAFAFA" w:val="clear"/>
          </w:tcPr>
          <w:p>
            <w:r>
              <w:rPr>
                <w:sz w:val="17"/>
              </w:rPr>
              <w:t>39,479</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33,982</w:t>
            </w:r>
          </w:p>
        </w:tc>
        <w:tc>
          <w:tcPr>
            <w:tcW w:type="dxa" w:w="1440"/>
            <w:shd w:fill="FAFAFA" w:val="clear"/>
          </w:tcPr>
          <w:p>
            <w:r>
              <w:rPr>
                <w:b/>
                <w:sz w:val="17"/>
              </w:rPr>
              <w:t>36,870</w:t>
            </w:r>
          </w:p>
        </w:tc>
        <w:tc>
          <w:tcPr>
            <w:tcW w:type="dxa" w:w="1440"/>
            <w:shd w:fill="FAFAFA" w:val="clear"/>
          </w:tcPr>
          <w:p>
            <w:r>
              <w:rPr>
                <w:sz w:val="17"/>
              </w:rPr>
              <w:t>39,757</w:t>
            </w:r>
          </w:p>
        </w:tc>
        <w:tc>
          <w:tcPr>
            <w:tcW w:type="dxa" w:w="1440"/>
            <w:shd w:fill="FAFAFA" w:val="clear"/>
          </w:tcPr>
          <w:p>
            <w:r>
              <w:rPr>
                <w:b/>
                <w:color w:val="C00000"/>
                <w:sz w:val="17"/>
              </w:rPr>
              <w:t>-0.4%</w:t>
            </w:r>
          </w:p>
        </w:tc>
      </w:tr>
      <w:tr>
        <w:tc>
          <w:tcPr>
            <w:tcW w:type="dxa" w:w="1440"/>
            <w:shd w:fill="FAFAFA" w:val="clear"/>
          </w:tcPr>
          <w:p>
            <w:r>
              <w:rPr>
                <w:sz w:val="17"/>
              </w:rPr>
              <w:t>J+6  ⭐</w:t>
            </w:r>
          </w:p>
        </w:tc>
        <w:tc>
          <w:tcPr>
            <w:tcW w:type="dxa" w:w="1440"/>
            <w:shd w:fill="FAFAFA" w:val="clear"/>
          </w:tcPr>
          <w:p>
            <w:r>
              <w:rPr>
                <w:sz w:val="17"/>
              </w:rPr>
              <w:t>2026-08-17</w:t>
            </w:r>
          </w:p>
        </w:tc>
        <w:tc>
          <w:tcPr>
            <w:tcW w:type="dxa" w:w="1440"/>
            <w:shd w:fill="FAFAFA" w:val="clear"/>
          </w:tcPr>
          <w:p>
            <w:r>
              <w:rPr>
                <w:sz w:val="17"/>
              </w:rPr>
              <w:t>33,682</w:t>
            </w:r>
          </w:p>
        </w:tc>
        <w:tc>
          <w:tcPr>
            <w:tcW w:type="dxa" w:w="1440"/>
            <w:shd w:fill="FAFAFA" w:val="clear"/>
          </w:tcPr>
          <w:p>
            <w:r>
              <w:rPr>
                <w:b/>
                <w:sz w:val="17"/>
              </w:rPr>
              <w:t>36,843</w:t>
            </w:r>
          </w:p>
        </w:tc>
        <w:tc>
          <w:tcPr>
            <w:tcW w:type="dxa" w:w="1440"/>
            <w:shd w:fill="FAFAFA" w:val="clear"/>
          </w:tcPr>
          <w:p>
            <w:r>
              <w:rPr>
                <w:sz w:val="17"/>
              </w:rPr>
              <w:t>40,004</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2026-08-18</w:t>
            </w:r>
          </w:p>
        </w:tc>
        <w:tc>
          <w:tcPr>
            <w:tcW w:type="dxa" w:w="1440"/>
            <w:shd w:fill="FAFAFA" w:val="clear"/>
          </w:tcPr>
          <w:p>
            <w:r>
              <w:rPr>
                <w:sz w:val="17"/>
              </w:rPr>
              <w:t>33,404</w:t>
            </w:r>
          </w:p>
        </w:tc>
        <w:tc>
          <w:tcPr>
            <w:tcW w:type="dxa" w:w="1440"/>
            <w:shd w:fill="FAFAFA" w:val="clear"/>
          </w:tcPr>
          <w:p>
            <w:r>
              <w:rPr>
                <w:b/>
                <w:sz w:val="17"/>
              </w:rPr>
              <w:t>36,815</w:t>
            </w:r>
          </w:p>
        </w:tc>
        <w:tc>
          <w:tcPr>
            <w:tcW w:type="dxa" w:w="1440"/>
            <w:shd w:fill="FAFAFA" w:val="clear"/>
          </w:tcPr>
          <w:p>
            <w:r>
              <w:rPr>
                <w:sz w:val="17"/>
              </w:rPr>
              <w:t>40,226</w:t>
            </w:r>
          </w:p>
        </w:tc>
        <w:tc>
          <w:tcPr>
            <w:tcW w:type="dxa" w:w="1440"/>
            <w:shd w:fill="FAFAFA" w:val="clear"/>
          </w:tcPr>
          <w:p>
            <w:r>
              <w:rPr>
                <w:b/>
                <w:color w:val="C00000"/>
                <w:sz w:val="17"/>
              </w:rPr>
              <w:t>-0.5%</w:t>
            </w:r>
          </w:p>
        </w:tc>
      </w:tr>
      <w:tr>
        <w:tc>
          <w:tcPr>
            <w:tcW w:type="dxa" w:w="1440"/>
            <w:shd w:fill="FAFAFA" w:val="clear"/>
          </w:tcPr>
          <w:p>
            <w:r>
              <w:rPr>
                <w:sz w:val="17"/>
              </w:rPr>
              <w:t>J+8  ⭐</w:t>
            </w:r>
          </w:p>
        </w:tc>
        <w:tc>
          <w:tcPr>
            <w:tcW w:type="dxa" w:w="1440"/>
            <w:shd w:fill="FAFAFA" w:val="clear"/>
          </w:tcPr>
          <w:p>
            <w:r>
              <w:rPr>
                <w:sz w:val="17"/>
              </w:rPr>
              <w:t>2026-08-19</w:t>
            </w:r>
          </w:p>
        </w:tc>
        <w:tc>
          <w:tcPr>
            <w:tcW w:type="dxa" w:w="1440"/>
            <w:shd w:fill="FAFAFA" w:val="clear"/>
          </w:tcPr>
          <w:p>
            <w:r>
              <w:rPr>
                <w:sz w:val="17"/>
              </w:rPr>
              <w:t>33,142</w:t>
            </w:r>
          </w:p>
        </w:tc>
        <w:tc>
          <w:tcPr>
            <w:tcW w:type="dxa" w:w="1440"/>
            <w:shd w:fill="FAFAFA" w:val="clear"/>
          </w:tcPr>
          <w:p>
            <w:r>
              <w:rPr>
                <w:b/>
                <w:sz w:val="17"/>
              </w:rPr>
              <w:t>36,786</w:t>
            </w:r>
          </w:p>
        </w:tc>
        <w:tc>
          <w:tcPr>
            <w:tcW w:type="dxa" w:w="1440"/>
            <w:shd w:fill="FAFAFA" w:val="clear"/>
          </w:tcPr>
          <w:p>
            <w:r>
              <w:rPr>
                <w:sz w:val="17"/>
              </w:rPr>
              <w:t>40,429</w:t>
            </w:r>
          </w:p>
        </w:tc>
        <w:tc>
          <w:tcPr>
            <w:tcW w:type="dxa" w:w="1440"/>
            <w:shd w:fill="FAFAFA" w:val="clear"/>
          </w:tcPr>
          <w:p>
            <w:r>
              <w:rPr>
                <w:b/>
                <w:color w:val="C00000"/>
                <w:sz w:val="17"/>
              </w:rPr>
              <w:t>-0.6%</w:t>
            </w:r>
          </w:p>
        </w:tc>
      </w:tr>
      <w:tr>
        <w:tc>
          <w:tcPr>
            <w:tcW w:type="dxa" w:w="1440"/>
            <w:shd w:fill="FAFAFA" w:val="clear"/>
          </w:tcPr>
          <w:p>
            <w:r>
              <w:rPr>
                <w:sz w:val="17"/>
              </w:rPr>
              <w:t>J+9  ⭐</w:t>
            </w:r>
          </w:p>
        </w:tc>
        <w:tc>
          <w:tcPr>
            <w:tcW w:type="dxa" w:w="1440"/>
            <w:shd w:fill="FAFAFA" w:val="clear"/>
          </w:tcPr>
          <w:p>
            <w:r>
              <w:rPr>
                <w:sz w:val="17"/>
              </w:rPr>
              <w:t>2026-08-20</w:t>
            </w:r>
          </w:p>
        </w:tc>
        <w:tc>
          <w:tcPr>
            <w:tcW w:type="dxa" w:w="1440"/>
            <w:shd w:fill="FAFAFA" w:val="clear"/>
          </w:tcPr>
          <w:p>
            <w:r>
              <w:rPr>
                <w:sz w:val="17"/>
              </w:rPr>
              <w:t>32,894</w:t>
            </w:r>
          </w:p>
        </w:tc>
        <w:tc>
          <w:tcPr>
            <w:tcW w:type="dxa" w:w="1440"/>
            <w:shd w:fill="FAFAFA" w:val="clear"/>
          </w:tcPr>
          <w:p>
            <w:r>
              <w:rPr>
                <w:b/>
                <w:sz w:val="17"/>
              </w:rPr>
              <w:t>36,756</w:t>
            </w:r>
          </w:p>
        </w:tc>
        <w:tc>
          <w:tcPr>
            <w:tcW w:type="dxa" w:w="1440"/>
            <w:shd w:fill="FAFAFA" w:val="clear"/>
          </w:tcPr>
          <w:p>
            <w:r>
              <w:rPr>
                <w:sz w:val="17"/>
              </w:rPr>
              <w:t>40,617</w:t>
            </w:r>
          </w:p>
        </w:tc>
        <w:tc>
          <w:tcPr>
            <w:tcW w:type="dxa" w:w="1440"/>
            <w:shd w:fill="FAFAFA" w:val="clear"/>
          </w:tcPr>
          <w:p>
            <w:r>
              <w:rPr>
                <w:b/>
                <w:color w:val="C00000"/>
                <w:sz w:val="17"/>
              </w:rPr>
              <w:t>-0.7%</w:t>
            </w:r>
          </w:p>
        </w:tc>
      </w:tr>
      <w:tr>
        <w:tc>
          <w:tcPr>
            <w:tcW w:type="dxa" w:w="1440"/>
            <w:shd w:fill="FAFAFA" w:val="clear"/>
          </w:tcPr>
          <w:p>
            <w:r>
              <w:rPr>
                <w:sz w:val="17"/>
              </w:rPr>
              <w:t>J+10  ⭐</w:t>
            </w:r>
          </w:p>
        </w:tc>
        <w:tc>
          <w:tcPr>
            <w:tcW w:type="dxa" w:w="1440"/>
            <w:shd w:fill="FAFAFA" w:val="clear"/>
          </w:tcPr>
          <w:p>
            <w:r>
              <w:rPr>
                <w:sz w:val="17"/>
              </w:rPr>
              <w:t>2026-08-21</w:t>
            </w:r>
          </w:p>
        </w:tc>
        <w:tc>
          <w:tcPr>
            <w:tcW w:type="dxa" w:w="1440"/>
            <w:shd w:fill="FAFAFA" w:val="clear"/>
          </w:tcPr>
          <w:p>
            <w:r>
              <w:rPr>
                <w:sz w:val="17"/>
              </w:rPr>
              <w:t>32,658</w:t>
            </w:r>
          </w:p>
        </w:tc>
        <w:tc>
          <w:tcPr>
            <w:tcW w:type="dxa" w:w="1440"/>
            <w:shd w:fill="FAFAFA" w:val="clear"/>
          </w:tcPr>
          <w:p>
            <w:r>
              <w:rPr>
                <w:b/>
                <w:sz w:val="17"/>
              </w:rPr>
              <w:t>36,725</w:t>
            </w:r>
          </w:p>
        </w:tc>
        <w:tc>
          <w:tcPr>
            <w:tcW w:type="dxa" w:w="1440"/>
            <w:shd w:fill="FAFAFA" w:val="clear"/>
          </w:tcPr>
          <w:p>
            <w:r>
              <w:rPr>
                <w:sz w:val="17"/>
              </w:rPr>
              <w:t>40,792</w:t>
            </w:r>
          </w:p>
        </w:tc>
        <w:tc>
          <w:tcPr>
            <w:tcW w:type="dxa" w:w="1440"/>
            <w:shd w:fill="FAFAFA" w:val="clear"/>
          </w:tcPr>
          <w:p>
            <w:r>
              <w:rPr>
                <w:b/>
                <w:color w:val="C00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**Date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SLBC s'établit à 609,05 milliards FCFA, ce qui en fait l'une des valeurs les plus significatives de la BRVM, reflétant sa position dominante dans le secteur des boissons en Afrique de l'Ouest. Avec un BPA de 2 781 FCFA, chaque action génère un bénéfice substantiel, justifiant un PER de 13,3x, légèrement supérieur à la moyenne du marché BRVM (8-12x), ce qui indique que les investisseurs acceptent de payer une prime modérée pour la qualité des fondamentaux de l'entreprise. Le P/B de 3,12x confirme cette prime de croissance accordée par le marché, valorisant l'actif net comptable à plus de trois fois sa valeur. Enfin, l'EV/EBITDA de 7,2x se situe dans une fourchette raisonnable (5-10x), suggérant que la valorisation globale de l'entreprise par rapport à sa capacité opérationnelle reste attractive, malgré une prime par rapport aux pairs historiques.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SLBC a enregistré une baisse de 5,16%, s'établissant à 37 000 FCFA, avec une légère hausse de 0,27% lors de la dernière séance, suggérant un possible début de stabilisation. Le cours a évolué dans une fourchette de 35 540 à 41 500 FCFA, montrant une amplitude de près de 6 000 FCFA. La moyenne (38 546 FCFA) est inférieure à la médiane (38 825 FCFA), indiquant une distribution légèrement asymétrique avec une concentration des cours vers le bas de la fourchette. L'écart-type de 930 FCFA (CV=2,4%) révèle une dispersion relativement faible, tandis que le kurtosis de 0,488 (mésokurtique) et le skewness de -0,160 confirment une distribution proche de la normale, sans risque de mouvements extrêmes. La volatilité annualisée de 28,7% classe le titre dans la catégorie modérée (15-30%), indiquant des fluctuations de prix significatives mais maîtrisées.</w:t>
      </w:r>
    </w:p>
    <w:p>
      <w:pPr>
        <w:spacing w:after="120" w:line="276" w:lineRule="auto"/>
      </w:pPr>
      <w:r>
        <w:t>---</w:t>
      </w:r>
    </w:p>
    <w:p>
      <w:pPr>
        <w:spacing w:after="120" w:line="276" w:lineRule="auto"/>
      </w:pPr>
      <w:r>
        <w:t>### PARTIE 2 : ANALYSE TECHNIQUE DÉTAILLÉE</w:t>
      </w:r>
    </w:p>
    <w:p>
      <w:pPr>
        <w:spacing w:after="120" w:line="276" w:lineRule="auto"/>
      </w:pPr>
      <w:r>
        <w:t>**Moyennes Mobiles :** Les MM20 (38 715,5 FCFA) et MM50 (38 808,3 FCFA) sont toutes deux supérieures au cours actuel de 37 000 FCFA, confirmant une tendance baissière à court et moyen terme. Le croisement de ces moyennes au-dessus du prix indique une pression vendeuse persistante, justifiant la décision de Vente.</w:t>
      </w:r>
    </w:p>
    <w:p>
      <w:pPr>
        <w:spacing w:after="120" w:line="276" w:lineRule="auto"/>
      </w:pPr>
      <w:r>
        <w:t>**Bandes de Bollinger :** Le cours se situe près de la borne inférieure (36 713,5 FCFA), à 287 FCFA au-dessus, indiquant que le titre est proche de la zone de survente. La largeur des bandes (environ 4 000 FCFA) reflète une volatilité modérée, et la position du prix suggère un potentiel de rebond technique, d'où la décision Neutre.</w:t>
      </w:r>
    </w:p>
    <w:p>
      <w:pPr>
        <w:spacing w:after="120" w:line="276" w:lineRule="auto"/>
      </w:pPr>
      <w:r>
        <w:t>**MACD :** La valeur négative du MACD (-454,38) avec un signal également négatif (-190,22) confirme une dynamique baissière. L'écart entre les deux lignes indique un momentum négatif persistant, mais l'écart croissant pourrait signaler une possible convergence à venir, justifiant la décision de Vente.</w:t>
      </w:r>
    </w:p>
    <w:p>
      <w:pPr>
        <w:spacing w:after="120" w:line="276" w:lineRule="auto"/>
      </w:pPr>
      <w:r>
        <w:t>**RSI :** À 37,30, le RSI se situe dans la zone neutre (30-70), mais proche de la zone de survente (&lt;30). Cette valeur suggère que le titre n'est ni suracheté ni survendu, mais que la pression vendeuse s'atténue progressivement, d'où la décision Neutre.</w:t>
      </w:r>
    </w:p>
    <w:p>
      <w:pPr>
        <w:spacing w:after="120" w:line="276" w:lineRule="auto"/>
      </w:pPr>
      <w:r>
        <w:t>**Stochastique :** Avec un %K à 3,23 et un %D à 1,64, le stochastique est en zone de survente extrême (&lt;20). Le croisement potentiel de ces lignes vers le haut pourrait signaler un retournement haussier imminent, justifiant la décision d'Achat.</w:t>
      </w:r>
    </w:p>
    <w:p>
      <w:pPr>
        <w:spacing w:after="120" w:line="276" w:lineRule="auto"/>
      </w:pPr>
      <w:r>
        <w:t>**Conclusion technique :** Les indicateurs sont globalement baissiers à court terme (MM, MACD), mais les signaux de survente (Stochastique, RSI proche de 30) suggèrent un possible rebond technique. La configuration actuelle indique une phase de consolidation avec un potentiel de retournement haussier à surveiller.</w:t>
      </w:r>
    </w:p>
    <w:p>
      <w:pPr>
        <w:spacing w:after="120" w:line="276" w:lineRule="auto"/>
      </w:pPr>
      <w:r>
        <w:t>---</w:t>
      </w:r>
    </w:p>
    <w:p>
      <w:pPr>
        <w:spacing w:after="120" w:line="276" w:lineRule="auto"/>
      </w:pPr>
      <w:r>
        <w:t>### PARTIE 3 : ANALYSE FONDAMENTALE (SECTION CRITIQUE)</w:t>
      </w:r>
    </w:p>
    <w:p>
      <w:pPr>
        <w:spacing w:after="120" w:line="276" w:lineRule="auto"/>
      </w:pPr>
      <w:r>
        <w:t>En 2025, SLBC a réalisé un chiffre d'affaires de 378,123 milliards FCFA, en hausse de 22,1% par rapport à 2024 (309,722 milliards FCFA), avec un résultat net de 45,781 milliards FCFA, soit une progression spectaculaire de 113%. La marge nette s'est améliorée de 6,9% à 12,1%, et le ROE atteint 23,46%, un niveau excellent (&gt;15%), tandis que le ROA s'établit à 13,48%. En tant qu'entreprise non bancaire, l'analyse se concentre sur les délais d'exploitation : le délai clients de 64 jours est modéré mais nécessite une surveillance, le délai fournisseurs de 77 jours est favorable pour la trésorerie, et la durée de stockage de 117 jours reste élevée, immobilisant du capital. Le BFR de 61,587 milliards FCFA (positif) reflète les besoins de financement liés à la croissance. Sur la base du rapport T1 2026 (CA de 93,46 milliards FCFA, +7,6%, résultat net de 16,26 milliards FCFA, +4,8%), on estime que l'exercice 2026 devrait confirmer la dynamique de croissance, avec un CA projeté autour de 400 milliards FCFA et un résultat net potentiel de 48-50 milliards FCFA. Les rapports de 2023 (CA de 311,395 milliards FCFA, résultat net de 15,078 milliards FCFA) et 2024 montrent une amélioration continue de la rentabilité. La solidité financière est confirmée par une autonomie financière de 57,48%, une solvabilité générale de 235,16%, et une capacité de remboursement de 0,67 an. La politique de dividende généreuse (35,012 milliards FCFA proposés pour 2025, soit 2 127 FCFA/action) renforce l'attractivité du titre. La recommandation fondamentale est **ACHAT**, compte tenu de la croissance exceptionnelle, de la rentabilité en amélioration et de la solidité du bilan.</w:t>
      </w:r>
    </w:p>
    <w:p>
      <w:pPr>
        <w:spacing w:after="120" w:line="276" w:lineRule="auto"/>
      </w:pPr>
      <w:r>
        <w:t>---</w:t>
      </w:r>
    </w:p>
    <w:p>
      <w:pPr>
        <w:spacing w:after="120" w:line="276" w:lineRule="auto"/>
      </w:pPr>
      <w:r>
        <w:t>### PARTIE 4 : CONCLUSION D'INVESTISSEMENT</w:t>
      </w:r>
    </w:p>
    <w:p>
      <w:pPr>
        <w:spacing w:after="120" w:line="276" w:lineRule="auto"/>
      </w:pPr>
      <w:r>
        <w:t>La valorisation de SLBC (PER 13,3x, P/B 3,12x, EV/EBITDA 7,2x) indique une prime de croissance justifiée par des fondamentaux exceptionnels, bien que le titre ne soit pas sous-évalué. Le comportement du cours sur 100 jours montre une tendance baissière (-5,16%) avec une volatilité modérée (28,7%) et une distribution normale, suggérant un risque maîtrisé. Les signaux techniques sont mitigés : les moyennes mobiles et le MACD sont baissiers, mais le stochastique en survente extrême et le RSI proche de 30 suggèrent un potentiel de rebond. Les fondamentaux sont extrêmement solides avec une croissance du CA de 22% en 2025, un doublement du résultat net, et une marge nette de 12,1%, soutenus par des ratios de rentabilité excellents (ROE 23,46%). Les prédictions IA (37 027 FCFA à 36 870 FCFA sur 10 jours) confirment une stabilisation du cours autour de 37 000 FCFA, en ligne avec les signaux de survente technique. La convergence entre la solidité fondamentale, la stabilisation technique et les prédictions IA suggère une opportunité d'achat à moyen terme. **Recommandation finale : ACHAT**, avec un niveau de confiance **Élevé**, un risque global **Moyen**, et un horizon d'investissement optimal à **moyen terme (3-12 mois)**, en attendant la confirmation d'un retournement haussier technique et la poursuite de la croissance fondamentale.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[2]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[3]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129.01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1,305 titres</w:t>
            </w:r>
          </w:p>
        </w:tc>
        <w:tc>
          <w:tcPr>
            <w:tcW w:type="dxa" w:w="2268"/>
            <w:shd w:fill="FFF2CC" w:val="clear"/>
          </w:tcPr>
          <w:p>
            <w:r>
              <w:rPr>
                <w:b/>
                <w:color w:val="503200"/>
                <w:sz w:val="16"/>
              </w:rPr>
              <w:t xml:space="preserve">Cours actuel : </w:t>
            </w:r>
            <w:r>
              <w:rPr>
                <w:color w:val="000000"/>
                <w:sz w:val="17"/>
              </w:rPr>
              <w:t>16,550 FCFA</w:t>
            </w:r>
          </w:p>
          <w:p>
            <w:r>
              <w:rPr>
                <w:b/>
                <w:color w:val="503200"/>
                <w:sz w:val="16"/>
              </w:rPr>
              <w:t xml:space="preserve">Var. 100 jours : </w:t>
            </w:r>
            <w:r>
              <w:rPr>
                <w:b/>
                <w:color w:val="007800"/>
                <w:sz w:val="17"/>
              </w:rPr>
              <w:t>+23.51%</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14.73% (Moyenne) — μ=14,141 FCFA, σ=2,083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β=-0.5980 (Contre-cyclique) — Cov=-0.000022, Var(idx)=0.000036, ρ=-0.148,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1,305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σ_j=2.43%/j (Stable) — Vol. annualisée≈38.5%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15,485</w:t>
            </w:r>
          </w:p>
        </w:tc>
        <w:tc>
          <w:tcPr>
            <w:tcW w:type="dxa" w:w="1440"/>
            <w:shd w:fill="FFDCE0" w:val="clear"/>
          </w:tcPr>
          <w:p>
            <w:r>
              <w:rPr>
                <w:b/>
                <w:sz w:val="17"/>
              </w:rPr>
              <w:t>16,209</w:t>
            </w:r>
          </w:p>
        </w:tc>
        <w:tc>
          <w:tcPr>
            <w:tcW w:type="dxa" w:w="1440"/>
            <w:shd w:fill="FFDCE0" w:val="clear"/>
          </w:tcPr>
          <w:p>
            <w:r>
              <w:rPr>
                <w:sz w:val="17"/>
              </w:rPr>
              <w:t>16,932</w:t>
            </w:r>
          </w:p>
        </w:tc>
        <w:tc>
          <w:tcPr>
            <w:tcW w:type="dxa" w:w="1440"/>
            <w:shd w:fill="FFDCE0" w:val="clear"/>
          </w:tcPr>
          <w:p>
            <w:r>
              <w:rPr>
                <w:b/>
                <w:color w:val="C00000"/>
                <w:sz w:val="17"/>
              </w:rPr>
              <w:t>-2.1%</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15,146</w:t>
            </w:r>
          </w:p>
        </w:tc>
        <w:tc>
          <w:tcPr>
            <w:tcW w:type="dxa" w:w="1440"/>
            <w:shd w:fill="FFDCE0" w:val="clear"/>
          </w:tcPr>
          <w:p>
            <w:r>
              <w:rPr>
                <w:b/>
                <w:sz w:val="17"/>
              </w:rPr>
              <w:t>16,166</w:t>
            </w:r>
          </w:p>
        </w:tc>
        <w:tc>
          <w:tcPr>
            <w:tcW w:type="dxa" w:w="1440"/>
            <w:shd w:fill="FFDCE0" w:val="clear"/>
          </w:tcPr>
          <w:p>
            <w:r>
              <w:rPr>
                <w:sz w:val="17"/>
              </w:rPr>
              <w:t>17,186</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14,850</w:t>
            </w:r>
          </w:p>
        </w:tc>
        <w:tc>
          <w:tcPr>
            <w:tcW w:type="dxa" w:w="1440"/>
            <w:shd w:fill="FFDCE0" w:val="clear"/>
          </w:tcPr>
          <w:p>
            <w:r>
              <w:rPr>
                <w:b/>
                <w:sz w:val="17"/>
              </w:rPr>
              <w:t>16,095</w:t>
            </w:r>
          </w:p>
        </w:tc>
        <w:tc>
          <w:tcPr>
            <w:tcW w:type="dxa" w:w="1440"/>
            <w:shd w:fill="FFDCE0" w:val="clear"/>
          </w:tcPr>
          <w:p>
            <w:r>
              <w:rPr>
                <w:sz w:val="17"/>
              </w:rPr>
              <w:t>17,339</w:t>
            </w:r>
          </w:p>
        </w:tc>
        <w:tc>
          <w:tcPr>
            <w:tcW w:type="dxa" w:w="1440"/>
            <w:shd w:fill="FFDCE0" w:val="clear"/>
          </w:tcPr>
          <w:p>
            <w:r>
              <w:rPr>
                <w:b/>
                <w:color w:val="C00000"/>
                <w:sz w:val="17"/>
              </w:rPr>
              <w:t>-2.8%</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14,604</w:t>
            </w:r>
          </w:p>
        </w:tc>
        <w:tc>
          <w:tcPr>
            <w:tcW w:type="dxa" w:w="1440"/>
            <w:shd w:fill="FFDCE0" w:val="clear"/>
          </w:tcPr>
          <w:p>
            <w:r>
              <w:rPr>
                <w:b/>
                <w:sz w:val="17"/>
              </w:rPr>
              <w:t>16,035</w:t>
            </w:r>
          </w:p>
        </w:tc>
        <w:tc>
          <w:tcPr>
            <w:tcW w:type="dxa" w:w="1440"/>
            <w:shd w:fill="FFDCE0" w:val="clear"/>
          </w:tcPr>
          <w:p>
            <w:r>
              <w:rPr>
                <w:sz w:val="17"/>
              </w:rPr>
              <w:t>17,466</w:t>
            </w:r>
          </w:p>
        </w:tc>
        <w:tc>
          <w:tcPr>
            <w:tcW w:type="dxa" w:w="1440"/>
            <w:shd w:fill="FFDCE0" w:val="clear"/>
          </w:tcPr>
          <w:p>
            <w:r>
              <w:rPr>
                <w:b/>
                <w:color w:val="C00000"/>
                <w:sz w:val="17"/>
              </w:rPr>
              <w:t>-3.1%</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14,385</w:t>
            </w:r>
          </w:p>
        </w:tc>
        <w:tc>
          <w:tcPr>
            <w:tcW w:type="dxa" w:w="1440"/>
            <w:shd w:fill="FFDCE0" w:val="clear"/>
          </w:tcPr>
          <w:p>
            <w:r>
              <w:rPr>
                <w:b/>
                <w:sz w:val="17"/>
              </w:rPr>
              <w:t>15,980</w:t>
            </w:r>
          </w:p>
        </w:tc>
        <w:tc>
          <w:tcPr>
            <w:tcW w:type="dxa" w:w="1440"/>
            <w:shd w:fill="FFDCE0" w:val="clear"/>
          </w:tcPr>
          <w:p>
            <w:r>
              <w:rPr>
                <w:sz w:val="17"/>
              </w:rPr>
              <w:t>17,575</w:t>
            </w:r>
          </w:p>
        </w:tc>
        <w:tc>
          <w:tcPr>
            <w:tcW w:type="dxa" w:w="1440"/>
            <w:shd w:fill="FFDCE0" w:val="clear"/>
          </w:tcPr>
          <w:p>
            <w:r>
              <w:rPr>
                <w:b/>
                <w:color w:val="C00000"/>
                <w:sz w:val="17"/>
              </w:rPr>
              <w:t>-3.4%</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14,186</w:t>
            </w:r>
          </w:p>
        </w:tc>
        <w:tc>
          <w:tcPr>
            <w:tcW w:type="dxa" w:w="1440"/>
            <w:shd w:fill="FFDCE0" w:val="clear"/>
          </w:tcPr>
          <w:p>
            <w:r>
              <w:rPr>
                <w:b/>
                <w:sz w:val="17"/>
              </w:rPr>
              <w:t>15,927</w:t>
            </w:r>
          </w:p>
        </w:tc>
        <w:tc>
          <w:tcPr>
            <w:tcW w:type="dxa" w:w="1440"/>
            <w:shd w:fill="FFDCE0" w:val="clear"/>
          </w:tcPr>
          <w:p>
            <w:r>
              <w:rPr>
                <w:sz w:val="17"/>
              </w:rPr>
              <w:t>17,668</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14,000</w:t>
            </w:r>
          </w:p>
        </w:tc>
        <w:tc>
          <w:tcPr>
            <w:tcW w:type="dxa" w:w="1440"/>
            <w:shd w:fill="FFDCE0" w:val="clear"/>
          </w:tcPr>
          <w:p>
            <w:r>
              <w:rPr>
                <w:b/>
                <w:sz w:val="17"/>
              </w:rPr>
              <w:t>15,874</w:t>
            </w:r>
          </w:p>
        </w:tc>
        <w:tc>
          <w:tcPr>
            <w:tcW w:type="dxa" w:w="1440"/>
            <w:shd w:fill="FFDCE0" w:val="clear"/>
          </w:tcPr>
          <w:p>
            <w:r>
              <w:rPr>
                <w:sz w:val="17"/>
              </w:rPr>
              <w:t>17,749</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13,825</w:t>
            </w:r>
          </w:p>
        </w:tc>
        <w:tc>
          <w:tcPr>
            <w:tcW w:type="dxa" w:w="1440"/>
            <w:shd w:fill="FFDCE0" w:val="clear"/>
          </w:tcPr>
          <w:p>
            <w:r>
              <w:rPr>
                <w:b/>
                <w:sz w:val="17"/>
              </w:rPr>
              <w:t>15,823</w:t>
            </w:r>
          </w:p>
        </w:tc>
        <w:tc>
          <w:tcPr>
            <w:tcW w:type="dxa" w:w="1440"/>
            <w:shd w:fill="FFDCE0" w:val="clear"/>
          </w:tcPr>
          <w:p>
            <w:r>
              <w:rPr>
                <w:sz w:val="17"/>
              </w:rPr>
              <w:t>17,820</w:t>
            </w:r>
          </w:p>
        </w:tc>
        <w:tc>
          <w:tcPr>
            <w:tcW w:type="dxa" w:w="1440"/>
            <w:shd w:fill="FFDCE0" w:val="clear"/>
          </w:tcPr>
          <w:p>
            <w:r>
              <w:rPr>
                <w:b/>
                <w:color w:val="C00000"/>
                <w:sz w:val="17"/>
              </w:rPr>
              <w:t>-4.4%</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13,660</w:t>
            </w:r>
          </w:p>
        </w:tc>
        <w:tc>
          <w:tcPr>
            <w:tcW w:type="dxa" w:w="1440"/>
            <w:shd w:fill="FFDCE0" w:val="clear"/>
          </w:tcPr>
          <w:p>
            <w:r>
              <w:rPr>
                <w:b/>
                <w:sz w:val="17"/>
              </w:rPr>
              <w:t>15,772</w:t>
            </w:r>
          </w:p>
        </w:tc>
        <w:tc>
          <w:tcPr>
            <w:tcW w:type="dxa" w:w="1440"/>
            <w:shd w:fill="FFDCE0" w:val="clear"/>
          </w:tcPr>
          <w:p>
            <w:r>
              <w:rPr>
                <w:sz w:val="17"/>
              </w:rPr>
              <w:t>17,883</w:t>
            </w:r>
          </w:p>
        </w:tc>
        <w:tc>
          <w:tcPr>
            <w:tcW w:type="dxa" w:w="1440"/>
            <w:shd w:fill="FFDCE0" w:val="clear"/>
          </w:tcPr>
          <w:p>
            <w:r>
              <w:rPr>
                <w:b/>
                <w:color w:val="C00000"/>
                <w:sz w:val="17"/>
              </w:rPr>
              <w:t>-4.7%</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13,503</w:t>
            </w:r>
          </w:p>
        </w:tc>
        <w:tc>
          <w:tcPr>
            <w:tcW w:type="dxa" w:w="1440"/>
            <w:shd w:fill="FFDCE0" w:val="clear"/>
          </w:tcPr>
          <w:p>
            <w:r>
              <w:rPr>
                <w:b/>
                <w:sz w:val="17"/>
              </w:rPr>
              <w:t>15,721</w:t>
            </w:r>
          </w:p>
        </w:tc>
        <w:tc>
          <w:tcPr>
            <w:tcW w:type="dxa" w:w="1440"/>
            <w:shd w:fill="FFDCE0" w:val="clear"/>
          </w:tcPr>
          <w:p>
            <w:r>
              <w:rPr>
                <w:sz w:val="17"/>
              </w:rPr>
              <w:t>17,940</w:t>
            </w:r>
          </w:p>
        </w:tc>
        <w:tc>
          <w:tcPr>
            <w:tcW w:type="dxa" w:w="1440"/>
            <w:shd w:fill="FFDCE0" w:val="clear"/>
          </w:tcPr>
          <w:p>
            <w:r>
              <w:rPr>
                <w:b/>
                <w:color w:val="C00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129,01 milliards FCFA, ce qui positionne la société parmi les valeurs moyennes de la cote de la BRVM, avec une liquidité quotidienne relativement faible (1 305 titres par jour en moyenne). Le BPA de 1 677 FCFA indique que chaque action génère un bénéfice substantiel, justifiant un PER de 9,9x, légèrement inférieur à la moyenne du marché (8-12x), ce qui suggère une sous-évaluation relative du titre. Le P/B de 3,01x témoigne d'une prime de croissance accordée par le marché, le cours se négociant à trois fois la valeur comptable des actifs. Enfin, l'EV/EBITDA de 6,2x se situe dans une fourchette raisonnable (5-10x), indiquant que la valeur totale de l'entreprise reste cohérente avec sa capacité opérationnelle à générer des bénéfices.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SMBC a enregistré une progression remarquable de +23,51%, avec une légère hausse de +0,30% lors de la dernière séance, portant le cours à 16 550 FCFA. Le titre a évolué dans une fourchette de 11 450 FCFA (plus bas) à 17 735 FCFA (plus haut), démontrant une amplitude de trading considérable. La moyenne du cours sur la période s'établit à 14 141 FCFA, tandis que la médiane est de 13 370 FCFA, l'écart entre ces deux valeurs indiquant une distribution légèrement asymétrique vers le haut. L'écart-type de 2 094 FCFA (CV = 14,8%) révèle une dispersion modérée des prix autour de la moyenne. Le kurtosis négatif de -1,483 (distribution platykurtique) suggère une faible concentration des variations extrêmes, tandis que le skewness positif de 0,221 confirme une asymétrie vers les hausses. La volatilité annualisée de 38,5% classe le titre dans la catégorie des valeurs à forte volatilité, nécessitant une gestion prudente du risque.</w:t>
      </w:r>
    </w:p>
    <w:p>
      <w:pPr>
        <w:spacing w:after="120" w:line="276" w:lineRule="auto" w:before="240"/>
      </w:pPr>
      <w:r>
        <w:rPr>
          <w:b/>
          <w:color w:val="003366"/>
          <w:sz w:val="24"/>
        </w:rPr>
        <w:t>**PARTIE 2 : ANALYSE TECHNIQUE DÉTAILLÉE**</w:t>
      </w:r>
    </w:p>
    <w:p>
      <w:pPr>
        <w:spacing w:after="120" w:line="276" w:lineRule="auto"/>
      </w:pPr>
      <w:r>
        <w:t>Les **Moyennes Mobiles** (MM20 = 16 113,5 FCFA et MM50 = 15 990,9 FCFA) se situent toutes deux sous le cours actuel de 16 550 FCFA, confirmant une tendance haussière de court et moyen terme. La configuration des MM, avec la MM20 au-dessus de la MM50, valide la dynamique positive et justifie la décision d'achat.</w:t>
      </w:r>
    </w:p>
    <w:p>
      <w:pPr>
        <w:spacing w:after="120" w:line="276" w:lineRule="auto"/>
      </w:pPr>
      <w:r>
        <w:t>Les **Bandes de Bollinger** (borne supérieure à 17 181,9 FCFA, borne inférieure à 15 045,1 FCFA) encadrent le cours actuel, qui se positionne dans la partie supérieure de la bande. Cette position indique une pression acheteuse soutenue sans atteindre la zone de surachat extrême, justifiant une décision neutre avec un biais haussier.</w:t>
      </w:r>
    </w:p>
    <w:p>
      <w:pPr>
        <w:spacing w:after="120" w:line="276" w:lineRule="auto"/>
      </w:pPr>
      <w:r>
        <w:t>Le **MACD** affiche une valeur de -13,307 contre un signal à -3,3, indiquant une divergence négative. Cette configuration suggère un affaiblissement du momentum haussier à court terme, justifiant la décision de vente malgré la tendance générale positive.</w:t>
      </w:r>
    </w:p>
    <w:p>
      <w:pPr>
        <w:spacing w:after="120" w:line="276" w:lineRule="auto"/>
      </w:pPr>
      <w:r>
        <w:t>Le **RSI** à 68,385 se situe en zone neutre-haute, proche du seuil de surachat (70). Cette valeur indique une pression acheteuse encore présente mais potentiellement limitée à court terme, justifiant une décision neutre avec vigilance.</w:t>
      </w:r>
    </w:p>
    <w:p>
      <w:pPr>
        <w:spacing w:after="120" w:line="276" w:lineRule="auto"/>
      </w:pPr>
      <w:r>
        <w:t>Le **Stochastique** (%K = 91,342, %D = 71,914) montre une situation de surachat prononcé, avec %K nettement au-dessus de %D. Ce croisement baissier potentiel suggère un essoufflement possible de la dynamique haussière à très court terme, justifiant la décision de vente.</w:t>
      </w:r>
    </w:p>
    <w:p>
      <w:pPr>
        <w:spacing w:after="120" w:line="276" w:lineRule="auto"/>
      </w:pPr>
      <w:r>
        <w:t>**Conclusion technique** : La tendance de fond reste haussière, soutenue par les moyennes mobiles et la position dans les bandes de Bollinger. Cependant, les indicateurs de momentum (MACD et Stochastique) signalent un essoufflement à court terme, avec un RSI proche du surachat. Cette divergence entre la tendance et le momentum suggère une possible consolidation ou correction technique avant la poursuite de la hausse.</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206,740 milliards FCFA, en baisse de 9,7% par rapport à 2024 (229,061 milliards FCFA), mais avec une amélioration spectaculaire de la rentabilité : le résultat net progresse de 50,3% à 13,075 milliards FCFA, portant la marge nette à 6,3% (contre 3,8% en 2024). Le ROE atteint 30,47%, un niveau excellent (&gt;15%), et le ROA s'établit à 7,26%. La structure financière s'est renforcée avec des capitaux propres de 42,913 milliards FCFA (+21,6%) et une trésorerie nette positive de 23,988 milliards FCFA. Le BFR de 1,693 milliards FCFA est faible, mais le délai clients de 193,75 jours reste élevé, constituant un risque de trésorerie à surveiller. Les rapports trimestriels 2025 (T1, S1, 9M) confirment la tendance : malgré une baisse du CA de 14% à fin septembre, le résultat net progresse de 6%, porté par l'amélioration des marges de raffinage. Le rapport du 31 décembre 2025 (analysé par DeepSeek) recommande de conserver le titre, soulignant la forte génération de cash-flow opérationnel (26,120 milliards FCFA) et le free cash-flow de 20,642 milliards FCFA. Les dividendes versés s'élèvent à 5,457 milliards FCFA (taux de distribution de 41,7%), une politique prudente permettant de financer la croissance. Les risques identifiés incluent la dépendance aux prix du pétrole et la baisse du chiffre d'affaires, mais la solidité financière et l'amélioration des marges offrent des perspectives favorables.</w:t>
      </w:r>
    </w:p>
    <w:p>
      <w:pPr>
        <w:spacing w:after="120" w:line="276" w:lineRule="auto" w:before="240"/>
      </w:pPr>
      <w:r>
        <w:rPr>
          <w:b/>
          <w:color w:val="003366"/>
          <w:sz w:val="24"/>
        </w:rPr>
        <w:t>**PARTIE 4 : CONCLUSION D'INVESTISSEMENT**</w:t>
      </w:r>
    </w:p>
    <w:p>
      <w:pPr>
        <w:spacing w:after="120" w:line="276" w:lineRule="auto"/>
      </w:pPr>
      <w:r>
        <w:t>La valorisation de SMBC (PER 9,9x, P/B 3,01x, EV/EBITDA 6,2x) indique une sous-évaluation relative avec une prime de croissance justifiée par les excellentes performances opérationnelles. Le comportement du cours sur 100 jours (+23,51%) confirme une tendance haussière soutenue, malgré une volatilité élevée (38,5%) et une distribution platykurtique suggérant des mouvements modérés. Les signaux techniques sont mitigés : les moyennes mobiles et les bandes de Bollinger restent positifs, mais le MACD et le Stochastique signalent un essoufflement à court terme, avec un RSI proche du surachat. Les fondamentaux sont solides, avec un ROE de 30,47%, une trésorerie abondante et une amélioration spectaculaire des marges en 2025, malgré la baisse du chiffre d'affaires. Les prédictions IA (16 209 à 15 980 FCFA sur 10 jours) suggèrent une légère correction, confirmant les signaux techniques de consolidation. La convergence entre la sous-évaluation, les fondamentaux solides et la tendance haussière de fond, tempérée par les signaux techniques de court terme, conduit à une recommandation **ACHAT** avec un niveau de confiance **Élevé** et un risque global **Moyen**. L'horizon d'investissement optimal est le **moyen terme (3-12 mois)**, permettant de bénéficier de la reprise attendue de l'activité et de la poursuite de l'amélioration des marges, tout en absorbant la volatilité à court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9,351 titres</w:t>
            </w:r>
          </w:p>
        </w:tc>
        <w:tc>
          <w:tcPr>
            <w:tcW w:type="dxa" w:w="2268"/>
            <w:shd w:fill="FFF2CC" w:val="clear"/>
          </w:tcPr>
          <w:p>
            <w:r>
              <w:rPr>
                <w:b/>
                <w:color w:val="503200"/>
                <w:sz w:val="16"/>
              </w:rPr>
              <w:t xml:space="preserve">Cours actuel : </w:t>
            </w:r>
            <w:r>
              <w:rPr>
                <w:color w:val="000000"/>
                <w:sz w:val="17"/>
              </w:rPr>
              <w:t>31,000 FCFA</w:t>
            </w:r>
          </w:p>
          <w:p>
            <w:r>
              <w:rPr>
                <w:b/>
                <w:color w:val="503200"/>
                <w:sz w:val="16"/>
              </w:rPr>
              <w:t xml:space="preserve">Var. 100 jours : </w:t>
            </w:r>
            <w:r>
              <w:rPr>
                <w:b/>
                <w:color w:val="007800"/>
                <w:sz w:val="17"/>
              </w:rPr>
              <w:t>+6.90%</w:t>
            </w:r>
          </w:p>
          <w:p>
            <w:r>
              <w:rPr>
                <w:b/>
                <w:color w:val="503200"/>
                <w:sz w:val="16"/>
              </w:rPr>
              <w:t xml:space="preserve">Plus haut 100j : </w:t>
            </w:r>
            <w:r>
              <w:rPr>
                <w:color w:val="000000"/>
                <w:sz w:val="17"/>
              </w:rPr>
              <w:t>32,500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25.2%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16.3/100 → Faible</w:t>
      </w:r>
    </w:p>
    <w:p>
      <w:pPr>
        <w:spacing w:before="40" w:after="80"/>
      </w:pPr>
      <w:r>
        <w:rPr>
          <w:rFonts w:ascii="Courier New" w:hAnsi="Courier New"/>
          <w:color w:val="006400"/>
          <w:sz w:val="18"/>
        </w:rPr>
        <w:t>███░░░░░░░░░░░░░░░░░  16.3/100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4.08% (Faible) — μ=29,242 FCFA, σ=1,192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β=1.2082 (Agressif) — Cov=0.000044, Var(idx)=0.000036, ρ=0.458,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9,351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σ_j=1.59%/j (Stable) — Vol. annualisée≈25.2%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29,974</w:t>
            </w:r>
          </w:p>
        </w:tc>
        <w:tc>
          <w:tcPr>
            <w:tcW w:type="dxa" w:w="1440"/>
            <w:shd w:fill="FAFAFA" w:val="clear"/>
          </w:tcPr>
          <w:p>
            <w:r>
              <w:rPr>
                <w:b/>
                <w:sz w:val="17"/>
              </w:rPr>
              <w:t>30,781</w:t>
            </w:r>
          </w:p>
        </w:tc>
        <w:tc>
          <w:tcPr>
            <w:tcW w:type="dxa" w:w="1440"/>
            <w:shd w:fill="FAFAFA" w:val="clear"/>
          </w:tcPr>
          <w:p>
            <w:r>
              <w:rPr>
                <w:sz w:val="17"/>
              </w:rPr>
              <w:t>31,589</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29,619</w:t>
            </w:r>
          </w:p>
        </w:tc>
        <w:tc>
          <w:tcPr>
            <w:tcW w:type="dxa" w:w="1440"/>
            <w:shd w:fill="FAFAFA" w:val="clear"/>
          </w:tcPr>
          <w:p>
            <w:r>
              <w:rPr>
                <w:b/>
                <w:sz w:val="17"/>
              </w:rPr>
              <w:t>30,760</w:t>
            </w:r>
          </w:p>
        </w:tc>
        <w:tc>
          <w:tcPr>
            <w:tcW w:type="dxa" w:w="1440"/>
            <w:shd w:fill="FAFAFA" w:val="clear"/>
          </w:tcPr>
          <w:p>
            <w:r>
              <w:rPr>
                <w:sz w:val="17"/>
              </w:rPr>
              <w:t>31,901</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29,338</w:t>
            </w:r>
          </w:p>
        </w:tc>
        <w:tc>
          <w:tcPr>
            <w:tcW w:type="dxa" w:w="1440"/>
            <w:shd w:fill="FAFAFA" w:val="clear"/>
          </w:tcPr>
          <w:p>
            <w:r>
              <w:rPr>
                <w:b/>
                <w:sz w:val="17"/>
              </w:rPr>
              <w:t>30,734</w:t>
            </w:r>
          </w:p>
        </w:tc>
        <w:tc>
          <w:tcPr>
            <w:tcW w:type="dxa" w:w="1440"/>
            <w:shd w:fill="FAFAFA" w:val="clear"/>
          </w:tcPr>
          <w:p>
            <w:r>
              <w:rPr>
                <w:sz w:val="17"/>
              </w:rPr>
              <w:t>32,130</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29,094</w:t>
            </w:r>
          </w:p>
        </w:tc>
        <w:tc>
          <w:tcPr>
            <w:tcW w:type="dxa" w:w="1440"/>
            <w:shd w:fill="FAFAFA" w:val="clear"/>
          </w:tcPr>
          <w:p>
            <w:r>
              <w:rPr>
                <w:b/>
                <w:sz w:val="17"/>
              </w:rPr>
              <w:t>30,705</w:t>
            </w:r>
          </w:p>
        </w:tc>
        <w:tc>
          <w:tcPr>
            <w:tcW w:type="dxa" w:w="1440"/>
            <w:shd w:fill="FAFAFA" w:val="clear"/>
          </w:tcPr>
          <w:p>
            <w:r>
              <w:rPr>
                <w:sz w:val="17"/>
              </w:rPr>
              <w:t>32,316</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28,876</w:t>
            </w:r>
          </w:p>
        </w:tc>
        <w:tc>
          <w:tcPr>
            <w:tcW w:type="dxa" w:w="1440"/>
            <w:shd w:fill="FAFAFA" w:val="clear"/>
          </w:tcPr>
          <w:p>
            <w:r>
              <w:rPr>
                <w:b/>
                <w:sz w:val="17"/>
              </w:rPr>
              <w:t>30,675</w:t>
            </w:r>
          </w:p>
        </w:tc>
        <w:tc>
          <w:tcPr>
            <w:tcW w:type="dxa" w:w="1440"/>
            <w:shd w:fill="FAFAFA" w:val="clear"/>
          </w:tcPr>
          <w:p>
            <w:r>
              <w:rPr>
                <w:sz w:val="17"/>
              </w:rPr>
              <w:t>32,474</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2026-08-17</w:t>
            </w:r>
          </w:p>
        </w:tc>
        <w:tc>
          <w:tcPr>
            <w:tcW w:type="dxa" w:w="1440"/>
            <w:shd w:fill="FAFAFA" w:val="clear"/>
          </w:tcPr>
          <w:p>
            <w:r>
              <w:rPr>
                <w:sz w:val="17"/>
              </w:rPr>
              <w:t>28,675</w:t>
            </w:r>
          </w:p>
        </w:tc>
        <w:tc>
          <w:tcPr>
            <w:tcW w:type="dxa" w:w="1440"/>
            <w:shd w:fill="FAFAFA" w:val="clear"/>
          </w:tcPr>
          <w:p>
            <w:r>
              <w:rPr>
                <w:b/>
                <w:sz w:val="17"/>
              </w:rPr>
              <w:t>30,644</w:t>
            </w:r>
          </w:p>
        </w:tc>
        <w:tc>
          <w:tcPr>
            <w:tcW w:type="dxa" w:w="1440"/>
            <w:shd w:fill="FAFAFA" w:val="clear"/>
          </w:tcPr>
          <w:p>
            <w:r>
              <w:rPr>
                <w:sz w:val="17"/>
              </w:rPr>
              <w:t>32,613</w:t>
            </w:r>
          </w:p>
        </w:tc>
        <w:tc>
          <w:tcPr>
            <w:tcW w:type="dxa" w:w="1440"/>
            <w:shd w:fill="FAFAFA" w:val="clear"/>
          </w:tcPr>
          <w:p>
            <w:r>
              <w:rPr>
                <w:b/>
                <w:color w:val="C00000"/>
                <w:sz w:val="17"/>
              </w:rPr>
              <w:t>-1.1%</w:t>
            </w:r>
          </w:p>
        </w:tc>
      </w:tr>
      <w:tr>
        <w:tc>
          <w:tcPr>
            <w:tcW w:type="dxa" w:w="1440"/>
            <w:shd w:fill="FAFAFA" w:val="clear"/>
          </w:tcPr>
          <w:p>
            <w:r>
              <w:rPr>
                <w:sz w:val="17"/>
              </w:rPr>
              <w:t>J+7  ⭐</w:t>
            </w:r>
          </w:p>
        </w:tc>
        <w:tc>
          <w:tcPr>
            <w:tcW w:type="dxa" w:w="1440"/>
            <w:shd w:fill="FAFAFA" w:val="clear"/>
          </w:tcPr>
          <w:p>
            <w:r>
              <w:rPr>
                <w:sz w:val="17"/>
              </w:rPr>
              <w:t>2026-08-18</w:t>
            </w:r>
          </w:p>
        </w:tc>
        <w:tc>
          <w:tcPr>
            <w:tcW w:type="dxa" w:w="1440"/>
            <w:shd w:fill="FAFAFA" w:val="clear"/>
          </w:tcPr>
          <w:p>
            <w:r>
              <w:rPr>
                <w:sz w:val="17"/>
              </w:rPr>
              <w:t>28,489</w:t>
            </w:r>
          </w:p>
        </w:tc>
        <w:tc>
          <w:tcPr>
            <w:tcW w:type="dxa" w:w="1440"/>
            <w:shd w:fill="FAFAFA" w:val="clear"/>
          </w:tcPr>
          <w:p>
            <w:r>
              <w:rPr>
                <w:b/>
                <w:sz w:val="17"/>
              </w:rPr>
              <w:t>30,614</w:t>
            </w:r>
          </w:p>
        </w:tc>
        <w:tc>
          <w:tcPr>
            <w:tcW w:type="dxa" w:w="1440"/>
            <w:shd w:fill="FAFAFA" w:val="clear"/>
          </w:tcPr>
          <w:p>
            <w:r>
              <w:rPr>
                <w:sz w:val="17"/>
              </w:rPr>
              <w:t>32,738</w:t>
            </w:r>
          </w:p>
        </w:tc>
        <w:tc>
          <w:tcPr>
            <w:tcW w:type="dxa" w:w="1440"/>
            <w:shd w:fill="FAFAFA" w:val="clear"/>
          </w:tcPr>
          <w:p>
            <w:r>
              <w:rPr>
                <w:b/>
                <w:color w:val="C00000"/>
                <w:sz w:val="17"/>
              </w:rPr>
              <w:t>-1.2%</w:t>
            </w:r>
          </w:p>
        </w:tc>
      </w:tr>
      <w:tr>
        <w:tc>
          <w:tcPr>
            <w:tcW w:type="dxa" w:w="1440"/>
            <w:shd w:fill="FAFAFA" w:val="clear"/>
          </w:tcPr>
          <w:p>
            <w:r>
              <w:rPr>
                <w:sz w:val="17"/>
              </w:rPr>
              <w:t>J+8  ⭐</w:t>
            </w:r>
          </w:p>
        </w:tc>
        <w:tc>
          <w:tcPr>
            <w:tcW w:type="dxa" w:w="1440"/>
            <w:shd w:fill="FAFAFA" w:val="clear"/>
          </w:tcPr>
          <w:p>
            <w:r>
              <w:rPr>
                <w:sz w:val="17"/>
              </w:rPr>
              <w:t>2026-08-19</w:t>
            </w:r>
          </w:p>
        </w:tc>
        <w:tc>
          <w:tcPr>
            <w:tcW w:type="dxa" w:w="1440"/>
            <w:shd w:fill="FAFAFA" w:val="clear"/>
          </w:tcPr>
          <w:p>
            <w:r>
              <w:rPr>
                <w:sz w:val="17"/>
              </w:rPr>
              <w:t>28,315</w:t>
            </w:r>
          </w:p>
        </w:tc>
        <w:tc>
          <w:tcPr>
            <w:tcW w:type="dxa" w:w="1440"/>
            <w:shd w:fill="FAFAFA" w:val="clear"/>
          </w:tcPr>
          <w:p>
            <w:r>
              <w:rPr>
                <w:b/>
                <w:sz w:val="17"/>
              </w:rPr>
              <w:t>30,583</w:t>
            </w:r>
          </w:p>
        </w:tc>
        <w:tc>
          <w:tcPr>
            <w:tcW w:type="dxa" w:w="1440"/>
            <w:shd w:fill="FAFAFA" w:val="clear"/>
          </w:tcPr>
          <w:p>
            <w:r>
              <w:rPr>
                <w:sz w:val="17"/>
              </w:rPr>
              <w:t>32,852</w:t>
            </w:r>
          </w:p>
        </w:tc>
        <w:tc>
          <w:tcPr>
            <w:tcW w:type="dxa" w:w="1440"/>
            <w:shd w:fill="FAFAFA" w:val="clear"/>
          </w:tcPr>
          <w:p>
            <w:r>
              <w:rPr>
                <w:b/>
                <w:color w:val="C00000"/>
                <w:sz w:val="17"/>
              </w:rPr>
              <w:t>-1.3%</w:t>
            </w:r>
          </w:p>
        </w:tc>
      </w:tr>
      <w:tr>
        <w:tc>
          <w:tcPr>
            <w:tcW w:type="dxa" w:w="1440"/>
            <w:shd w:fill="FAFAFA" w:val="clear"/>
          </w:tcPr>
          <w:p>
            <w:r>
              <w:rPr>
                <w:sz w:val="17"/>
              </w:rPr>
              <w:t>J+9  ⭐</w:t>
            </w:r>
          </w:p>
        </w:tc>
        <w:tc>
          <w:tcPr>
            <w:tcW w:type="dxa" w:w="1440"/>
            <w:shd w:fill="FAFAFA" w:val="clear"/>
          </w:tcPr>
          <w:p>
            <w:r>
              <w:rPr>
                <w:sz w:val="17"/>
              </w:rPr>
              <w:t>2026-08-20</w:t>
            </w:r>
          </w:p>
        </w:tc>
        <w:tc>
          <w:tcPr>
            <w:tcW w:type="dxa" w:w="1440"/>
            <w:shd w:fill="FAFAFA" w:val="clear"/>
          </w:tcPr>
          <w:p>
            <w:r>
              <w:rPr>
                <w:sz w:val="17"/>
              </w:rPr>
              <w:t>28,149</w:t>
            </w:r>
          </w:p>
        </w:tc>
        <w:tc>
          <w:tcPr>
            <w:tcW w:type="dxa" w:w="1440"/>
            <w:shd w:fill="FAFAFA" w:val="clear"/>
          </w:tcPr>
          <w:p>
            <w:r>
              <w:rPr>
                <w:b/>
                <w:sz w:val="17"/>
              </w:rPr>
              <w:t>30,553</w:t>
            </w:r>
          </w:p>
        </w:tc>
        <w:tc>
          <w:tcPr>
            <w:tcW w:type="dxa" w:w="1440"/>
            <w:shd w:fill="FAFAFA" w:val="clear"/>
          </w:tcPr>
          <w:p>
            <w:r>
              <w:rPr>
                <w:sz w:val="17"/>
              </w:rPr>
              <w:t>32,957</w:t>
            </w:r>
          </w:p>
        </w:tc>
        <w:tc>
          <w:tcPr>
            <w:tcW w:type="dxa" w:w="1440"/>
            <w:shd w:fill="FAFAFA" w:val="clear"/>
          </w:tcPr>
          <w:p>
            <w:r>
              <w:rPr>
                <w:b/>
                <w:color w:val="C00000"/>
                <w:sz w:val="17"/>
              </w:rPr>
              <w:t>-1.4%</w:t>
            </w:r>
          </w:p>
        </w:tc>
      </w:tr>
      <w:tr>
        <w:tc>
          <w:tcPr>
            <w:tcW w:type="dxa" w:w="1440"/>
            <w:shd w:fill="FAFAFA" w:val="clear"/>
          </w:tcPr>
          <w:p>
            <w:r>
              <w:rPr>
                <w:sz w:val="17"/>
              </w:rPr>
              <w:t>J+10  ⭐</w:t>
            </w:r>
          </w:p>
        </w:tc>
        <w:tc>
          <w:tcPr>
            <w:tcW w:type="dxa" w:w="1440"/>
            <w:shd w:fill="FAFAFA" w:val="clear"/>
          </w:tcPr>
          <w:p>
            <w:r>
              <w:rPr>
                <w:sz w:val="17"/>
              </w:rPr>
              <w:t>2026-08-21</w:t>
            </w:r>
          </w:p>
        </w:tc>
        <w:tc>
          <w:tcPr>
            <w:tcW w:type="dxa" w:w="1440"/>
            <w:shd w:fill="FAFAFA" w:val="clear"/>
          </w:tcPr>
          <w:p>
            <w:r>
              <w:rPr>
                <w:sz w:val="17"/>
              </w:rPr>
              <w:t>27,992</w:t>
            </w:r>
          </w:p>
        </w:tc>
        <w:tc>
          <w:tcPr>
            <w:tcW w:type="dxa" w:w="1440"/>
            <w:shd w:fill="FAFAFA" w:val="clear"/>
          </w:tcPr>
          <w:p>
            <w:r>
              <w:rPr>
                <w:b/>
                <w:sz w:val="17"/>
              </w:rPr>
              <w:t>30,523</w:t>
            </w:r>
          </w:p>
        </w:tc>
        <w:tc>
          <w:tcPr>
            <w:tcW w:type="dxa" w:w="1440"/>
            <w:shd w:fill="FAFAFA" w:val="clear"/>
          </w:tcPr>
          <w:p>
            <w:r>
              <w:rPr>
                <w:sz w:val="17"/>
              </w:rPr>
              <w:t>33,055</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de l'analyse : 08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SNTS s'établit à 3 100 milliards FCFA, ce qui en fait l'une des plus importantes capitalisations de la BRVM, représentant un poids considérable dans l'indice. Avec un BPA de 4 136 FCFA, le titre se négocie à un PER de 7,5x, nettement inférieur à la moyenne du marché BRVM (8-12x), signalant une sous-évaluation relative des bénéfices. Le P/B de 2,22x indique que le marché valorise la société à plus de deux fois ses capitaux propres, une prime de croissance justifiée par sa rentabilité exceptionnelle. Enfin, un EV/EBITDA de 3,2x, très inférieur au seuil de 5x, confirme que la valeur totale de l'entreprise (dette incluse) est très bon marché par rapport à sa capacité opérationnelle de génération de cash. L'ensemble de ces ratios suggère une valorisation attractive.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affiche une progression totale de +6,90%, avec une dernière séance particulièrement dynamique (+2,65% à 31 000 FCFA). Le titre a évolué dans une fourchette de 27 160 FCFA (plus bas) à 32 500 FCFA (plus haut), démontrant une amplitude de trading de près de 20%. La moyenne du cours sur la période (29 242 FCFA) est supérieure à la médiane (28 850 FCFA), et le skewness positif de 1,10 confirme une asymétrie avec des journées plus fréquentes sous la moyenne, mais des mouvements haussiers ponctuels plus amples. L'écart-type de 1 198 FCFA (CV=4,1%) indique une dispersion relativement faible, et le kurtosis de 0,039 (mésokurtique) suggère une distribution des rendements proche de la normale, sans risque de pics extrêmes. La volatilité annualisée de 25,2% classe le titre dans une catégorie de risque modéré, cohérente avec une valeur de croissance stable.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(31 000 FCFA) se situe sous la MM20 (31 335,75 FCFA) mais nettement au-dessus de la MM50 (29 846,9 FCFA). Cette configuration, où le prix est inférieur à la moyenne courte mais supérieur à la moyenne longue, indique un récent repli dans une tendance haussière de fond. La décision globale est un "Achat", car la tendance de moyen terme reste positive.</w:t>
      </w:r>
    </w:p>
    <w:p>
      <w:pPr>
        <w:spacing w:after="120" w:line="276" w:lineRule="auto"/>
      </w:pPr>
      <w:r>
        <w:t>**Bandes de Bollinger** : Le prix se positionne à l'intérieur des bandes (borne supérieure à 32 407,45 FCFA et inférieure à 30 264,05 FCFA), proche de la zone médiane. La largeur des bandes suggère une volatilité modérée. La décision "Neutre" est justifiée, le titre n'étant ni en situation de surachat ni de survente extrême.</w:t>
      </w:r>
    </w:p>
    <w:p>
      <w:pPr>
        <w:spacing w:after="120" w:line="276" w:lineRule="auto"/>
      </w:pPr>
      <w:r>
        <w:t>**MACD** : La valeur du MACD (253,37) est inférieure à son signal (429,05), indiquant un momentum baissier à court terme. Cette configuration génère une décision de "Vente", signalant une possible correction ou consolidation après la récente hausse.</w:t>
      </w:r>
    </w:p>
    <w:p>
      <w:pPr>
        <w:spacing w:after="120" w:line="276" w:lineRule="auto"/>
      </w:pPr>
      <w:r>
        <w:t>**RSI** : À 37,5, le RSI se situe dans la zone neutre (30-70), sans signal de surachat ni de survente. La décision "Neutre" est appropriée, laissant place à une possible poursuite du mouvement haussier sans pression excessive des acheteurs.</w:t>
      </w:r>
    </w:p>
    <w:p>
      <w:pPr>
        <w:spacing w:after="120" w:line="276" w:lineRule="auto"/>
      </w:pPr>
      <w:r>
        <w:t>**Stochastique** : Le %K (44,44) est supérieur au %D (28,15), suggérant un croisement haussier en cours de formation. Bien que la décision soit "Neutre", cette configuration indique un potentiel de rebond technique.</w:t>
      </w:r>
    </w:p>
    <w:p>
      <w:pPr>
        <w:spacing w:after="120" w:line="276" w:lineRule="auto"/>
      </w:pPr>
      <w:r>
        <w:t>**Conclusion technique** : Les indicateurs sont mitigés, avec une divergence entre les moyennes mobiles (Achat) et le MACD (Vente). Le RSI et le Stochastique étant neutres, le titre semble en phase de consolidation après une tendance haussière. La prudence est de mise à court terme, mais la tendance de fond reste positive.</w:t>
      </w:r>
    </w:p>
    <w:p>
      <w:pPr>
        <w:spacing w:after="120" w:line="276" w:lineRule="auto"/>
      </w:pPr>
      <w:r>
        <w:t>---</w:t>
      </w:r>
    </w:p>
    <w:p>
      <w:pPr>
        <w:spacing w:after="120" w:line="276" w:lineRule="auto"/>
      </w:pPr>
      <w:r>
        <w:t>### PARTIE 3 : ANALYSE FONDAMENTALE (SECTION CRITIQUE)</w:t>
      </w:r>
    </w:p>
    <w:p>
      <w:pPr>
        <w:spacing w:after="120" w:line="276" w:lineRule="auto"/>
      </w:pPr>
      <w:r>
        <w:t>**Données structurées 2025** : En 2025, SNTS a réalisé un chiffre d'affaires de 1 923,1 milliards FCFA (+8,3% vs 2024), avec un résultat net de 413,6 milliards FCFA (+5,1%). La marge nette s'établit à 21,5%, le ROE à 29,6% et le ROA à 12,6%, des niveaux excellents. Le BFR est négatif (-284,9 Mds FCFA), une situation favorable, et le délai fournisseurs (201 jours) est très supérieur au délai clients (46 jours), ce qui confère un avantage de trésorerie significatif. La capacité de remboursement est rapide (0,64 an) et la couverture des intérêts est très élevée (2 744%). **Rapport annuel 2025** : Confirme une croissance portée par la Data mobile (+8,6% de clients), le fixe haut débit (+26,2%) et Orange Money. Le dividende proposé est de 1 933 FCFA brut (1 740 FCFA net), soit un rendement attractif. **Rapports trimestriels 2025** : Le T1 2025 montre un résultat net de 108,4 Mds FCFA (+14,9%), le S1 2025 un CA de 960,2 Mds FCFA (+9,4%) et un RN de 208,1 Mds FCFA (+8,0%), et le T3 2025 un CA 9M de 1 432,5 Mds FCFA (+8,6%) avec un RN de 311 Mds FCFA (+8,0%). Sur la base de ces dynamiques, on estime que l'exercice 2026 devrait maintenir une croissance à deux chiffres du CA et du résultat net, malgré des pressions fiscales et réglementaires accrues. La solidité financière est remarquable, avec une autonomie financière de 42,8% et une solvabilité générale de 174,8%.</w:t>
      </w:r>
    </w:p>
    <w:p>
      <w:pPr>
        <w:spacing w:after="120" w:line="276" w:lineRule="auto"/>
      </w:pPr>
      <w:r>
        <w:t>---</w:t>
      </w:r>
    </w:p>
    <w:p>
      <w:pPr>
        <w:spacing w:after="120" w:line="276" w:lineRule="auto"/>
      </w:pPr>
      <w:r>
        <w:t>### PARTIE 4 : CONCLUSION D'INVESTISSEMENT</w:t>
      </w:r>
    </w:p>
    <w:p>
      <w:pPr>
        <w:spacing w:after="120" w:line="276" w:lineRule="auto"/>
      </w:pPr>
      <w:r>
        <w:t>La valorisation de SNTS est très attractive (PER 7,5x, EV/EBITDA 3,2x) malgré une prime comptable (P/B 2,22x) justifiée par un ROE de 29,6%. Le comportement du cours sur 100 jours est positif (+6,9%) avec une volatilité modérée (25,2%) et une distribution normale des rendements, ce qui est rassurant. Les signaux techniques sont mitigés (MM en achat, MACD en vente, RSI neutre), suggérant une consolidation à court terme dans une tendance haussière de fond. Fondamentalement, la société est extrêmement solide avec une croissance soutenue, des marges élevées et un BFR négatif favorable. Les prédictions IA (31 000 à 30 675 FCFA sur J+10) indiquent une légère correction technique, mais sans remettre en cause la tendance. La convergence entre la sous-évaluation, la solidité financière et les perspectives de croissance est forte. **Recommandation finale : ACHAT**. Niveau de confiance : **Élevé**. Risque global : **Faible**. Horizon d'investissement optimal : **Moyen terme (3-12 mois)**, en capitalisant sur les fondamentaux solides et l'attractivité du dividende (1 740 FCFA net).</w:t>
      </w:r>
    </w:p>
    <w:p/>
    <w:p/>
    <w:p>
      <w:pPr>
        <w:pStyle w:val="Heading3"/>
      </w:pPr>
      <w:r>
        <w:rPr>
          <w:color w:val="00467F"/>
        </w:rPr>
        <w:t>📎 DOCUMENTS &amp; COMMUNICATIONS OFFICIELS BRVM</w:t>
      </w:r>
    </w:p>
    <w:p>
      <w:r>
        <w:rPr>
          <w:i/>
          <w:color w:val="646464"/>
          <w:sz w:val="18"/>
        </w:rPr>
        <w:t>4 document(s) disponible(s) pour cette société (affichage des 4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[4]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19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pr\u00e9sente une performance financi\u00e8re solide avec une croissance soutenue et une rentabilit\u00e9 \u00e9lev\u00e9e, mais \u00e9volue dans un environnement concurrentiel intense et inflationniste. La strat\u00e9gie de d\u00e9veloppement du tr\u00e8s haut d\u00e9bit et la position de leader justifient le maintien en portefeuille."}</w:t>
      </w:r>
    </w:p>
    <w:p>
      <w:pPr>
        <w:spacing w:before="40"/>
        <w:ind w:left="400"/>
      </w:pPr>
      <w:r>
        <w:rPr>
          <w:sz w:val="18"/>
        </w:rPr>
        <w:t>Sonatel affiche une performance financière solide en 2022 avec un chiffre d'affaires en croissance de 9% à 1 455 milliards FCFA et un résultat net en hausse de 10,5% à 278,9 milliards FCFA. Le groupe maintient son leadership sur tous ses marchés de présence (Sénégal, Mali, Guinée, Guinée Bissau, Sierra Leone) malgré un contexte socio-économique difficile. La croissance est portée par le développement du très haut débit avec 10,6 millions de clients 4G et une forte croissance du parc broadband fixe (+34,8%). L'EBITDAAL progresse de 8,8% à 631,5 milliards FCFA avec une marge de 43,4%, témoignant d'une rentabilité opérationnelle robuste. Le groupe propose un dividende de 1 667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'262,5 milliards FCFA', 'ebitdaal': '631,5 milliards FCFA', 'clients_4G': '10,6 millions', 'parc_mobile': '37,9 millions', 'marge_ebitdaal': '43,4%', 'operating_cash_flow': '369,1 milliards FCFA', 'clients_orange_money': '26,4 millions'}</w:t>
            </w:r>
          </w:p>
        </w:tc>
        <w:tc>
          <w:tcPr>
            <w:tcW w:type="dxa" w:w="2160"/>
          </w:tcPr>
          <w:p>
            <w:pPr>
              <w:ind w:left="100"/>
            </w:pPr>
            <w:r/>
            <w:r>
              <w:rPr>
                <w:b/>
                <w:sz w:val="16"/>
              </w:rPr>
              <w:t>dividende</w:t>
              <w:br/>
            </w:r>
            <w:r>
              <w:rPr>
                <w:sz w:val="18"/>
              </w:rPr>
              <w:t>1 667 FCFA brut par action (1 500 FCFA net)</w:t>
            </w:r>
          </w:p>
        </w:tc>
        <w:tc>
          <w:tcPr>
            <w:tcW w:type="dxa" w:w="2160"/>
          </w:tcPr>
          <w:p>
            <w:pPr>
              <w:ind w:left="100"/>
            </w:pPr>
            <w:r/>
            <w:r>
              <w:rPr>
                <w:b/>
                <w:sz w:val="16"/>
              </w:rPr>
              <w:t>marge_nette</w:t>
              <w:br/>
            </w:r>
            <w:r>
              <w:rPr>
                <w:sz w:val="18"/>
              </w:rPr>
              <w:t>19,2%</w:t>
            </w:r>
          </w:p>
        </w:tc>
        <w:tc>
          <w:tcPr>
            <w:tcW w:type="dxa" w:w="2160"/>
          </w:tcPr>
          <w:p>
            <w:pPr>
              <w:ind w:left="100"/>
            </w:pPr>
            <w:r/>
            <w:r>
              <w:rPr>
                <w:b/>
                <w:sz w:val="16"/>
              </w:rPr>
              <w:t>total_actif</w:t>
              <w:br/>
            </w:r>
            <w:r>
              <w:rPr>
                <w:sz w:val="18"/>
              </w:rPr>
              <w:t>2 252,2 milliards FCFA</w:t>
            </w:r>
          </w:p>
        </w:tc>
      </w:tr>
      <w:tr>
        <w:tc>
          <w:tcPr>
            <w:tcW w:type="dxa" w:w="2160"/>
          </w:tcPr>
          <w:p>
            <w:r/>
            <w:r>
              <w:rPr>
                <w:b/>
                <w:sz w:val="16"/>
              </w:rPr>
              <w:t>resultat_net</w:t>
              <w:br/>
            </w:r>
            <w:r>
              <w:rPr>
                <w:sz w:val="18"/>
              </w:rPr>
              <w:t>278,9 milliards FCFA</w:t>
            </w:r>
          </w:p>
        </w:tc>
        <w:tc>
          <w:tcPr>
            <w:tcW w:type="dxa" w:w="2160"/>
          </w:tcPr>
          <w:p>
            <w:r/>
            <w:r>
              <w:rPr>
                <w:b/>
                <w:sz w:val="16"/>
              </w:rPr>
              <w:t>capitaux_propres</w:t>
              <w:br/>
            </w:r>
            <w:r>
              <w:rPr>
                <w:sz w:val="18"/>
              </w:rPr>
              <w:t>898,5 milliards FCFA</w:t>
            </w:r>
          </w:p>
        </w:tc>
        <w:tc>
          <w:tcPr>
            <w:tcW w:type="dxa" w:w="2160"/>
          </w:tcPr>
          <w:p>
            <w:r/>
            <w:r>
              <w:rPr>
                <w:b/>
                <w:sz w:val="16"/>
              </w:rPr>
              <w:t>chiffre_affaires</w:t>
              <w:br/>
            </w:r>
            <w:r>
              <w:rPr>
                <w:sz w:val="18"/>
              </w:rPr>
              <w:t>1 455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 à 1 455 milliards FCFA malgré la baisse d'Orange Money</w:t>
      </w:r>
    </w:p>
    <w:p>
      <w:pPr>
        <w:pStyle w:val="ListBullet"/>
        <w:spacing w:before="20" w:after="20"/>
        <w:ind w:left="700"/>
      </w:pPr>
      <w:r>
        <w:rPr>
          <w:sz w:val="18"/>
        </w:rPr>
        <w:t>Résultat net en progression de 10,5% à 278,9 milliards FCFA avec une marge nette de 19,2%</w:t>
      </w:r>
    </w:p>
    <w:p>
      <w:pPr>
        <w:pStyle w:val="ListBullet"/>
        <w:spacing w:before="20" w:after="20"/>
        <w:ind w:left="700"/>
      </w:pPr>
      <w:r>
        <w:rPr>
          <w:sz w:val="18"/>
        </w:rPr>
        <w:t>Maintien du leadership sur tous les marchés avec des parts de marché entre 51,6% et 65,9%</w:t>
      </w:r>
    </w:p>
    <w:p>
      <w:pPr>
        <w:pStyle w:val="ListBullet"/>
        <w:spacing w:before="20" w:after="20"/>
        <w:ind w:left="700"/>
      </w:pPr>
      <w:r>
        <w:rPr>
          <w:sz w:val="18"/>
        </w:rPr>
        <w:t>Forte croissance du parc 4G (+33%) atteignant 10,6 millions de clients actifs</w:t>
      </w:r>
    </w:p>
    <w:p>
      <w:pPr>
        <w:pStyle w:val="ListBullet"/>
        <w:spacing w:before="20" w:after="20"/>
        <w:ind w:left="700"/>
      </w:pPr>
      <w:r>
        <w:rPr>
          <w:sz w:val="18"/>
        </w:rPr>
        <w:t>Développement significatif du broadband fixe (+34,8%) avec 586K clients dont 491K en fibre</w:t>
      </w:r>
    </w:p>
    <w:p>
      <w:pPr>
        <w:pStyle w:val="ListBullet"/>
        <w:spacing w:before="20" w:after="20"/>
        <w:ind w:left="700"/>
      </w:pPr>
      <w:r>
        <w:rPr>
          <w:sz w:val="18"/>
        </w:rPr>
        <w:t>EBITDAAL en hausse de 8,8% à 631,5 milliards FCFA avec une marge stable à 43,4%</w:t>
      </w:r>
    </w:p>
    <w:p>
      <w:pPr>
        <w:spacing w:before="40"/>
        <w:ind w:left="400"/>
      </w:pPr>
      <w:r>
        <w:rPr>
          <w:b/>
          <w:color w:val="C05000"/>
          <w:sz w:val="18"/>
        </w:rPr>
        <w:t xml:space="preserve">⚠️ Risques : </w:t>
      </w:r>
      <w:r>
        <w:rPr>
          <w:sz w:val="18"/>
        </w:rPr>
        <w:t>["Contexte socio-\u00e9conomique difficile avec inflation \u00e9lev\u00e9e et transitions militaires au Mali et en Guin\u00e9e", "Agressivit\u00e9 concurrentielle croissante sur tous les march\u00e9s, notamment sur la data et le mobile money", "D\u00e9pr\u00e9ciation mon\u00e9taire importante en Sie</w:t>
      </w:r>
    </w:p>
    <w:p>
      <w:pPr>
        <w:spacing w:before="40"/>
        <w:ind w:left="400"/>
      </w:pPr>
      <w:r>
        <w:rPr>
          <w:b/>
          <w:color w:val="0064A0"/>
          <w:sz w:val="18"/>
        </w:rPr>
        <w:t xml:space="preserve">🔮 Perspectives : </w:t>
      </w:r>
      <w:r>
        <w:rPr>
          <w:sz w:val="18"/>
        </w:rPr>
        <w:t>Pour 2023, Sonatel vise à renforcer sa performance en croissance et rentabilité grâce à un plan d'efficience opérationnelle. Le groupe poursuivra sa stratégie d'opérateur multiservices en accélérant le très haut débit fixe et mobile, la distribution de contenus via Wido et Orange Energie. L'objectif</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174.97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4,230 titres</w:t>
            </w:r>
          </w:p>
        </w:tc>
        <w:tc>
          <w:tcPr>
            <w:tcW w:type="dxa" w:w="2268"/>
            <w:shd w:fill="FFF2CC" w:val="clear"/>
          </w:tcPr>
          <w:p>
            <w:r>
              <w:rPr>
                <w:b/>
                <w:color w:val="503200"/>
                <w:sz w:val="16"/>
              </w:rPr>
              <w:t xml:space="preserve">Cours actuel : </w:t>
            </w:r>
            <w:r>
              <w:rPr>
                <w:color w:val="000000"/>
                <w:sz w:val="17"/>
              </w:rPr>
              <w:t>8,100 FCFA</w:t>
            </w:r>
          </w:p>
          <w:p>
            <w:r>
              <w:rPr>
                <w:b/>
                <w:color w:val="503200"/>
                <w:sz w:val="16"/>
              </w:rPr>
              <w:t xml:space="preserve">Var. 100 jours : </w:t>
            </w:r>
            <w:r>
              <w:rPr>
                <w:b/>
                <w:color w:val="B40000"/>
                <w:sz w:val="17"/>
              </w:rPr>
              <w:t>-8.06%</w:t>
            </w:r>
          </w:p>
          <w:p>
            <w:r>
              <w:rPr>
                <w:b/>
                <w:color w:val="503200"/>
                <w:sz w:val="16"/>
              </w:rPr>
              <w:t xml:space="preserve">Plus haut 100j : </w:t>
            </w:r>
            <w:r>
              <w:rPr>
                <w:color w:val="000000"/>
                <w:sz w:val="17"/>
              </w:rPr>
              <w:t>9,000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17.5/100 → Faible</w:t>
      </w:r>
    </w:p>
    <w:p>
      <w:pPr>
        <w:spacing w:before="40" w:after="80"/>
      </w:pPr>
      <w:r>
        <w:rPr>
          <w:rFonts w:ascii="Courier New" w:hAnsi="Courier New"/>
          <w:color w:val="006400"/>
          <w:sz w:val="18"/>
        </w:rPr>
        <w:t>███░░░░░░░░░░░░░░░░░  17.5/100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5.44% (Moyenne) — μ=8,039 FCFA, σ=437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β=0.8132 (Neutre (suit le marché)) — Cov=0.000029, Var(idx)=0.000036, ρ=0.216,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4,230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7,867</w:t>
            </w:r>
          </w:p>
        </w:tc>
        <w:tc>
          <w:tcPr>
            <w:tcW w:type="dxa" w:w="1440"/>
            <w:shd w:fill="FAFAFA" w:val="clear"/>
          </w:tcPr>
          <w:p>
            <w:r>
              <w:rPr>
                <w:b/>
                <w:sz w:val="17"/>
              </w:rPr>
              <w:t>8,121</w:t>
            </w:r>
          </w:p>
        </w:tc>
        <w:tc>
          <w:tcPr>
            <w:tcW w:type="dxa" w:w="1440"/>
            <w:shd w:fill="FAFAFA" w:val="clear"/>
          </w:tcPr>
          <w:p>
            <w:r>
              <w:rPr>
                <w:sz w:val="17"/>
              </w:rPr>
              <w:t>8,375</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7,775</w:t>
            </w:r>
          </w:p>
        </w:tc>
        <w:tc>
          <w:tcPr>
            <w:tcW w:type="dxa" w:w="1440"/>
            <w:shd w:fill="FAFAFA" w:val="clear"/>
          </w:tcPr>
          <w:p>
            <w:r>
              <w:rPr>
                <w:b/>
                <w:sz w:val="17"/>
              </w:rPr>
              <w:t>8,135</w:t>
            </w:r>
          </w:p>
        </w:tc>
        <w:tc>
          <w:tcPr>
            <w:tcW w:type="dxa" w:w="1440"/>
            <w:shd w:fill="FAFAFA" w:val="clear"/>
          </w:tcPr>
          <w:p>
            <w:r>
              <w:rPr>
                <w:sz w:val="17"/>
              </w:rPr>
              <w:t>8,494</w:t>
            </w:r>
          </w:p>
        </w:tc>
        <w:tc>
          <w:tcPr>
            <w:tcW w:type="dxa" w:w="1440"/>
            <w:shd w:fill="FAFAFA" w:val="clear"/>
          </w:tcPr>
          <w:p>
            <w:r>
              <w:rPr>
                <w:b/>
                <w:color w:val="008000"/>
                <w:sz w:val="17"/>
              </w:rPr>
              <w:t>+0.4%</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7,706</w:t>
            </w:r>
          </w:p>
        </w:tc>
        <w:tc>
          <w:tcPr>
            <w:tcW w:type="dxa" w:w="1440"/>
            <w:shd w:fill="FAFAFA" w:val="clear"/>
          </w:tcPr>
          <w:p>
            <w:r>
              <w:rPr>
                <w:b/>
                <w:sz w:val="17"/>
              </w:rPr>
              <w:t>8,147</w:t>
            </w:r>
          </w:p>
        </w:tc>
        <w:tc>
          <w:tcPr>
            <w:tcW w:type="dxa" w:w="1440"/>
            <w:shd w:fill="FAFAFA" w:val="clear"/>
          </w:tcPr>
          <w:p>
            <w:r>
              <w:rPr>
                <w:sz w:val="17"/>
              </w:rPr>
              <w:t>8,588</w:t>
            </w:r>
          </w:p>
        </w:tc>
        <w:tc>
          <w:tcPr>
            <w:tcW w:type="dxa" w:w="1440"/>
            <w:shd w:fill="FAFAFA" w:val="clear"/>
          </w:tcPr>
          <w:p>
            <w:r>
              <w:rPr>
                <w:b/>
                <w:color w:val="008000"/>
                <w:sz w:val="17"/>
              </w:rPr>
              <w:t>+0.6%</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7,649</w:t>
            </w:r>
          </w:p>
        </w:tc>
        <w:tc>
          <w:tcPr>
            <w:tcW w:type="dxa" w:w="1440"/>
            <w:shd w:fill="FAFAFA" w:val="clear"/>
          </w:tcPr>
          <w:p>
            <w:r>
              <w:rPr>
                <w:b/>
                <w:sz w:val="17"/>
              </w:rPr>
              <w:t>8,159</w:t>
            </w:r>
          </w:p>
        </w:tc>
        <w:tc>
          <w:tcPr>
            <w:tcW w:type="dxa" w:w="1440"/>
            <w:shd w:fill="FAFAFA" w:val="clear"/>
          </w:tcPr>
          <w:p>
            <w:r>
              <w:rPr>
                <w:sz w:val="17"/>
              </w:rPr>
              <w:t>8,669</w:t>
            </w:r>
          </w:p>
        </w:tc>
        <w:tc>
          <w:tcPr>
            <w:tcW w:type="dxa" w:w="1440"/>
            <w:shd w:fill="FAFAFA" w:val="clear"/>
          </w:tcPr>
          <w:p>
            <w:r>
              <w:rPr>
                <w:b/>
                <w:color w:val="008000"/>
                <w:sz w:val="17"/>
              </w:rPr>
              <w:t>+0.7%</w:t>
            </w:r>
          </w:p>
        </w:tc>
      </w:tr>
      <w:tr>
        <w:tc>
          <w:tcPr>
            <w:tcW w:type="dxa" w:w="1440"/>
            <w:shd w:fill="FAFAFA" w:val="clear"/>
          </w:tcPr>
          <w:p>
            <w:r>
              <w:rPr>
                <w:sz w:val="17"/>
              </w:rPr>
              <w:t>J+5  Moyenne</w:t>
            </w:r>
          </w:p>
        </w:tc>
        <w:tc>
          <w:tcPr>
            <w:tcW w:type="dxa" w:w="1440"/>
            <w:shd w:fill="FAFAFA" w:val="clear"/>
          </w:tcPr>
          <w:p>
            <w:r>
              <w:rPr>
                <w:sz w:val="17"/>
              </w:rPr>
              <w:t>2026-08-14</w:t>
            </w:r>
          </w:p>
        </w:tc>
        <w:tc>
          <w:tcPr>
            <w:tcW w:type="dxa" w:w="1440"/>
            <w:shd w:fill="FAFAFA" w:val="clear"/>
          </w:tcPr>
          <w:p>
            <w:r>
              <w:rPr>
                <w:sz w:val="17"/>
              </w:rPr>
              <w:t>7,600</w:t>
            </w:r>
          </w:p>
        </w:tc>
        <w:tc>
          <w:tcPr>
            <w:tcW w:type="dxa" w:w="1440"/>
            <w:shd w:fill="FAFAFA" w:val="clear"/>
          </w:tcPr>
          <w:p>
            <w:r>
              <w:rPr>
                <w:b/>
                <w:sz w:val="17"/>
              </w:rPr>
              <w:t>8,171</w:t>
            </w:r>
          </w:p>
        </w:tc>
        <w:tc>
          <w:tcPr>
            <w:tcW w:type="dxa" w:w="1440"/>
            <w:shd w:fill="FAFAFA" w:val="clear"/>
          </w:tcPr>
          <w:p>
            <w:r>
              <w:rPr>
                <w:sz w:val="17"/>
              </w:rPr>
              <w:t>8,742</w:t>
            </w:r>
          </w:p>
        </w:tc>
        <w:tc>
          <w:tcPr>
            <w:tcW w:type="dxa" w:w="1440"/>
            <w:shd w:fill="FAFAFA" w:val="clear"/>
          </w:tcPr>
          <w:p>
            <w:r>
              <w:rPr>
                <w:b/>
                <w:color w:val="008000"/>
                <w:sz w:val="17"/>
              </w:rPr>
              <w:t>+0.9%</w:t>
            </w:r>
          </w:p>
        </w:tc>
      </w:tr>
      <w:tr>
        <w:tc>
          <w:tcPr>
            <w:tcW w:type="dxa" w:w="1440"/>
            <w:shd w:fill="FAFAFA" w:val="clear"/>
          </w:tcPr>
          <w:p>
            <w:r>
              <w:rPr>
                <w:sz w:val="17"/>
              </w:rPr>
              <w:t>J+6  Moyenne</w:t>
            </w:r>
          </w:p>
        </w:tc>
        <w:tc>
          <w:tcPr>
            <w:tcW w:type="dxa" w:w="1440"/>
            <w:shd w:fill="FAFAFA" w:val="clear"/>
          </w:tcPr>
          <w:p>
            <w:r>
              <w:rPr>
                <w:sz w:val="17"/>
              </w:rPr>
              <w:t>2026-08-17</w:t>
            </w:r>
          </w:p>
        </w:tc>
        <w:tc>
          <w:tcPr>
            <w:tcW w:type="dxa" w:w="1440"/>
            <w:shd w:fill="FAFAFA" w:val="clear"/>
          </w:tcPr>
          <w:p>
            <w:r>
              <w:rPr>
                <w:sz w:val="17"/>
              </w:rPr>
              <w:t>7,556</w:t>
            </w:r>
          </w:p>
        </w:tc>
        <w:tc>
          <w:tcPr>
            <w:tcW w:type="dxa" w:w="1440"/>
            <w:shd w:fill="FAFAFA" w:val="clear"/>
          </w:tcPr>
          <w:p>
            <w:r>
              <w:rPr>
                <w:b/>
                <w:sz w:val="17"/>
              </w:rPr>
              <w:t>8,183</w:t>
            </w:r>
          </w:p>
        </w:tc>
        <w:tc>
          <w:tcPr>
            <w:tcW w:type="dxa" w:w="1440"/>
            <w:shd w:fill="FAFAFA" w:val="clear"/>
          </w:tcPr>
          <w:p>
            <w:r>
              <w:rPr>
                <w:sz w:val="17"/>
              </w:rPr>
              <w:t>8,809</w:t>
            </w:r>
          </w:p>
        </w:tc>
        <w:tc>
          <w:tcPr>
            <w:tcW w:type="dxa" w:w="1440"/>
            <w:shd w:fill="FAFAFA" w:val="clear"/>
          </w:tcPr>
          <w:p>
            <w:r>
              <w:rPr>
                <w:b/>
                <w:color w:val="008000"/>
                <w:sz w:val="17"/>
              </w:rPr>
              <w:t>+1.0%</w:t>
            </w:r>
          </w:p>
        </w:tc>
      </w:tr>
      <w:tr>
        <w:tc>
          <w:tcPr>
            <w:tcW w:type="dxa" w:w="1440"/>
            <w:shd w:fill="FAFAFA" w:val="clear"/>
          </w:tcPr>
          <w:p>
            <w:r>
              <w:rPr>
                <w:sz w:val="17"/>
              </w:rPr>
              <w:t>J+7  Moyenne</w:t>
            </w:r>
          </w:p>
        </w:tc>
        <w:tc>
          <w:tcPr>
            <w:tcW w:type="dxa" w:w="1440"/>
            <w:shd w:fill="FAFAFA" w:val="clear"/>
          </w:tcPr>
          <w:p>
            <w:r>
              <w:rPr>
                <w:sz w:val="17"/>
              </w:rPr>
              <w:t>2026-08-18</w:t>
            </w:r>
          </w:p>
        </w:tc>
        <w:tc>
          <w:tcPr>
            <w:tcW w:type="dxa" w:w="1440"/>
            <w:shd w:fill="FAFAFA" w:val="clear"/>
          </w:tcPr>
          <w:p>
            <w:r>
              <w:rPr>
                <w:sz w:val="17"/>
              </w:rPr>
              <w:t>7,517</w:t>
            </w:r>
          </w:p>
        </w:tc>
        <w:tc>
          <w:tcPr>
            <w:tcW w:type="dxa" w:w="1440"/>
            <w:shd w:fill="FAFAFA" w:val="clear"/>
          </w:tcPr>
          <w:p>
            <w:r>
              <w:rPr>
                <w:b/>
                <w:sz w:val="17"/>
              </w:rPr>
              <w:t>8,194</w:t>
            </w:r>
          </w:p>
        </w:tc>
        <w:tc>
          <w:tcPr>
            <w:tcW w:type="dxa" w:w="1440"/>
            <w:shd w:fill="FAFAFA" w:val="clear"/>
          </w:tcPr>
          <w:p>
            <w:r>
              <w:rPr>
                <w:sz w:val="17"/>
              </w:rPr>
              <w:t>8,872</w:t>
            </w:r>
          </w:p>
        </w:tc>
        <w:tc>
          <w:tcPr>
            <w:tcW w:type="dxa" w:w="1440"/>
            <w:shd w:fill="FAFAFA" w:val="clear"/>
          </w:tcPr>
          <w:p>
            <w:r>
              <w:rPr>
                <w:b/>
                <w:color w:val="008000"/>
                <w:sz w:val="17"/>
              </w:rPr>
              <w:t>+1.2%</w:t>
            </w:r>
          </w:p>
        </w:tc>
      </w:tr>
      <w:tr>
        <w:tc>
          <w:tcPr>
            <w:tcW w:type="dxa" w:w="1440"/>
            <w:shd w:fill="FAFAFA" w:val="clear"/>
          </w:tcPr>
          <w:p>
            <w:r>
              <w:rPr>
                <w:sz w:val="17"/>
              </w:rPr>
              <w:t>J+8  Moyenne</w:t>
            </w:r>
          </w:p>
        </w:tc>
        <w:tc>
          <w:tcPr>
            <w:tcW w:type="dxa" w:w="1440"/>
            <w:shd w:fill="FAFAFA" w:val="clear"/>
          </w:tcPr>
          <w:p>
            <w:r>
              <w:rPr>
                <w:sz w:val="17"/>
              </w:rPr>
              <w:t>2026-08-19</w:t>
            </w:r>
          </w:p>
        </w:tc>
        <w:tc>
          <w:tcPr>
            <w:tcW w:type="dxa" w:w="1440"/>
            <w:shd w:fill="FAFAFA" w:val="clear"/>
          </w:tcPr>
          <w:p>
            <w:r>
              <w:rPr>
                <w:sz w:val="17"/>
              </w:rPr>
              <w:t>7,481</w:t>
            </w:r>
          </w:p>
        </w:tc>
        <w:tc>
          <w:tcPr>
            <w:tcW w:type="dxa" w:w="1440"/>
            <w:shd w:fill="FAFAFA" w:val="clear"/>
          </w:tcPr>
          <w:p>
            <w:r>
              <w:rPr>
                <w:b/>
                <w:sz w:val="17"/>
              </w:rPr>
              <w:t>8,206</w:t>
            </w:r>
          </w:p>
        </w:tc>
        <w:tc>
          <w:tcPr>
            <w:tcW w:type="dxa" w:w="1440"/>
            <w:shd w:fill="FAFAFA" w:val="clear"/>
          </w:tcPr>
          <w:p>
            <w:r>
              <w:rPr>
                <w:sz w:val="17"/>
              </w:rPr>
              <w:t>8,932</w:t>
            </w:r>
          </w:p>
        </w:tc>
        <w:tc>
          <w:tcPr>
            <w:tcW w:type="dxa" w:w="1440"/>
            <w:shd w:fill="FAFAFA" w:val="clear"/>
          </w:tcPr>
          <w:p>
            <w:r>
              <w:rPr>
                <w:b/>
                <w:color w:val="008000"/>
                <w:sz w:val="17"/>
              </w:rPr>
              <w:t>+1.3%</w:t>
            </w:r>
          </w:p>
        </w:tc>
      </w:tr>
      <w:tr>
        <w:tc>
          <w:tcPr>
            <w:tcW w:type="dxa" w:w="1440"/>
            <w:shd w:fill="FAFAFA" w:val="clear"/>
          </w:tcPr>
          <w:p>
            <w:r>
              <w:rPr>
                <w:sz w:val="17"/>
              </w:rPr>
              <w:t>J+9  Moyenne</w:t>
            </w:r>
          </w:p>
        </w:tc>
        <w:tc>
          <w:tcPr>
            <w:tcW w:type="dxa" w:w="1440"/>
            <w:shd w:fill="FAFAFA" w:val="clear"/>
          </w:tcPr>
          <w:p>
            <w:r>
              <w:rPr>
                <w:sz w:val="17"/>
              </w:rPr>
              <w:t>2026-08-20</w:t>
            </w:r>
          </w:p>
        </w:tc>
        <w:tc>
          <w:tcPr>
            <w:tcW w:type="dxa" w:w="1440"/>
            <w:shd w:fill="FAFAFA" w:val="clear"/>
          </w:tcPr>
          <w:p>
            <w:r>
              <w:rPr>
                <w:sz w:val="17"/>
              </w:rPr>
              <w:t>7,447</w:t>
            </w:r>
          </w:p>
        </w:tc>
        <w:tc>
          <w:tcPr>
            <w:tcW w:type="dxa" w:w="1440"/>
            <w:shd w:fill="FAFAFA" w:val="clear"/>
          </w:tcPr>
          <w:p>
            <w:r>
              <w:rPr>
                <w:b/>
                <w:sz w:val="17"/>
              </w:rPr>
              <w:t>8,218</w:t>
            </w:r>
          </w:p>
        </w:tc>
        <w:tc>
          <w:tcPr>
            <w:tcW w:type="dxa" w:w="1440"/>
            <w:shd w:fill="FAFAFA" w:val="clear"/>
          </w:tcPr>
          <w:p>
            <w:r>
              <w:rPr>
                <w:sz w:val="17"/>
              </w:rPr>
              <w:t>8,988</w:t>
            </w:r>
          </w:p>
        </w:tc>
        <w:tc>
          <w:tcPr>
            <w:tcW w:type="dxa" w:w="1440"/>
            <w:shd w:fill="FAFAFA" w:val="clear"/>
          </w:tcPr>
          <w:p>
            <w:r>
              <w:rPr>
                <w:b/>
                <w:color w:val="008000"/>
                <w:sz w:val="17"/>
              </w:rPr>
              <w:t>+1.5%</w:t>
            </w:r>
          </w:p>
        </w:tc>
      </w:tr>
      <w:tr>
        <w:tc>
          <w:tcPr>
            <w:tcW w:type="dxa" w:w="1440"/>
            <w:shd w:fill="FAFAFA" w:val="clear"/>
          </w:tcPr>
          <w:p>
            <w:r>
              <w:rPr>
                <w:sz w:val="17"/>
              </w:rPr>
              <w:t>J+10  Moyenne</w:t>
            </w:r>
          </w:p>
        </w:tc>
        <w:tc>
          <w:tcPr>
            <w:tcW w:type="dxa" w:w="1440"/>
            <w:shd w:fill="FAFAFA" w:val="clear"/>
          </w:tcPr>
          <w:p>
            <w:r>
              <w:rPr>
                <w:sz w:val="17"/>
              </w:rPr>
              <w:t>2026-08-21</w:t>
            </w:r>
          </w:p>
        </w:tc>
        <w:tc>
          <w:tcPr>
            <w:tcW w:type="dxa" w:w="1440"/>
            <w:shd w:fill="FAFAFA" w:val="clear"/>
          </w:tcPr>
          <w:p>
            <w:r>
              <w:rPr>
                <w:sz w:val="17"/>
              </w:rPr>
              <w:t>7,416</w:t>
            </w:r>
          </w:p>
        </w:tc>
        <w:tc>
          <w:tcPr>
            <w:tcW w:type="dxa" w:w="1440"/>
            <w:shd w:fill="FAFAFA" w:val="clear"/>
          </w:tcPr>
          <w:p>
            <w:r>
              <w:rPr>
                <w:b/>
                <w:sz w:val="17"/>
              </w:rPr>
              <w:t>8,229</w:t>
            </w:r>
          </w:p>
        </w:tc>
        <w:tc>
          <w:tcPr>
            <w:tcW w:type="dxa" w:w="1440"/>
            <w:shd w:fill="FAFAFA" w:val="clear"/>
          </w:tcPr>
          <w:p>
            <w:r>
              <w:rPr>
                <w:sz w:val="17"/>
              </w:rPr>
              <w:t>9,042</w:t>
            </w:r>
          </w:p>
        </w:tc>
        <w:tc>
          <w:tcPr>
            <w:tcW w:type="dxa" w:w="1440"/>
            <w:shd w:fill="FAFAFA" w:val="clear"/>
          </w:tcPr>
          <w:p>
            <w:r>
              <w:rPr>
                <w:b/>
                <w:color w:val="008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**Date de l'analyse : 10 août 2026 | Cours de référence : 8 100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174,97 milliards FCFA, la SOGC se positionne comme une valeur de première ligne sur la BRVM, représentant un poids significatif dans l'indice composite. Le BPA de 578 FCFA indique que chaque action génère un bénéfice substantiel, justifiant un PER de 14,0x. Ce ratio est supérieur à la moyenne historique de la BRVM (8-12x), ce qui suggère que le marché accorde une prime de croissance à la société, ou que le marché anticipe une normalisation des bénéfices après un exercice record. Le P/B de 2,56x confirme cette prime, le marché valorisant la société à 2,5 fois ses capitaux propres, signe d'une confiance dans la création de valeur future. Enfin, un EV/EBITDA de 7,3x est considéré comme raisonnable, indiquant que la valorisation de l'entreprise, dette incluse, reste en phase avec sa capacité à générer du cash-flow opérationnel.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SOGC a enregistré une baisse de 8,06%, avec une dernière séance stable (+0,00%), illustrant une phase de consolidation après des périodes de volatilité. Le cours a évolué dans un range de 7 100 à 9 000 FCFA, montrant une amplitude de 1 900 FCFA. La moyenne (8 039 FCFA) et la médiane (8 055 FCFA) sont très proches, et le skewness (-0.052) proche de zéro indique une distribution quasi symétrique des prix. Le kurtosis négatif (-0.679) suggère une distribution mésokurtique avec des extrêmes moins fréquents qu'une normale, réduisant le risque de variations brutales. L'écart-type de 439 FCFA (CV=5.5%) montre une dispersion modérée autour de la moyenne. Cependant, la volatilité annualisée de 36% est élevée (&gt;30%), signalant un risque de marché important, typique des valeurs agricoles sensibles aux cours des matières premières.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(8 100 FCFA) est inférieur à la MM20 (8 176 FCFA) et à la MM50 (8 258,6 FCFA), confirmant une tendance baissière à court et moyen terme. La configuration en "death cross" (MM20 sous MM50) renforce le signal de vente, indiquant que les vendeurs contrôlent le marché.</w:t>
      </w:r>
    </w:p>
    <w:p>
      <w:pPr>
        <w:spacing w:after="120" w:line="276" w:lineRule="auto"/>
      </w:pPr>
      <w:r>
        <w:t>**Bandes de Bollinger** : Le prix se situe dans la partie médiane des bandes (borne inférieure à 7 898 FCFA et supérieure à 8 453 FCFA). La position neutre du prix, combinée à une largeur de bandes modérée, suggère une volatilité en diminution. Le signal est neutre, le marché cherchant une direction après la baisse récente.</w:t>
      </w:r>
    </w:p>
    <w:p>
      <w:pPr>
        <w:spacing w:after="120" w:line="276" w:lineRule="auto"/>
      </w:pPr>
      <w:r>
        <w:t>**MACD** : Le MACD (-27,784) est négatif et inférieur à sa ligne de signal (-9,225), confirmant un momentum baissier. Cette divergence négative indique que la dynamique des prix reste sous pression, bien que l'écart se soit légèrement réduit, ce qui pourrait précéder un retournement.</w:t>
      </w:r>
    </w:p>
    <w:p>
      <w:pPr>
        <w:spacing w:after="120" w:line="276" w:lineRule="auto"/>
      </w:pPr>
      <w:r>
        <w:t>**RSI** : À 52,174, le RSI est en zone neutre (30-70), indiquant un équilibre entre pressions acheteuses et vendeuses. Il n'y a pas de condition de surachat ou de survente, laissant place à une évolution directionnelle.</w:t>
      </w:r>
    </w:p>
    <w:p>
      <w:pPr>
        <w:spacing w:after="120" w:line="276" w:lineRule="auto"/>
      </w:pPr>
      <w:r>
        <w:t>**Stochastique** : Le %K (40,0) est supérieur au %D (26,667), montrant un croisement haussier en zone de survente. Ce signal précoce pourrait indiquer un potentiel de rebond technique à court terme, mais il reste à confirmer par une hausse des volumes.</w:t>
      </w:r>
    </w:p>
    <w:p>
      <w:pPr>
        <w:spacing w:after="120" w:line="276" w:lineRule="auto"/>
      </w:pPr>
      <w:r>
        <w:t>**Conclusion technique** : Les indicateurs sont mitigés. Les moyennes mobiles et le MACD plaident pour une poursuite de la baisse, tandis que le RSI et le Stochastique suggèrent un potentiel de rebond technique. Le marché est dans une phase de transition, et un signal clair ne sera donné qu'à la cassure des niveaux clés (7 900 ou 8 450 FCFA).</w:t>
      </w:r>
    </w:p>
    <w:p>
      <w:pPr>
        <w:spacing w:after="120" w:line="276" w:lineRule="auto"/>
      </w:pPr>
      <w:r>
        <w:t>---</w:t>
      </w:r>
    </w:p>
    <w:p>
      <w:pPr>
        <w:spacing w:after="120" w:line="276" w:lineRule="auto"/>
      </w:pPr>
      <w:r>
        <w:t>### PARTIE 3 : ANALYSE FONDAMENTALE (SECTION CRITIQUE)</w:t>
      </w:r>
    </w:p>
    <w:p>
      <w:pPr>
        <w:spacing w:after="120" w:line="276" w:lineRule="auto"/>
      </w:pPr>
      <w:r>
        <w:t>En 2025, la SOGC affiche un chiffre d'affaires de 98,979 milliards FCFA, en hausse de 10,7% par rapport à 2024 (93,52 Mds FCFA). Le résultat net s'établit à 12,493 milliards FCFA, en léger repli de 5% par rapport à 2024 (13,11 Mds FCFA), mais la rentabilité reste excellente avec un ROE de 18,26% et un ROA de 13,84%. La marge nette ressort à 12,62%, en baisse par rapport aux 14% de 2024, impactée par une hausse de 15% des coûts des matières premières (coagulum). La structure financière est très saine avec une autonomie financière de 75,79% et une capacité de remboursement quasi nulle (0,04 an). Le BFR de 7,124 Mds FCFA est positif, mais la trésorerie nette de 4,575 Mds FCFA et un flux opérationnel de 22,644 Mds FCFA démontrent une excellente génération de cash. Les délais de paiement clients (29,6 jours) et fournisseurs (31,7 jours) sont équilibrés. Les rapports trimestriels 2025 (T1 à T3) montrent une décélération progressive : après un T1 exceptionnel (+63% de CA), le cumul 9 mois affiche une croissance de +21,3% avec un résultat net de 11,5 Mds FCFA. On estime que l'exercice 2026 devrait être plus difficile, la direction anticipant une concurrence accrue sur l'achat de matière première et une baisse des cours internationaux du caoutchouc. La société propose un dividende de 570 FCFA par action, soit un rendement élevé, mais un taux de distribution de 98,5% qui limite les capacités de réinvestissement.</w:t>
      </w:r>
    </w:p>
    <w:p>
      <w:pPr>
        <w:spacing w:after="120" w:line="276" w:lineRule="auto"/>
      </w:pPr>
      <w:r>
        <w:t>---</w:t>
      </w:r>
    </w:p>
    <w:p>
      <w:pPr>
        <w:spacing w:after="120" w:line="276" w:lineRule="auto"/>
      </w:pPr>
      <w:r>
        <w:t>### PARTIE 4 : CONCLUSION D'INVESTISSEMENT</w:t>
      </w:r>
    </w:p>
    <w:p>
      <w:pPr>
        <w:spacing w:after="120" w:line="276" w:lineRule="auto"/>
      </w:pPr>
      <w:r>
        <w:t>La valorisation de la SOGC (PER 14x, P/B 2,56x) est exigeante, intégrant une prime pour sa rentabilité passée, mais le marché semble anticiper une normalisation des bénéfices. Le comportement du cours sur 100 jours (-8%) et la volatilité élevée (36%) reflètent cette prudence. Les signaux techniques sont partagés, avec une tendance baissière de fond (MM, MACD) mais des indicateurs de momentum (RSI, Stochastique) suggérant un possible rebond technique. Fondamentalement, la société reste très solide avec un ROE de 18,26%, une trésorerie abondante et un endettement minime, mais les perspectives 2026 sont moins favorables en raison de la pression sur les marges. Les prédictions IA (8 121 à 8 171 FCFA sur 10 jours) suggèrent une stabilisation et un léger rebond, contredisant la tendance baissière mais en phase avec les signaux de rebond technique. En synthèse, la convergence entre une valorisation élevée, des fondamentaux solides mais en ralentissement, et des signaux techniques mixtes, nous amène à une recommandation **CONSERVER**. Le niveau de confiance est **Moyen**, le risque global est **Élevé** (volatilité des matières premières), et l'horizon d'investissement optimal est le **moyen terme (3-12 mois)**, en attendant de voir si la société parvient à stabiliser ses marges et à réinvestir une partie de ses bénéfices pour assurer sa croissance future.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194.24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4,560 titres</w:t>
            </w:r>
          </w:p>
        </w:tc>
        <w:tc>
          <w:tcPr>
            <w:tcW w:type="dxa" w:w="2268"/>
            <w:shd w:fill="FFF2CC" w:val="clear"/>
          </w:tcPr>
          <w:p>
            <w:r>
              <w:rPr>
                <w:b/>
                <w:color w:val="503200"/>
                <w:sz w:val="16"/>
              </w:rPr>
              <w:t xml:space="preserve">Cours actuel : </w:t>
            </w:r>
            <w:r>
              <w:rPr>
                <w:color w:val="000000"/>
                <w:sz w:val="17"/>
              </w:rPr>
              <w:t>7,600 FCFA</w:t>
            </w:r>
          </w:p>
          <w:p>
            <w:r>
              <w:rPr>
                <w:b/>
                <w:color w:val="503200"/>
                <w:sz w:val="16"/>
              </w:rPr>
              <w:t xml:space="preserve">Var. 100 jours : </w:t>
            </w:r>
            <w:r>
              <w:rPr>
                <w:b/>
                <w:color w:val="B40000"/>
                <w:sz w:val="17"/>
              </w:rPr>
              <w:t>-8.43%</w:t>
            </w:r>
          </w:p>
          <w:p>
            <w:r>
              <w:rPr>
                <w:b/>
                <w:color w:val="503200"/>
                <w:sz w:val="16"/>
              </w:rPr>
              <w:t xml:space="preserve">Plus haut 100j : </w:t>
            </w:r>
            <w:r>
              <w:rPr>
                <w:color w:val="000000"/>
                <w:sz w:val="17"/>
              </w:rPr>
              <w:t>8,435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5.09% (Moyenne) — μ=7,415 FCFA, σ=377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β=1.4037 (Agressif) — Cov=0.000051, Var(idx)=0.000036, ρ=0.332,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4,560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σ_j=2.55%/j (Stable) — Vol. annualisée≈40.4%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7,289</w:t>
            </w:r>
          </w:p>
        </w:tc>
        <w:tc>
          <w:tcPr>
            <w:tcW w:type="dxa" w:w="1440"/>
            <w:shd w:fill="FAFAFA" w:val="clear"/>
          </w:tcPr>
          <w:p>
            <w:r>
              <w:rPr>
                <w:b/>
                <w:sz w:val="17"/>
              </w:rPr>
              <w:t>7,553</w:t>
            </w:r>
          </w:p>
        </w:tc>
        <w:tc>
          <w:tcPr>
            <w:tcW w:type="dxa" w:w="1440"/>
            <w:shd w:fill="FAFAFA" w:val="clear"/>
          </w:tcPr>
          <w:p>
            <w:r>
              <w:rPr>
                <w:sz w:val="17"/>
              </w:rPr>
              <w:t>7,817</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7,169</w:t>
            </w:r>
          </w:p>
        </w:tc>
        <w:tc>
          <w:tcPr>
            <w:tcW w:type="dxa" w:w="1440"/>
            <w:shd w:fill="FAFAFA" w:val="clear"/>
          </w:tcPr>
          <w:p>
            <w:r>
              <w:rPr>
                <w:b/>
                <w:sz w:val="17"/>
              </w:rPr>
              <w:t>7,542</w:t>
            </w:r>
          </w:p>
        </w:tc>
        <w:tc>
          <w:tcPr>
            <w:tcW w:type="dxa" w:w="1440"/>
            <w:shd w:fill="FAFAFA" w:val="clear"/>
          </w:tcPr>
          <w:p>
            <w:r>
              <w:rPr>
                <w:sz w:val="17"/>
              </w:rPr>
              <w:t>7,915</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2026-08-12</w:t>
            </w:r>
          </w:p>
        </w:tc>
        <w:tc>
          <w:tcPr>
            <w:tcW w:type="dxa" w:w="1440"/>
            <w:shd w:fill="FAFAFA" w:val="clear"/>
          </w:tcPr>
          <w:p>
            <w:r>
              <w:rPr>
                <w:sz w:val="17"/>
              </w:rPr>
              <w:t>7,073</w:t>
            </w:r>
          </w:p>
        </w:tc>
        <w:tc>
          <w:tcPr>
            <w:tcW w:type="dxa" w:w="1440"/>
            <w:shd w:fill="FAFAFA" w:val="clear"/>
          </w:tcPr>
          <w:p>
            <w:r>
              <w:rPr>
                <w:b/>
                <w:sz w:val="17"/>
              </w:rPr>
              <w:t>7,529</w:t>
            </w:r>
          </w:p>
        </w:tc>
        <w:tc>
          <w:tcPr>
            <w:tcW w:type="dxa" w:w="1440"/>
            <w:shd w:fill="FAFAFA" w:val="clear"/>
          </w:tcPr>
          <w:p>
            <w:r>
              <w:rPr>
                <w:sz w:val="17"/>
              </w:rPr>
              <w:t>7,985</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6,991</w:t>
            </w:r>
          </w:p>
        </w:tc>
        <w:tc>
          <w:tcPr>
            <w:tcW w:type="dxa" w:w="1440"/>
            <w:shd w:fill="FAFAFA" w:val="clear"/>
          </w:tcPr>
          <w:p>
            <w:r>
              <w:rPr>
                <w:b/>
                <w:sz w:val="17"/>
              </w:rPr>
              <w:t>7,516</w:t>
            </w:r>
          </w:p>
        </w:tc>
        <w:tc>
          <w:tcPr>
            <w:tcW w:type="dxa" w:w="1440"/>
            <w:shd w:fill="FAFAFA" w:val="clear"/>
          </w:tcPr>
          <w:p>
            <w:r>
              <w:rPr>
                <w:sz w:val="17"/>
              </w:rPr>
              <w:t>8,042</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6,917</w:t>
            </w:r>
          </w:p>
        </w:tc>
        <w:tc>
          <w:tcPr>
            <w:tcW w:type="dxa" w:w="1440"/>
            <w:shd w:fill="FAFAFA" w:val="clear"/>
          </w:tcPr>
          <w:p>
            <w:r>
              <w:rPr>
                <w:b/>
                <w:sz w:val="17"/>
              </w:rPr>
              <w:t>7,504</w:t>
            </w:r>
          </w:p>
        </w:tc>
        <w:tc>
          <w:tcPr>
            <w:tcW w:type="dxa" w:w="1440"/>
            <w:shd w:fill="FAFAFA" w:val="clear"/>
          </w:tcPr>
          <w:p>
            <w:r>
              <w:rPr>
                <w:sz w:val="17"/>
              </w:rPr>
              <w:t>8,091</w:t>
            </w:r>
          </w:p>
        </w:tc>
        <w:tc>
          <w:tcPr>
            <w:tcW w:type="dxa" w:w="1440"/>
            <w:shd w:fill="FAFAFA" w:val="clear"/>
          </w:tcPr>
          <w:p>
            <w:r>
              <w:rPr>
                <w:b/>
                <w:color w:val="C00000"/>
                <w:sz w:val="17"/>
              </w:rPr>
              <w:t>-1.3%</w:t>
            </w:r>
          </w:p>
        </w:tc>
      </w:tr>
      <w:tr>
        <w:tc>
          <w:tcPr>
            <w:tcW w:type="dxa" w:w="1440"/>
            <w:shd w:fill="FAFAFA" w:val="clear"/>
          </w:tcPr>
          <w:p>
            <w:r>
              <w:rPr>
                <w:sz w:val="17"/>
              </w:rPr>
              <w:t>J+6  ⭐</w:t>
            </w:r>
          </w:p>
        </w:tc>
        <w:tc>
          <w:tcPr>
            <w:tcW w:type="dxa" w:w="1440"/>
            <w:shd w:fill="FAFAFA" w:val="clear"/>
          </w:tcPr>
          <w:p>
            <w:r>
              <w:rPr>
                <w:sz w:val="17"/>
              </w:rPr>
              <w:t>2026-08-17</w:t>
            </w:r>
          </w:p>
        </w:tc>
        <w:tc>
          <w:tcPr>
            <w:tcW w:type="dxa" w:w="1440"/>
            <w:shd w:fill="FAFAFA" w:val="clear"/>
          </w:tcPr>
          <w:p>
            <w:r>
              <w:rPr>
                <w:sz w:val="17"/>
              </w:rPr>
              <w:t>6,850</w:t>
            </w:r>
          </w:p>
        </w:tc>
        <w:tc>
          <w:tcPr>
            <w:tcW w:type="dxa" w:w="1440"/>
            <w:shd w:fill="FAFAFA" w:val="clear"/>
          </w:tcPr>
          <w:p>
            <w:r>
              <w:rPr>
                <w:b/>
                <w:sz w:val="17"/>
              </w:rPr>
              <w:t>7,491</w:t>
            </w:r>
          </w:p>
        </w:tc>
        <w:tc>
          <w:tcPr>
            <w:tcW w:type="dxa" w:w="1440"/>
            <w:shd w:fill="FAFAFA" w:val="clear"/>
          </w:tcPr>
          <w:p>
            <w:r>
              <w:rPr>
                <w:sz w:val="17"/>
              </w:rPr>
              <w:t>8,133</w:t>
            </w:r>
          </w:p>
        </w:tc>
        <w:tc>
          <w:tcPr>
            <w:tcW w:type="dxa" w:w="1440"/>
            <w:shd w:fill="FAFAFA" w:val="clear"/>
          </w:tcPr>
          <w:p>
            <w:r>
              <w:rPr>
                <w:b/>
                <w:color w:val="C00000"/>
                <w:sz w:val="17"/>
              </w:rPr>
              <w:t>-1.4%</w:t>
            </w:r>
          </w:p>
        </w:tc>
      </w:tr>
      <w:tr>
        <w:tc>
          <w:tcPr>
            <w:tcW w:type="dxa" w:w="1440"/>
            <w:shd w:fill="FAFAFA" w:val="clear"/>
          </w:tcPr>
          <w:p>
            <w:r>
              <w:rPr>
                <w:sz w:val="17"/>
              </w:rPr>
              <w:t>J+7  ⭐</w:t>
            </w:r>
          </w:p>
        </w:tc>
        <w:tc>
          <w:tcPr>
            <w:tcW w:type="dxa" w:w="1440"/>
            <w:shd w:fill="FAFAFA" w:val="clear"/>
          </w:tcPr>
          <w:p>
            <w:r>
              <w:rPr>
                <w:sz w:val="17"/>
              </w:rPr>
              <w:t>2026-08-18</w:t>
            </w:r>
          </w:p>
        </w:tc>
        <w:tc>
          <w:tcPr>
            <w:tcW w:type="dxa" w:w="1440"/>
            <w:shd w:fill="FAFAFA" w:val="clear"/>
          </w:tcPr>
          <w:p>
            <w:r>
              <w:rPr>
                <w:sz w:val="17"/>
              </w:rPr>
              <w:t>6,787</w:t>
            </w:r>
          </w:p>
        </w:tc>
        <w:tc>
          <w:tcPr>
            <w:tcW w:type="dxa" w:w="1440"/>
            <w:shd w:fill="FAFAFA" w:val="clear"/>
          </w:tcPr>
          <w:p>
            <w:r>
              <w:rPr>
                <w:b/>
                <w:sz w:val="17"/>
              </w:rPr>
              <w:t>7,479</w:t>
            </w:r>
          </w:p>
        </w:tc>
        <w:tc>
          <w:tcPr>
            <w:tcW w:type="dxa" w:w="1440"/>
            <w:shd w:fill="FAFAFA" w:val="clear"/>
          </w:tcPr>
          <w:p>
            <w:r>
              <w:rPr>
                <w:sz w:val="17"/>
              </w:rPr>
              <w:t>8,171</w:t>
            </w:r>
          </w:p>
        </w:tc>
        <w:tc>
          <w:tcPr>
            <w:tcW w:type="dxa" w:w="1440"/>
            <w:shd w:fill="FAFAFA" w:val="clear"/>
          </w:tcPr>
          <w:p>
            <w:r>
              <w:rPr>
                <w:b/>
                <w:color w:val="C00000"/>
                <w:sz w:val="17"/>
              </w:rPr>
              <w:t>-1.6%</w:t>
            </w:r>
          </w:p>
        </w:tc>
      </w:tr>
      <w:tr>
        <w:tc>
          <w:tcPr>
            <w:tcW w:type="dxa" w:w="1440"/>
            <w:shd w:fill="FAFAFA" w:val="clear"/>
          </w:tcPr>
          <w:p>
            <w:r>
              <w:rPr>
                <w:sz w:val="17"/>
              </w:rPr>
              <w:t>J+8  ⭐</w:t>
            </w:r>
          </w:p>
        </w:tc>
        <w:tc>
          <w:tcPr>
            <w:tcW w:type="dxa" w:w="1440"/>
            <w:shd w:fill="FAFAFA" w:val="clear"/>
          </w:tcPr>
          <w:p>
            <w:r>
              <w:rPr>
                <w:sz w:val="17"/>
              </w:rPr>
              <w:t>2026-08-19</w:t>
            </w:r>
          </w:p>
        </w:tc>
        <w:tc>
          <w:tcPr>
            <w:tcW w:type="dxa" w:w="1440"/>
            <w:shd w:fill="FAFAFA" w:val="clear"/>
          </w:tcPr>
          <w:p>
            <w:r>
              <w:rPr>
                <w:sz w:val="17"/>
              </w:rPr>
              <w:t>6,728</w:t>
            </w:r>
          </w:p>
        </w:tc>
        <w:tc>
          <w:tcPr>
            <w:tcW w:type="dxa" w:w="1440"/>
            <w:shd w:fill="FAFAFA" w:val="clear"/>
          </w:tcPr>
          <w:p>
            <w:r>
              <w:rPr>
                <w:b/>
                <w:sz w:val="17"/>
              </w:rPr>
              <w:t>7,467</w:t>
            </w:r>
          </w:p>
        </w:tc>
        <w:tc>
          <w:tcPr>
            <w:tcW w:type="dxa" w:w="1440"/>
            <w:shd w:fill="FAFAFA" w:val="clear"/>
          </w:tcPr>
          <w:p>
            <w:r>
              <w:rPr>
                <w:sz w:val="17"/>
              </w:rPr>
              <w:t>8,205</w:t>
            </w:r>
          </w:p>
        </w:tc>
        <w:tc>
          <w:tcPr>
            <w:tcW w:type="dxa" w:w="1440"/>
            <w:shd w:fill="FAFAFA" w:val="clear"/>
          </w:tcPr>
          <w:p>
            <w:r>
              <w:rPr>
                <w:b/>
                <w:color w:val="C00000"/>
                <w:sz w:val="17"/>
              </w:rPr>
              <w:t>-1.8%</w:t>
            </w:r>
          </w:p>
        </w:tc>
      </w:tr>
      <w:tr>
        <w:tc>
          <w:tcPr>
            <w:tcW w:type="dxa" w:w="1440"/>
            <w:shd w:fill="FAFAFA" w:val="clear"/>
          </w:tcPr>
          <w:p>
            <w:r>
              <w:rPr>
                <w:sz w:val="17"/>
              </w:rPr>
              <w:t>J+9  ⭐</w:t>
            </w:r>
          </w:p>
        </w:tc>
        <w:tc>
          <w:tcPr>
            <w:tcW w:type="dxa" w:w="1440"/>
            <w:shd w:fill="FAFAFA" w:val="clear"/>
          </w:tcPr>
          <w:p>
            <w:r>
              <w:rPr>
                <w:sz w:val="17"/>
              </w:rPr>
              <w:t>2026-08-20</w:t>
            </w:r>
          </w:p>
        </w:tc>
        <w:tc>
          <w:tcPr>
            <w:tcW w:type="dxa" w:w="1440"/>
            <w:shd w:fill="FAFAFA" w:val="clear"/>
          </w:tcPr>
          <w:p>
            <w:r>
              <w:rPr>
                <w:sz w:val="17"/>
              </w:rPr>
              <w:t>6,672</w:t>
            </w:r>
          </w:p>
        </w:tc>
        <w:tc>
          <w:tcPr>
            <w:tcW w:type="dxa" w:w="1440"/>
            <w:shd w:fill="FAFAFA" w:val="clear"/>
          </w:tcPr>
          <w:p>
            <w:r>
              <w:rPr>
                <w:b/>
                <w:sz w:val="17"/>
              </w:rPr>
              <w:t>7,454</w:t>
            </w:r>
          </w:p>
        </w:tc>
        <w:tc>
          <w:tcPr>
            <w:tcW w:type="dxa" w:w="1440"/>
            <w:shd w:fill="FAFAFA" w:val="clear"/>
          </w:tcPr>
          <w:p>
            <w:r>
              <w:rPr>
                <w:sz w:val="17"/>
              </w:rPr>
              <w:t>8,236</w:t>
            </w:r>
          </w:p>
        </w:tc>
        <w:tc>
          <w:tcPr>
            <w:tcW w:type="dxa" w:w="1440"/>
            <w:shd w:fill="FAFAFA" w:val="clear"/>
          </w:tcPr>
          <w:p>
            <w:r>
              <w:rPr>
                <w:b/>
                <w:color w:val="C00000"/>
                <w:sz w:val="17"/>
              </w:rPr>
              <w:t>-1.9%</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6,619</w:t>
            </w:r>
          </w:p>
        </w:tc>
        <w:tc>
          <w:tcPr>
            <w:tcW w:type="dxa" w:w="1440"/>
            <w:shd w:fill="FFDCE0" w:val="clear"/>
          </w:tcPr>
          <w:p>
            <w:r>
              <w:rPr>
                <w:b/>
                <w:sz w:val="17"/>
              </w:rPr>
              <w:t>7,442</w:t>
            </w:r>
          </w:p>
        </w:tc>
        <w:tc>
          <w:tcPr>
            <w:tcW w:type="dxa" w:w="1440"/>
            <w:shd w:fill="FFDCE0" w:val="clear"/>
          </w:tcPr>
          <w:p>
            <w:r>
              <w:rPr>
                <w:sz w:val="17"/>
              </w:rPr>
              <w:t>8,265</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SPHC s'établit à 194,24 milliards FCFA, un niveau qui la positionne parmi les valeurs moyennes à grandes capitalisations de la BRVM, lui conférant une liquidité potentielle appréciable. Avec un BPA de 977 FCFA, chaque action génère un bénéfice substantiel, ce qui justifie un PER de 7,8x, nettement inférieur à la moyenne du marché (8-12x), signalant une sous-évaluation relative du titre. Le P/B de 1,41x indique que le marché valorise la société à 41% au-dessus de sa valeur comptable, une prime raisonnable pour une entreprise aussi rentable. Enfin, l'EV/EBITDA de 4,9x, inférieur à 5x, confirme que la valeur totale de l'entreprise (dette incluse) reste très bon marché par rapport à sa capacité opérationnelle, renforçant l'attrait du dossier pour un investisseur value.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SPHC a enregistré une baisse de 8,43%, avec une dernière séance stable (+0,00%) à 7 600 FCFA. Le cours a évolué dans un range de 6 720 à 8 435 FCFA, montrant une amplitude de plus de 25% entre le plus haut et le plus bas, ce qui traduit une volatilité intra-période significative. La moyenne (7 415 FCFA) et la médiane (7 400 FCFA) étant très proches, la distribution des prix est quasi symétrique, bien que le mode (7 600 FCFA) suggère une accumulation autour du prix actuel. L'écart-type de 379 FCFA (CV=5,1%) indique une dispersion modérée des cours autour de la moyenne. Le kurtosis de 0,620 (mésokurtique) suggère une distribution proche de la normale, sans risque de pics extrêmes, tandis que le skewness positif de 0,659 révèle une asymétrie avec plus de journées sous la moyenne, typique d'une phase de consolidation baissière. La volatilité annualisée de 40,4% classe le titre comme très volatil, un niveau élevé qui exige une gestion de risque rigoureuse.</w:t>
      </w:r>
    </w:p>
    <w:p>
      <w:pPr>
        <w:spacing w:after="120" w:line="276" w:lineRule="auto" w:before="240"/>
      </w:pPr>
      <w:r>
        <w:rPr>
          <w:b/>
          <w:color w:val="003366"/>
          <w:sz w:val="24"/>
        </w:rPr>
        <w:t>**PARTIE 2 : ANALYSE TECHNIQUE DÉTAILLÉE**</w:t>
      </w:r>
    </w:p>
    <w:p>
      <w:pPr>
        <w:spacing w:after="120" w:line="276" w:lineRule="auto"/>
      </w:pPr>
      <w:r>
        <w:t>**Moyennes Mobiles**: Le cours actuel (7 600 FCFA) se situe au-dessus de la MM20 (7 487,75 FCFA) mais en dessous de la MM50 (7 557,2 FCFA). Cette configuration, où le prix est sous la moyenne à long terme mais au-dessus de la moyenne à court terme, indique une tendance baissière de fond avec un rebond technique récent. La décision de "Vente" est justifiée par la persistance du cours sous la MM50, signalant que la tendance de moyen terme reste négative.</w:t>
      </w:r>
    </w:p>
    <w:p>
      <w:pPr>
        <w:spacing w:after="120" w:line="276" w:lineRule="auto"/>
      </w:pPr>
      <w:r>
        <w:t>**Bandes de Bollinger**: Le prix (7 600 FCFA) se positionne dans la partie supérieure du canal, proche de la borne haute (7 663,95 FCFA) et nettement au-dessus de la borne inférieure (7 311,55 FCFA). La largeur des bandes reflète la volatilité élevée du titre. La décision "Neutre" est cohérente : le cours n'est ni en situation de surachat extrême ni de survente, mais la proximité de la borne supérieure pourrait limiter le potentiel de hausse à court terme.</w:t>
      </w:r>
    </w:p>
    <w:p>
      <w:pPr>
        <w:spacing w:after="120" w:line="276" w:lineRule="auto"/>
      </w:pPr>
      <w:r>
        <w:t>**MACD**: Avec une valeur de 0,903 et un signal à -12,612, le MACD a franchi sa ligne de signal à la hausse, générant un croisement haussier. Cette divergence positive indique un momentum en amélioration, suggérant que la pression vendeuse s'estompe. La décision "Achat" est justifiée par ce croisement, qui précède souvent un retournement de tendance, bien que la faiblesse du signal (-12,612) indique que la dynamique reste fragile.</w:t>
      </w:r>
    </w:p>
    <w:p>
      <w:pPr>
        <w:spacing w:after="120" w:line="276" w:lineRule="auto"/>
      </w:pPr>
      <w:r>
        <w:t>**RSI**: Le RSI à 54,63 se situe dans la zone neutre (30-70), sans signal de surachat ni de survente. Cette valeur reflète un équilibre entre acheteurs et vendeurs, avec une légère prédominance des acheteurs. La décision "Neutre" est appropriée, car le RSI n'atteint pas les seuils extrêmes qui déclencheraient des signaux plus forts.</w:t>
      </w:r>
    </w:p>
    <w:p>
      <w:pPr>
        <w:spacing w:after="120" w:line="276" w:lineRule="auto"/>
      </w:pPr>
      <w:r>
        <w:t>**Stochastique**: Le %K à 100,0 et le %D à 92,222 indiquent une condition de surachat extrême. Le %K a atteint sa valeur maximale, signalant que le prix a clôturé au plus haut de sa période de référence. La décision "Vente" est justifiée par ce niveau extrême, qui suggère un risque élevé de correction technique à très court terme.</w:t>
      </w:r>
    </w:p>
    <w:p>
      <w:pPr>
        <w:spacing w:after="120" w:line="276" w:lineRule="auto"/>
      </w:pPr>
      <w:r>
        <w:t>**Conclusion technique**: La convergence des signaux est mitigée : le MACD est haussier, le RSI et les bandes de Bollinger sont neutres, tandis que les moyennes mobiles et le stochastique sont vendeurs. Cette divergence indique un marché en transition, avec un momentum positif naissant mais une tendance de fond encore baissière. Le stochastique suracheté suggère un repli imminent, mais le MACD positif pourrait limiter l'amplitude de la correction.</w:t>
      </w:r>
    </w:p>
    <w:p>
      <w:pPr>
        <w:spacing w:after="120" w:line="276" w:lineRule="auto" w:before="240"/>
      </w:pPr>
      <w:r>
        <w:rPr>
          <w:b/>
          <w:color w:val="003366"/>
          <w:sz w:val="24"/>
        </w:rPr>
        <w:t>**PARTIE 3 : ANALYSE FONDAMENTALE (SECTION CRITIQUE)**</w:t>
      </w:r>
    </w:p>
    <w:p>
      <w:pPr>
        <w:spacing w:after="120" w:line="276" w:lineRule="auto"/>
      </w:pPr>
      <w:r>
        <w:t>En 2025, SPHC a réalisé un chiffre d'affaires de 340,83 milliards FCFA, en hausse de 22% par rapport à 2024 (279,44 milliards FCFA), avec un résultat net de 24,97 milliards FCFA (+32,9%). La marge nette s'établit à 7,33%, le ROE à 18,10% et le ROA à 11,06%, des niveaux excellents qui témoignent d'une gestion efficiente. Le BFR de 65,39 milliards FCFA (positif) et les délais clients de 35 jours sont des points de vigilance, mais la solvabilité générale de 256,9% et l'autonomie financière de 61,1% rassurent sur la solidité du bilan. Les rapports trimestriels confirment cette dynamique : le T1 2025 affichait un CA de 94,3 milliards (+72%) et un résultat net de 11,8 milliards (+949%), le S1 2025 un CA de 171,4 milliards (+51%) et un résultat net de 18,1 milliards (+449%), et le T3 2025 un CA de 253,7 milliards (+36%) avec un résultat net de 23,15 milliards (+131%). Cependant, le rapport T1 2026 (daté de 2026) révèle un net ralentissement : CA de 71,8 milliards (-24%) et résultat net de 2,63 milliards (-78%), pénalisés par la chute des cours mondiaux du caoutchouc et la concurrence sur la matière première. Sur la base de ce T1 2026, on estime que l'exercice 2026 pourrait voir un CA autour de 290-300 milliards et un résultat net de 10-12 milliards, soit une baisse significative par rapport à 2025, mais le désendettement progressif et la reprise des cours SICOM 20 offrent des perspectives de stabilisation. La recommandation fondamentale reste "Conserver", compte tenu de la solidité financière mais des risques sectoriels persistants.</w:t>
      </w:r>
    </w:p>
    <w:p>
      <w:pPr>
        <w:spacing w:after="120" w:line="276" w:lineRule="auto" w:before="240"/>
      </w:pPr>
      <w:r>
        <w:rPr>
          <w:b/>
          <w:color w:val="003366"/>
          <w:sz w:val="24"/>
        </w:rPr>
        <w:t>**PARTIE 4 : CONCLUSION D'INVESTISSEMENT**</w:t>
      </w:r>
    </w:p>
    <w:p>
      <w:pPr>
        <w:spacing w:after="120" w:line="276" w:lineRule="auto"/>
      </w:pPr>
      <w:r>
        <w:t>La valorisation de SPHC est attractive (PER 7,8x, EV/EBITDA 4,9x, P/B 1,41x), indiquant une sous-évaluation par rapport aux fondamentaux solides de 2025, mais le comportement du cours sur 100 jours (-8,43%) et la volatilité élevée (40,4%) reflètent l'incertitude du marché. Les signaux techniques sont mitigés : le MACD est haussier, mais les moyennes mobiles et le stochastique suracheté suggèrent une prudence à court terme. Les fondamentaux montrent une entreprise rentable (ROE 18,1%) mais confrontée à un ralentissement en 2026 (T1 : -78% de résultat net), avec une trésorerie nette négative (-15,4 milliards) et une dépendance aux cours du caoutchouc. Les prédictions IA (7 553 à 7 504 FCFA sur 10 jours) indiquent une légère baisse, confirmant la faiblesse technique. En synthèse, la convergence entre valorisation bon marché et fondamentaux historiquement solides plaide pour une position de long terme, mais la divergence avec les signaux techniques et la détérioration conjoncturelle justifient une approche prudente. **Recommandation finale : CONSERVER**, avec un niveau de confiance **Moyen** et un risque global **Élevé**. L'horizon d'investissement optimal est le **moyen terme (3-12 mois)**, en attendant la confirmation d'une reprise des cours du caoutchouc et une amélioration de la trésorerie.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35.95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6,492 titres</w:t>
            </w:r>
          </w:p>
        </w:tc>
        <w:tc>
          <w:tcPr>
            <w:tcW w:type="dxa" w:w="2268"/>
            <w:shd w:fill="FFF2CC" w:val="clear"/>
          </w:tcPr>
          <w:p>
            <w:r>
              <w:rPr>
                <w:b/>
                <w:color w:val="503200"/>
                <w:sz w:val="16"/>
              </w:rPr>
              <w:t xml:space="preserve">Cours actuel : </w:t>
            </w:r>
            <w:r>
              <w:rPr>
                <w:color w:val="000000"/>
                <w:sz w:val="17"/>
              </w:rPr>
              <w:t>2,675 FCFA</w:t>
            </w:r>
          </w:p>
          <w:p>
            <w:r>
              <w:rPr>
                <w:b/>
                <w:color w:val="503200"/>
                <w:sz w:val="16"/>
              </w:rPr>
              <w:t xml:space="preserve">Var. 100 jours : </w:t>
            </w:r>
            <w:r>
              <w:rPr>
                <w:b/>
                <w:color w:val="007800"/>
                <w:sz w:val="17"/>
              </w:rPr>
              <w:t>+22.15%</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2,190 FCFA</w:t>
            </w:r>
          </w:p>
          <w:p>
            <w:r>
              <w:rPr>
                <w:b/>
                <w:color w:val="503200"/>
                <w:sz w:val="16"/>
              </w:rPr>
              <w:t xml:space="preserve">Volatilité ann. : </w:t>
            </w:r>
            <w:r>
              <w:rPr>
                <w:color w:val="000000"/>
                <w:sz w:val="17"/>
              </w:rPr>
              <w:t>72.8%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12.20% (Moyenne) — μ=3,017 FCFA, σ=368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β=-1.1200 (Contre-cyclique) — Cov=-0.000041, Var(idx)=0.000036, ρ=-0.147,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6,492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σ_j=4.59%/j (Modérée) — Vol. annualisée≈72.8%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2,361</w:t>
            </w:r>
          </w:p>
        </w:tc>
        <w:tc>
          <w:tcPr>
            <w:tcW w:type="dxa" w:w="1440"/>
            <w:shd w:fill="FFDCE0" w:val="clear"/>
          </w:tcPr>
          <w:p>
            <w:r>
              <w:rPr>
                <w:b/>
                <w:sz w:val="17"/>
              </w:rPr>
              <w:t>2,489</w:t>
            </w:r>
          </w:p>
        </w:tc>
        <w:tc>
          <w:tcPr>
            <w:tcW w:type="dxa" w:w="1440"/>
            <w:shd w:fill="FFDCE0" w:val="clear"/>
          </w:tcPr>
          <w:p>
            <w:r>
              <w:rPr>
                <w:sz w:val="17"/>
              </w:rPr>
              <w:t>2,617</w:t>
            </w:r>
          </w:p>
        </w:tc>
        <w:tc>
          <w:tcPr>
            <w:tcW w:type="dxa" w:w="1440"/>
            <w:shd w:fill="FFDCE0" w:val="clear"/>
          </w:tcPr>
          <w:p>
            <w:r>
              <w:rPr>
                <w:b/>
                <w:color w:val="C00000"/>
                <w:sz w:val="17"/>
              </w:rPr>
              <w:t>-7.0%</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2,160</w:t>
            </w:r>
          </w:p>
        </w:tc>
        <w:tc>
          <w:tcPr>
            <w:tcW w:type="dxa" w:w="1440"/>
            <w:shd w:fill="FFDCE0" w:val="clear"/>
          </w:tcPr>
          <w:p>
            <w:r>
              <w:rPr>
                <w:b/>
                <w:sz w:val="17"/>
              </w:rPr>
              <w:t>2,330</w:t>
            </w:r>
          </w:p>
        </w:tc>
        <w:tc>
          <w:tcPr>
            <w:tcW w:type="dxa" w:w="1440"/>
            <w:shd w:fill="FFDCE0" w:val="clear"/>
          </w:tcPr>
          <w:p>
            <w:r>
              <w:rPr>
                <w:sz w:val="17"/>
              </w:rPr>
              <w:t>2,499</w:t>
            </w:r>
          </w:p>
        </w:tc>
        <w:tc>
          <w:tcPr>
            <w:tcW w:type="dxa" w:w="1440"/>
            <w:shd w:fill="FFDCE0" w:val="clear"/>
          </w:tcPr>
          <w:p>
            <w:r>
              <w:rPr>
                <w:b/>
                <w:color w:val="C00000"/>
                <w:sz w:val="17"/>
              </w:rPr>
              <w:t>-12.9%</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1,978</w:t>
            </w:r>
          </w:p>
        </w:tc>
        <w:tc>
          <w:tcPr>
            <w:tcW w:type="dxa" w:w="1440"/>
            <w:shd w:fill="FFDCE0" w:val="clear"/>
          </w:tcPr>
          <w:p>
            <w:r>
              <w:rPr>
                <w:b/>
                <w:sz w:val="17"/>
              </w:rPr>
              <w:t>2,171</w:t>
            </w:r>
          </w:p>
        </w:tc>
        <w:tc>
          <w:tcPr>
            <w:tcW w:type="dxa" w:w="1440"/>
            <w:shd w:fill="FFDCE0" w:val="clear"/>
          </w:tcPr>
          <w:p>
            <w:r>
              <w:rPr>
                <w:sz w:val="17"/>
              </w:rPr>
              <w:t>2,365</w:t>
            </w:r>
          </w:p>
        </w:tc>
        <w:tc>
          <w:tcPr>
            <w:tcW w:type="dxa" w:w="1440"/>
            <w:shd w:fill="FFDCE0" w:val="clear"/>
          </w:tcPr>
          <w:p>
            <w:r>
              <w:rPr>
                <w:b/>
                <w:color w:val="C00000"/>
                <w:sz w:val="17"/>
              </w:rPr>
              <w:t>-18.8%</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1,824</w:t>
            </w:r>
          </w:p>
        </w:tc>
        <w:tc>
          <w:tcPr>
            <w:tcW w:type="dxa" w:w="1440"/>
            <w:shd w:fill="FFDCE0" w:val="clear"/>
          </w:tcPr>
          <w:p>
            <w:r>
              <w:rPr>
                <w:b/>
                <w:sz w:val="17"/>
              </w:rPr>
              <w:t>2,033</w:t>
            </w:r>
          </w:p>
        </w:tc>
        <w:tc>
          <w:tcPr>
            <w:tcW w:type="dxa" w:w="1440"/>
            <w:shd w:fill="FFDCE0" w:val="clear"/>
          </w:tcPr>
          <w:p>
            <w:r>
              <w:rPr>
                <w:sz w:val="17"/>
              </w:rPr>
              <w:t>2,242</w:t>
            </w:r>
          </w:p>
        </w:tc>
        <w:tc>
          <w:tcPr>
            <w:tcW w:type="dxa" w:w="1440"/>
            <w:shd w:fill="FFDCE0" w:val="clear"/>
          </w:tcPr>
          <w:p>
            <w:r>
              <w:rPr>
                <w:b/>
                <w:color w:val="C00000"/>
                <w:sz w:val="17"/>
              </w:rPr>
              <w:t>-24.0%</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1,698</w:t>
            </w:r>
          </w:p>
        </w:tc>
        <w:tc>
          <w:tcPr>
            <w:tcW w:type="dxa" w:w="1440"/>
            <w:shd w:fill="FFDCE0" w:val="clear"/>
          </w:tcPr>
          <w:p>
            <w:r>
              <w:rPr>
                <w:b/>
                <w:sz w:val="17"/>
              </w:rPr>
              <w:t>1,919</w:t>
            </w:r>
          </w:p>
        </w:tc>
        <w:tc>
          <w:tcPr>
            <w:tcW w:type="dxa" w:w="1440"/>
            <w:shd w:fill="FFDCE0" w:val="clear"/>
          </w:tcPr>
          <w:p>
            <w:r>
              <w:rPr>
                <w:sz w:val="17"/>
              </w:rPr>
              <w:t>2,140</w:t>
            </w:r>
          </w:p>
        </w:tc>
        <w:tc>
          <w:tcPr>
            <w:tcW w:type="dxa" w:w="1440"/>
            <w:shd w:fill="FFDCE0" w:val="clear"/>
          </w:tcPr>
          <w:p>
            <w:r>
              <w:rPr>
                <w:b/>
                <w:color w:val="C00000"/>
                <w:sz w:val="17"/>
              </w:rPr>
              <w:t>-28.3%</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1,596</w:t>
            </w:r>
          </w:p>
        </w:tc>
        <w:tc>
          <w:tcPr>
            <w:tcW w:type="dxa" w:w="1440"/>
            <w:shd w:fill="FFDCE0" w:val="clear"/>
          </w:tcPr>
          <w:p>
            <w:r>
              <w:rPr>
                <w:b/>
                <w:sz w:val="17"/>
              </w:rPr>
              <w:t>1,827</w:t>
            </w:r>
          </w:p>
        </w:tc>
        <w:tc>
          <w:tcPr>
            <w:tcW w:type="dxa" w:w="1440"/>
            <w:shd w:fill="FFDCE0" w:val="clear"/>
          </w:tcPr>
          <w:p>
            <w:r>
              <w:rPr>
                <w:sz w:val="17"/>
              </w:rPr>
              <w:t>2,057</w:t>
            </w:r>
          </w:p>
        </w:tc>
        <w:tc>
          <w:tcPr>
            <w:tcW w:type="dxa" w:w="1440"/>
            <w:shd w:fill="FFDCE0" w:val="clear"/>
          </w:tcPr>
          <w:p>
            <w:r>
              <w:rPr>
                <w:b/>
                <w:color w:val="C00000"/>
                <w:sz w:val="17"/>
              </w:rPr>
              <w:t>-31.7%</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1,514</w:t>
            </w:r>
          </w:p>
        </w:tc>
        <w:tc>
          <w:tcPr>
            <w:tcW w:type="dxa" w:w="1440"/>
            <w:shd w:fill="FFDCE0" w:val="clear"/>
          </w:tcPr>
          <w:p>
            <w:r>
              <w:rPr>
                <w:b/>
                <w:sz w:val="17"/>
              </w:rPr>
              <w:t>1,752</w:t>
            </w:r>
          </w:p>
        </w:tc>
        <w:tc>
          <w:tcPr>
            <w:tcW w:type="dxa" w:w="1440"/>
            <w:shd w:fill="FFDCE0" w:val="clear"/>
          </w:tcPr>
          <w:p>
            <w:r>
              <w:rPr>
                <w:sz w:val="17"/>
              </w:rPr>
              <w:t>1,991</w:t>
            </w:r>
          </w:p>
        </w:tc>
        <w:tc>
          <w:tcPr>
            <w:tcW w:type="dxa" w:w="1440"/>
            <w:shd w:fill="FFDCE0" w:val="clear"/>
          </w:tcPr>
          <w:p>
            <w:r>
              <w:rPr>
                <w:b/>
                <w:color w:val="C00000"/>
                <w:sz w:val="17"/>
              </w:rPr>
              <w:t>-34.5%</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1,445</w:t>
            </w:r>
          </w:p>
        </w:tc>
        <w:tc>
          <w:tcPr>
            <w:tcW w:type="dxa" w:w="1440"/>
            <w:shd w:fill="FFDCE0" w:val="clear"/>
          </w:tcPr>
          <w:p>
            <w:r>
              <w:rPr>
                <w:b/>
                <w:sz w:val="17"/>
              </w:rPr>
              <w:t>1,692</w:t>
            </w:r>
          </w:p>
        </w:tc>
        <w:tc>
          <w:tcPr>
            <w:tcW w:type="dxa" w:w="1440"/>
            <w:shd w:fill="FFDCE0" w:val="clear"/>
          </w:tcPr>
          <w:p>
            <w:r>
              <w:rPr>
                <w:sz w:val="17"/>
              </w:rPr>
              <w:t>1,938</w:t>
            </w:r>
          </w:p>
        </w:tc>
        <w:tc>
          <w:tcPr>
            <w:tcW w:type="dxa" w:w="1440"/>
            <w:shd w:fill="FFDCE0" w:val="clear"/>
          </w:tcPr>
          <w:p>
            <w:r>
              <w:rPr>
                <w:b/>
                <w:color w:val="C00000"/>
                <w:sz w:val="17"/>
              </w:rPr>
              <w:t>-36.8%</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1,387</w:t>
            </w:r>
          </w:p>
        </w:tc>
        <w:tc>
          <w:tcPr>
            <w:tcW w:type="dxa" w:w="1440"/>
            <w:shd w:fill="FFDCE0" w:val="clear"/>
          </w:tcPr>
          <w:p>
            <w:r>
              <w:rPr>
                <w:b/>
                <w:sz w:val="17"/>
              </w:rPr>
              <w:t>1,641</w:t>
            </w:r>
          </w:p>
        </w:tc>
        <w:tc>
          <w:tcPr>
            <w:tcW w:type="dxa" w:w="1440"/>
            <w:shd w:fill="FFDCE0" w:val="clear"/>
          </w:tcPr>
          <w:p>
            <w:r>
              <w:rPr>
                <w:sz w:val="17"/>
              </w:rPr>
              <w:t>1,894</w:t>
            </w:r>
          </w:p>
        </w:tc>
        <w:tc>
          <w:tcPr>
            <w:tcW w:type="dxa" w:w="1440"/>
            <w:shd w:fill="FFDCE0" w:val="clear"/>
          </w:tcPr>
          <w:p>
            <w:r>
              <w:rPr>
                <w:b/>
                <w:color w:val="C00000"/>
                <w:sz w:val="17"/>
              </w:rPr>
              <w:t>-38.7%</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1,337</w:t>
            </w:r>
          </w:p>
        </w:tc>
        <w:tc>
          <w:tcPr>
            <w:tcW w:type="dxa" w:w="1440"/>
            <w:shd w:fill="FFDCE0" w:val="clear"/>
          </w:tcPr>
          <w:p>
            <w:r>
              <w:rPr>
                <w:b/>
                <w:sz w:val="17"/>
              </w:rPr>
              <w:t>1,597</w:t>
            </w:r>
          </w:p>
        </w:tc>
        <w:tc>
          <w:tcPr>
            <w:tcW w:type="dxa" w:w="1440"/>
            <w:shd w:fill="FFDCE0" w:val="clear"/>
          </w:tcPr>
          <w:p>
            <w:r>
              <w:rPr>
                <w:sz w:val="17"/>
              </w:rPr>
              <w:t>1,857</w:t>
            </w:r>
          </w:p>
        </w:tc>
        <w:tc>
          <w:tcPr>
            <w:tcW w:type="dxa" w:w="1440"/>
            <w:shd w:fill="FFDCE0" w:val="clear"/>
          </w:tcPr>
          <w:p>
            <w:r>
              <w:rPr>
                <w:b/>
                <w:color w:val="C00000"/>
                <w:sz w:val="17"/>
              </w:rPr>
              <w:t>-40.3%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w:t>
        <w:br/>
        <w:t>**Bourse Régionale des Valeurs Mobilières (BRVM)**</w:t>
        <w:br/>
        <w:t>**Date du rapport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35,95 milliards FCFA, un niveau significatif sur la BRVM qui témoigne d'un intérêt soutenu du marché malgré des fondamentaux dégradés. Le BPA est négatif à -7 FCFA, reflétant la perte nette de l'exercice, ce qui rend le PER non pertinent (-372,3x) et signale une absence totale de rentabilité pour l'actionnaire. Le P/B de 100,78x est extrêmement élevé, indiquant que le marché valorise l'actif net comptable à une prime considérable, une situation spéculative qui ne repose pas sur la valeur patrimoniale réelle de la société. En l'absence de données sur l'EBITDA dans les ratios fournis, le ratio EV/EBITDA ne peut être calculé, mais la capitalisation actuelle semble déconnectée des performances opérationnelles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STAC affiche une variation totale de +22,15%, avec une légère baisse de -0,56% lors de la dernière séance, clôturant à 2 675 FCFA. Le cours a évolué dans une fourchette très large, entre un plus bas de 2 190 FCFA et un plus haut de 3 895 FCFA, illustrant une volatilité extrême. La moyenne (3 017 FCFA) est proche de la médiane (2 990 FCFA), et le skewness de 0,055 confirme une distribution quasi symétrique, tandis que le kurtosis de -0,620 indique une distribution mésokurtique, sans risque de pics excessifs. L'écart-type de 370 FCFA (CV=12,3%) montre une dispersion modérée autour de la moyenne, mais la volatilité annualisée de 72,8% est très élevée, classant le titre comme extrêmement risqué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(2 675 FCFA) est inférieur à la MM20 (2 954,5 FCFA) et à la MM50 (3 169,1 FCFA), confirmant une tendance baissière à court et moyen terme. La décision de Vente est justifiée par la position du prix sous les deux moyennes, signalant une pression vendeuse persistante.</w:t>
      </w:r>
    </w:p>
    <w:p>
      <w:pPr>
        <w:spacing w:after="120" w:line="276" w:lineRule="auto"/>
      </w:pPr>
      <w:r>
        <w:t>**Bandes de Bollinger :** Le prix se situe près de la borne inférieure (2 552,98 FCFA) et nettement sous la borne supérieure (3 356,02 FCFA), indiquant une volatilité en expansion et un marché baissier. La décision Neutre reflète une situation où le cours teste des niveaux de support, sans signal clair de retournement.</w:t>
      </w:r>
    </w:p>
    <w:p>
      <w:pPr>
        <w:spacing w:after="120" w:line="276" w:lineRule="auto"/>
      </w:pPr>
      <w:r>
        <w:t>**MACD :** La valeur du MACD (-143,76) est inférieure à son signal (-121,29), confirmant un momentum négatif. La décision de Vente est cohérente avec la divergence baissière, suggérant une poursuite probable de la tendance à la baisse.</w:t>
      </w:r>
    </w:p>
    <w:p>
      <w:pPr>
        <w:spacing w:after="120" w:line="276" w:lineRule="auto"/>
      </w:pPr>
      <w:r>
        <w:t>**RSI :** À 27,83, le RSI est en zone de survente (&lt;30), indiquant que le titre est techniquement survendu. La décision d'Achat suggère un potentiel de rebond technique à court terme, mais ce signal doit être confirmé par d'autres indicateurs.</w:t>
      </w:r>
    </w:p>
    <w:p>
      <w:pPr>
        <w:spacing w:after="120" w:line="276" w:lineRule="auto"/>
      </w:pPr>
      <w:r>
        <w:t>**Stochastique :** Le %K à 0,0 et le %D à 8,41 sont en zone de survente extrême, renforçant le signal d'Achat. Le croisement potentiel des lignes pourrait indiquer un début de retournement, mais la faiblesse du %K suggère une prudence.</w:t>
      </w:r>
    </w:p>
    <w:p>
      <w:pPr>
        <w:spacing w:after="120" w:line="276" w:lineRule="auto"/>
      </w:pPr>
      <w:r>
        <w:t>**Conclusion technique :** Les indicateurs sont mitigés, avec une majorité de signaux de Vente (MM, MACD) contre des signaux d'Achat (RSI, Stochastique). La tendance globale reste baissière, mais les conditions de survente pourraient déclencher un rebond technique temporaire. La prudence est recommandée.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révèlent une situation financière préoccupante pour STAC. Le chiffre d'affaires s'établit à 3,878 milliards FCFA, mais le résultat net est une perte de -96,56 millions FCFA, avec un ROE de -27,07% et un ROA de -1,77%, indiquant une rentabilité très négative. Le BFR est négatif à -930,47 millions FCFA, ce qui est favorable pour une entreprise, mais la dépendance financière est élevée à 129,87%, et l'autonomie financière est faible à 6,55%, signalant une structure financière fragile. Les rapports trimestriels de 2025 montrent une reprise d'activité : le CA du S1 2025 atteint 2 271 millions FCFA (+290% vs S1 2024), et le cumul 9 mois est de 3 456 millions FCFA (+176%), porté par le projet de l'aéroport d'Abidjan. Cependant, la perte nette de 477 millions FCFA sur 9 mois, bien qu'en amélioration de 22%, reste élevée. Sur la base de ces tendances, on estime que l'exercice 2025 devrait générer un CA proche de 4 milliards FCFA, mais la rentabilité opérationnelle restera négative, avec un résultat net estimé autour de -500 millions FCFA. Les rapports de 2024 (ETATS FINANCIERS 2024) montrent un CA de 1 793 millions FCFA et une perte de 348 millions FCFA, illustrant une amélioration progressive mais insuffisante. La recommandation fondamentale est de rester prudent, car la société dépend d'un seul grand projet et sa structure de coûts reste inadaptée.</w:t>
      </w:r>
    </w:p>
    <w:p>
      <w:pPr>
        <w:spacing w:after="120" w:line="276" w:lineRule="auto"/>
      </w:pPr>
      <w:r>
        <w:t>---</w:t>
      </w:r>
    </w:p>
    <w:p>
      <w:pPr>
        <w:spacing w:after="120" w:line="276" w:lineRule="auto"/>
      </w:pPr>
      <w:r>
        <w:t>### PARTIE 4 : CONCLUSION D'INVESTISSEMENT</w:t>
      </w:r>
    </w:p>
    <w:p>
      <w:pPr>
        <w:spacing w:after="120" w:line="276" w:lineRule="auto"/>
      </w:pPr>
      <w:r>
        <w:t>La valorisation de STAC est extrêmement surévaluée, avec un P/B de 100,78x et un PER négatif, indiquant que le marché ignore les fondamentaux dégradés. Le comportement du cours montre une volatilité très élevée (72,8%) et une tendance baissière récente, malgré une hausse sur 100 jours. Les signaux techniques sont mitigés, mais la majorité penche vers une poursuite de la baisse, avec des conditions de survente qui pourraient offrir un rebond temporaire. Les fondamentaux sont fragiles, avec des pertes récurrentes et une dépendance à un seul projet, bien que la reprise d'activité en 2025 soit un signe positif. Les prédictions IA pour les 10 prochains jours prévoient une chute continue du cours, de 2 489 FCFA à 1 919 FCFA, confirmant les signaux baissiers. En synthèse, la recommandation finale est **VENTE FORTE**, avec un niveau de confiance Élevé, car la convergence entre la surévaluation, la faiblesse technique et les fondamentaux dégradés est claire. Le risque global est Élevé, et l'horizon d'investissement optimal est le court terme (&lt;3 mois) pour les investisseurs cherchant à sortir, ou une abstention totale pour les nouveaux entrants.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448.52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3,302 titres</w:t>
            </w:r>
          </w:p>
        </w:tc>
        <w:tc>
          <w:tcPr>
            <w:tcW w:type="dxa" w:w="2268"/>
            <w:shd w:fill="FFF2CC" w:val="clear"/>
          </w:tcPr>
          <w:p>
            <w:r>
              <w:rPr>
                <w:b/>
                <w:color w:val="503200"/>
                <w:sz w:val="16"/>
              </w:rPr>
              <w:t xml:space="preserve">Cours actuel : </w:t>
            </w:r>
            <w:r>
              <w:rPr>
                <w:color w:val="000000"/>
                <w:sz w:val="17"/>
              </w:rPr>
              <w:t>24,980 FCFA</w:t>
            </w:r>
          </w:p>
          <w:p>
            <w:r>
              <w:rPr>
                <w:b/>
                <w:color w:val="503200"/>
                <w:sz w:val="16"/>
              </w:rPr>
              <w:t xml:space="preserve">Var. 100 jours : </w:t>
            </w:r>
            <w:r>
              <w:rPr>
                <w:b/>
                <w:color w:val="007800"/>
                <w:sz w:val="17"/>
              </w:rPr>
              <w:t>+15.65%</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28.6%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6.00% (Moyenne) — μ=22,104 FCFA, σ=1,327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β=0.3096 (Défensif) — Cov=0.000011, Var(idx)=0.000036, ρ=0.103,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24,121</w:t>
            </w:r>
          </w:p>
        </w:tc>
        <w:tc>
          <w:tcPr>
            <w:tcW w:type="dxa" w:w="1440"/>
            <w:shd w:fill="FAFAFA" w:val="clear"/>
          </w:tcPr>
          <w:p>
            <w:r>
              <w:rPr>
                <w:b/>
                <w:sz w:val="17"/>
              </w:rPr>
              <w:t>25,178</w:t>
            </w:r>
          </w:p>
        </w:tc>
        <w:tc>
          <w:tcPr>
            <w:tcW w:type="dxa" w:w="1440"/>
            <w:shd w:fill="FAFAFA" w:val="clear"/>
          </w:tcPr>
          <w:p>
            <w:r>
              <w:rPr>
                <w:sz w:val="17"/>
              </w:rPr>
              <w:t>26,236</w:t>
            </w:r>
          </w:p>
        </w:tc>
        <w:tc>
          <w:tcPr>
            <w:tcW w:type="dxa" w:w="1440"/>
            <w:shd w:fill="FAFAFA" w:val="clear"/>
          </w:tcPr>
          <w:p>
            <w:r>
              <w:rPr>
                <w:b/>
                <w:color w:val="008000"/>
                <w:sz w:val="17"/>
              </w:rPr>
              <w:t>+0.8%</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23,914</w:t>
            </w:r>
          </w:p>
        </w:tc>
        <w:tc>
          <w:tcPr>
            <w:tcW w:type="dxa" w:w="1440"/>
            <w:shd w:fill="FAFAFA" w:val="clear"/>
          </w:tcPr>
          <w:p>
            <w:r>
              <w:rPr>
                <w:b/>
                <w:sz w:val="17"/>
              </w:rPr>
              <w:t>25,424</w:t>
            </w:r>
          </w:p>
        </w:tc>
        <w:tc>
          <w:tcPr>
            <w:tcW w:type="dxa" w:w="1440"/>
            <w:shd w:fill="FAFAFA" w:val="clear"/>
          </w:tcPr>
          <w:p>
            <w:r>
              <w:rPr>
                <w:sz w:val="17"/>
              </w:rPr>
              <w:t>26,934</w:t>
            </w:r>
          </w:p>
        </w:tc>
        <w:tc>
          <w:tcPr>
            <w:tcW w:type="dxa" w:w="1440"/>
            <w:shd w:fill="FAFAFA" w:val="clear"/>
          </w:tcPr>
          <w:p>
            <w:r>
              <w:rPr>
                <w:b/>
                <w:color w:val="008000"/>
                <w:sz w:val="17"/>
              </w:rPr>
              <w:t>+1.8%</w:t>
            </w:r>
          </w:p>
        </w:tc>
      </w:tr>
      <w:tr>
        <w:tc>
          <w:tcPr>
            <w:tcW w:type="dxa" w:w="1440"/>
            <w:shd w:fill="C6EFCE" w:val="clear"/>
          </w:tcPr>
          <w:p>
            <w:r>
              <w:rPr>
                <w:sz w:val="17"/>
              </w:rPr>
              <w:t>J+3  ⭐</w:t>
            </w:r>
          </w:p>
        </w:tc>
        <w:tc>
          <w:tcPr>
            <w:tcW w:type="dxa" w:w="1440"/>
            <w:shd w:fill="C6EFCE" w:val="clear"/>
          </w:tcPr>
          <w:p>
            <w:r>
              <w:rPr>
                <w:sz w:val="17"/>
              </w:rPr>
              <w:t>2026-08-12</w:t>
            </w:r>
          </w:p>
        </w:tc>
        <w:tc>
          <w:tcPr>
            <w:tcW w:type="dxa" w:w="1440"/>
            <w:shd w:fill="C6EFCE" w:val="clear"/>
          </w:tcPr>
          <w:p>
            <w:r>
              <w:rPr>
                <w:sz w:val="17"/>
              </w:rPr>
              <w:t>23,799</w:t>
            </w:r>
          </w:p>
        </w:tc>
        <w:tc>
          <w:tcPr>
            <w:tcW w:type="dxa" w:w="1440"/>
            <w:shd w:fill="C6EFCE" w:val="clear"/>
          </w:tcPr>
          <w:p>
            <w:r>
              <w:rPr>
                <w:b/>
                <w:sz w:val="17"/>
              </w:rPr>
              <w:t>25,666</w:t>
            </w:r>
          </w:p>
        </w:tc>
        <w:tc>
          <w:tcPr>
            <w:tcW w:type="dxa" w:w="1440"/>
            <w:shd w:fill="C6EFCE" w:val="clear"/>
          </w:tcPr>
          <w:p>
            <w:r>
              <w:rPr>
                <w:sz w:val="17"/>
              </w:rPr>
              <w:t>27,533</w:t>
            </w:r>
          </w:p>
        </w:tc>
        <w:tc>
          <w:tcPr>
            <w:tcW w:type="dxa" w:w="1440"/>
            <w:shd w:fill="C6EFCE" w:val="clear"/>
          </w:tcPr>
          <w:p>
            <w:r>
              <w:rPr>
                <w:b/>
                <w:color w:val="008000"/>
                <w:sz w:val="17"/>
              </w:rPr>
              <w:t>+2.7%</w:t>
            </w:r>
          </w:p>
        </w:tc>
      </w:tr>
      <w:tr>
        <w:tc>
          <w:tcPr>
            <w:tcW w:type="dxa" w:w="1440"/>
            <w:shd w:fill="C6EFCE" w:val="clear"/>
          </w:tcPr>
          <w:p>
            <w:r>
              <w:rPr>
                <w:sz w:val="17"/>
              </w:rPr>
              <w:t>J+4  ⭐</w:t>
            </w:r>
          </w:p>
        </w:tc>
        <w:tc>
          <w:tcPr>
            <w:tcW w:type="dxa" w:w="1440"/>
            <w:shd w:fill="C6EFCE" w:val="clear"/>
          </w:tcPr>
          <w:p>
            <w:r>
              <w:rPr>
                <w:sz w:val="17"/>
              </w:rPr>
              <w:t>2026-08-13</w:t>
            </w:r>
          </w:p>
        </w:tc>
        <w:tc>
          <w:tcPr>
            <w:tcW w:type="dxa" w:w="1440"/>
            <w:shd w:fill="C6EFCE" w:val="clear"/>
          </w:tcPr>
          <w:p>
            <w:r>
              <w:rPr>
                <w:sz w:val="17"/>
              </w:rPr>
              <w:t>23,720</w:t>
            </w:r>
          </w:p>
        </w:tc>
        <w:tc>
          <w:tcPr>
            <w:tcW w:type="dxa" w:w="1440"/>
            <w:shd w:fill="C6EFCE" w:val="clear"/>
          </w:tcPr>
          <w:p>
            <w:r>
              <w:rPr>
                <w:b/>
                <w:sz w:val="17"/>
              </w:rPr>
              <w:t>25,895</w:t>
            </w:r>
          </w:p>
        </w:tc>
        <w:tc>
          <w:tcPr>
            <w:tcW w:type="dxa" w:w="1440"/>
            <w:shd w:fill="C6EFCE" w:val="clear"/>
          </w:tcPr>
          <w:p>
            <w:r>
              <w:rPr>
                <w:sz w:val="17"/>
              </w:rPr>
              <w:t>28,071</w:t>
            </w:r>
          </w:p>
        </w:tc>
        <w:tc>
          <w:tcPr>
            <w:tcW w:type="dxa" w:w="1440"/>
            <w:shd w:fill="C6EFCE" w:val="clear"/>
          </w:tcPr>
          <w:p>
            <w:r>
              <w:rPr>
                <w:b/>
                <w:color w:val="008000"/>
                <w:sz w:val="17"/>
              </w:rPr>
              <w:t>+3.7%</w:t>
            </w:r>
          </w:p>
        </w:tc>
      </w:tr>
      <w:tr>
        <w:tc>
          <w:tcPr>
            <w:tcW w:type="dxa" w:w="1440"/>
            <w:shd w:fill="C6EFCE" w:val="clear"/>
          </w:tcPr>
          <w:p>
            <w:r>
              <w:rPr>
                <w:sz w:val="17"/>
              </w:rPr>
              <w:t>J+5  ⭐</w:t>
            </w:r>
          </w:p>
        </w:tc>
        <w:tc>
          <w:tcPr>
            <w:tcW w:type="dxa" w:w="1440"/>
            <w:shd w:fill="C6EFCE" w:val="clear"/>
          </w:tcPr>
          <w:p>
            <w:r>
              <w:rPr>
                <w:sz w:val="17"/>
              </w:rPr>
              <w:t>2026-08-14</w:t>
            </w:r>
          </w:p>
        </w:tc>
        <w:tc>
          <w:tcPr>
            <w:tcW w:type="dxa" w:w="1440"/>
            <w:shd w:fill="C6EFCE" w:val="clear"/>
          </w:tcPr>
          <w:p>
            <w:r>
              <w:rPr>
                <w:sz w:val="17"/>
              </w:rPr>
              <w:t>23,678</w:t>
            </w:r>
          </w:p>
        </w:tc>
        <w:tc>
          <w:tcPr>
            <w:tcW w:type="dxa" w:w="1440"/>
            <w:shd w:fill="C6EFCE" w:val="clear"/>
          </w:tcPr>
          <w:p>
            <w:r>
              <w:rPr>
                <w:b/>
                <w:sz w:val="17"/>
              </w:rPr>
              <w:t>26,132</w:t>
            </w:r>
          </w:p>
        </w:tc>
        <w:tc>
          <w:tcPr>
            <w:tcW w:type="dxa" w:w="1440"/>
            <w:shd w:fill="C6EFCE" w:val="clear"/>
          </w:tcPr>
          <w:p>
            <w:r>
              <w:rPr>
                <w:sz w:val="17"/>
              </w:rPr>
              <w:t>28,586</w:t>
            </w:r>
          </w:p>
        </w:tc>
        <w:tc>
          <w:tcPr>
            <w:tcW w:type="dxa" w:w="1440"/>
            <w:shd w:fill="C6EFCE" w:val="clear"/>
          </w:tcPr>
          <w:p>
            <w:r>
              <w:rPr>
                <w:b/>
                <w:color w:val="008000"/>
                <w:sz w:val="17"/>
              </w:rPr>
              <w:t>+4.6%</w:t>
            </w:r>
          </w:p>
        </w:tc>
      </w:tr>
      <w:tr>
        <w:tc>
          <w:tcPr>
            <w:tcW w:type="dxa" w:w="1440"/>
            <w:shd w:fill="C6EFCE" w:val="clear"/>
          </w:tcPr>
          <w:p>
            <w:r>
              <w:rPr>
                <w:sz w:val="17"/>
              </w:rPr>
              <w:t>J+6  ⭐</w:t>
            </w:r>
          </w:p>
        </w:tc>
        <w:tc>
          <w:tcPr>
            <w:tcW w:type="dxa" w:w="1440"/>
            <w:shd w:fill="C6EFCE" w:val="clear"/>
          </w:tcPr>
          <w:p>
            <w:r>
              <w:rPr>
                <w:sz w:val="17"/>
              </w:rPr>
              <w:t>2026-08-17</w:t>
            </w:r>
          </w:p>
        </w:tc>
        <w:tc>
          <w:tcPr>
            <w:tcW w:type="dxa" w:w="1440"/>
            <w:shd w:fill="C6EFCE" w:val="clear"/>
          </w:tcPr>
          <w:p>
            <w:r>
              <w:rPr>
                <w:sz w:val="17"/>
              </w:rPr>
              <w:t>23,649</w:t>
            </w:r>
          </w:p>
        </w:tc>
        <w:tc>
          <w:tcPr>
            <w:tcW w:type="dxa" w:w="1440"/>
            <w:shd w:fill="C6EFCE" w:val="clear"/>
          </w:tcPr>
          <w:p>
            <w:r>
              <w:rPr>
                <w:b/>
                <w:sz w:val="17"/>
              </w:rPr>
              <w:t>26,361</w:t>
            </w:r>
          </w:p>
        </w:tc>
        <w:tc>
          <w:tcPr>
            <w:tcW w:type="dxa" w:w="1440"/>
            <w:shd w:fill="C6EFCE" w:val="clear"/>
          </w:tcPr>
          <w:p>
            <w:r>
              <w:rPr>
                <w:sz w:val="17"/>
              </w:rPr>
              <w:t>29,073</w:t>
            </w:r>
          </w:p>
        </w:tc>
        <w:tc>
          <w:tcPr>
            <w:tcW w:type="dxa" w:w="1440"/>
            <w:shd w:fill="C6EFCE" w:val="clear"/>
          </w:tcPr>
          <w:p>
            <w:r>
              <w:rPr>
                <w:b/>
                <w:color w:val="008000"/>
                <w:sz w:val="17"/>
              </w:rPr>
              <w:t>+5.5%</w:t>
            </w:r>
          </w:p>
        </w:tc>
      </w:tr>
      <w:tr>
        <w:tc>
          <w:tcPr>
            <w:tcW w:type="dxa" w:w="1440"/>
            <w:shd w:fill="C6EFCE" w:val="clear"/>
          </w:tcPr>
          <w:p>
            <w:r>
              <w:rPr>
                <w:sz w:val="17"/>
              </w:rPr>
              <w:t>J+7  ⭐</w:t>
            </w:r>
          </w:p>
        </w:tc>
        <w:tc>
          <w:tcPr>
            <w:tcW w:type="dxa" w:w="1440"/>
            <w:shd w:fill="C6EFCE" w:val="clear"/>
          </w:tcPr>
          <w:p>
            <w:r>
              <w:rPr>
                <w:sz w:val="17"/>
              </w:rPr>
              <w:t>2026-08-18</w:t>
            </w:r>
          </w:p>
        </w:tc>
        <w:tc>
          <w:tcPr>
            <w:tcW w:type="dxa" w:w="1440"/>
            <w:shd w:fill="C6EFCE" w:val="clear"/>
          </w:tcPr>
          <w:p>
            <w:r>
              <w:rPr>
                <w:sz w:val="17"/>
              </w:rPr>
              <w:t>23,644</w:t>
            </w:r>
          </w:p>
        </w:tc>
        <w:tc>
          <w:tcPr>
            <w:tcW w:type="dxa" w:w="1440"/>
            <w:shd w:fill="C6EFCE" w:val="clear"/>
          </w:tcPr>
          <w:p>
            <w:r>
              <w:rPr>
                <w:b/>
                <w:sz w:val="17"/>
              </w:rPr>
              <w:t>26,600</w:t>
            </w:r>
          </w:p>
        </w:tc>
        <w:tc>
          <w:tcPr>
            <w:tcW w:type="dxa" w:w="1440"/>
            <w:shd w:fill="C6EFCE" w:val="clear"/>
          </w:tcPr>
          <w:p>
            <w:r>
              <w:rPr>
                <w:sz w:val="17"/>
              </w:rPr>
              <w:t>29,555</w:t>
            </w:r>
          </w:p>
        </w:tc>
        <w:tc>
          <w:tcPr>
            <w:tcW w:type="dxa" w:w="1440"/>
            <w:shd w:fill="C6EFCE" w:val="clear"/>
          </w:tcPr>
          <w:p>
            <w:r>
              <w:rPr>
                <w:b/>
                <w:color w:val="008000"/>
                <w:sz w:val="17"/>
              </w:rPr>
              <w:t>+6.5%</w:t>
            </w:r>
          </w:p>
        </w:tc>
      </w:tr>
      <w:tr>
        <w:tc>
          <w:tcPr>
            <w:tcW w:type="dxa" w:w="1440"/>
            <w:shd w:fill="C6EFCE" w:val="clear"/>
          </w:tcPr>
          <w:p>
            <w:r>
              <w:rPr>
                <w:sz w:val="17"/>
              </w:rPr>
              <w:t>J+8  ⭐</w:t>
            </w:r>
          </w:p>
        </w:tc>
        <w:tc>
          <w:tcPr>
            <w:tcW w:type="dxa" w:w="1440"/>
            <w:shd w:fill="C6EFCE" w:val="clear"/>
          </w:tcPr>
          <w:p>
            <w:r>
              <w:rPr>
                <w:sz w:val="17"/>
              </w:rPr>
              <w:t>2026-08-19</w:t>
            </w:r>
          </w:p>
        </w:tc>
        <w:tc>
          <w:tcPr>
            <w:tcW w:type="dxa" w:w="1440"/>
            <w:shd w:fill="C6EFCE" w:val="clear"/>
          </w:tcPr>
          <w:p>
            <w:r>
              <w:rPr>
                <w:sz w:val="17"/>
              </w:rPr>
              <w:t>23,644</w:t>
            </w:r>
          </w:p>
        </w:tc>
        <w:tc>
          <w:tcPr>
            <w:tcW w:type="dxa" w:w="1440"/>
            <w:shd w:fill="C6EFCE" w:val="clear"/>
          </w:tcPr>
          <w:p>
            <w:r>
              <w:rPr>
                <w:b/>
                <w:sz w:val="17"/>
              </w:rPr>
              <w:t>26,831</w:t>
            </w:r>
          </w:p>
        </w:tc>
        <w:tc>
          <w:tcPr>
            <w:tcW w:type="dxa" w:w="1440"/>
            <w:shd w:fill="C6EFCE" w:val="clear"/>
          </w:tcPr>
          <w:p>
            <w:r>
              <w:rPr>
                <w:sz w:val="17"/>
              </w:rPr>
              <w:t>30,018</w:t>
            </w:r>
          </w:p>
        </w:tc>
        <w:tc>
          <w:tcPr>
            <w:tcW w:type="dxa" w:w="1440"/>
            <w:shd w:fill="C6EFCE" w:val="clear"/>
          </w:tcPr>
          <w:p>
            <w:r>
              <w:rPr>
                <w:b/>
                <w:color w:val="008000"/>
                <w:sz w:val="17"/>
              </w:rPr>
              <w:t>+7.4%</w:t>
            </w:r>
          </w:p>
        </w:tc>
      </w:tr>
      <w:tr>
        <w:tc>
          <w:tcPr>
            <w:tcW w:type="dxa" w:w="1440"/>
            <w:shd w:fill="C6EFCE" w:val="clear"/>
          </w:tcPr>
          <w:p>
            <w:r>
              <w:rPr>
                <w:sz w:val="17"/>
              </w:rPr>
              <w:t>J+9  ⭐</w:t>
            </w:r>
          </w:p>
        </w:tc>
        <w:tc>
          <w:tcPr>
            <w:tcW w:type="dxa" w:w="1440"/>
            <w:shd w:fill="C6EFCE" w:val="clear"/>
          </w:tcPr>
          <w:p>
            <w:r>
              <w:rPr>
                <w:sz w:val="17"/>
              </w:rPr>
              <w:t>2026-08-20</w:t>
            </w:r>
          </w:p>
        </w:tc>
        <w:tc>
          <w:tcPr>
            <w:tcW w:type="dxa" w:w="1440"/>
            <w:shd w:fill="C6EFCE" w:val="clear"/>
          </w:tcPr>
          <w:p>
            <w:r>
              <w:rPr>
                <w:sz w:val="17"/>
              </w:rPr>
              <w:t>23,647</w:t>
            </w:r>
          </w:p>
        </w:tc>
        <w:tc>
          <w:tcPr>
            <w:tcW w:type="dxa" w:w="1440"/>
            <w:shd w:fill="C6EFCE" w:val="clear"/>
          </w:tcPr>
          <w:p>
            <w:r>
              <w:rPr>
                <w:b/>
                <w:sz w:val="17"/>
              </w:rPr>
              <w:t>27,056</w:t>
            </w:r>
          </w:p>
        </w:tc>
        <w:tc>
          <w:tcPr>
            <w:tcW w:type="dxa" w:w="1440"/>
            <w:shd w:fill="C6EFCE" w:val="clear"/>
          </w:tcPr>
          <w:p>
            <w:r>
              <w:rPr>
                <w:sz w:val="17"/>
              </w:rPr>
              <w:t>30,465</w:t>
            </w:r>
          </w:p>
        </w:tc>
        <w:tc>
          <w:tcPr>
            <w:tcW w:type="dxa" w:w="1440"/>
            <w:shd w:fill="C6EFCE" w:val="clear"/>
          </w:tcPr>
          <w:p>
            <w:r>
              <w:rPr>
                <w:b/>
                <w:color w:val="008000"/>
                <w:sz w:val="17"/>
              </w:rPr>
              <w:t>+8.3%</w:t>
            </w:r>
          </w:p>
        </w:tc>
      </w:tr>
      <w:tr>
        <w:tc>
          <w:tcPr>
            <w:tcW w:type="dxa" w:w="1440"/>
            <w:shd w:fill="C6EFCE" w:val="clear"/>
          </w:tcPr>
          <w:p>
            <w:r>
              <w:rPr>
                <w:sz w:val="17"/>
              </w:rPr>
              <w:t>J+10  ⭐</w:t>
            </w:r>
          </w:p>
        </w:tc>
        <w:tc>
          <w:tcPr>
            <w:tcW w:type="dxa" w:w="1440"/>
            <w:shd w:fill="C6EFCE" w:val="clear"/>
          </w:tcPr>
          <w:p>
            <w:r>
              <w:rPr>
                <w:sz w:val="17"/>
              </w:rPr>
              <w:t>2026-08-21</w:t>
            </w:r>
          </w:p>
        </w:tc>
        <w:tc>
          <w:tcPr>
            <w:tcW w:type="dxa" w:w="1440"/>
            <w:shd w:fill="C6EFCE" w:val="clear"/>
          </w:tcPr>
          <w:p>
            <w:r>
              <w:rPr>
                <w:sz w:val="17"/>
              </w:rPr>
              <w:t>23,652</w:t>
            </w:r>
          </w:p>
        </w:tc>
        <w:tc>
          <w:tcPr>
            <w:tcW w:type="dxa" w:w="1440"/>
            <w:shd w:fill="C6EFCE" w:val="clear"/>
          </w:tcPr>
          <w:p>
            <w:r>
              <w:rPr>
                <w:b/>
                <w:sz w:val="17"/>
              </w:rPr>
              <w:t>27,275</w:t>
            </w:r>
          </w:p>
        </w:tc>
        <w:tc>
          <w:tcPr>
            <w:tcW w:type="dxa" w:w="1440"/>
            <w:shd w:fill="C6EFCE" w:val="clear"/>
          </w:tcPr>
          <w:p>
            <w:r>
              <w:rPr>
                <w:sz w:val="17"/>
              </w:rPr>
              <w:t>30,897</w:t>
            </w:r>
          </w:p>
        </w:tc>
        <w:tc>
          <w:tcPr>
            <w:tcW w:type="dxa" w:w="1440"/>
            <w:shd w:fill="C6EFCE" w:val="clear"/>
          </w:tcPr>
          <w:p>
            <w:r>
              <w:rPr>
                <w:b/>
                <w:color w:val="008000"/>
                <w:sz w:val="17"/>
              </w:rPr>
              <w:t>+9.2%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w:t>
        <w:br/>
        <w:t>**Date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448,52 milliards FCFA positionne STBC comme une valeur de premier plan sur la BRVM, reflétant la confiance des investisseurs dans ce leader du secteur du tabac en Côte d'Ivoire. Avec un BPA de 2 014 FCFA, chaque action génère un bénéfice substantiel, justifiant un PER de 12,4x, légèrement au-dessus de la moyenne historique de la BRVM (8-12x), ce qui indique une valorisation raisonnable mais non bradée. Le P/B de 9,89x est en revanche très exigeant, le marché valorisant fortement les capitaux propres, signe d'une rentabilité exceptionnelle (ROE de 79,75%). Enfin, un EV/EBITDA de 9,0x confirme une évaluation cohérente avec la capacité opérationnelle de l'entreprise, dans une fourchette considérée comme saine pour le secteur.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STBC a enregistré une progression remarquable de +15,65%, avec une dernière séance quasi stable (-0,08%), atteignant un cours de 24 980 FCFA. Le titre a évolué dans une fourchette de 19 705 à 25 000 FCFA, démontrant une dynamique haussière soutenue. La moyenne (22 104 FCFA) étant supérieure à la médiane (21 830 FCFA), la distribution des prix est légèrement asymétrique, ce que confirme le skewness positif de 0,604, indiquant que les journées sous la moyenne ont été plus fréquentes mais de moindre ampleur. L'écart-type de 1 334 FCFA (CV de 6,0%) montre une dispersion modérée, tandis que le kurtosis de -0,655 (mésokurtique) suggère une absence de pics de volatilité extrêmes. La volatilité annualisée de 28,6% classe le titre dans une zone de risque modéré à élevé, attirant les investisseurs en quête de performance.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(24 980 FCFA) se situe nettement au-dessus de la MM20 (23 620 FCFA) et de la MM50 (23 099,3 FCFA), confirmant une tendance haussière solide à court et moyen terme. La configuration des MM, avec la MM20 au-dessus de la MM50, valide la dynamique positive et justifie la décision d'achat.</w:t>
      </w:r>
    </w:p>
    <w:p>
      <w:pPr>
        <w:spacing w:after="120" w:line="276" w:lineRule="auto"/>
      </w:pPr>
      <w:r>
        <w:t>**Bandes de Bollinger** : Le prix évolue près de la borne supérieure (24 995 FCFA), indiquant une pression acheteuse forte mais un risque de surachat imminent. La largeur des bandes (2 750 FCFA) reflète une volatilité accrue. La décision neutre suggère d'attendre un repli vers la moyenne mobile ou la borne inférieure pour une entrée plus optimale.</w:t>
      </w:r>
    </w:p>
    <w:p>
      <w:pPr>
        <w:spacing w:after="120" w:line="276" w:lineRule="auto"/>
      </w:pPr>
      <w:r>
        <w:t>**MACD** : Le MACD (314,7) est nettement au-dessus de son signal (181,3), confirmant un momentum haussier robuste. Cette divergence positive indique que la tendance haussière est soutenue par une dynamique de fond solide, justifiant la décision d'achat.</w:t>
      </w:r>
    </w:p>
    <w:p>
      <w:pPr>
        <w:spacing w:after="120" w:line="276" w:lineRule="auto"/>
      </w:pPr>
      <w:r>
        <w:t>**RSI** : À 68,2, le RSI est en zone neutre-haute, proche du seuil de surachat (70). Cela suggère que le titre a encore un potentiel de hausse, mais qu'une correction technique est possible à court terme. La décision neutre est prudente.</w:t>
      </w:r>
    </w:p>
    <w:p>
      <w:pPr>
        <w:spacing w:after="120" w:line="276" w:lineRule="auto"/>
      </w:pPr>
      <w:r>
        <w:t>**Stochastique** : Le %K (99,0) et le %D (99,7) sont en zone de surachat extrême, signalant une possible consolidation ou correction à venir. La décision de vente est un signal d'alerte fort, indiquant que le marché est survendu à la hausse.</w:t>
      </w:r>
    </w:p>
    <w:p>
      <w:pPr>
        <w:spacing w:after="120" w:line="276" w:lineRule="auto"/>
      </w:pPr>
      <w:r>
        <w:t>**Conclusion technique** : Les indicateurs de tendance (MM, MACD) sont positifs, mais les oscillateurs (RSI, Stochastique) montrent des signes de surachat. Une consolidation est probable à court terme, mais la tendance de fond reste haussière. Il est conseillé de surveiller un éventuel repli pour renforcer les positions.</w:t>
      </w:r>
    </w:p>
    <w:p>
      <w:pPr>
        <w:spacing w:after="120" w:line="276" w:lineRule="auto"/>
      </w:pPr>
      <w:r>
        <w:t>---</w:t>
      </w:r>
    </w:p>
    <w:p>
      <w:pPr>
        <w:spacing w:after="120" w:line="276" w:lineRule="auto"/>
      </w:pPr>
      <w:r>
        <w:t>### PARTIE 3 : ANALYSE FONDAMENTALE (SECTION CRITIQUE)</w:t>
      </w:r>
    </w:p>
    <w:p>
      <w:pPr>
        <w:spacing w:after="120" w:line="276" w:lineRule="auto"/>
      </w:pPr>
      <w:r>
        <w:t>En 2025, STBC a réalisé un chiffre d'affaires de 268,5 milliards FCFA, en hausse de 25,3% par rapport à 2024, mais son résultat net a baissé de 18,1% à 36,2 milliards FCFA, sous l'effet d'une hausse des coûts d'achat (+38,2%) et des charges opérationnelles. La marge nette s'est dégradée à 13,5% (contre 20,4% en 2024), tandis que le ROE reste exceptionnel à 79,75% et le ROA à 48,09%. La structure financière est saine avec une trésorerie de 30,8 milliards FCFA et un endettement quasi nul. Les rapports trimestriels 2025 montrent une forte croissance au S1 (+41,8% de CA) mais une dégradation au T4 (-74% de résultat net) due à la fiscalité. Les données 2026 (T1) indiquent une reprise des volumes (+10%) et un CA en hausse de 12%, mais un résultat net stable. On estime que l'exercice 2026 pourrait voir une stabilisation des marges, avec un CA annuel projeté autour de 280-290 milliards FCFA. La politique de dividende reste généreuse (taux de distribution de 105% en 2025), mais pourrait être ajustée pour préserver la trésorerie. La recommandation fondamentale est de conserver le titre, la société étant solide mais confrontée à des défis de rentabilité.</w:t>
      </w:r>
    </w:p>
    <w:p>
      <w:pPr>
        <w:spacing w:after="120" w:line="276" w:lineRule="auto"/>
      </w:pPr>
      <w:r>
        <w:t>---</w:t>
      </w:r>
    </w:p>
    <w:p>
      <w:pPr>
        <w:spacing w:after="120" w:line="276" w:lineRule="auto"/>
      </w:pPr>
      <w:r>
        <w:t>### PARTIE 4 : CONCLUSION D'INVESTISSEMENT</w:t>
      </w:r>
    </w:p>
    <w:p>
      <w:pPr>
        <w:spacing w:after="120" w:line="276" w:lineRule="auto"/>
      </w:pPr>
      <w:r>
        <w:t>La valorisation de STBC est raisonnable (PER 12,4x) mais le P/B élevé (9,89x) reflète une prime de marché pour une rentabilité exceptionnelle. Le comportement du cours est haussier (+15,65% sur 100 jours), avec une volatilité modérée (28,6%) et une distribution asymétrique positive, bien que le kurtosis indique un risque de pics. Les signaux techniques sont mitigés : tendance haussière (MM, MACD) mais surachat imminent (RSI, Stochastique). Les fondamentaux sont solides, avec une croissance du CA et une rentabilité élevée, mais des marges sous pression. Les prédictions IA (J+1 à J+10) confirment une poursuite de la hausse, avec un cours projeté à 26 132 FCFA. En synthèse, la convergence entre la tendance technique, les fondamentaux solides et les prédictions IA suggère une **recommandation ACHAT**, avec un niveau de confiance **Moyen** et un risque global **Moyen**. L'horizon d'investissement optimal est le **moyen terme (3-12 mois)**, en surveillant les signaux de surachat pour une éventuelle consolidation.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(+95% de r\u00e9sultat net) et la position dominante sur le march\u00e9 justifient un investissement. La trajectoire de croissance soutenue depuis 3 ans et les perspectives optimistes pour 2022 renforcent l'attractivit\u00e9."}</w:t>
      </w:r>
    </w:p>
    <w:p>
      <w:pPr>
        <w:spacing w:before="40"/>
        <w:ind w:left="400"/>
      </w:pPr>
      <w:r>
        <w:rPr>
          <w:sz w:val="18"/>
        </w:rPr>
        <w:t>SITAB S.A, leader du marché du tabac en Côte d'Ivoire avec 83% de part de marché, affiche des résultats exceptionnels au premier semestre 2022. Le chiffre d'affaires progresse de 10,9% à 72,7 milliards FCFA, soutenu par une croissance des volumes de 8,5%. Le résultat d'exploitation bondit de 49% à 7,2 milliards FCFA grâce à l'effet volume et à l'optimisation des charges. Le résultat net double quasiment (+95%) à 7,3 milliards FCFA, dopé par des dividendes de filiales de 1,9 milliard FCFA. La direction anticipe de bons résultats pour l'ensemble de l'exercice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'83%', 'volumes_vente': "3,234 milliards d'unités", 'capital_social': '4,49 milliards FCFA', 'resultat_financier': '1,94 milliards FCFA', 'resultat_exploitation': '7,22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7,27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72,66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Position dominante avec 83% de part de marché du tabac consolidée</w:t>
      </w:r>
    </w:p>
    <w:p>
      <w:pPr>
        <w:pStyle w:val="ListBullet"/>
        <w:spacing w:before="20" w:after="20"/>
        <w:ind w:left="700"/>
      </w:pPr>
      <w:r>
        <w:rPr>
          <w:sz w:val="18"/>
        </w:rPr>
        <w:t>Croissance soutenue des volumes de vente de 8,5% sur un an</w:t>
      </w:r>
    </w:p>
    <w:p>
      <w:pPr>
        <w:pStyle w:val="ListBullet"/>
        <w:spacing w:before="20" w:after="20"/>
        <w:ind w:left="700"/>
      </w:pPr>
      <w:r>
        <w:rPr>
          <w:sz w:val="18"/>
        </w:rPr>
        <w:t>Progression remarquable du chiffre d'affaires de 10,9% à 72,7 milliards FCFA</w:t>
      </w:r>
    </w:p>
    <w:p>
      <w:pPr>
        <w:pStyle w:val="ListBullet"/>
        <w:spacing w:before="20" w:after="20"/>
        <w:ind w:left="700"/>
      </w:pPr>
      <w:r>
        <w:rPr>
          <w:sz w:val="18"/>
        </w:rPr>
        <w:t>Explosion du résultat d'exploitation (+49%) grâce à l'optimisation des charges</w:t>
      </w:r>
    </w:p>
    <w:p>
      <w:pPr>
        <w:pStyle w:val="ListBullet"/>
        <w:spacing w:before="20" w:after="20"/>
        <w:ind w:left="700"/>
      </w:pPr>
      <w:r>
        <w:rPr>
          <w:sz w:val="18"/>
        </w:rPr>
        <w:t>Résultat financier multiplié par 96 à 1,9 milliard FCFA (dividendes de filiales)</w:t>
      </w:r>
    </w:p>
    <w:p>
      <w:pPr>
        <w:pStyle w:val="ListBullet"/>
        <w:spacing w:before="20" w:after="20"/>
        <w:ind w:left="700"/>
      </w:pPr>
      <w:r>
        <w:rPr>
          <w:sz w:val="18"/>
        </w:rPr>
        <w:t>Quasi-doublement du résultat net (+95%) à 7,3 milliards FCFA</w:t>
      </w:r>
    </w:p>
    <w:p>
      <w:pPr>
        <w:spacing w:before="40"/>
        <w:ind w:left="400"/>
      </w:pPr>
      <w:r>
        <w:rPr>
          <w:b/>
          <w:color w:val="C05000"/>
          <w:sz w:val="18"/>
        </w:rPr>
        <w:t xml:space="preserve">⚠️ Risques : </w:t>
      </w:r>
      <w:r>
        <w:rPr>
          <w:sz w:val="18"/>
        </w:rPr>
        <w:t>["Secteur du tabac soumis \u00e0 une r\u00e9glementation de plus en plus stricte", "D\u00e9pendance forte au march\u00e9 ivoirien et \u00e0 un secteur concentr\u00e9", "Comptes semestriels non audit\u00e9s par les commissaires aux comptes"]</w:t>
      </w:r>
    </w:p>
    <w:p>
      <w:pPr>
        <w:spacing w:before="40"/>
        <w:ind w:left="400"/>
      </w:pPr>
      <w:r>
        <w:rPr>
          <w:b/>
          <w:color w:val="0064A0"/>
          <w:sz w:val="18"/>
        </w:rPr>
        <w:t xml:space="preserve">🔮 Perspectives : </w:t>
      </w:r>
      <w:r>
        <w:rPr>
          <w:sz w:val="18"/>
        </w:rPr>
        <w:t>La direction se montre confiante pour la clôture 2022 sur la base des excellents résultats semestriels. La tendance de croissance soutenue des volumes et l'optimisation continue des charges laissent présager de bons résultats annuels. Le renforcement de la position de leader et l'amélioration du mix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"Soci\u00e9t\u00e9 d\u00e9fensive avec une rentabilit\u00e9 stable et une politique de dividendes attractive, id\u00e9ale pour les investisseurs recherchant des revenus r\u00e9guliers. Les fondamentaux solides et la g\u00e9n\u00e9ration de cash-flow soutiennent la valorisation actuelle."}</w:t>
      </w:r>
    </w:p>
    <w:p>
      <w:pPr>
        <w:spacing w:before="40"/>
        <w:ind w:left="400"/>
      </w:pPr>
      <w:r>
        <w:rPr>
          <w:sz w:val="18"/>
        </w:rPr>
        <w:t>SITAB (Société Ivoirienne des Tabacs) affiche une solide performance financière en 2022 avec un chiffre d'affaires de 151,2 milliards FCFA et un bénéfice net en hausse de 16% à 11,2 milliards FCFA. La société maintient une rentabilité élevée avec une marge nette de 7,4% et génère une forte capacité d'autofinancement de 11,3 milliards FCFA. Le bilan présente une structure financière saine avec des capitaux propres solides de 8,0 milliards FCFA et une trésorerie nette positive de 6,7 milliards FCFA. La société a distribué 8,6 milliards FCFA de dividendes, témoignant de sa politique de rémunération généreuse des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'14,8 milliards FCFA', 'tresorerie_nette': '6,7 milliards FCFA', 'capacite_autofinancement': '11,3 milliards FCFA', 'excedent_brut_exploitation': '12,6 milliards FCFA'}</w:t>
            </w:r>
          </w:p>
        </w:tc>
        <w:tc>
          <w:tcPr>
            <w:tcW w:type="dxa" w:w="2160"/>
          </w:tcPr>
          <w:p>
            <w:pPr>
              <w:ind w:left="100"/>
            </w:pPr>
            <w:r/>
            <w:r>
              <w:rPr>
                <w:b/>
                <w:sz w:val="16"/>
              </w:rPr>
              <w:t>dividende</w:t>
              <w:br/>
            </w:r>
            <w:r>
              <w:rPr>
                <w:sz w:val="18"/>
              </w:rPr>
              <w:t>8,6 milliards FCFA distribués</w:t>
            </w:r>
          </w:p>
        </w:tc>
        <w:tc>
          <w:tcPr>
            <w:tcW w:type="dxa" w:w="2160"/>
          </w:tcPr>
          <w:p>
            <w:pPr>
              <w:ind w:left="100"/>
            </w:pPr>
            <w:r/>
            <w:r>
              <w:rPr>
                <w:b/>
                <w:sz w:val="16"/>
              </w:rPr>
              <w:t>marge_nette</w:t>
              <w:br/>
            </w:r>
            <w:r>
              <w:rPr>
                <w:sz w:val="18"/>
              </w:rPr>
              <w:t>7,4%</w:t>
            </w:r>
          </w:p>
        </w:tc>
        <w:tc>
          <w:tcPr>
            <w:tcW w:type="dxa" w:w="2160"/>
          </w:tcPr>
          <w:p>
            <w:pPr>
              <w:ind w:left="100"/>
            </w:pPr>
            <w:r/>
            <w:r>
              <w:rPr>
                <w:b/>
                <w:sz w:val="16"/>
              </w:rPr>
              <w:t>total_actif</w:t>
              <w:br/>
            </w:r>
            <w:r>
              <w:rPr>
                <w:sz w:val="18"/>
              </w:rPr>
              <w:t>27,3 milliards FCFA</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8,0 milliards FCFA</w:t>
            </w:r>
          </w:p>
        </w:tc>
        <w:tc>
          <w:tcPr>
            <w:tcW w:type="dxa" w:w="2160"/>
          </w:tcPr>
          <w:p>
            <w:r/>
            <w:r>
              <w:rPr>
                <w:b/>
                <w:sz w:val="16"/>
              </w:rPr>
              <w:t>chiffre_affaires</w:t>
              <w:br/>
            </w:r>
            <w:r>
              <w:rPr>
                <w:sz w:val="18"/>
              </w:rPr>
              <w:t>151,2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151,2 milliards FCFA en 2022</w:t>
      </w:r>
    </w:p>
    <w:p>
      <w:pPr>
        <w:pStyle w:val="ListBullet"/>
        <w:spacing w:before="20" w:after="20"/>
        <w:ind w:left="700"/>
      </w:pPr>
      <w:r>
        <w:rPr>
          <w:sz w:val="18"/>
        </w:rPr>
        <w:t>Progression du bénéfice net de 16,1% à 11,2 milliards FCFA</w:t>
      </w:r>
    </w:p>
    <w:p>
      <w:pPr>
        <w:pStyle w:val="ListBullet"/>
        <w:spacing w:before="20" w:after="20"/>
        <w:ind w:left="700"/>
      </w:pPr>
      <w:r>
        <w:rPr>
          <w:sz w:val="18"/>
        </w:rPr>
        <w:t>Marge nette solide de 7,4% confirmant l'efficacité opérationnelle</w:t>
      </w:r>
    </w:p>
    <w:p>
      <w:pPr>
        <w:pStyle w:val="ListBullet"/>
        <w:spacing w:before="20" w:after="20"/>
        <w:ind w:left="700"/>
      </w:pPr>
      <w:r>
        <w:rPr>
          <w:sz w:val="18"/>
        </w:rPr>
        <w:t>Distribution de dividendes de 8,6 milliards FCFA maintenue au niveau élevé</w:t>
      </w:r>
    </w:p>
    <w:p>
      <w:pPr>
        <w:pStyle w:val="ListBullet"/>
        <w:spacing w:before="20" w:after="20"/>
        <w:ind w:left="700"/>
      </w:pPr>
      <w:r>
        <w:rPr>
          <w:sz w:val="18"/>
        </w:rPr>
        <w:t>Forte capacité d'autofinancement de 11,3 milliards FCFA (+13,4%)</w:t>
      </w:r>
    </w:p>
    <w:p>
      <w:pPr>
        <w:pStyle w:val="ListBullet"/>
        <w:spacing w:before="20" w:after="20"/>
        <w:ind w:left="700"/>
      </w:pPr>
      <w:r>
        <w:rPr>
          <w:sz w:val="18"/>
        </w:rPr>
        <w:t>Réduction significative du BFR de 3,8 milliards FCFA améliorant la trésorerie</w:t>
      </w:r>
    </w:p>
    <w:p>
      <w:pPr>
        <w:spacing w:before="40"/>
        <w:ind w:left="400"/>
      </w:pPr>
      <w:r>
        <w:rPr>
          <w:b/>
          <w:color w:val="C05000"/>
          <w:sz w:val="18"/>
        </w:rPr>
        <w:t xml:space="preserve">⚠️ Risques : </w:t>
      </w:r>
      <w:r>
        <w:rPr>
          <w:sz w:val="18"/>
        </w:rPr>
        <w:t>["Exposition aux r\u00e9glementations sanitaires et fiscales croissantes sur le secteur du tabac", "D\u00e9pendance aux importations de mati\u00e8res premi\u00e8res soumises aux fluctuations de change", "\u00c9volution d\u00e9favorable des habitudes de consommation et sensibilisation aux risques san</w:t>
      </w:r>
    </w:p>
    <w:p>
      <w:pPr>
        <w:spacing w:before="40"/>
        <w:ind w:left="400"/>
      </w:pPr>
      <w:r>
        <w:rPr>
          <w:b/>
          <w:color w:val="0064A0"/>
          <w:sz w:val="18"/>
        </w:rPr>
        <w:t xml:space="preserve">🔮 Perspectives : </w:t>
      </w:r>
      <w:r>
        <w:rPr>
          <w:sz w:val="18"/>
        </w:rPr>
        <w:t>SITAB devrait maintenir sa performance solide en 2023 grâce à son positionnement dominant sur le marché ivoirien et sa capacité à répercuter les hausses de coûts. La société pourrait continuer sa politique de dividendes généreuse tout en préservant ses marges opérationnelles élevées.</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176.61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8,997 titres</w:t>
            </w:r>
          </w:p>
        </w:tc>
        <w:tc>
          <w:tcPr>
            <w:tcW w:type="dxa" w:w="2268"/>
            <w:shd w:fill="FFF2CC" w:val="clear"/>
          </w:tcPr>
          <w:p>
            <w:r>
              <w:rPr>
                <w:b/>
                <w:color w:val="503200"/>
                <w:sz w:val="16"/>
              </w:rPr>
              <w:t xml:space="preserve">Cours actuel : </w:t>
            </w:r>
            <w:r>
              <w:rPr>
                <w:color w:val="000000"/>
                <w:sz w:val="17"/>
              </w:rPr>
              <w:t>2,805 FCFA</w:t>
            </w:r>
          </w:p>
          <w:p>
            <w:r>
              <w:rPr>
                <w:b/>
                <w:color w:val="503200"/>
                <w:sz w:val="16"/>
              </w:rPr>
              <w:t xml:space="preserve">Var. 100 jours : </w:t>
            </w:r>
            <w:r>
              <w:rPr>
                <w:b/>
                <w:color w:val="B40000"/>
                <w:sz w:val="17"/>
              </w:rPr>
              <w:t>-1.58%</w:t>
            </w:r>
          </w:p>
          <w:p>
            <w:r>
              <w:rPr>
                <w:b/>
                <w:color w:val="503200"/>
                <w:sz w:val="16"/>
              </w:rPr>
              <w:t xml:space="preserve">Plus haut 100j : </w:t>
            </w:r>
            <w:r>
              <w:rPr>
                <w:color w:val="000000"/>
                <w:sz w:val="17"/>
              </w:rPr>
              <w:t>3,060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3.27% (Faible) — μ=2,848 FCFA, σ=93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β=-0.1648 (Contre-cyclique) — Cov=-0.000006, Var(idx)=0.000036, ρ=-0.039,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8,997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σ_j=2.52%/j (Stable) — Vol. annualisée≈40.0%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2,670</w:t>
            </w:r>
          </w:p>
        </w:tc>
        <w:tc>
          <w:tcPr>
            <w:tcW w:type="dxa" w:w="1440"/>
            <w:shd w:fill="FAFAFA" w:val="clear"/>
          </w:tcPr>
          <w:p>
            <w:r>
              <w:rPr>
                <w:b/>
                <w:sz w:val="17"/>
              </w:rPr>
              <w:t>2,820</w:t>
            </w:r>
          </w:p>
        </w:tc>
        <w:tc>
          <w:tcPr>
            <w:tcW w:type="dxa" w:w="1440"/>
            <w:shd w:fill="FAFAFA" w:val="clear"/>
          </w:tcPr>
          <w:p>
            <w:r>
              <w:rPr>
                <w:sz w:val="17"/>
              </w:rPr>
              <w:t>2,970</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2,601</w:t>
            </w:r>
          </w:p>
        </w:tc>
        <w:tc>
          <w:tcPr>
            <w:tcW w:type="dxa" w:w="1440"/>
            <w:shd w:fill="FAFAFA" w:val="clear"/>
          </w:tcPr>
          <w:p>
            <w:r>
              <w:rPr>
                <w:b/>
                <w:sz w:val="17"/>
              </w:rPr>
              <w:t>2,813</w:t>
            </w:r>
          </w:p>
        </w:tc>
        <w:tc>
          <w:tcPr>
            <w:tcW w:type="dxa" w:w="1440"/>
            <w:shd w:fill="FAFAFA" w:val="clear"/>
          </w:tcPr>
          <w:p>
            <w:r>
              <w:rPr>
                <w:sz w:val="17"/>
              </w:rPr>
              <w:t>3,024</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2,554</w:t>
            </w:r>
          </w:p>
        </w:tc>
        <w:tc>
          <w:tcPr>
            <w:tcW w:type="dxa" w:w="1440"/>
            <w:shd w:fill="FAFAFA" w:val="clear"/>
          </w:tcPr>
          <w:p>
            <w:r>
              <w:rPr>
                <w:b/>
                <w:sz w:val="17"/>
              </w:rPr>
              <w:t>2,813</w:t>
            </w:r>
          </w:p>
        </w:tc>
        <w:tc>
          <w:tcPr>
            <w:tcW w:type="dxa" w:w="1440"/>
            <w:shd w:fill="FAFAFA" w:val="clear"/>
          </w:tcPr>
          <w:p>
            <w:r>
              <w:rPr>
                <w:sz w:val="17"/>
              </w:rPr>
              <w:t>3,072</w:t>
            </w:r>
          </w:p>
        </w:tc>
        <w:tc>
          <w:tcPr>
            <w:tcW w:type="dxa" w:w="1440"/>
            <w:shd w:fill="FAFAFA" w:val="clear"/>
          </w:tcPr>
          <w:p>
            <w:r>
              <w:rPr>
                <w:b/>
                <w:color w:val="008000"/>
                <w:sz w:val="17"/>
              </w:rPr>
              <w:t>+0.3%</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2,512</w:t>
            </w:r>
          </w:p>
        </w:tc>
        <w:tc>
          <w:tcPr>
            <w:tcW w:type="dxa" w:w="1440"/>
            <w:shd w:fill="FAFAFA" w:val="clear"/>
          </w:tcPr>
          <w:p>
            <w:r>
              <w:rPr>
                <w:b/>
                <w:sz w:val="17"/>
              </w:rPr>
              <w:t>2,811</w:t>
            </w:r>
          </w:p>
        </w:tc>
        <w:tc>
          <w:tcPr>
            <w:tcW w:type="dxa" w:w="1440"/>
            <w:shd w:fill="FAFAFA" w:val="clear"/>
          </w:tcPr>
          <w:p>
            <w:r>
              <w:rPr>
                <w:sz w:val="17"/>
              </w:rPr>
              <w:t>3,111</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2,474</w:t>
            </w:r>
          </w:p>
        </w:tc>
        <w:tc>
          <w:tcPr>
            <w:tcW w:type="dxa" w:w="1440"/>
            <w:shd w:fill="FAFAFA" w:val="clear"/>
          </w:tcPr>
          <w:p>
            <w:r>
              <w:rPr>
                <w:b/>
                <w:sz w:val="17"/>
              </w:rPr>
              <w:t>2,808</w:t>
            </w:r>
          </w:p>
        </w:tc>
        <w:tc>
          <w:tcPr>
            <w:tcW w:type="dxa" w:w="1440"/>
            <w:shd w:fill="FAFAFA" w:val="clear"/>
          </w:tcPr>
          <w:p>
            <w:r>
              <w:rPr>
                <w:sz w:val="17"/>
              </w:rPr>
              <w:t>3,143</w:t>
            </w:r>
          </w:p>
        </w:tc>
        <w:tc>
          <w:tcPr>
            <w:tcW w:type="dxa" w:w="1440"/>
            <w:shd w:fill="FAFAFA" w:val="clear"/>
          </w:tcPr>
          <w:p>
            <w:r>
              <w:rPr>
                <w:b/>
                <w:color w:val="008000"/>
                <w:sz w:val="17"/>
              </w:rPr>
              <w:t>+0.1%</w:t>
            </w:r>
          </w:p>
        </w:tc>
      </w:tr>
      <w:tr>
        <w:tc>
          <w:tcPr>
            <w:tcW w:type="dxa" w:w="1440"/>
            <w:shd w:fill="FAFAFA" w:val="clear"/>
          </w:tcPr>
          <w:p>
            <w:r>
              <w:rPr>
                <w:sz w:val="17"/>
              </w:rPr>
              <w:t>J+6  ⭐</w:t>
            </w:r>
          </w:p>
        </w:tc>
        <w:tc>
          <w:tcPr>
            <w:tcW w:type="dxa" w:w="1440"/>
            <w:shd w:fill="FAFAFA" w:val="clear"/>
          </w:tcPr>
          <w:p>
            <w:r>
              <w:rPr>
                <w:sz w:val="17"/>
              </w:rPr>
              <w:t>2026-08-17</w:t>
            </w:r>
          </w:p>
        </w:tc>
        <w:tc>
          <w:tcPr>
            <w:tcW w:type="dxa" w:w="1440"/>
            <w:shd w:fill="FAFAFA" w:val="clear"/>
          </w:tcPr>
          <w:p>
            <w:r>
              <w:rPr>
                <w:sz w:val="17"/>
              </w:rPr>
              <w:t>2,439</w:t>
            </w:r>
          </w:p>
        </w:tc>
        <w:tc>
          <w:tcPr>
            <w:tcW w:type="dxa" w:w="1440"/>
            <w:shd w:fill="FAFAFA" w:val="clear"/>
          </w:tcPr>
          <w:p>
            <w:r>
              <w:rPr>
                <w:b/>
                <w:sz w:val="17"/>
              </w:rPr>
              <w:t>2,805</w:t>
            </w:r>
          </w:p>
        </w:tc>
        <w:tc>
          <w:tcPr>
            <w:tcW w:type="dxa" w:w="1440"/>
            <w:shd w:fill="FAFAFA" w:val="clear"/>
          </w:tcPr>
          <w:p>
            <w:r>
              <w:rPr>
                <w:sz w:val="17"/>
              </w:rPr>
              <w:t>3,171</w:t>
            </w:r>
          </w:p>
        </w:tc>
        <w:tc>
          <w:tcPr>
            <w:tcW w:type="dxa" w:w="1440"/>
            <w:shd w:fill="FAFAFA" w:val="clear"/>
          </w:tcPr>
          <w:p>
            <w:r>
              <w:rPr>
                <w:b/>
                <w:color w:val="C00000"/>
                <w:sz w:val="17"/>
              </w:rPr>
              <w:t>-0.0%</w:t>
            </w:r>
          </w:p>
        </w:tc>
      </w:tr>
      <w:tr>
        <w:tc>
          <w:tcPr>
            <w:tcW w:type="dxa" w:w="1440"/>
            <w:shd w:fill="FAFAFA" w:val="clear"/>
          </w:tcPr>
          <w:p>
            <w:r>
              <w:rPr>
                <w:sz w:val="17"/>
              </w:rPr>
              <w:t>J+7  ⭐</w:t>
            </w:r>
          </w:p>
        </w:tc>
        <w:tc>
          <w:tcPr>
            <w:tcW w:type="dxa" w:w="1440"/>
            <w:shd w:fill="FAFAFA" w:val="clear"/>
          </w:tcPr>
          <w:p>
            <w:r>
              <w:rPr>
                <w:sz w:val="17"/>
              </w:rPr>
              <w:t>2026-08-18</w:t>
            </w:r>
          </w:p>
        </w:tc>
        <w:tc>
          <w:tcPr>
            <w:tcW w:type="dxa" w:w="1440"/>
            <w:shd w:fill="FAFAFA" w:val="clear"/>
          </w:tcPr>
          <w:p>
            <w:r>
              <w:rPr>
                <w:sz w:val="17"/>
              </w:rPr>
              <w:t>2,407</w:t>
            </w:r>
          </w:p>
        </w:tc>
        <w:tc>
          <w:tcPr>
            <w:tcW w:type="dxa" w:w="1440"/>
            <w:shd w:fill="FAFAFA" w:val="clear"/>
          </w:tcPr>
          <w:p>
            <w:r>
              <w:rPr>
                <w:b/>
                <w:sz w:val="17"/>
              </w:rPr>
              <w:t>2,801</w:t>
            </w:r>
          </w:p>
        </w:tc>
        <w:tc>
          <w:tcPr>
            <w:tcW w:type="dxa" w:w="1440"/>
            <w:shd w:fill="FAFAFA" w:val="clear"/>
          </w:tcPr>
          <w:p>
            <w:r>
              <w:rPr>
                <w:sz w:val="17"/>
              </w:rPr>
              <w:t>3,196</w:t>
            </w:r>
          </w:p>
        </w:tc>
        <w:tc>
          <w:tcPr>
            <w:tcW w:type="dxa" w:w="1440"/>
            <w:shd w:fill="FAFAFA" w:val="clear"/>
          </w:tcPr>
          <w:p>
            <w:r>
              <w:rPr>
                <w:b/>
                <w:color w:val="C00000"/>
                <w:sz w:val="17"/>
              </w:rPr>
              <w:t>-0.1%</w:t>
            </w:r>
          </w:p>
        </w:tc>
      </w:tr>
      <w:tr>
        <w:tc>
          <w:tcPr>
            <w:tcW w:type="dxa" w:w="1440"/>
            <w:shd w:fill="FAFAFA" w:val="clear"/>
          </w:tcPr>
          <w:p>
            <w:r>
              <w:rPr>
                <w:sz w:val="17"/>
              </w:rPr>
              <w:t>J+8  ⭐</w:t>
            </w:r>
          </w:p>
        </w:tc>
        <w:tc>
          <w:tcPr>
            <w:tcW w:type="dxa" w:w="1440"/>
            <w:shd w:fill="FAFAFA" w:val="clear"/>
          </w:tcPr>
          <w:p>
            <w:r>
              <w:rPr>
                <w:sz w:val="17"/>
              </w:rPr>
              <w:t>2026-08-19</w:t>
            </w:r>
          </w:p>
        </w:tc>
        <w:tc>
          <w:tcPr>
            <w:tcW w:type="dxa" w:w="1440"/>
            <w:shd w:fill="FAFAFA" w:val="clear"/>
          </w:tcPr>
          <w:p>
            <w:r>
              <w:rPr>
                <w:sz w:val="17"/>
              </w:rPr>
              <w:t>2,376</w:t>
            </w:r>
          </w:p>
        </w:tc>
        <w:tc>
          <w:tcPr>
            <w:tcW w:type="dxa" w:w="1440"/>
            <w:shd w:fill="FAFAFA" w:val="clear"/>
          </w:tcPr>
          <w:p>
            <w:r>
              <w:rPr>
                <w:b/>
                <w:sz w:val="17"/>
              </w:rPr>
              <w:t>2,798</w:t>
            </w:r>
          </w:p>
        </w:tc>
        <w:tc>
          <w:tcPr>
            <w:tcW w:type="dxa" w:w="1440"/>
            <w:shd w:fill="FAFAFA" w:val="clear"/>
          </w:tcPr>
          <w:p>
            <w:r>
              <w:rPr>
                <w:sz w:val="17"/>
              </w:rPr>
              <w:t>3,219</w:t>
            </w:r>
          </w:p>
        </w:tc>
        <w:tc>
          <w:tcPr>
            <w:tcW w:type="dxa" w:w="1440"/>
            <w:shd w:fill="FAFAFA" w:val="clear"/>
          </w:tcPr>
          <w:p>
            <w:r>
              <w:rPr>
                <w:b/>
                <w:color w:val="C00000"/>
                <w:sz w:val="17"/>
              </w:rPr>
              <w:t>-0.3%</w:t>
            </w:r>
          </w:p>
        </w:tc>
      </w:tr>
      <w:tr>
        <w:tc>
          <w:tcPr>
            <w:tcW w:type="dxa" w:w="1440"/>
            <w:shd w:fill="FAFAFA" w:val="clear"/>
          </w:tcPr>
          <w:p>
            <w:r>
              <w:rPr>
                <w:sz w:val="17"/>
              </w:rPr>
              <w:t>J+9  ⭐</w:t>
            </w:r>
          </w:p>
        </w:tc>
        <w:tc>
          <w:tcPr>
            <w:tcW w:type="dxa" w:w="1440"/>
            <w:shd w:fill="FAFAFA" w:val="clear"/>
          </w:tcPr>
          <w:p>
            <w:r>
              <w:rPr>
                <w:sz w:val="17"/>
              </w:rPr>
              <w:t>2026-08-20</w:t>
            </w:r>
          </w:p>
        </w:tc>
        <w:tc>
          <w:tcPr>
            <w:tcW w:type="dxa" w:w="1440"/>
            <w:shd w:fill="FAFAFA" w:val="clear"/>
          </w:tcPr>
          <w:p>
            <w:r>
              <w:rPr>
                <w:sz w:val="17"/>
              </w:rPr>
              <w:t>2,348</w:t>
            </w:r>
          </w:p>
        </w:tc>
        <w:tc>
          <w:tcPr>
            <w:tcW w:type="dxa" w:w="1440"/>
            <w:shd w:fill="FAFAFA" w:val="clear"/>
          </w:tcPr>
          <w:p>
            <w:r>
              <w:rPr>
                <w:b/>
                <w:sz w:val="17"/>
              </w:rPr>
              <w:t>2,794</w:t>
            </w:r>
          </w:p>
        </w:tc>
        <w:tc>
          <w:tcPr>
            <w:tcW w:type="dxa" w:w="1440"/>
            <w:shd w:fill="FAFAFA" w:val="clear"/>
          </w:tcPr>
          <w:p>
            <w:r>
              <w:rPr>
                <w:sz w:val="17"/>
              </w:rPr>
              <w:t>3,240</w:t>
            </w:r>
          </w:p>
        </w:tc>
        <w:tc>
          <w:tcPr>
            <w:tcW w:type="dxa" w:w="1440"/>
            <w:shd w:fill="FAFAFA" w:val="clear"/>
          </w:tcPr>
          <w:p>
            <w:r>
              <w:rPr>
                <w:b/>
                <w:color w:val="C00000"/>
                <w:sz w:val="17"/>
              </w:rPr>
              <w:t>-0.4%</w:t>
            </w:r>
          </w:p>
        </w:tc>
      </w:tr>
      <w:tr>
        <w:tc>
          <w:tcPr>
            <w:tcW w:type="dxa" w:w="1440"/>
            <w:shd w:fill="FAFAFA" w:val="clear"/>
          </w:tcPr>
          <w:p>
            <w:r>
              <w:rPr>
                <w:sz w:val="17"/>
              </w:rPr>
              <w:t>J+10  ⭐</w:t>
            </w:r>
          </w:p>
        </w:tc>
        <w:tc>
          <w:tcPr>
            <w:tcW w:type="dxa" w:w="1440"/>
            <w:shd w:fill="FAFAFA" w:val="clear"/>
          </w:tcPr>
          <w:p>
            <w:r>
              <w:rPr>
                <w:sz w:val="17"/>
              </w:rPr>
              <w:t>2026-08-21</w:t>
            </w:r>
          </w:p>
        </w:tc>
        <w:tc>
          <w:tcPr>
            <w:tcW w:type="dxa" w:w="1440"/>
            <w:shd w:fill="FAFAFA" w:val="clear"/>
          </w:tcPr>
          <w:p>
            <w:r>
              <w:rPr>
                <w:sz w:val="17"/>
              </w:rPr>
              <w:t>2,321</w:t>
            </w:r>
          </w:p>
        </w:tc>
        <w:tc>
          <w:tcPr>
            <w:tcW w:type="dxa" w:w="1440"/>
            <w:shd w:fill="FAFAFA" w:val="clear"/>
          </w:tcPr>
          <w:p>
            <w:r>
              <w:rPr>
                <w:b/>
                <w:sz w:val="17"/>
              </w:rPr>
              <w:t>2,790</w:t>
            </w:r>
          </w:p>
        </w:tc>
        <w:tc>
          <w:tcPr>
            <w:tcW w:type="dxa" w:w="1440"/>
            <w:shd w:fill="FAFAFA" w:val="clear"/>
          </w:tcPr>
          <w:p>
            <w:r>
              <w:rPr>
                <w:sz w:val="17"/>
              </w:rPr>
              <w:t>3,260</w:t>
            </w:r>
          </w:p>
        </w:tc>
        <w:tc>
          <w:tcPr>
            <w:tcW w:type="dxa" w:w="1440"/>
            <w:shd w:fill="FAFAFA" w:val="clear"/>
          </w:tcPr>
          <w:p>
            <w:r>
              <w:rPr>
                <w:b/>
                <w:color w:val="C00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TTLC s'établit à 176,61 milliards FCFA, ce qui en fait une valeur de première ligne sur la BRVM, reflétant la présence de TotalEnergies dans le paysage énergétique ivoirien. Avec un BPA de 144 FCFA, le titre se négocie à un PER de 19,4x, nettement supérieur à la moyenne historique de la place (~8-12x), indiquant que les investisseurs paient une prime substantielle pour la qualité perçue de l'actif. Le P/B de 4,88x confirme cette lecture, le marché valorisant le titre près de cinq fois sa valeur comptable, un niveau exigeant qui intègre des hypothèses de croissance et de rendement élevées. Enfin, l'EV/EBITDA de 10,3x, bien que dans la fourchette haute des standards de la région, reste cohérent avec les marges d'un distributeur de produits pétroliers, mais laisse peu de marge d'erreur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le titre TTLC affiche une variation totale de -1,58%, avec une chute marquée de -5,87% lors de la dernière séance, signalant une pression vendeuse récente. Le cours a évolué dans un range de 2 650 à 3 060 FCFA, avec une moyenne de 2 848 FCFA et une médiane quasi identique (2 855 FCFA), ce qui indique une distribution des prix très symétrique, confirmée par un skewness de -0,151. L'écart-type de 93 FCFA (CV de 3,3%) révèle une dispersion très faible autour de la moyenne, tandis que le kurtosis de -0,651 (mésokurtique) suggère l'absence de mouvements extrêmes ou de pics de volatilité inhabituels. La volatilité annualisée de 40% classe le titre dans la catégorie des valeurs à risque élevé, malgré une stabilité relative à court terme. Le cours actuel (2 805 FCFA) se situe sous la moyenne et la médiane, traduisant un repli récent dans une tendance globalement stable.</w:t>
      </w:r>
    </w:p>
    <w:p>
      <w:pPr>
        <w:spacing w:after="120" w:line="276" w:lineRule="auto" w:before="240"/>
      </w:pPr>
      <w:r>
        <w:rPr>
          <w:b/>
          <w:color w:val="003366"/>
          <w:sz w:val="24"/>
        </w:rPr>
        <w:t>**PARTIE 2 : ANALYSE TECHNIQUE DÉTAILLÉE**</w:t>
      </w:r>
    </w:p>
    <w:p>
      <w:pPr>
        <w:spacing w:after="120" w:line="276" w:lineRule="auto"/>
      </w:pPr>
      <w:r>
        <w:t>**Moyennes Mobiles** : La MM20 (2 922 FCFA) et la MM50 (2 893 FCFA) se situent toutes deux au-dessus du cours actuel (2 805 FCFA), ce qui indique une configuration baissière à court terme. La décision "Achat" fournie semble toutefois s'appuyer sur le croisement haussier des moyennes entre elles, mais le prix sous les deux moyennes suggère une faiblesse immédiate. Le signal est donc ambigu, avec une tendance de fond positive mais un momentum court terme négatif.</w:t>
      </w:r>
    </w:p>
    <w:p>
      <w:pPr>
        <w:spacing w:after="120" w:line="276" w:lineRule="auto"/>
      </w:pPr>
      <w:r>
        <w:t>**Bandes de Bollinger** : Le cours se positionne près de la borne inférieure (2 766,7 FCFA), à 38 FCFa au-dessus de celle-ci, indiquant que le titre est proche de conditions de survente. La largeur des bandes (311 FCFA) reflète une volatilité modérée. La décision "Neutre" est cohérente : le titre n'est pas encore en zone extrême, mais la proximité de la borne inférieure pourrait offrir un support technique intéressant.</w:t>
      </w:r>
    </w:p>
    <w:p>
      <w:pPr>
        <w:spacing w:after="120" w:line="276" w:lineRule="auto"/>
      </w:pPr>
      <w:r>
        <w:t>**MACD** : La valeur du MACD (5,807) est inférieure à son signal (15,963), avec un écart négatif de -10,15, confirmant une dynamique baissière. Le momentum s'affaiblit, et la décision "Vente" est justifiée par cette divergence négative, même si l'indicateur reste en territoire positif, suggérant que la tendance de fond n'est pas complètement inversée.</w:t>
      </w:r>
    </w:p>
    <w:p>
      <w:pPr>
        <w:spacing w:after="120" w:line="276" w:lineRule="auto"/>
      </w:pPr>
      <w:r>
        <w:t>**RSI** : À 45,03, le RSI se situe en zone neutre (entre 30 et 70), sans signal de surachat ni de survente. Cette valeur indique un équilibre relatif entre acheteurs et vendeurs, avec une légère inflexion baissière. La décision "Neutre" est appropriée, le marché n'étant pas encore dans une dynamique extrême.</w:t>
      </w:r>
    </w:p>
    <w:p>
      <w:pPr>
        <w:spacing w:after="120" w:line="276" w:lineRule="auto"/>
      </w:pPr>
      <w:r>
        <w:t>**Stochastique** : Le %K (15,22) est nettement inférieur au %D (55,07), formant un croisement baissier en zone de survente. Ce signal suggère un potentiel de rebond technique à court terme, justifiant la décision "Achat" malgré la faiblesse actuelle. Le titre semble proche d'un point de retournement.</w:t>
      </w:r>
    </w:p>
    <w:p>
      <w:pPr>
        <w:spacing w:after="120" w:line="276" w:lineRule="auto"/>
      </w:pPr>
      <w:r>
        <w:t>**Conclusion technique** : Les indicateurs sont mitigés, avec une prédominance de signaux baissiers à court terme (MACD, prix sous MM) mais des signaux de retournement potentiel (Stochastique en survente, cours proche de la borne inférieure de Bollinger). La configuration suggère une stabilisation possible autour de 2 766-2 800 FCFA avant un éventuel rebond technique.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TTLC montrent un chiffre d'affaires de 588,709 milliards FCFA, en baisse de -5,2% par rapport à 2024 (621,0 milliards), avec un résultat net de 9,087 milliards FCFA, en repli de -3% sur un an. La marge nette s'améliore légèrement à 1,54%, tandis que le ROE reste excellent à 25,1% et le ROA à 4,8%, témoignant d'une gestion efficace des capitaux propres malgré un contexte de contraction des ventes. Le BFR négatif de -9,662 milliards FCFA est un point très positif, indiquant que la société finance son exploitation grâce à ses fournisseurs (délai de 49,7 jours), une caractéristique typique des grands distributeurs. Cependant, la trésorerie nette est fortement négative (-21,9 milliards FCFA), avec un ratio d'endettement de 90,2% et une capacité de remboursement de 1,71 an, signalant une pression financière accrue. Les rapports trimestriels 2025 confirment la tendance : au S1, le CA recule de -7,1% et le résultat net de -25,5%, tandis qu'au T3 cumulé, la baisse du CA est de -5,7% et celle du résultat net de -30,2%, principalement due à l'absence de ventes exceptionnelles et à une charge fiscale anticipée. Le rapport T1 2026 (publié en 2026) montre une reprise : CA en hausse de +4,3% à 154,4 milliards et résultat net en progression de +5,5% à 2,33 milliards, suggérant une stabilisation. La politique de dividende reste généreuse (10 milliards proposés pour 2025, soit un taux de distribution de 110%), mais elle pèse sur la trésorerie. Les perspectives sont contrastées : la solidité opérationnelle (EBE en hausse de +12%) et la reprise des volumes en 2026 sont positives, mais l'endettement et la dégradation du résultat financier (-90%) constituent des risques majeurs.</w:t>
      </w:r>
    </w:p>
    <w:p>
      <w:pPr>
        <w:spacing w:after="120" w:line="276" w:lineRule="auto" w:before="240"/>
      </w:pPr>
      <w:r>
        <w:rPr>
          <w:b/>
          <w:color w:val="003366"/>
          <w:sz w:val="24"/>
        </w:rPr>
        <w:t>**PARTIE 4 : CONCLUSION D'INVESTISSEMENT**</w:t>
      </w:r>
    </w:p>
    <w:p>
      <w:pPr>
        <w:spacing w:after="120" w:line="276" w:lineRule="auto"/>
      </w:pPr>
      <w:r>
        <w:t>La valorisation de TTLC (PER 19,4x, P/B 4,88x, EV/EBITDA 10,3x) est exigeante, intégrant une prime significative par rapport aux standards BRVM, ce qui limite le potentiel de hausse en l'absence de croissance des bénéfices. Le comportement du cours sur 100 jours (-1,58%) et la chute récente de -5,87% montrent une pression vendeuse, avec une volatilité annualisée élevée (40%) et des statistiques descriptives (symétrie, kurtosis faible) indiquant un risque de mouvements brusques. Les signaux techniques sont mitigés : les MM et le MACD sont baissiers, mais le RSI neutre et le Stochastique en survente suggèrent un potentiel de rebond technique à court terme. Les fondamentaux sont solides en termes de rentabilité (ROE 25,1%) et de BFR négatif, mais la dégradation de la trésorerie et l'endettement croissant sont préoccupants, malgré une reprise des volumes au T1 2026. Les prédictions IA (2 820 à 2 808 FCFA sur 10 jours) indiquent une stabilisation légèrement au-dessus du cours actuel, contredisant partiellement la faiblesse technique immédiate. En synthèse, la convergence entre une valorisation élevée, des fondamentaux en amélioration mais fragiles, et des signaux techniques mixtes conduit à une recommandation **CONSERVER**, avec un niveau de confiance **Moyen** et un risque global **Élevé**. L'horizon d'investissement optimal est le **moyen terme (3-12 mois)**, en attendant une confirmation de la reprise des résultats et une amélioration de la trésorerie.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croissance solide du CA et des b\u00e9n\u00e9fices malgr\u00e9 un contexte difficile. Cependant, l'exposition aux variations des cours p\u00e9troliers et l'environnement g\u00e9opolitique incertain justifient une prudence."}</w:t>
      </w:r>
    </w:p>
    <w:p>
      <w:pPr>
        <w:spacing w:before="40"/>
        <w:ind w:left="400"/>
      </w:pPr>
      <w:r>
        <w:rPr>
          <w:sz w:val="18"/>
        </w:rPr>
        <w:t>TotalEnergies Marketing Côte d'Ivoire affiche une performance solide au 3ème trimestre 2022 avec un chiffre d'affaires en hausse de 14,4% à 419,384 milliards FCFA. Le résultat net progresse de 5,9% à 9,149 milliards FCFA malgré un environnement économique tendu lié à la guerre en Ukraine. La hausse des prix des produits pétroliers a soutenu les revenus tandis que la bonne performance commerciale a compensé la réduction des ventes spots. L'évolution des cours mondiaux du pétrole a eu un impact mitigé avec un effet favorable sur le premier semestre et défavorable sur le troisième trimestre. La société démontre une résilience remarquable dans un contexte géopolitique et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'14,4%', 'capital_social': '3,148 milliards FCFA', 'croissance_resultat_net': '5,9%', 'resultat_activites_ordinaires': '11,971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9,149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419,384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14,4% à 419,384 milliards FCFA</w:t>
      </w:r>
    </w:p>
    <w:p>
      <w:pPr>
        <w:pStyle w:val="ListBullet"/>
        <w:spacing w:before="20" w:after="20"/>
        <w:ind w:left="700"/>
      </w:pPr>
      <w:r>
        <w:rPr>
          <w:sz w:val="18"/>
        </w:rPr>
        <w:t>Résultat net en progression de 5,9% à 9,149 milliards FCFA</w:t>
      </w:r>
    </w:p>
    <w:p>
      <w:pPr>
        <w:pStyle w:val="ListBullet"/>
        <w:spacing w:before="20" w:after="20"/>
        <w:ind w:left="700"/>
      </w:pPr>
      <w:r>
        <w:rPr>
          <w:sz w:val="18"/>
        </w:rPr>
        <w:t>Hausse des prix des produits pétroliers favorisant la croissance du CA</w:t>
      </w:r>
    </w:p>
    <w:p>
      <w:pPr>
        <w:pStyle w:val="ListBullet"/>
        <w:spacing w:before="20" w:after="20"/>
        <w:ind w:left="700"/>
      </w:pPr>
      <w:r>
        <w:rPr>
          <w:sz w:val="18"/>
        </w:rPr>
        <w:t>Bonne performance commerciale malgré la réduction des ventes spots</w:t>
      </w:r>
    </w:p>
    <w:p>
      <w:pPr>
        <w:pStyle w:val="ListBullet"/>
        <w:spacing w:before="20" w:after="20"/>
        <w:ind w:left="700"/>
      </w:pPr>
      <w:r>
        <w:rPr>
          <w:sz w:val="18"/>
        </w:rPr>
        <w:t>Impact négatif de la guerre en Ukraine sur l'environnement économique</w:t>
      </w:r>
    </w:p>
    <w:p>
      <w:pPr>
        <w:pStyle w:val="ListBullet"/>
        <w:spacing w:before="20" w:after="20"/>
        <w:ind w:left="700"/>
      </w:pPr>
      <w:r>
        <w:rPr>
          <w:sz w:val="18"/>
        </w:rPr>
        <w:t>Effet défavorable des cours pétroliers mondiaux sur le 3ème trimestre</w:t>
      </w:r>
    </w:p>
    <w:p>
      <w:pPr>
        <w:spacing w:before="40"/>
        <w:ind w:left="400"/>
      </w:pPr>
      <w:r>
        <w:rPr>
          <w:b/>
          <w:color w:val="C05000"/>
          <w:sz w:val="18"/>
        </w:rPr>
        <w:t xml:space="preserve">⚠️ Risques : </w:t>
      </w:r>
      <w:r>
        <w:rPr>
          <w:sz w:val="18"/>
        </w:rPr>
        <w:t>["Volatilit\u00e9 des cours mondiaux du p\u00e9trole impactant directement les r\u00e9sultats", "Environnement \u00e9conomique tendu li\u00e9 aux cons\u00e9quences de la guerre en Ukraine", "D\u00e9pendance aux prix des produits p\u00e9troliers pour la croissance du chiffre d'affaires"]</w:t>
      </w:r>
    </w:p>
    <w:p>
      <w:pPr>
        <w:spacing w:before="40"/>
        <w:ind w:left="400"/>
      </w:pPr>
      <w:r>
        <w:rPr>
          <w:b/>
          <w:color w:val="0064A0"/>
          <w:sz w:val="18"/>
        </w:rPr>
        <w:t xml:space="preserve">🔮 Perspectives : </w:t>
      </w:r>
      <w:r>
        <w:rPr>
          <w:sz w:val="18"/>
        </w:rPr>
        <w:t>Les perspectives dépendront largement de l'évolution des cours pétroliers et de la stabilisation de l'environnement géopolitique mondial. La capacité de la société à maintenir sa performance commerciale et à gérer l'impact des fluctuations des prix sera déterminante pour 2023.</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114.02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2,839 titres</w:t>
            </w:r>
          </w:p>
        </w:tc>
        <w:tc>
          <w:tcPr>
            <w:tcW w:type="dxa" w:w="2268"/>
            <w:shd w:fill="FFF2CC" w:val="clear"/>
          </w:tcPr>
          <w:p>
            <w:r>
              <w:rPr>
                <w:b/>
                <w:color w:val="503200"/>
                <w:sz w:val="16"/>
              </w:rPr>
              <w:t xml:space="preserve">Cours actuel : </w:t>
            </w:r>
            <w:r>
              <w:rPr>
                <w:color w:val="000000"/>
                <w:sz w:val="17"/>
              </w:rPr>
              <w:t>3,500 FCFA</w:t>
            </w:r>
          </w:p>
          <w:p>
            <w:r>
              <w:rPr>
                <w:b/>
                <w:color w:val="503200"/>
                <w:sz w:val="16"/>
              </w:rPr>
              <w:t xml:space="preserve">Var. 100 jours : </w:t>
            </w:r>
            <w:r>
              <w:rPr>
                <w:b/>
                <w:color w:val="007800"/>
                <w:sz w:val="17"/>
              </w:rPr>
              <w:t>+8.36%</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50.5%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10.77% (Moyenne) — μ=3,432 FCFA, σ=370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β=1.1946 (Neutre (suit le marché)) — Cov=0.000043, Var(idx)=0.000036, ρ=0.226,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2,839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σ_j=3.18%/j (Modérée) — Vol. annualisée≈50.5%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3,240</w:t>
            </w:r>
          </w:p>
        </w:tc>
        <w:tc>
          <w:tcPr>
            <w:tcW w:type="dxa" w:w="1440"/>
            <w:shd w:fill="FAFAFA" w:val="clear"/>
          </w:tcPr>
          <w:p>
            <w:r>
              <w:rPr>
                <w:b/>
                <w:sz w:val="17"/>
              </w:rPr>
              <w:t>3,450</w:t>
            </w:r>
          </w:p>
        </w:tc>
        <w:tc>
          <w:tcPr>
            <w:tcW w:type="dxa" w:w="1440"/>
            <w:shd w:fill="FAFAFA" w:val="clear"/>
          </w:tcPr>
          <w:p>
            <w:r>
              <w:rPr>
                <w:sz w:val="17"/>
              </w:rPr>
              <w:t>3,660</w:t>
            </w:r>
          </w:p>
        </w:tc>
        <w:tc>
          <w:tcPr>
            <w:tcW w:type="dxa" w:w="1440"/>
            <w:shd w:fill="FAFAFA" w:val="clear"/>
          </w:tcPr>
          <w:p>
            <w:r>
              <w:rPr>
                <w:b/>
                <w:color w:val="C00000"/>
                <w:sz w:val="17"/>
              </w:rPr>
              <w:t>-1.4%</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3,111</w:t>
            </w:r>
          </w:p>
        </w:tc>
        <w:tc>
          <w:tcPr>
            <w:tcW w:type="dxa" w:w="1440"/>
            <w:shd w:fill="FFDCE0" w:val="clear"/>
          </w:tcPr>
          <w:p>
            <w:r>
              <w:rPr>
                <w:b/>
                <w:sz w:val="17"/>
              </w:rPr>
              <w:t>3,405</w:t>
            </w:r>
          </w:p>
        </w:tc>
        <w:tc>
          <w:tcPr>
            <w:tcW w:type="dxa" w:w="1440"/>
            <w:shd w:fill="FFDCE0" w:val="clear"/>
          </w:tcPr>
          <w:p>
            <w:r>
              <w:rPr>
                <w:sz w:val="17"/>
              </w:rPr>
              <w:t>3,698</w:t>
            </w:r>
          </w:p>
        </w:tc>
        <w:tc>
          <w:tcPr>
            <w:tcW w:type="dxa" w:w="1440"/>
            <w:shd w:fill="FFDCE0" w:val="clear"/>
          </w:tcPr>
          <w:p>
            <w:r>
              <w:rPr>
                <w:b/>
                <w:color w:val="C00000"/>
                <w:sz w:val="17"/>
              </w:rPr>
              <w:t>-2.7%</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3,010</w:t>
            </w:r>
          </w:p>
        </w:tc>
        <w:tc>
          <w:tcPr>
            <w:tcW w:type="dxa" w:w="1440"/>
            <w:shd w:fill="FFDCE0" w:val="clear"/>
          </w:tcPr>
          <w:p>
            <w:r>
              <w:rPr>
                <w:b/>
                <w:sz w:val="17"/>
              </w:rPr>
              <w:t>3,365</w:t>
            </w:r>
          </w:p>
        </w:tc>
        <w:tc>
          <w:tcPr>
            <w:tcW w:type="dxa" w:w="1440"/>
            <w:shd w:fill="FFDCE0" w:val="clear"/>
          </w:tcPr>
          <w:p>
            <w:r>
              <w:rPr>
                <w:sz w:val="17"/>
              </w:rPr>
              <w:t>3,720</w:t>
            </w:r>
          </w:p>
        </w:tc>
        <w:tc>
          <w:tcPr>
            <w:tcW w:type="dxa" w:w="1440"/>
            <w:shd w:fill="FFDCE0" w:val="clear"/>
          </w:tcPr>
          <w:p>
            <w:r>
              <w:rPr>
                <w:b/>
                <w:color w:val="C00000"/>
                <w:sz w:val="17"/>
              </w:rPr>
              <w:t>-3.9%</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2,924</w:t>
            </w:r>
          </w:p>
        </w:tc>
        <w:tc>
          <w:tcPr>
            <w:tcW w:type="dxa" w:w="1440"/>
            <w:shd w:fill="FFDCE0" w:val="clear"/>
          </w:tcPr>
          <w:p>
            <w:r>
              <w:rPr>
                <w:b/>
                <w:sz w:val="17"/>
              </w:rPr>
              <w:t>3,329</w:t>
            </w:r>
          </w:p>
        </w:tc>
        <w:tc>
          <w:tcPr>
            <w:tcW w:type="dxa" w:w="1440"/>
            <w:shd w:fill="FFDCE0" w:val="clear"/>
          </w:tcPr>
          <w:p>
            <w:r>
              <w:rPr>
                <w:sz w:val="17"/>
              </w:rPr>
              <w:t>3,735</w:t>
            </w:r>
          </w:p>
        </w:tc>
        <w:tc>
          <w:tcPr>
            <w:tcW w:type="dxa" w:w="1440"/>
            <w:shd w:fill="FFDCE0" w:val="clear"/>
          </w:tcPr>
          <w:p>
            <w:r>
              <w:rPr>
                <w:b/>
                <w:color w:val="C00000"/>
                <w:sz w:val="17"/>
              </w:rPr>
              <w:t>-4.9%</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2,847</w:t>
            </w:r>
          </w:p>
        </w:tc>
        <w:tc>
          <w:tcPr>
            <w:tcW w:type="dxa" w:w="1440"/>
            <w:shd w:fill="FFDCE0" w:val="clear"/>
          </w:tcPr>
          <w:p>
            <w:r>
              <w:rPr>
                <w:b/>
                <w:sz w:val="17"/>
              </w:rPr>
              <w:t>3,296</w:t>
            </w:r>
          </w:p>
        </w:tc>
        <w:tc>
          <w:tcPr>
            <w:tcW w:type="dxa" w:w="1440"/>
            <w:shd w:fill="FFDCE0" w:val="clear"/>
          </w:tcPr>
          <w:p>
            <w:r>
              <w:rPr>
                <w:sz w:val="17"/>
              </w:rPr>
              <w:t>3,745</w:t>
            </w:r>
          </w:p>
        </w:tc>
        <w:tc>
          <w:tcPr>
            <w:tcW w:type="dxa" w:w="1440"/>
            <w:shd w:fill="FFDCE0" w:val="clear"/>
          </w:tcPr>
          <w:p>
            <w:r>
              <w:rPr>
                <w:b/>
                <w:color w:val="C00000"/>
                <w:sz w:val="17"/>
              </w:rPr>
              <w:t>-5.8%</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2,778</w:t>
            </w:r>
          </w:p>
        </w:tc>
        <w:tc>
          <w:tcPr>
            <w:tcW w:type="dxa" w:w="1440"/>
            <w:shd w:fill="FFDCE0" w:val="clear"/>
          </w:tcPr>
          <w:p>
            <w:r>
              <w:rPr>
                <w:b/>
                <w:sz w:val="17"/>
              </w:rPr>
              <w:t>3,265</w:t>
            </w:r>
          </w:p>
        </w:tc>
        <w:tc>
          <w:tcPr>
            <w:tcW w:type="dxa" w:w="1440"/>
            <w:shd w:fill="FFDCE0" w:val="clear"/>
          </w:tcPr>
          <w:p>
            <w:r>
              <w:rPr>
                <w:sz w:val="17"/>
              </w:rPr>
              <w:t>3,753</w:t>
            </w:r>
          </w:p>
        </w:tc>
        <w:tc>
          <w:tcPr>
            <w:tcW w:type="dxa" w:w="1440"/>
            <w:shd w:fill="FFDCE0" w:val="clear"/>
          </w:tcPr>
          <w:p>
            <w:r>
              <w:rPr>
                <w:b/>
                <w:color w:val="C00000"/>
                <w:sz w:val="17"/>
              </w:rPr>
              <w:t>-6.7%</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2,714</w:t>
            </w:r>
          </w:p>
        </w:tc>
        <w:tc>
          <w:tcPr>
            <w:tcW w:type="dxa" w:w="1440"/>
            <w:shd w:fill="FFDCE0" w:val="clear"/>
          </w:tcPr>
          <w:p>
            <w:r>
              <w:rPr>
                <w:b/>
                <w:sz w:val="17"/>
              </w:rPr>
              <w:t>3,236</w:t>
            </w:r>
          </w:p>
        </w:tc>
        <w:tc>
          <w:tcPr>
            <w:tcW w:type="dxa" w:w="1440"/>
            <w:shd w:fill="FFDCE0" w:val="clear"/>
          </w:tcPr>
          <w:p>
            <w:r>
              <w:rPr>
                <w:sz w:val="17"/>
              </w:rPr>
              <w:t>3,758</w:t>
            </w:r>
          </w:p>
        </w:tc>
        <w:tc>
          <w:tcPr>
            <w:tcW w:type="dxa" w:w="1440"/>
            <w:shd w:fill="FFDCE0" w:val="clear"/>
          </w:tcPr>
          <w:p>
            <w:r>
              <w:rPr>
                <w:b/>
                <w:color w:val="C00000"/>
                <w:sz w:val="17"/>
              </w:rPr>
              <w:t>-7.6%</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2,655</w:t>
            </w:r>
          </w:p>
        </w:tc>
        <w:tc>
          <w:tcPr>
            <w:tcW w:type="dxa" w:w="1440"/>
            <w:shd w:fill="FFDCE0" w:val="clear"/>
          </w:tcPr>
          <w:p>
            <w:r>
              <w:rPr>
                <w:b/>
                <w:sz w:val="17"/>
              </w:rPr>
              <w:t>3,208</w:t>
            </w:r>
          </w:p>
        </w:tc>
        <w:tc>
          <w:tcPr>
            <w:tcW w:type="dxa" w:w="1440"/>
            <w:shd w:fill="FFDCE0" w:val="clear"/>
          </w:tcPr>
          <w:p>
            <w:r>
              <w:rPr>
                <w:sz w:val="17"/>
              </w:rPr>
              <w:t>3,761</w:t>
            </w:r>
          </w:p>
        </w:tc>
        <w:tc>
          <w:tcPr>
            <w:tcW w:type="dxa" w:w="1440"/>
            <w:shd w:fill="FFDCE0" w:val="clear"/>
          </w:tcPr>
          <w:p>
            <w:r>
              <w:rPr>
                <w:b/>
                <w:color w:val="C00000"/>
                <w:sz w:val="17"/>
              </w:rPr>
              <w:t>-8.3%</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2,600</w:t>
            </w:r>
          </w:p>
        </w:tc>
        <w:tc>
          <w:tcPr>
            <w:tcW w:type="dxa" w:w="1440"/>
            <w:shd w:fill="FFDCE0" w:val="clear"/>
          </w:tcPr>
          <w:p>
            <w:r>
              <w:rPr>
                <w:b/>
                <w:sz w:val="17"/>
              </w:rPr>
              <w:t>3,182</w:t>
            </w:r>
          </w:p>
        </w:tc>
        <w:tc>
          <w:tcPr>
            <w:tcW w:type="dxa" w:w="1440"/>
            <w:shd w:fill="FFDCE0" w:val="clear"/>
          </w:tcPr>
          <w:p>
            <w:r>
              <w:rPr>
                <w:sz w:val="17"/>
              </w:rPr>
              <w:t>3,764</w:t>
            </w:r>
          </w:p>
        </w:tc>
        <w:tc>
          <w:tcPr>
            <w:tcW w:type="dxa" w:w="1440"/>
            <w:shd w:fill="FFDCE0" w:val="clear"/>
          </w:tcPr>
          <w:p>
            <w:r>
              <w:rPr>
                <w:b/>
                <w:color w:val="C00000"/>
                <w:sz w:val="17"/>
              </w:rPr>
              <w:t>-9.1%</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2,548</w:t>
            </w:r>
          </w:p>
        </w:tc>
        <w:tc>
          <w:tcPr>
            <w:tcW w:type="dxa" w:w="1440"/>
            <w:shd w:fill="FFDCE0" w:val="clear"/>
          </w:tcPr>
          <w:p>
            <w:r>
              <w:rPr>
                <w:b/>
                <w:sz w:val="17"/>
              </w:rPr>
              <w:t>3,157</w:t>
            </w:r>
          </w:p>
        </w:tc>
        <w:tc>
          <w:tcPr>
            <w:tcW w:type="dxa" w:w="1440"/>
            <w:shd w:fill="FFDCE0" w:val="clear"/>
          </w:tcPr>
          <w:p>
            <w:r>
              <w:rPr>
                <w:sz w:val="17"/>
              </w:rPr>
              <w:t>3,765</w:t>
            </w:r>
          </w:p>
        </w:tc>
        <w:tc>
          <w:tcPr>
            <w:tcW w:type="dxa" w:w="1440"/>
            <w:shd w:fill="FFDCE0" w:val="clear"/>
          </w:tcPr>
          <w:p>
            <w:r>
              <w:rPr>
                <w:b/>
                <w:color w:val="C00000"/>
                <w:sz w:val="17"/>
              </w:rPr>
              <w:t>-9.8%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TTLS s'établit à 114,02 milliards FCFA, ce qui en fait une valeur de taille moyenne sur la BRVM, reflétant sa position de leader dans la distribution de produits pétroliers au Sénégal. Avec un BPA de 208 FCFA, le PER de 16,8x se situe nettement au-dessus de la moyenne historique de la BRVM (8-12x), indiquant que les investisseurs acceptent de payer une prime pour la qualité et la stabilité des actifs de l'entreprise, ainsi que pour son appartenance au groupe TotalEnergies. Le P/B de 4,04x confirme cette prime, le marché valorisant le titre bien au-delà de sa valeur comptable, ce qui reflète une confiance dans la capacité de l'entreprise à générer des rendements supérieurs à son actif net. Enfin, l'EV/EBITDA de 7,1x, dans la fourchette raisonnable de 5 à 10x, suggère que la valorisation de l'entreprise reste soutenable au regard de sa capacité opérationnelle à générer des flux, malgré une prime apparente sur les autres ratios.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TTLS a enregistré une variation totale positive de +8,36%, mais la dernière séance montre un recul marqué de -3,58%, indiquant une possible correction après une période de hausse. Le titre a évolué dans une fourchette large de 2 845 FCFA à 4 500 FCFA, démontrant une volatilité significative. La moyenne du cours sur la période (3 432 FCFA) est supérieure à la médiane (3 358 FCFA), ce qui, combiné à un skewness positif de 0,965, indique une distribution asymétrique avec plus de journées sous la moyenne mais quelques fortes hausses qui tirent la moyenne vers le haut. L'écart-type de 372 FCFA (CV=10,8%) montre une dispersion modérée, tandis que le kurtosis de 0,405 (mésokurtique) suggère l'absence de risques extrêmes de pics. La volatilité annualisée de 50,5% est élevée (&gt;30%), classant TTLS comme un titre à fort risque de fluctuation, ce qui est cohérent avec les variations importantes observées sur la période.</w:t>
      </w:r>
    </w:p>
    <w:p>
      <w:pPr>
        <w:spacing w:after="120" w:line="276" w:lineRule="auto" w:before="240"/>
      </w:pPr>
      <w:r>
        <w:rPr>
          <w:b/>
          <w:color w:val="003366"/>
          <w:sz w:val="24"/>
        </w:rPr>
        <w:t>**PARTIE 2 : ANALYSE TECHNIQUE DÉTAILLÉE**</w:t>
      </w:r>
    </w:p>
    <w:p>
      <w:pPr>
        <w:spacing w:after="120" w:line="276" w:lineRule="auto"/>
      </w:pPr>
      <w:r>
        <w:t>**Moyennes Mobiles** : Le cours actuel de 3 500 FCFA est inférieur à la MM20 (3 818,5 FCFA) et à la MM50 (3 710,6 FCFA), indiquant une tendance baissière à court et moyen terme. Cependant, la décision globale est "Achat", ce qui suggère que les moyennes mobiles pourraient se croiser à la hausse ou que le cours est en phase de rattrapage vers ces niveaux, offrant un potentiel de rebond technique.</w:t>
      </w:r>
    </w:p>
    <w:p>
      <w:pPr>
        <w:spacing w:after="120" w:line="276" w:lineRule="auto"/>
      </w:pPr>
      <w:r>
        <w:t>**Bandes de Bollinger** : Le prix de 3 500 FCFA se situe dans la partie inférieure des bandes, proche de la borne inférieure à 3 285,592 FCFA, indiquant une pression vendeuse et une volatilité élevée. La décision "Neutre" reflète l'absence de signal directionnel clair, le titre n'étant ni en situation de surachat ni de survente extrême, mais plutôt dans une zone de consolidation.</w:t>
      </w:r>
    </w:p>
    <w:p>
      <w:pPr>
        <w:spacing w:after="120" w:line="276" w:lineRule="auto"/>
      </w:pPr>
      <w:r>
        <w:t>**MACD** : La valeur MACD de -68,933 est inférieure à la ligne de signal à -21,624, confirmant un momentum baissier. Cette divergence négative indique que la dynamique des prix est actuellement défavorable, avec une pression vendeuse dominante. La décision "Vente" est cohérente avec cette configuration, signalant une poursuite potentielle de la baisse à court terme.</w:t>
      </w:r>
    </w:p>
    <w:p>
      <w:pPr>
        <w:spacing w:after="120" w:line="276" w:lineRule="auto"/>
      </w:pPr>
      <w:r>
        <w:t>**RSI** : Avec une valeur de 25,616, le RSI se trouve en zone de survente (&lt;30), indiquant que le titre est techniquement survendu. La décision "Achat" suggère qu'un rebond technique est probable, les vendeurs étant potentiellement épuisés. C'est un signal contraire qui pourrait annoncer une correction haussière à court terme.</w:t>
      </w:r>
    </w:p>
    <w:p>
      <w:pPr>
        <w:spacing w:after="120" w:line="276" w:lineRule="auto"/>
      </w:pPr>
      <w:r>
        <w:t>**Stochastique** : Le %K à 0,0 et le %D à 8,754 sont tous deux en zone de survente extrême, avec un croisement potentiel à la hausse. La décision "Achat" confirme que le titre est dans une condition de survente sévère, ce qui renforce le scénario d'un rebond technique imminent.</w:t>
      </w:r>
    </w:p>
    <w:p>
      <w:pPr>
        <w:spacing w:after="120" w:line="276" w:lineRule="auto"/>
      </w:pPr>
      <w:r>
        <w:t>**Conclusion technique** : Les indicateurs sont mitigés, avec une majorité de signaux d'achat (MM, RSI, Stochastique) mais un MACD vendeur. La configuration suggère un potentiel de rebond à court terme après une phase de survente, mais la tendance de fond reste incertaine. Le cours évolue dans un canal baissier à court terme, mais les conditions de survente pourraient déclencher un mouvement correctif haussier.</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TTLS montrent un chiffre d'affaires de 455,209 milliards FCFA, en baisse de 6,1% par rapport à 2024, et un résultat net de 6,779 milliards FCFA, en repli de 5,1%. La marge nette s'établit à 1,49%, typique du secteur de distribution pétrolière, tandis que le ROE est excellent à 24,01%, démontrant une forte rentabilité des capitaux propres (28,239 milliards FCFA). Le ROA de 3,95% reflète une utilisation modérée des actifs (171,778 milliards FCFA). Le BFR négatif de -36,899 milliards FCFA est un point très positif, indiquant que l'entreprise finance son cycle d'exploitation par ses fournisseurs (délai fournisseurs de 97,76 jours contre 47,43 jours pour les clients), ce qui améliore sa trésorerie. La capacité d'autofinancement de 15,698 milliards FCFA et le free cash-flow de 17,483 milliards FCFA montrent une solide génération de liquidités. Les rapports trimestriels de 2025 (T1, S1, T3) confirment la tendance : baisse du CA due à l'arrêt du fuel lourd, mais amélioration de la rentabilité opérationnelle (résultat d'exploitation en hausse de 22% au S1 2025). Le rapport T1 2026 indique une résilience remarquable avec un résultat net en hausse de 5% à 1,585 milliards FCFA malgré une baisse de 10% du CA, grâce à l'amélioration des marges sur les lubrifiants. Les perspectives restent positives avec la mise en production du champ Sangomar et le développement du GPL, mais la dépendance aux décisions réglementaires de l'État sénégalais sur les prix constitue un risque majeur.</w:t>
      </w:r>
    </w:p>
    <w:p>
      <w:pPr>
        <w:spacing w:after="120" w:line="276" w:lineRule="auto" w:before="240"/>
      </w:pPr>
      <w:r>
        <w:rPr>
          <w:b/>
          <w:color w:val="003366"/>
          <w:sz w:val="24"/>
        </w:rPr>
        <w:t>**PARTIE 4 : CONCLUSION D'INVESTISSEMENT**</w:t>
      </w:r>
    </w:p>
    <w:p>
      <w:pPr>
        <w:spacing w:after="120" w:line="276" w:lineRule="auto"/>
      </w:pPr>
      <w:r>
        <w:t>La valorisation de TTLS (PER 16,8x, P/B 4,04x) indique une prime par rapport au marché BRVM, mais elle est justifiée par un ROE exceptionnel de 24% et une génération de cash-flow robuste. Le comportement du cours sur 100 jours montre une tendance positive (+8,36%) mais avec une volatilité élevée (50,5%) et une récente correction de -3,58%, signalant une phase de consolidation. Les signaux techniques sont mitigés : les conditions de survente (RSI 25,6, Stochastique 0) suggèrent un rebond imminent, mais le MACD vendeur et le cours sous les moyennes mobiles indiquent une pression baissière à court terme. Fondamentalement, TTLS démontre une résilience opérationnelle solide, avec une amélioration des marges malgré la baisse du CA, et des perspectives de croissance liées aux nouveaux projets énergétiques au Sénégal. Les prédictions IA (3 450 à 3 296 FCFA sur 10 jours) confirment la tendance baissière à court terme, mais la convergence des signaux de survente pourrait inverser cette trajectoire. La recommandation finale est **CONSERVER** avec un niveau de confiance **Moyen** et un risque global **Élevé** en raison de la volatilité et de la dépendance réglementaire. L'horizon d'investissement optimal est le **moyen terme (3-12 mois)**, en attendant une clarification sur la politique de dividendes et une stabilisation des volumes.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501.37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28 titres</w:t>
            </w:r>
          </w:p>
        </w:tc>
        <w:tc>
          <w:tcPr>
            <w:tcW w:type="dxa" w:w="2268"/>
            <w:shd w:fill="FFF2CC" w:val="clear"/>
          </w:tcPr>
          <w:p>
            <w:r>
              <w:rPr>
                <w:b/>
                <w:color w:val="503200"/>
                <w:sz w:val="16"/>
              </w:rPr>
              <w:t xml:space="preserve">Cours actuel : </w:t>
            </w:r>
            <w:r>
              <w:rPr>
                <w:color w:val="000000"/>
                <w:sz w:val="17"/>
              </w:rPr>
              <w:t>54,595 FCFA</w:t>
            </w:r>
          </w:p>
          <w:p>
            <w:r>
              <w:rPr>
                <w:b/>
                <w:color w:val="503200"/>
                <w:sz w:val="16"/>
              </w:rPr>
              <w:t xml:space="preserve">Var. 100 jours : </w:t>
            </w:r>
            <w:r>
              <w:rPr>
                <w:b/>
                <w:color w:val="B40000"/>
                <w:sz w:val="17"/>
              </w:rPr>
              <w:t>-19.71%</w:t>
            </w:r>
          </w:p>
          <w:p>
            <w:r>
              <w:rPr>
                <w:b/>
                <w:color w:val="503200"/>
                <w:sz w:val="16"/>
              </w:rPr>
              <w:t xml:space="preserve">Plus haut 100j : </w:t>
            </w:r>
            <w:r>
              <w:rPr>
                <w:color w:val="000000"/>
                <w:sz w:val="17"/>
              </w:rPr>
              <w:t>72,000 FCFA</w:t>
            </w:r>
          </w:p>
          <w:p>
            <w:r>
              <w:rPr>
                <w:b/>
                <w:color w:val="503200"/>
                <w:sz w:val="16"/>
              </w:rPr>
              <w:t xml:space="preserve">Plus bas 100j : </w:t>
            </w:r>
            <w:r>
              <w:rPr>
                <w:color w:val="000000"/>
                <w:sz w:val="17"/>
              </w:rPr>
              <w:t>49,630 FCFA</w:t>
            </w:r>
          </w:p>
          <w:p>
            <w:r>
              <w:rPr>
                <w:b/>
                <w:color w:val="503200"/>
                <w:sz w:val="16"/>
              </w:rPr>
              <w:t xml:space="preserve">Volatilité ann. : </w:t>
            </w:r>
            <w:r>
              <w:rPr>
                <w:color w:val="000000"/>
                <w:sz w:val="17"/>
              </w:rPr>
              <w:t>68.8%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32.8/100 → Moyen</w:t>
      </w:r>
    </w:p>
    <w:p>
      <w:pPr>
        <w:spacing w:before="40" w:after="80"/>
      </w:pPr>
      <w:r>
        <w:rPr>
          <w:rFonts w:ascii="Courier New" w:hAnsi="Courier New"/>
          <w:color w:val="825A00"/>
          <w:sz w:val="18"/>
        </w:rPr>
        <w:t>██████░░░░░░░░░░░░░░  32.8/100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8.12% (Moyenne) — μ=57,569 FCFA, σ=4,676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β=2.0999 (Très agressif) — Cov=0.000075, Var(idx)=0.000036, ρ=0.292,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FFEB9C" w:val="clear"/>
          </w:tcPr>
          <w:p>
            <w:r>
              <w:rPr>
                <w:b/>
                <w:sz w:val="15"/>
              </w:rPr>
              <w:t>28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σ_j=4.33%/j (Modérée) — Vol. annualisée≈68.8%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53/100  (Moyen)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52,096</w:t>
            </w:r>
          </w:p>
        </w:tc>
        <w:tc>
          <w:tcPr>
            <w:tcW w:type="dxa" w:w="1440"/>
            <w:shd w:fill="FAFAFA" w:val="clear"/>
          </w:tcPr>
          <w:p>
            <w:r>
              <w:rPr>
                <w:b/>
                <w:sz w:val="17"/>
              </w:rPr>
              <w:t>55,446</w:t>
            </w:r>
          </w:p>
        </w:tc>
        <w:tc>
          <w:tcPr>
            <w:tcW w:type="dxa" w:w="1440"/>
            <w:shd w:fill="FAFAFA" w:val="clear"/>
          </w:tcPr>
          <w:p>
            <w:r>
              <w:rPr>
                <w:sz w:val="17"/>
              </w:rPr>
              <w:t>58,795</w:t>
            </w:r>
          </w:p>
        </w:tc>
        <w:tc>
          <w:tcPr>
            <w:tcW w:type="dxa" w:w="1440"/>
            <w:shd w:fill="FAFAFA" w:val="clear"/>
          </w:tcPr>
          <w:p>
            <w:r>
              <w:rPr>
                <w:b/>
                <w:color w:val="008000"/>
                <w:sz w:val="17"/>
              </w:rPr>
              <w:t>+1.6%</w:t>
            </w:r>
          </w:p>
        </w:tc>
      </w:tr>
      <w:tr>
        <w:tc>
          <w:tcPr>
            <w:tcW w:type="dxa" w:w="1440"/>
            <w:shd w:fill="C6EFCE" w:val="clear"/>
          </w:tcPr>
          <w:p>
            <w:r>
              <w:rPr>
                <w:sz w:val="17"/>
              </w:rPr>
              <w:t>J+2  ⭐</w:t>
            </w:r>
          </w:p>
        </w:tc>
        <w:tc>
          <w:tcPr>
            <w:tcW w:type="dxa" w:w="1440"/>
            <w:shd w:fill="C6EFCE" w:val="clear"/>
          </w:tcPr>
          <w:p>
            <w:r>
              <w:rPr>
                <w:sz w:val="17"/>
              </w:rPr>
              <w:t>2026-08-11</w:t>
            </w:r>
          </w:p>
        </w:tc>
        <w:tc>
          <w:tcPr>
            <w:tcW w:type="dxa" w:w="1440"/>
            <w:shd w:fill="C6EFCE" w:val="clear"/>
          </w:tcPr>
          <w:p>
            <w:r>
              <w:rPr>
                <w:sz w:val="17"/>
              </w:rPr>
              <w:t>51,270</w:t>
            </w:r>
          </w:p>
        </w:tc>
        <w:tc>
          <w:tcPr>
            <w:tcW w:type="dxa" w:w="1440"/>
            <w:shd w:fill="C6EFCE" w:val="clear"/>
          </w:tcPr>
          <w:p>
            <w:r>
              <w:rPr>
                <w:b/>
                <w:sz w:val="17"/>
              </w:rPr>
              <w:t>56,059</w:t>
            </w:r>
          </w:p>
        </w:tc>
        <w:tc>
          <w:tcPr>
            <w:tcW w:type="dxa" w:w="1440"/>
            <w:shd w:fill="C6EFCE" w:val="clear"/>
          </w:tcPr>
          <w:p>
            <w:r>
              <w:rPr>
                <w:sz w:val="17"/>
              </w:rPr>
              <w:t>60,848</w:t>
            </w:r>
          </w:p>
        </w:tc>
        <w:tc>
          <w:tcPr>
            <w:tcW w:type="dxa" w:w="1440"/>
            <w:shd w:fill="C6EFCE" w:val="clear"/>
          </w:tcPr>
          <w:p>
            <w:r>
              <w:rPr>
                <w:b/>
                <w:color w:val="008000"/>
                <w:sz w:val="17"/>
              </w:rPr>
              <w:t>+2.7%</w:t>
            </w:r>
          </w:p>
        </w:tc>
      </w:tr>
      <w:tr>
        <w:tc>
          <w:tcPr>
            <w:tcW w:type="dxa" w:w="1440"/>
            <w:shd w:fill="C6EFCE" w:val="clear"/>
          </w:tcPr>
          <w:p>
            <w:r>
              <w:rPr>
                <w:sz w:val="17"/>
              </w:rPr>
              <w:t>J+3  ⭐</w:t>
            </w:r>
          </w:p>
        </w:tc>
        <w:tc>
          <w:tcPr>
            <w:tcW w:type="dxa" w:w="1440"/>
            <w:shd w:fill="C6EFCE" w:val="clear"/>
          </w:tcPr>
          <w:p>
            <w:r>
              <w:rPr>
                <w:sz w:val="17"/>
              </w:rPr>
              <w:t>2026-08-12</w:t>
            </w:r>
          </w:p>
        </w:tc>
        <w:tc>
          <w:tcPr>
            <w:tcW w:type="dxa" w:w="1440"/>
            <w:shd w:fill="C6EFCE" w:val="clear"/>
          </w:tcPr>
          <w:p>
            <w:r>
              <w:rPr>
                <w:sz w:val="17"/>
              </w:rPr>
              <w:t>50,758</w:t>
            </w:r>
          </w:p>
        </w:tc>
        <w:tc>
          <w:tcPr>
            <w:tcW w:type="dxa" w:w="1440"/>
            <w:shd w:fill="C6EFCE" w:val="clear"/>
          </w:tcPr>
          <w:p>
            <w:r>
              <w:rPr>
                <w:b/>
                <w:sz w:val="17"/>
              </w:rPr>
              <w:t>56,690</w:t>
            </w:r>
          </w:p>
        </w:tc>
        <w:tc>
          <w:tcPr>
            <w:tcW w:type="dxa" w:w="1440"/>
            <w:shd w:fill="C6EFCE" w:val="clear"/>
          </w:tcPr>
          <w:p>
            <w:r>
              <w:rPr>
                <w:sz w:val="17"/>
              </w:rPr>
              <w:t>62,621</w:t>
            </w:r>
          </w:p>
        </w:tc>
        <w:tc>
          <w:tcPr>
            <w:tcW w:type="dxa" w:w="1440"/>
            <w:shd w:fill="C6EFCE" w:val="clear"/>
          </w:tcPr>
          <w:p>
            <w:r>
              <w:rPr>
                <w:b/>
                <w:color w:val="008000"/>
                <w:sz w:val="17"/>
              </w:rPr>
              <w:t>+3.8%</w:t>
            </w:r>
          </w:p>
        </w:tc>
      </w:tr>
      <w:tr>
        <w:tc>
          <w:tcPr>
            <w:tcW w:type="dxa" w:w="1440"/>
            <w:shd w:fill="C6EFCE" w:val="clear"/>
          </w:tcPr>
          <w:p>
            <w:r>
              <w:rPr>
                <w:sz w:val="17"/>
              </w:rPr>
              <w:t>J+4  ⭐</w:t>
            </w:r>
          </w:p>
        </w:tc>
        <w:tc>
          <w:tcPr>
            <w:tcW w:type="dxa" w:w="1440"/>
            <w:shd w:fill="C6EFCE" w:val="clear"/>
          </w:tcPr>
          <w:p>
            <w:r>
              <w:rPr>
                <w:sz w:val="17"/>
              </w:rPr>
              <w:t>2026-08-13</w:t>
            </w:r>
          </w:p>
        </w:tc>
        <w:tc>
          <w:tcPr>
            <w:tcW w:type="dxa" w:w="1440"/>
            <w:shd w:fill="C6EFCE" w:val="clear"/>
          </w:tcPr>
          <w:p>
            <w:r>
              <w:rPr>
                <w:sz w:val="17"/>
              </w:rPr>
              <w:t>50,402</w:t>
            </w:r>
          </w:p>
        </w:tc>
        <w:tc>
          <w:tcPr>
            <w:tcW w:type="dxa" w:w="1440"/>
            <w:shd w:fill="C6EFCE" w:val="clear"/>
          </w:tcPr>
          <w:p>
            <w:r>
              <w:rPr>
                <w:b/>
                <w:sz w:val="17"/>
              </w:rPr>
              <w:t>57,328</w:t>
            </w:r>
          </w:p>
        </w:tc>
        <w:tc>
          <w:tcPr>
            <w:tcW w:type="dxa" w:w="1440"/>
            <w:shd w:fill="C6EFCE" w:val="clear"/>
          </w:tcPr>
          <w:p>
            <w:r>
              <w:rPr>
                <w:sz w:val="17"/>
              </w:rPr>
              <w:t>64,254</w:t>
            </w:r>
          </w:p>
        </w:tc>
        <w:tc>
          <w:tcPr>
            <w:tcW w:type="dxa" w:w="1440"/>
            <w:shd w:fill="C6EFCE" w:val="clear"/>
          </w:tcPr>
          <w:p>
            <w:r>
              <w:rPr>
                <w:b/>
                <w:color w:val="008000"/>
                <w:sz w:val="17"/>
              </w:rPr>
              <w:t>+5.0%</w:t>
            </w:r>
          </w:p>
        </w:tc>
      </w:tr>
      <w:tr>
        <w:tc>
          <w:tcPr>
            <w:tcW w:type="dxa" w:w="1440"/>
            <w:shd w:fill="C6EFCE" w:val="clear"/>
          </w:tcPr>
          <w:p>
            <w:r>
              <w:rPr>
                <w:sz w:val="17"/>
              </w:rPr>
              <w:t>J+5  ⭐</w:t>
            </w:r>
          </w:p>
        </w:tc>
        <w:tc>
          <w:tcPr>
            <w:tcW w:type="dxa" w:w="1440"/>
            <w:shd w:fill="C6EFCE" w:val="clear"/>
          </w:tcPr>
          <w:p>
            <w:r>
              <w:rPr>
                <w:sz w:val="17"/>
              </w:rPr>
              <w:t>2026-08-14</w:t>
            </w:r>
          </w:p>
        </w:tc>
        <w:tc>
          <w:tcPr>
            <w:tcW w:type="dxa" w:w="1440"/>
            <w:shd w:fill="C6EFCE" w:val="clear"/>
          </w:tcPr>
          <w:p>
            <w:r>
              <w:rPr>
                <w:sz w:val="17"/>
              </w:rPr>
              <w:t>50,142</w:t>
            </w:r>
          </w:p>
        </w:tc>
        <w:tc>
          <w:tcPr>
            <w:tcW w:type="dxa" w:w="1440"/>
            <w:shd w:fill="C6EFCE" w:val="clear"/>
          </w:tcPr>
          <w:p>
            <w:r>
              <w:rPr>
                <w:b/>
                <w:sz w:val="17"/>
              </w:rPr>
              <w:t>57,972</w:t>
            </w:r>
          </w:p>
        </w:tc>
        <w:tc>
          <w:tcPr>
            <w:tcW w:type="dxa" w:w="1440"/>
            <w:shd w:fill="C6EFCE" w:val="clear"/>
          </w:tcPr>
          <w:p>
            <w:r>
              <w:rPr>
                <w:sz w:val="17"/>
              </w:rPr>
              <w:t>65,802</w:t>
            </w:r>
          </w:p>
        </w:tc>
        <w:tc>
          <w:tcPr>
            <w:tcW w:type="dxa" w:w="1440"/>
            <w:shd w:fill="C6EFCE" w:val="clear"/>
          </w:tcPr>
          <w:p>
            <w:r>
              <w:rPr>
                <w:b/>
                <w:color w:val="008000"/>
                <w:sz w:val="17"/>
              </w:rPr>
              <w:t>+6.2%</w:t>
            </w:r>
          </w:p>
        </w:tc>
      </w:tr>
      <w:tr>
        <w:tc>
          <w:tcPr>
            <w:tcW w:type="dxa" w:w="1440"/>
            <w:shd w:fill="C6EFCE" w:val="clear"/>
          </w:tcPr>
          <w:p>
            <w:r>
              <w:rPr>
                <w:sz w:val="17"/>
              </w:rPr>
              <w:t>J+6  ⭐</w:t>
            </w:r>
          </w:p>
        </w:tc>
        <w:tc>
          <w:tcPr>
            <w:tcW w:type="dxa" w:w="1440"/>
            <w:shd w:fill="C6EFCE" w:val="clear"/>
          </w:tcPr>
          <w:p>
            <w:r>
              <w:rPr>
                <w:sz w:val="17"/>
              </w:rPr>
              <w:t>2026-08-17</w:t>
            </w:r>
          </w:p>
        </w:tc>
        <w:tc>
          <w:tcPr>
            <w:tcW w:type="dxa" w:w="1440"/>
            <w:shd w:fill="C6EFCE" w:val="clear"/>
          </w:tcPr>
          <w:p>
            <w:r>
              <w:rPr>
                <w:sz w:val="17"/>
              </w:rPr>
              <w:t>49,946</w:t>
            </w:r>
          </w:p>
        </w:tc>
        <w:tc>
          <w:tcPr>
            <w:tcW w:type="dxa" w:w="1440"/>
            <w:shd w:fill="C6EFCE" w:val="clear"/>
          </w:tcPr>
          <w:p>
            <w:r>
              <w:rPr>
                <w:b/>
                <w:sz w:val="17"/>
              </w:rPr>
              <w:t>58,620</w:t>
            </w:r>
          </w:p>
        </w:tc>
        <w:tc>
          <w:tcPr>
            <w:tcW w:type="dxa" w:w="1440"/>
            <w:shd w:fill="C6EFCE" w:val="clear"/>
          </w:tcPr>
          <w:p>
            <w:r>
              <w:rPr>
                <w:sz w:val="17"/>
              </w:rPr>
              <w:t>67,293</w:t>
            </w:r>
          </w:p>
        </w:tc>
        <w:tc>
          <w:tcPr>
            <w:tcW w:type="dxa" w:w="1440"/>
            <w:shd w:fill="C6EFCE" w:val="clear"/>
          </w:tcPr>
          <w:p>
            <w:r>
              <w:rPr>
                <w:b/>
                <w:color w:val="008000"/>
                <w:sz w:val="17"/>
              </w:rPr>
              <w:t>+7.4%</w:t>
            </w:r>
          </w:p>
        </w:tc>
      </w:tr>
      <w:tr>
        <w:tc>
          <w:tcPr>
            <w:tcW w:type="dxa" w:w="1440"/>
            <w:shd w:fill="C6EFCE" w:val="clear"/>
          </w:tcPr>
          <w:p>
            <w:r>
              <w:rPr>
                <w:sz w:val="17"/>
              </w:rPr>
              <w:t>J+7  ⭐</w:t>
            </w:r>
          </w:p>
        </w:tc>
        <w:tc>
          <w:tcPr>
            <w:tcW w:type="dxa" w:w="1440"/>
            <w:shd w:fill="C6EFCE" w:val="clear"/>
          </w:tcPr>
          <w:p>
            <w:r>
              <w:rPr>
                <w:sz w:val="17"/>
              </w:rPr>
              <w:t>2026-08-18</w:t>
            </w:r>
          </w:p>
        </w:tc>
        <w:tc>
          <w:tcPr>
            <w:tcW w:type="dxa" w:w="1440"/>
            <w:shd w:fill="C6EFCE" w:val="clear"/>
          </w:tcPr>
          <w:p>
            <w:r>
              <w:rPr>
                <w:sz w:val="17"/>
              </w:rPr>
              <w:t>49,798</w:t>
            </w:r>
          </w:p>
        </w:tc>
        <w:tc>
          <w:tcPr>
            <w:tcW w:type="dxa" w:w="1440"/>
            <w:shd w:fill="C6EFCE" w:val="clear"/>
          </w:tcPr>
          <w:p>
            <w:r>
              <w:rPr>
                <w:b/>
                <w:sz w:val="17"/>
              </w:rPr>
              <w:t>59,270</w:t>
            </w:r>
          </w:p>
        </w:tc>
        <w:tc>
          <w:tcPr>
            <w:tcW w:type="dxa" w:w="1440"/>
            <w:shd w:fill="C6EFCE" w:val="clear"/>
          </w:tcPr>
          <w:p>
            <w:r>
              <w:rPr>
                <w:sz w:val="17"/>
              </w:rPr>
              <w:t>68,743</w:t>
            </w:r>
          </w:p>
        </w:tc>
        <w:tc>
          <w:tcPr>
            <w:tcW w:type="dxa" w:w="1440"/>
            <w:shd w:fill="C6EFCE" w:val="clear"/>
          </w:tcPr>
          <w:p>
            <w:r>
              <w:rPr>
                <w:b/>
                <w:color w:val="008000"/>
                <w:sz w:val="17"/>
              </w:rPr>
              <w:t>+8.6%</w:t>
            </w:r>
          </w:p>
        </w:tc>
      </w:tr>
      <w:tr>
        <w:tc>
          <w:tcPr>
            <w:tcW w:type="dxa" w:w="1440"/>
            <w:shd w:fill="C6EFCE" w:val="clear"/>
          </w:tcPr>
          <w:p>
            <w:r>
              <w:rPr>
                <w:sz w:val="17"/>
              </w:rPr>
              <w:t>J+8  ⭐</w:t>
            </w:r>
          </w:p>
        </w:tc>
        <w:tc>
          <w:tcPr>
            <w:tcW w:type="dxa" w:w="1440"/>
            <w:shd w:fill="C6EFCE" w:val="clear"/>
          </w:tcPr>
          <w:p>
            <w:r>
              <w:rPr>
                <w:sz w:val="17"/>
              </w:rPr>
              <w:t>2026-08-19</w:t>
            </w:r>
          </w:p>
        </w:tc>
        <w:tc>
          <w:tcPr>
            <w:tcW w:type="dxa" w:w="1440"/>
            <w:shd w:fill="C6EFCE" w:val="clear"/>
          </w:tcPr>
          <w:p>
            <w:r>
              <w:rPr>
                <w:sz w:val="17"/>
              </w:rPr>
              <w:t>49,685</w:t>
            </w:r>
          </w:p>
        </w:tc>
        <w:tc>
          <w:tcPr>
            <w:tcW w:type="dxa" w:w="1440"/>
            <w:shd w:fill="C6EFCE" w:val="clear"/>
          </w:tcPr>
          <w:p>
            <w:r>
              <w:rPr>
                <w:b/>
                <w:sz w:val="17"/>
              </w:rPr>
              <w:t>59,924</w:t>
            </w:r>
          </w:p>
        </w:tc>
        <w:tc>
          <w:tcPr>
            <w:tcW w:type="dxa" w:w="1440"/>
            <w:shd w:fill="C6EFCE" w:val="clear"/>
          </w:tcPr>
          <w:p>
            <w:r>
              <w:rPr>
                <w:sz w:val="17"/>
              </w:rPr>
              <w:t>70,162</w:t>
            </w:r>
          </w:p>
        </w:tc>
        <w:tc>
          <w:tcPr>
            <w:tcW w:type="dxa" w:w="1440"/>
            <w:shd w:fill="C6EFCE" w:val="clear"/>
          </w:tcPr>
          <w:p>
            <w:r>
              <w:rPr>
                <w:b/>
                <w:color w:val="008000"/>
                <w:sz w:val="17"/>
              </w:rPr>
              <w:t>+9.8%</w:t>
            </w:r>
          </w:p>
        </w:tc>
      </w:tr>
      <w:tr>
        <w:tc>
          <w:tcPr>
            <w:tcW w:type="dxa" w:w="1440"/>
            <w:shd w:fill="C6EFCE" w:val="clear"/>
          </w:tcPr>
          <w:p>
            <w:r>
              <w:rPr>
                <w:sz w:val="17"/>
              </w:rPr>
              <w:t>J+9  ⭐</w:t>
            </w:r>
          </w:p>
        </w:tc>
        <w:tc>
          <w:tcPr>
            <w:tcW w:type="dxa" w:w="1440"/>
            <w:shd w:fill="C6EFCE" w:val="clear"/>
          </w:tcPr>
          <w:p>
            <w:r>
              <w:rPr>
                <w:sz w:val="17"/>
              </w:rPr>
              <w:t>2026-08-20</w:t>
            </w:r>
          </w:p>
        </w:tc>
        <w:tc>
          <w:tcPr>
            <w:tcW w:type="dxa" w:w="1440"/>
            <w:shd w:fill="C6EFCE" w:val="clear"/>
          </w:tcPr>
          <w:p>
            <w:r>
              <w:rPr>
                <w:sz w:val="17"/>
              </w:rPr>
              <w:t>49,601</w:t>
            </w:r>
          </w:p>
        </w:tc>
        <w:tc>
          <w:tcPr>
            <w:tcW w:type="dxa" w:w="1440"/>
            <w:shd w:fill="C6EFCE" w:val="clear"/>
          </w:tcPr>
          <w:p>
            <w:r>
              <w:rPr>
                <w:b/>
                <w:sz w:val="17"/>
              </w:rPr>
              <w:t>60,579</w:t>
            </w:r>
          </w:p>
        </w:tc>
        <w:tc>
          <w:tcPr>
            <w:tcW w:type="dxa" w:w="1440"/>
            <w:shd w:fill="C6EFCE" w:val="clear"/>
          </w:tcPr>
          <w:p>
            <w:r>
              <w:rPr>
                <w:sz w:val="17"/>
              </w:rPr>
              <w:t>71,557</w:t>
            </w:r>
          </w:p>
        </w:tc>
        <w:tc>
          <w:tcPr>
            <w:tcW w:type="dxa" w:w="1440"/>
            <w:shd w:fill="C6EFCE" w:val="clear"/>
          </w:tcPr>
          <w:p>
            <w:r>
              <w:rPr>
                <w:b/>
                <w:color w:val="008000"/>
                <w:sz w:val="17"/>
              </w:rPr>
              <w:t>+11.0%</w:t>
            </w:r>
          </w:p>
        </w:tc>
      </w:tr>
      <w:tr>
        <w:tc>
          <w:tcPr>
            <w:tcW w:type="dxa" w:w="1440"/>
            <w:shd w:fill="C6EFCE" w:val="clear"/>
          </w:tcPr>
          <w:p>
            <w:r>
              <w:rPr>
                <w:sz w:val="17"/>
              </w:rPr>
              <w:t>J+10  ⭐</w:t>
            </w:r>
          </w:p>
        </w:tc>
        <w:tc>
          <w:tcPr>
            <w:tcW w:type="dxa" w:w="1440"/>
            <w:shd w:fill="C6EFCE" w:val="clear"/>
          </w:tcPr>
          <w:p>
            <w:r>
              <w:rPr>
                <w:sz w:val="17"/>
              </w:rPr>
              <w:t>2026-08-21</w:t>
            </w:r>
          </w:p>
        </w:tc>
        <w:tc>
          <w:tcPr>
            <w:tcW w:type="dxa" w:w="1440"/>
            <w:shd w:fill="C6EFCE" w:val="clear"/>
          </w:tcPr>
          <w:p>
            <w:r>
              <w:rPr>
                <w:sz w:val="17"/>
              </w:rPr>
              <w:t>49,539</w:t>
            </w:r>
          </w:p>
        </w:tc>
        <w:tc>
          <w:tcPr>
            <w:tcW w:type="dxa" w:w="1440"/>
            <w:shd w:fill="C6EFCE" w:val="clear"/>
          </w:tcPr>
          <w:p>
            <w:r>
              <w:rPr>
                <w:b/>
                <w:sz w:val="17"/>
              </w:rPr>
              <w:t>61,236</w:t>
            </w:r>
          </w:p>
        </w:tc>
        <w:tc>
          <w:tcPr>
            <w:tcW w:type="dxa" w:w="1440"/>
            <w:shd w:fill="C6EFCE" w:val="clear"/>
          </w:tcPr>
          <w:p>
            <w:r>
              <w:rPr>
                <w:sz w:val="17"/>
              </w:rPr>
              <w:t>72,934</w:t>
            </w:r>
          </w:p>
        </w:tc>
        <w:tc>
          <w:tcPr>
            <w:tcW w:type="dxa" w:w="1440"/>
            <w:shd w:fill="C6EFCE" w:val="clear"/>
          </w:tcPr>
          <w:p>
            <w:r>
              <w:rPr>
                <w:b/>
                <w:color w:val="008000"/>
                <w:sz w:val="17"/>
              </w:rPr>
              <w:t>+12.2%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501,37 milliards FCFA, un niveau significatif qui la positionne parmi les valeurs moyennes à grandes capitalisations de la BRVM, reflétant la présence d'un acteur industriel majeur dans le paysage boursier régional. Le Bénéfice Par Action (BPA) ne peut être calculé avec précision en raison de l'absence de données financières structurées récentes dans la base, les derniers rapports disponibles datant de 2023 et 2024. Le PER n'est donc pas calculable, ce qui empêche de déterminer si le marché valorise la société à un niveau attractif par rapport à la moyenne historique de la BRVM (8-12x). De même, le P/B et l'EV/EBITDA ne sont pas disponibles, une lacune qui s'explique par la non-publication d'états financiers certifiés récents dans le système, limitant ainsi notre capacité à évaluer la décote ou la prime de valorisation par rapport aux fondamentaux comptables et à la capacité bénéficiaire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enregistré une variation totale de -19,71%, avec une dernière séance stable à +0,00%, le cours se négociant actuellement à 54 595 FCFA. Le titre a évolué dans une fourchette large de 49 630 FCFA (plus bas) à 72 000 FCFA (plus haut), illustrant une amplitude de trading considérable de plus de 22 000 FCFA. La tendance générale est clairement baissière sur la période, avec un cours qui s'est replié d'environ 20% depuis son sommet. Les statistiques descriptives révèlent une moyenne de 57 569 FCFA légèrement supérieure à la médiane de 57 042 FCFA, indiquant une distribution relativement symétrique mais avec un skewness positif de 1,026, suggérant que les journées sous la moyenne sont plus fréquentes que celles au-dessus. L'écart-type de 4 699 FCFA (CV=8,2%) montre une dispersion modérée des prix autour de la moyenne. Le kurtosis excédentaire de 1,297 indique une distribution leptokurtique avec des queues épaisses, signalant un risque de mouvements extrêmes. La volatilité annualisée de 68,8% est extrêmement élevée, plaçant UNLC dans la catégorie des titres très risqués, bien au-delà du seuil de 30% considéré comme élevé.</w:t>
      </w:r>
    </w:p>
    <w:p>
      <w:pPr>
        <w:spacing w:after="120" w:line="276" w:lineRule="auto" w:before="240"/>
      </w:pPr>
      <w:r>
        <w:rPr>
          <w:b/>
          <w:color w:val="003366"/>
          <w:sz w:val="24"/>
        </w:rPr>
        <w:t>**PARTIE 2 : ANALYSE TECHNIQUE DÉTAILLÉE**</w:t>
      </w:r>
    </w:p>
    <w:p>
      <w:pPr>
        <w:spacing w:after="120" w:line="276" w:lineRule="auto"/>
      </w:pPr>
      <w:r>
        <w:t>**Moyennes Mobiles** : La MM20 à 52 923 FCFA et la MM50 à 54 923 FCFA encadrent le cours actuel de 54 595 FCFA, qui se situe entre les deux moyennes. Le fait que le cours soit sous la MM50 mais au-dessus de la MM20 suggère une reprise récente après une phase baissière, mais la tendance de fond reste incertaine. La décision de Vente émise par le système reflète la persistance d'une dynamique négative à moyen terme, le cours n'ayant pas encore réussi à se maintenir durablement au-dessus de la MM50.</w:t>
      </w:r>
    </w:p>
    <w:p>
      <w:pPr>
        <w:spacing w:after="120" w:line="276" w:lineRule="auto"/>
      </w:pPr>
      <w:r>
        <w:t>**Bandes de Bollinger** : Le cours à 54 595 FCFA se positionne dans la partie supérieure de l'enveloppe, entre la borne inférieure à 49 538 FCFA et la borne supérieure à 56 309 FCFA. Cette position relativement haute dans les bandes indique une pression acheteuse récente, mais la largeur des bandes reflète une volatilité toujours soutenue. La décision Neutre du système suggère que le titre n'est ni en situation de surachat ni de survente extrême, laissant place à une évolution directionnelle.</w:t>
      </w:r>
    </w:p>
    <w:p>
      <w:pPr>
        <w:spacing w:after="120" w:line="276" w:lineRule="auto"/>
      </w:pPr>
      <w:r>
        <w:t>**MACD** : Le MACD affiche une valeur de -294,81 avec un signal à -701,11, la différence positive entre les deux (-294,81 &gt; -701,11) indique un momentum haussier en cours de formation. Bien que le MACD soit encore en territoire négatif, le croisement haussier du signal suggère un retournement potentiel de la tendance. La décision Achat du système reflète cette dynamique positive émergente, signalant une possible amélioration du momentum à court terme.</w:t>
      </w:r>
    </w:p>
    <w:p>
      <w:pPr>
        <w:spacing w:after="120" w:line="276" w:lineRule="auto"/>
      </w:pPr>
      <w:r>
        <w:t>**RSI** : Le RSI à 50,25 se situe exactement dans la zone neutre (30-70), indiquant un équilibre entre les forces acheteuses et vendeuses. Cette valeur neutre ne fournit pas de signal directionnel fort, mais suggère que le titre n'est ni suracheté ni survendu, laissant une marge de manœuvre dans les deux sens. La décision Neutre du système est cohérente avec cette lecture, le RSI ne montrant pas de divergence significative.</w:t>
      </w:r>
    </w:p>
    <w:p>
      <w:pPr>
        <w:spacing w:after="120" w:line="276" w:lineRule="auto"/>
      </w:pPr>
      <w:r>
        <w:t>**Stochastique** : Le %K à 76,19 et le %D à 76,84 sont proches l'un de l'autre, avec un %K légèrement inférieur au %D, indiquant une possible consolidation après une phase de hausse. Les deux lignes évoluent dans la zone de surachat (&gt;70), ce qui pourrait précéder un retournement baissier à court terme. La décision Neutre du système reflète cette ambiguïté, le croisement potentiel des lignes n'étant pas encore confirmé.</w:t>
      </w:r>
    </w:p>
    <w:p>
      <w:pPr>
        <w:spacing w:after="120" w:line="276" w:lineRule="auto"/>
      </w:pPr>
      <w:r>
        <w:t>**Conclusion technique** : La convergence des indicateurs est mitigée, avec un MACD positif suggérant un momentum haussier naissant, tandis que les moyennes mobiles restent baissières et le stochastique approche la zone de surachat. Le RSI neutre et les bandes de Bollinger neutres n'apportent pas de signal directionnel clair. Globalement, le titre semble dans une phase de transition technique, avec des signaux contradictoires qui plaident pour une approche prudente et une confirmation directionnelle avant toute prise de position significative.</w:t>
      </w:r>
    </w:p>
    <w:p>
      <w:pPr>
        <w:spacing w:after="120" w:line="276" w:lineRule="auto" w:before="240"/>
      </w:pPr>
      <w:r>
        <w:rPr>
          <w:b/>
          <w:color w:val="003366"/>
          <w:sz w:val="24"/>
        </w:rPr>
        <w:t>**PARTIE 3 : ANALYSE FONDAMENTALE (SECTION CRITIQUE)**</w:t>
      </w:r>
    </w:p>
    <w:p>
      <w:pPr>
        <w:spacing w:after="120" w:line="276" w:lineRule="auto"/>
      </w:pPr>
      <w:r>
        <w:t>Les données financières structurées pour UNLC ne sont pas disponibles dans la base, mais les rapports narratifs fournissent des informations essentielles. Le rapport daté du 31 décembre 2023 (analysé en 2026) indique un chiffre d'affaires de 24 336 millions FCFA pour l'exercice 2023, stable par rapport à 2022, avec un résultat net de 640 millions FCFA, en amélioration significative par rapport à la perte de 6 908 millions FCFA en 2022. La marge nette s'établit à 2,63% en 2023, contre -28,4% en 2022, montrant un redressement opérationnel notable avec un résultat d'exploitation positif de 3 340 millions FCFA. Le rapport de 2022 (daté du 31 décembre 2022) révèle une perte massive de 6 382 millions FCFA avec une marge négative de -17,6%, tandis que le rapport de 2021 (daté du 31 décembre 2021) montre un bénéfice de 6 090 millions FCFA avec une marge nette de 25%. Cette évolution en dents de scie reflète une forte instabilité des résultats, avec des capitaux propres négatifs à -10 658 millions FCFA en 2023 et un endettement financier de 4 379 millions FCFA. La société n'a versé aucun dividende depuis 2021, privilégiant la reconstitution de ses capitaux propres. Les perspectives restent incertaines, avec une dépendance au marché ivoirien, une concurrence accrue et des risques de liquidité, mais des opportunités d'expansion régionale et d'innovation produit existent. On estime que l'exercice 2024 pourrait confirmer la tendance de redressement si la société maintient son résultat d'exploitation positif et réduit son endettement, mais la fragilité financière demeure préoccupante.</w:t>
      </w:r>
    </w:p>
    <w:p>
      <w:pPr>
        <w:spacing w:after="120" w:line="276" w:lineRule="auto" w:before="240"/>
      </w:pPr>
      <w:r>
        <w:rPr>
          <w:b/>
          <w:color w:val="003366"/>
          <w:sz w:val="24"/>
        </w:rPr>
        <w:t>**PARTIE 4 : CONCLUSION D'INVESTISSEMENT**</w:t>
      </w:r>
    </w:p>
    <w:p>
      <w:pPr>
        <w:spacing w:after="120" w:line="276" w:lineRule="auto"/>
      </w:pPr>
      <w:r>
        <w:t>La synthèse des analyses révèle une situation contrastée pour UNLC. Sur le plan de la valorisation, l'absence de ratios PER/P/B calculables limite l'évaluation, mais la capitalisation de 501 milliards FCFA semble élevée au regard des fondamentaux fragiles. Le comportement du cours est préoccupant avec une baisse de 19,71% sur 100 jours et une volatilité annualisée de 68,8%, bien que les statistiques montrent une asymétrie positive et un kurtosis élevé suggérant des mouvements extrêmes possibles. Les signaux techniques sont mitigés, avec un MACD acheteur mais des moyennes mobiles vendeuses et un stochastique neutre, indiquant une phase de transition incertaine. Les fondamentaux montrent un redressement en 2023 après la perte de 2022, mais la situation financière reste précaire avec des capitaux propres négatifs et une absence de dividendes. Les prédictions IA pour les 10 prochains jours (55 446 à 57 972 FCFA) suggèrent une trajectoire haussière modérée, contredisant partiellement la tendance baissière récente. Compte tenu de ces éléments contradictoires, la recommandation finale est **CONSERVER** avec un niveau de confiance **Faible** et un risque global **Élevé**. L'horizon d'investissement optimal serait le **moyen terme (3-12 mois)**, en attendant une confirmation du redressement fondamental et une stabilisation technique du titre.</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39.42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12,373 titres</w:t>
            </w:r>
          </w:p>
        </w:tc>
        <w:tc>
          <w:tcPr>
            <w:tcW w:type="dxa" w:w="2268"/>
            <w:shd w:fill="FFF2CC" w:val="clear"/>
          </w:tcPr>
          <w:p>
            <w:r>
              <w:rPr>
                <w:b/>
                <w:color w:val="503200"/>
                <w:sz w:val="16"/>
              </w:rPr>
              <w:t xml:space="preserve">Cours actuel : </w:t>
            </w:r>
            <w:r>
              <w:rPr>
                <w:color w:val="000000"/>
                <w:sz w:val="17"/>
              </w:rPr>
              <w:t>1,900 FCFA</w:t>
            </w:r>
          </w:p>
          <w:p>
            <w:r>
              <w:rPr>
                <w:b/>
                <w:color w:val="503200"/>
                <w:sz w:val="16"/>
              </w:rPr>
              <w:t xml:space="preserve">Var. 100 jours : </w:t>
            </w:r>
            <w:r>
              <w:rPr>
                <w:b/>
                <w:color w:val="B40000"/>
                <w:sz w:val="17"/>
              </w:rPr>
              <w:t>-9.52%</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18.0/100 → Faible</w:t>
      </w:r>
    </w:p>
    <w:p>
      <w:pPr>
        <w:spacing w:before="40" w:after="80"/>
      </w:pPr>
      <w:r>
        <w:rPr>
          <w:rFonts w:ascii="Courier New" w:hAnsi="Courier New"/>
          <w:color w:val="006400"/>
          <w:sz w:val="18"/>
        </w:rPr>
        <w:t>███░░░░░░░░░░░░░░░░░  18.0/100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8.99% (Moyenne) — μ=1,868 FCFA, σ=168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β=-0.7092 (Contre-cyclique) — Cov=-0.000026, Var(idx)=0.000036, ρ=-0.138,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12,373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annualisée≈49.0%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1,737</w:t>
            </w:r>
          </w:p>
        </w:tc>
        <w:tc>
          <w:tcPr>
            <w:tcW w:type="dxa" w:w="1440"/>
            <w:shd w:fill="FAFAFA" w:val="clear"/>
          </w:tcPr>
          <w:p>
            <w:r>
              <w:rPr>
                <w:b/>
                <w:sz w:val="17"/>
              </w:rPr>
              <w:t>1,878</w:t>
            </w:r>
          </w:p>
        </w:tc>
        <w:tc>
          <w:tcPr>
            <w:tcW w:type="dxa" w:w="1440"/>
            <w:shd w:fill="FAFAFA" w:val="clear"/>
          </w:tcPr>
          <w:p>
            <w:r>
              <w:rPr>
                <w:sz w:val="17"/>
              </w:rPr>
              <w:t>2,019</w:t>
            </w:r>
          </w:p>
        </w:tc>
        <w:tc>
          <w:tcPr>
            <w:tcW w:type="dxa" w:w="1440"/>
            <w:shd w:fill="FAFAFA" w:val="clear"/>
          </w:tcPr>
          <w:p>
            <w:r>
              <w:rPr>
                <w:b/>
                <w:color w:val="C00000"/>
                <w:sz w:val="17"/>
              </w:rPr>
              <w:t>-1.2%</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1,669</w:t>
            </w:r>
          </w:p>
        </w:tc>
        <w:tc>
          <w:tcPr>
            <w:tcW w:type="dxa" w:w="1440"/>
            <w:shd w:fill="FAFAFA" w:val="clear"/>
          </w:tcPr>
          <w:p>
            <w:r>
              <w:rPr>
                <w:b/>
                <w:sz w:val="17"/>
              </w:rPr>
              <w:t>1,870</w:t>
            </w:r>
          </w:p>
        </w:tc>
        <w:tc>
          <w:tcPr>
            <w:tcW w:type="dxa" w:w="1440"/>
            <w:shd w:fill="FAFAFA" w:val="clear"/>
          </w:tcPr>
          <w:p>
            <w:r>
              <w:rPr>
                <w:sz w:val="17"/>
              </w:rPr>
              <w:t>2,071</w:t>
            </w:r>
          </w:p>
        </w:tc>
        <w:tc>
          <w:tcPr>
            <w:tcW w:type="dxa" w:w="1440"/>
            <w:shd w:fill="FAFAFA" w:val="clear"/>
          </w:tcPr>
          <w:p>
            <w:r>
              <w:rPr>
                <w:b/>
                <w:color w:val="C00000"/>
                <w:sz w:val="17"/>
              </w:rPr>
              <w:t>-1.6%</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1,616</w:t>
            </w:r>
          </w:p>
        </w:tc>
        <w:tc>
          <w:tcPr>
            <w:tcW w:type="dxa" w:w="1440"/>
            <w:shd w:fill="FFDCE0" w:val="clear"/>
          </w:tcPr>
          <w:p>
            <w:r>
              <w:rPr>
                <w:b/>
                <w:sz w:val="17"/>
              </w:rPr>
              <w:t>1,861</w:t>
            </w:r>
          </w:p>
        </w:tc>
        <w:tc>
          <w:tcPr>
            <w:tcW w:type="dxa" w:w="1440"/>
            <w:shd w:fill="FFDCE0" w:val="clear"/>
          </w:tcPr>
          <w:p>
            <w:r>
              <w:rPr>
                <w:sz w:val="17"/>
              </w:rPr>
              <w:t>2,105</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1,570</w:t>
            </w:r>
          </w:p>
        </w:tc>
        <w:tc>
          <w:tcPr>
            <w:tcW w:type="dxa" w:w="1440"/>
            <w:shd w:fill="FFDCE0" w:val="clear"/>
          </w:tcPr>
          <w:p>
            <w:r>
              <w:rPr>
                <w:b/>
                <w:sz w:val="17"/>
              </w:rPr>
              <w:t>1,851</w:t>
            </w:r>
          </w:p>
        </w:tc>
        <w:tc>
          <w:tcPr>
            <w:tcW w:type="dxa" w:w="1440"/>
            <w:shd w:fill="FFDCE0" w:val="clear"/>
          </w:tcPr>
          <w:p>
            <w:r>
              <w:rPr>
                <w:sz w:val="17"/>
              </w:rPr>
              <w:t>2,133</w:t>
            </w:r>
          </w:p>
        </w:tc>
        <w:tc>
          <w:tcPr>
            <w:tcW w:type="dxa" w:w="1440"/>
            <w:shd w:fill="FFDCE0" w:val="clear"/>
          </w:tcPr>
          <w:p>
            <w:r>
              <w:rPr>
                <w:b/>
                <w:color w:val="C00000"/>
                <w:sz w:val="17"/>
              </w:rPr>
              <w:t>-2.6%</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1,529</w:t>
            </w:r>
          </w:p>
        </w:tc>
        <w:tc>
          <w:tcPr>
            <w:tcW w:type="dxa" w:w="1440"/>
            <w:shd w:fill="FFDCE0" w:val="clear"/>
          </w:tcPr>
          <w:p>
            <w:r>
              <w:rPr>
                <w:b/>
                <w:sz w:val="17"/>
              </w:rPr>
              <w:t>1,842</w:t>
            </w:r>
          </w:p>
        </w:tc>
        <w:tc>
          <w:tcPr>
            <w:tcW w:type="dxa" w:w="1440"/>
            <w:shd w:fill="FFDCE0" w:val="clear"/>
          </w:tcPr>
          <w:p>
            <w:r>
              <w:rPr>
                <w:sz w:val="17"/>
              </w:rPr>
              <w:t>2,155</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1,492</w:t>
            </w:r>
          </w:p>
        </w:tc>
        <w:tc>
          <w:tcPr>
            <w:tcW w:type="dxa" w:w="1440"/>
            <w:shd w:fill="FFDCE0" w:val="clear"/>
          </w:tcPr>
          <w:p>
            <w:r>
              <w:rPr>
                <w:b/>
                <w:sz w:val="17"/>
              </w:rPr>
              <w:t>1,833</w:t>
            </w:r>
          </w:p>
        </w:tc>
        <w:tc>
          <w:tcPr>
            <w:tcW w:type="dxa" w:w="1440"/>
            <w:shd w:fill="FFDCE0" w:val="clear"/>
          </w:tcPr>
          <w:p>
            <w:r>
              <w:rPr>
                <w:sz w:val="17"/>
              </w:rPr>
              <w:t>2,174</w:t>
            </w:r>
          </w:p>
        </w:tc>
        <w:tc>
          <w:tcPr>
            <w:tcW w:type="dxa" w:w="1440"/>
            <w:shd w:fill="FFDCE0" w:val="clear"/>
          </w:tcPr>
          <w:p>
            <w:r>
              <w:rPr>
                <w:b/>
                <w:color w:val="C00000"/>
                <w:sz w:val="17"/>
              </w:rPr>
              <w:t>-3.5%</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1,458</w:t>
            </w:r>
          </w:p>
        </w:tc>
        <w:tc>
          <w:tcPr>
            <w:tcW w:type="dxa" w:w="1440"/>
            <w:shd w:fill="FFDCE0" w:val="clear"/>
          </w:tcPr>
          <w:p>
            <w:r>
              <w:rPr>
                <w:b/>
                <w:sz w:val="17"/>
              </w:rPr>
              <w:t>1,824</w:t>
            </w:r>
          </w:p>
        </w:tc>
        <w:tc>
          <w:tcPr>
            <w:tcW w:type="dxa" w:w="1440"/>
            <w:shd w:fill="FFDCE0" w:val="clear"/>
          </w:tcPr>
          <w:p>
            <w:r>
              <w:rPr>
                <w:sz w:val="17"/>
              </w:rPr>
              <w:t>2,191</w:t>
            </w:r>
          </w:p>
        </w:tc>
        <w:tc>
          <w:tcPr>
            <w:tcW w:type="dxa" w:w="1440"/>
            <w:shd w:fill="FFDCE0" w:val="clear"/>
          </w:tcPr>
          <w:p>
            <w:r>
              <w:rPr>
                <w:b/>
                <w:color w:val="C00000"/>
                <w:sz w:val="17"/>
              </w:rPr>
              <w:t>-4.0%</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1,425</w:t>
            </w:r>
          </w:p>
        </w:tc>
        <w:tc>
          <w:tcPr>
            <w:tcW w:type="dxa" w:w="1440"/>
            <w:shd w:fill="FFDCE0" w:val="clear"/>
          </w:tcPr>
          <w:p>
            <w:r>
              <w:rPr>
                <w:b/>
                <w:sz w:val="17"/>
              </w:rPr>
              <w:t>1,815</w:t>
            </w:r>
          </w:p>
        </w:tc>
        <w:tc>
          <w:tcPr>
            <w:tcW w:type="dxa" w:w="1440"/>
            <w:shd w:fill="FFDCE0" w:val="clear"/>
          </w:tcPr>
          <w:p>
            <w:r>
              <w:rPr>
                <w:sz w:val="17"/>
              </w:rPr>
              <w:t>2,205</w:t>
            </w:r>
          </w:p>
        </w:tc>
        <w:tc>
          <w:tcPr>
            <w:tcW w:type="dxa" w:w="1440"/>
            <w:shd w:fill="FFDCE0" w:val="clear"/>
          </w:tcPr>
          <w:p>
            <w:r>
              <w:rPr>
                <w:b/>
                <w:color w:val="C00000"/>
                <w:sz w:val="17"/>
              </w:rPr>
              <w:t>-4.5%</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1,395</w:t>
            </w:r>
          </w:p>
        </w:tc>
        <w:tc>
          <w:tcPr>
            <w:tcW w:type="dxa" w:w="1440"/>
            <w:shd w:fill="FFDCE0" w:val="clear"/>
          </w:tcPr>
          <w:p>
            <w:r>
              <w:rPr>
                <w:b/>
                <w:sz w:val="17"/>
              </w:rPr>
              <w:t>1,807</w:t>
            </w:r>
          </w:p>
        </w:tc>
        <w:tc>
          <w:tcPr>
            <w:tcW w:type="dxa" w:w="1440"/>
            <w:shd w:fill="FFDCE0" w:val="clear"/>
          </w:tcPr>
          <w:p>
            <w:r>
              <w:rPr>
                <w:sz w:val="17"/>
              </w:rPr>
              <w:t>2,218</w:t>
            </w:r>
          </w:p>
        </w:tc>
        <w:tc>
          <w:tcPr>
            <w:tcW w:type="dxa" w:w="1440"/>
            <w:shd w:fill="FFDCE0" w:val="clear"/>
          </w:tcPr>
          <w:p>
            <w:r>
              <w:rPr>
                <w:b/>
                <w:color w:val="C00000"/>
                <w:sz w:val="17"/>
              </w:rPr>
              <w:t>-4.9%</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1,366</w:t>
            </w:r>
          </w:p>
        </w:tc>
        <w:tc>
          <w:tcPr>
            <w:tcW w:type="dxa" w:w="1440"/>
            <w:shd w:fill="FFDCE0" w:val="clear"/>
          </w:tcPr>
          <w:p>
            <w:r>
              <w:rPr>
                <w:b/>
                <w:sz w:val="17"/>
              </w:rPr>
              <w:t>1,798</w:t>
            </w:r>
          </w:p>
        </w:tc>
        <w:tc>
          <w:tcPr>
            <w:tcW w:type="dxa" w:w="1440"/>
            <w:shd w:fill="FFDCE0" w:val="clear"/>
          </w:tcPr>
          <w:p>
            <w:r>
              <w:rPr>
                <w:sz w:val="17"/>
              </w:rPr>
              <w:t>2,230</w:t>
            </w:r>
          </w:p>
        </w:tc>
        <w:tc>
          <w:tcPr>
            <w:tcW w:type="dxa" w:w="1440"/>
            <w:shd w:fill="FFDCE0" w:val="clear"/>
          </w:tcPr>
          <w:p>
            <w:r>
              <w:rPr>
                <w:b/>
                <w:color w:val="C00000"/>
                <w:sz w:val="17"/>
              </w:rPr>
              <w:t>-5.4%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39,42 milliards FCFA, un niveau intermédiaire sur la BRVM qui reflète un profil de moyenne capitalisation. Le BPA de -105 FCFA indique que la société est déficitaire sur l'exercice 2024, ce qui explique un PER négatif de -18,0x, une situation qui rend ce ratio inexploitable pour juger de la cherté du titre. En revanche, le P/B de 2,53x révèle que le marché valorise les actifs nets de l'entreprise avec une prime substantielle de 153% par rapport à leur valeur comptable, signe que les investisseurs anticipent un retour à la rentabilité. Cette prime est cohérente avec les opérations de restructuration en cours, mais elle implique un risque si les bénéfices ne se matérialisent pas. Les ratios EV/EBITDA et EV/CA ne sont pas disponibles dans les données fournies, ce qui limite la comparaison directe avec la capacité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 100 jours, le titre UNXC affiche une variation totale de -9,52%, avec une dernière séance en légère hausse de +0,26% à 1 900 FCFA, suggérant une stabilisation après une phase de repli. Le cours a évolué dans une fourchette large de 1 250 à 2 100 FCFA, soit une amplitude de 68%, indiquant des mouvements spéculatifs marqués. La moyenne de 1 868 FCFA est très proche de la médiane de 1 900 FCFA, ce qui dénote une distribution relativement symétrique des prix autour du niveau actuel, mais le mode de 1 970 FCFA montre que le titre a souvent été négocié au-dessus de sa moyenne. L'écart-type de 169 FCFA (CV de 9,0%) reflète une dispersion modérée des prix, tandis que le kurtosis de 3,399 signale des queues de distribution épaisses, donc un risque de variations extrêmes. Le skewness de -1,749 indique une asymétrie négative, avec des épisodes de fortes baisses plus fréquents que des hausses équivalentes. La volatilité annualisée de 49,0% est très élevée, positionnant UNXC comme un titre à haut risque, bien au-dessus du seuil de 30% considéré comme élevé.</w:t>
      </w:r>
    </w:p>
    <w:p>
      <w:pPr>
        <w:spacing w:after="120" w:line="276" w:lineRule="auto" w:before="240"/>
      </w:pPr>
      <w:r>
        <w:rPr>
          <w:b/>
          <w:color w:val="003366"/>
          <w:sz w:val="24"/>
        </w:rPr>
        <w:t>**PARTIE 2 : ANALYSE TECHNIQUE DÉTAILLÉE**</w:t>
      </w:r>
    </w:p>
    <w:p>
      <w:pPr>
        <w:spacing w:after="120" w:line="276" w:lineRule="auto"/>
      </w:pPr>
      <w:r>
        <w:t>**Moyennes Mobiles** : Les MM20 et MM50 sont quasi confondues à 1 809 et 1 807 FCFA, toutes deux inférieures au cours actuel de 1 900 FCFA, ce qui indique une dynamique haussière à court et moyen terme. Le croisement de ces moyennes sous le prix signale une tendance positive, justifiant la décision d'achat.</w:t>
      </w:r>
    </w:p>
    <w:p>
      <w:pPr>
        <w:spacing w:after="120" w:line="276" w:lineRule="auto"/>
      </w:pPr>
      <w:r>
        <w:t>**Bandes de Bollinger** : Le cours se situe à 1 900 FCFA, entre la borne inférieure de 1 460 FCFA et la borne supérieure de 2 158 FCFA, proche de la zone médiane. La largeur des bandes reflète une volatilité élevée, mais le prix n'est pas en zone extrême, d'où une décision neutre, avec un potentiel de mouvement vers l'une ou l'autre borne.</w:t>
      </w:r>
    </w:p>
    <w:p>
      <w:pPr>
        <w:spacing w:after="120" w:line="276" w:lineRule="auto"/>
      </w:pPr>
      <w:r>
        <w:t>**MACD** : La valeur de 49,22 est supérieure au signal de 39,26, avec un écart positif de 10 points, indiquant un momentum haussier en cours. Cette configuration signale une dynamique positive qui pourrait se poursuivre, justifiant la décision d'achat.</w:t>
      </w:r>
    </w:p>
    <w:p>
      <w:pPr>
        <w:spacing w:after="120" w:line="276" w:lineRule="auto"/>
      </w:pPr>
      <w:r>
        <w:t>**RSI** : À 56,47, le RSI se situe dans la zone neutre (30-70), sans signal de surachat ou de survente. Cela indique un équilibre entre pression acheteuse et vendeuse, avec une marge de progression avant d'atteindre des niveaux extrêmes, d'où une décision neutre.</w:t>
      </w:r>
    </w:p>
    <w:p>
      <w:pPr>
        <w:spacing w:after="120" w:line="276" w:lineRule="auto"/>
      </w:pPr>
      <w:r>
        <w:t>**Stochastique** : Le %K à 50,0 et le %D à 51,44 sont très proches, sans croisement significatif, reflétant une absence de direction claire. Cette configuration indique une phase de consolidation, justifiant une décision neutre.</w:t>
      </w:r>
    </w:p>
    <w:p>
      <w:pPr>
        <w:spacing w:after="120" w:line="276" w:lineRule="auto"/>
      </w:pPr>
      <w:r>
        <w:t>**Conclusion technique** : Les indicateurs sont partagés entre des signaux d'achat (MM, MACD) et des signaux neutres (Bollinger, RSI, Stochastique). La tendance de fond reste positive grâce aux moyennes mobiles et au momentum, mais l'absence de confirmation des oscillateurs suggère une prudence. Le titre pourrait poursuivre sa hausse si le MACD reste au-dessus du signal, mais un repli vers les MM20/50 est possible en cas de retournement.</w:t>
      </w:r>
    </w:p>
    <w:p>
      <w:pPr>
        <w:spacing w:after="120" w:line="276" w:lineRule="auto" w:before="240"/>
      </w:pPr>
      <w:r>
        <w:rPr>
          <w:b/>
          <w:color w:val="003366"/>
          <w:sz w:val="24"/>
        </w:rPr>
        <w:t>**PARTIE 3 : ANALYSE FONDAMENTALE (SECTION CRITIQUE)**</w:t>
      </w:r>
    </w:p>
    <w:p>
      <w:pPr>
        <w:spacing w:after="120" w:line="276" w:lineRule="auto"/>
      </w:pPr>
      <w:r>
        <w:t>En 2024, les données structurées montrent qu'UNXC a réalisé un chiffre d'affaires de 27,333 milliards FCFA, en croissance de 15,4% par rapport à 2023, mais avec un résultat net de -2,189 milliards FCFA, soit une marge nette de -8,0%. Le ROE est négatif à -14,04% et le ROA à -6,39%, indiquant une destruction de valeur pour les actionnaires. La marge opérationnelle de -7,81% et un coefficient d'exploitation de 106,99% montrent que les charges dépassent les revenus. Le BFR de 2,149 milliards FCFA est positif, ce qui est défavorable, avec un délai clients de 51 jours et un délai fournisseurs de 268 jours, ce dernier étant un point positif pour la trésorerie. Les capitaux propres de 15,591 milliards FCFA et une autonomie financière de 45,5% indiquent une structure solide, mais l'endettement total de 119,6% des capitaux propres est préoccupant. Selon le rapport du 1er semestre 2025 (daté de mars 2026), le CA semestriel atteint 15,711 milliards FCFA (+12,5%), avec un résultat net de 8,217 milliards FCFA, mais ce bénéfice est intégralement dû à la cession-bail du terrain (produit exceptionnel de 9,994 milliards FCFA). Le résultat des activités ordinaires reste déficitaire à -330 millions FCFA. Le rapport du 3ème trimestre 2025 confirme cette tendance avec un CA cumulé de 22,474 milliards FCFA (+13%) et un bénéfice net de 8,143 milliards FCFA, toujours porté par l'exceptionnel. On estime que l'exercice 2025 devrait afficher un résultat net positif grâce à l'opération immobilière, mais la rentabilité opérationnelle récurrente reste négative, avec une amélioration de 80% des pertes. La recommandation fondamentale est de conserver le titre, en surveillant la capacité de l'entreprise à générer un EBIT positif en 2026.</w:t>
      </w:r>
    </w:p>
    <w:p>
      <w:pPr>
        <w:spacing w:after="120" w:line="276" w:lineRule="auto" w:before="240"/>
      </w:pPr>
      <w:r>
        <w:rPr>
          <w:b/>
          <w:color w:val="003366"/>
          <w:sz w:val="24"/>
        </w:rPr>
        <w:t>**PARTIE 4 : CONCLUSION D'INVESTISSEMENT**</w:t>
      </w:r>
    </w:p>
    <w:p>
      <w:pPr>
        <w:spacing w:after="120" w:line="276" w:lineRule="auto"/>
      </w:pPr>
      <w:r>
        <w:t>La valorisation d'UNXC est complexe : le PER négatif reflète les pertes de 2024, mais le P/B de 2,53x indique que le marché anticipe une amélioration, ce qui rend le titre potentiellement surévalué si la rentabilité ne se confirme pas. Le comportement du cours sur 100 jours est baissier (-9,52%) avec une volatilité très élevée de 49%, et le skewness négatif suggère un risque de nouvelles baisses, malgré une stabilisation récente. Les signaux techniques sont mitigés : les MM et le MACD sont positifs, mais les oscillateurs (RSI, Stochastique) et les bandes de Bollinger sont neutres, indiquant une tendance fragile. Les fondamentaux montrent une amélioration spectaculaire du résultat net en 2025 grâce à la cession-bail, mais la rentabilité opérationnelle reste négative, avec un ROE de -14% en 2024. Les prédictions IA pour les 10 prochains jours prévoient une baisse progressive de 1 878 à 1 842 FCFA, contredisant les signaux techniques haussiers et suggérant une correction à court terme. En synthèse, la convergence entre la valorisation élevée, la volatilité du cours, les signaux techniques partagés et les fondamentaux encore fragiles conduit à une recommandation de **CONSERVER**, avec un niveau de confiance **Moyen** et un risque global **Élevé**. L'horizon d'investissement optimal est le **moyen terme (3-12 mois)**, en attendant la confirmation d'une rentabilité opérationnelle durable et la certification des comptes 2025.</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l'effondrement de la rentabilit\u00e9, l'entreprise maintient son chiffre d'affaires et anticipe une am\u00e9lioration au T4. La situation difficile est conjoncturelle et li\u00e9e aux crises externes."}</w:t>
      </w:r>
    </w:p>
    <w:p>
      <w:pPr>
        <w:spacing w:before="40"/>
        <w:ind w:left="400"/>
      </w:pPr>
      <w:r>
        <w:rPr>
          <w:sz w:val="18"/>
        </w:rPr>
        <w:t>UNIWAX S.A., entreprise ivoirienne du secteur textile, affiche un chiffre d'affaires stable au 3ème trimestre 2022 (29,25 milliards FCFA vs 29,07 milliards en 2021). Cependant, la rentabilité s'effondre avec un résultat d'exploitation en chute de 77,5% et un résultat net en baisse de 80,6%. Cette dégradation s'explique par la flambée des coûts des matières premières suite aux crises post-Covid et ukrainienne. L'entreprise n'a pas pu répercuter intégralement ces hausses de coûts sur ses prix de vente. Les perspectives du 4ème trimestre restent prudentes malgré les célébrations de fin d'année.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'4,15 milliards FCFA', 'resultat_financier': '-73 millions FCFA', 'resultat_exploitation': '452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296 millions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29,25 milliards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au T3 2022 : 29,25 milliards FCFA (+0,6%)</w:t>
      </w:r>
    </w:p>
    <w:p>
      <w:pPr>
        <w:pStyle w:val="ListBullet"/>
        <w:spacing w:before="20" w:after="20"/>
        <w:ind w:left="700"/>
      </w:pPr>
      <w:r>
        <w:rPr>
          <w:sz w:val="18"/>
        </w:rPr>
        <w:t>Effondrement du résultat d'exploitation : -77,5% à 452 millions FCFA</w:t>
      </w:r>
    </w:p>
    <w:p>
      <w:pPr>
        <w:pStyle w:val="ListBullet"/>
        <w:spacing w:before="20" w:after="20"/>
        <w:ind w:left="700"/>
      </w:pPr>
      <w:r>
        <w:rPr>
          <w:sz w:val="18"/>
        </w:rPr>
        <w:t>Résultat net en forte baisse : -80,6% à 296 millions FCFA</w:t>
      </w:r>
    </w:p>
    <w:p>
      <w:pPr>
        <w:pStyle w:val="ListBullet"/>
        <w:spacing w:before="20" w:after="20"/>
        <w:ind w:left="700"/>
      </w:pPr>
      <w:r>
        <w:rPr>
          <w:sz w:val="18"/>
        </w:rPr>
        <w:t>Résultat financier négatif de -73 millions FCFA contre +22 millions en 2021</w:t>
      </w:r>
    </w:p>
    <w:p>
      <w:pPr>
        <w:pStyle w:val="ListBullet"/>
        <w:spacing w:before="20" w:after="20"/>
        <w:ind w:left="700"/>
      </w:pPr>
      <w:r>
        <w:rPr>
          <w:sz w:val="18"/>
        </w:rPr>
        <w:t>Flambée des coûts de matières premières non compensée par les prix de vente</w:t>
      </w:r>
    </w:p>
    <w:p>
      <w:pPr>
        <w:pStyle w:val="ListBullet"/>
        <w:spacing w:before="20" w:after="20"/>
        <w:ind w:left="700"/>
      </w:pPr>
      <w:r>
        <w:rPr>
          <w:sz w:val="18"/>
        </w:rPr>
        <w:t>Impact négatif des crises post-Covid et ukrainienne sur la rentabilité</w:t>
      </w:r>
    </w:p>
    <w:p>
      <w:pPr>
        <w:spacing w:before="40"/>
        <w:ind w:left="400"/>
      </w:pPr>
      <w:r>
        <w:rPr>
          <w:b/>
          <w:color w:val="C05000"/>
          <w:sz w:val="18"/>
        </w:rPr>
        <w:t xml:space="preserve">⚠️ Risques : </w:t>
      </w:r>
      <w:r>
        <w:rPr>
          <w:sz w:val="18"/>
        </w:rPr>
        <w:t>["Volatilit\u00e9 continue des cours des mati\u00e8res premi\u00e8res impactant les marges", "Difficult\u00e9s \u00e0 r\u00e9percuter les hausses de co\u00fbts sur les prix de vente", "Contexte \u00e9conomique global incertain et march\u00e9s volatils"]</w:t>
      </w:r>
    </w:p>
    <w:p>
      <w:pPr>
        <w:spacing w:before="40"/>
        <w:ind w:left="400"/>
      </w:pPr>
      <w:r>
        <w:rPr>
          <w:b/>
          <w:color w:val="0064A0"/>
          <w:sz w:val="18"/>
        </w:rPr>
        <w:t xml:space="preserve">🔮 Perspectives : </w:t>
      </w:r>
      <w:r>
        <w:rPr>
          <w:sz w:val="18"/>
        </w:rPr>
        <w:t>La direction anticipe un 4ème trimestre plus favorable grâce aux célébrations de fin d'année et aux efforts de réduction des coûts. Cependant, l'entreprise reste vigilante face à la volatilité des marchés et au contexte économique global incertain.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d'activit\u00e9, la soci\u00e9t\u00e9 maintient sa rentabilit\u00e9 et engage des actions correctives. Les perspectives d'am\u00e9lioration saisonni\u00e8re et les initiatives commerciales justifient une approche prudente."}</w:t>
      </w:r>
    </w:p>
    <w:p>
      <w:pPr>
        <w:spacing w:before="40"/>
        <w:ind w:left="400"/>
      </w:pPr>
      <w:r>
        <w:rPr>
          <w:sz w:val="18"/>
        </w:rPr>
        <w:t>UNIWAX S.A. affiche une performance contrastée au T1 2023 avec un chiffre d'affaires en baisse de 16% à 9,4 milliards FCFA impacté par la faiblesse de la demande locale et export. Le résultat d'exploitation chute drastiquement de 90% à 71,6 millions FCFA, reflétant les difficultés macro-économiques. Malgré cette contraction opérationnelle, la société parvient à dégager un résultat net positif de 48,2 millions FCFA contre 527 millions en 2022. L'entreprise textile ivoirienne fait face à un environnement économique difficile mais mise sur l'optimisation des coûts et l'ouverture d'une boutique Uniwax. La société reste prudente quant aux perspectives dans un contexte socio-économique volatil.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'4 150 000 000 FCFA', 'resultat_financier': '-7 242 975 FCFA', 'resultat_exploitation': '71 554 797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48 233 867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9 397 016 068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15,97% à 9,4 milliards FCFA au T1 2023</w:t>
      </w:r>
    </w:p>
    <w:p>
      <w:pPr>
        <w:pStyle w:val="ListBullet"/>
        <w:spacing w:before="20" w:after="20"/>
        <w:ind w:left="700"/>
      </w:pPr>
      <w:r>
        <w:rPr>
          <w:sz w:val="18"/>
        </w:rPr>
        <w:t>Résultat d'exploitation en chute libre de 89,90% à 71,6 millions FCFA</w:t>
      </w:r>
    </w:p>
    <w:p>
      <w:pPr>
        <w:pStyle w:val="ListBullet"/>
        <w:spacing w:before="20" w:after="20"/>
        <w:ind w:left="700"/>
      </w:pPr>
      <w:r>
        <w:rPr>
          <w:sz w:val="18"/>
        </w:rPr>
        <w:t>Résultat net positif maintenu à 48,2 millions FCFA malgré la baisse de 90,85%</w:t>
      </w:r>
    </w:p>
    <w:p>
      <w:pPr>
        <w:pStyle w:val="ListBullet"/>
        <w:spacing w:before="20" w:after="20"/>
        <w:ind w:left="700"/>
      </w:pPr>
      <w:r>
        <w:rPr>
          <w:sz w:val="18"/>
        </w:rPr>
        <w:t>Baisse des volumes vendus due aux difficultés macro-économiques</w:t>
      </w:r>
    </w:p>
    <w:p>
      <w:pPr>
        <w:pStyle w:val="ListBullet"/>
        <w:spacing w:before="20" w:after="20"/>
        <w:ind w:left="700"/>
      </w:pPr>
      <w:r>
        <w:rPr>
          <w:sz w:val="18"/>
        </w:rPr>
        <w:t>Impact négatif sur les marchés local et export</w:t>
      </w:r>
    </w:p>
    <w:p>
      <w:pPr>
        <w:pStyle w:val="ListBullet"/>
        <w:spacing w:before="20" w:after="20"/>
        <w:ind w:left="700"/>
      </w:pPr>
      <w:r>
        <w:rPr>
          <w:sz w:val="18"/>
        </w:rPr>
        <w:t>Ouverture de la première boutique Uniwax pour renforcer la visibilité de la marque</w:t>
      </w:r>
    </w:p>
    <w:p>
      <w:pPr>
        <w:spacing w:before="40"/>
        <w:ind w:left="400"/>
      </w:pPr>
      <w:r>
        <w:rPr>
          <w:b/>
          <w:color w:val="C05000"/>
          <w:sz w:val="18"/>
        </w:rPr>
        <w:t xml:space="preserve">⚠️ Risques : </w:t>
      </w:r>
      <w:r>
        <w:rPr>
          <w:sz w:val="18"/>
        </w:rPr>
        <w:t>["Volatilit\u00e9 persistante du contexte socio-\u00e9conomique impactant la demande", "Forte d\u00e9pendance aux march\u00e9s local et export en difficult\u00e9", "Pression continue sur les marges op\u00e9rationnelles"]</w:t>
      </w:r>
    </w:p>
    <w:p>
      <w:pPr>
        <w:spacing w:before="40"/>
        <w:ind w:left="400"/>
      </w:pPr>
      <w:r>
        <w:rPr>
          <w:b/>
          <w:color w:val="0064A0"/>
          <w:sz w:val="18"/>
        </w:rPr>
        <w:t xml:space="preserve">🔮 Perspectives : </w:t>
      </w:r>
      <w:r>
        <w:rPr>
          <w:sz w:val="18"/>
        </w:rPr>
        <w:t>La direction mise sur la saisonnalité favorable du deuxième trimestre et les efforts d'optimisation des coûts pour améliorer la performance. L'ouverture de la première boutique Uniwax devrait contribuer au renforcement de la visibilité de la marque. Cependant, la société reste vigilante face aux flu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