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17/09/2026 à 09:34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(+97.8%)</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549.56 points </w:t>
      </w:r>
      <w:r>
        <w:rPr>
          <w:color w:val="C00000"/>
        </w:rPr>
        <w:t>(-0.61%)</w:t>
      </w:r>
      <w:r>
        <w:t xml:space="preserve"> sur la séance. </w:t>
      </w:r>
      <w:r>
        <w:t>La capitalisation globale du marché atteint 21 191,775 milliards FCFA.</w:t>
      </w:r>
    </w:p>
    <w:p/>
    <w:p>
      <w:pPr>
        <w:pStyle w:val="Heading3"/>
      </w:pPr>
      <w:r>
        <w:t>📊 Évolution de l'indice BRVM Composite (100 derniers jours)</w:t>
      </w:r>
    </w:p>
    <w:p>
      <w:r>
        <w:rPr>
          <w:b/>
        </w:rPr>
        <w:t xml:space="preserve">BRVM Composite — </w:t>
      </w:r>
      <w:r>
        <w:t xml:space="preserve">Sur les 100 derniers jours de cotation (2026-04-22 au 2026-09-16), l'indice BRVM Composite a évolué de </w:t>
      </w:r>
      <w:r>
        <w:rPr>
          <w:b/>
          <w:color w:val="008000"/>
        </w:rPr>
        <w:t>+37.08%</w:t>
      </w:r>
      <w:r>
        <w:t>, passant de 400.91 pts à 549.56 pts. Le plus haut atteint est 555.90 pts et le plus bas 400.91 pts. Sur l'ensemble de la période, la moyenne de l'indice s'établit à 466.32 pts, la médiane à 462.22 pts et le mode à 400.91 pts</w:t>
      </w:r>
      <w:r>
        <w:t xml:space="preserve"> (asymétrie positive — plus de jours sous la moyenne). </w:t>
      </w:r>
      <w:r>
        <w:t xml:space="preserve">L'écart-type de 46.98 pts (CV=10.1%) traduit une modérée dispersion des cotations. Le kurtosis de -0.92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+37.10%</w:t>
      </w:r>
      <w:r>
        <w:t xml:space="preserve"> sur la période, passant de 15 457,261 Mds FCFA à 21 191,775 Mds FCFA. Le pic de capitalisation observé est de 21 436,336 Mds FCFA et le plancher de 15 457,261 Mds FCFA. La moyenne de la capitalisation sur la période s'établit à 17 972,791 Mds FCFA, la médiane à 17 806,133 Mds FCFA et le mode à 15 457,261 Mds FCFA</w:t>
      </w:r>
      <w:r>
        <w:t xml:space="preserve"> (asymétrie positive). </w:t>
      </w:r>
      <w:r>
        <w:t>L'écart-type de 1 813,562 Mds FCFA (CV=10.1%) reflète une modérée variabilité de la valorisation du marché. Le kurtosis de -0.92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PALC - PALC - PALM COTE D'IVOIRE</w:t>
      </w:r>
      <w:r>
        <w:t xml:space="preserve"> | Prix: 8600 FCFA | </w:t>
      </w:r>
      <w:r>
        <w:rPr>
          <w:b/>
          <w:color w:val="008000"/>
        </w:rPr>
        <w:t>ACHAT FORT</w:t>
      </w:r>
      <w:r>
        <w:t xml:space="preserve"> | Confiance: Élevée | Risque: Moyen</w:t>
      </w:r>
    </w:p>
    <w:p>
      <w:pPr>
        <w:pStyle w:val="ListNumber"/>
      </w:pPr>
      <w:r>
        <w:rPr>
          <w:b/>
        </w:rPr>
        <w:t>SDCC - SDCC - Société de Distribution d'Eau de Côte d'Ivoire</w:t>
      </w:r>
      <w:r>
        <w:t xml:space="preserve"> | Prix: 13400 FCFA | </w:t>
      </w:r>
      <w:r>
        <w:rPr>
          <w:b/>
          <w:color w:val="008000"/>
        </w:rPr>
        <w:t>ACHAT FORT</w:t>
      </w:r>
      <w:r>
        <w:t xml:space="preserve"> | Confiance: Élevée | Risque: Faible</w:t>
      </w:r>
    </w:p>
    <w:p>
      <w:pPr>
        <w:pStyle w:val="ListNumber"/>
      </w:pPr>
      <w:r>
        <w:rPr>
          <w:b/>
        </w:rPr>
        <w:t>ABJC - ABJC - SERVAIR ABIDJAN CI</w:t>
      </w:r>
      <w:r>
        <w:t xml:space="preserve"> | Prix: 4040 FCFA | </w:t>
      </w:r>
      <w:r>
        <w:rPr>
          <w:b/>
          <w:color w:val="008000"/>
        </w:rPr>
        <w:t>ACHAT</w:t>
      </w:r>
      <w:r>
        <w:t xml:space="preserve"> | Confiance: Moyen | Risque: Moyen</w:t>
      </w:r>
    </w:p>
    <w:p>
      <w:pPr>
        <w:pStyle w:val="ListNumber"/>
      </w:pPr>
      <w:r>
        <w:rPr>
          <w:b/>
        </w:rPr>
        <w:t>BICB - BIIC BN - Banque internationale pour le commerce du benin</w:t>
      </w:r>
      <w:r>
        <w:t xml:space="preserve"> | Prix: 10500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31700 FCFA | </w:t>
      </w:r>
      <w:r>
        <w:rPr>
          <w:b/>
          <w:color w:val="008000"/>
        </w:rPr>
        <w:t>ACHAT</w:t>
      </w:r>
      <w:r>
        <w:t xml:space="preserve"> | Confiance: Moyen | Risque: Moyen</w:t>
      </w:r>
    </w:p>
    <w:p>
      <w:pPr>
        <w:pStyle w:val="ListNumber"/>
      </w:pPr>
      <w:r>
        <w:rPr>
          <w:b/>
        </w:rPr>
        <w:t>BNBC - BNBC - BERNABE CI</w:t>
      </w:r>
      <w:r>
        <w:t xml:space="preserve"> | Prix: 2105 FCFA | </w:t>
      </w:r>
      <w:r>
        <w:rPr>
          <w:b/>
          <w:color w:val="008000"/>
        </w:rPr>
        <w:t>ACHAT</w:t>
      </w:r>
      <w:r>
        <w:t xml:space="preserve"> | Confiance: Élevée | Risque: Faible</w:t>
      </w:r>
    </w:p>
    <w:p>
      <w:pPr>
        <w:pStyle w:val="ListNumber"/>
      </w:pPr>
      <w:r>
        <w:rPr>
          <w:b/>
        </w:rPr>
        <w:t>BOAB - BANK OF AFRICA BENIN</w:t>
      </w:r>
      <w:r>
        <w:t xml:space="preserve"> | Prix: 10000 FCFA | </w:t>
      </w:r>
      <w:r>
        <w:rPr>
          <w:b/>
          <w:color w:val="008000"/>
        </w:rPr>
        <w:t>ACHAT</w:t>
      </w:r>
      <w:r>
        <w:t xml:space="preserve"> | Confiance: Élevée | Risque: Moyen</w:t>
      </w:r>
    </w:p>
    <w:p>
      <w:pPr>
        <w:pStyle w:val="ListNumber"/>
      </w:pPr>
      <w:r>
        <w:rPr>
          <w:b/>
        </w:rPr>
        <w:t>BOABF - BANK OF AFRICA BURKINA FASO</w:t>
      </w:r>
      <w:r>
        <w:t xml:space="preserve"> | Prix: 8150 FCFA | </w:t>
      </w:r>
      <w:r>
        <w:rPr>
          <w:b/>
          <w:color w:val="008000"/>
        </w:rPr>
        <w:t>ACHAT</w:t>
      </w:r>
      <w:r>
        <w:t xml:space="preserve"> | Confiance: Élevée | Risque: Moyen</w:t>
      </w:r>
    </w:p>
    <w:p>
      <w:pPr>
        <w:pStyle w:val="ListNumber"/>
      </w:pPr>
      <w:r>
        <w:rPr>
          <w:b/>
        </w:rPr>
        <w:t>BOAC - BANK OF AFRICA COTE D'IVOIRE</w:t>
      </w:r>
      <w:r>
        <w:t xml:space="preserve"> | Prix: 12150 FCFA | </w:t>
      </w:r>
      <w:r>
        <w:rPr>
          <w:b/>
          <w:color w:val="008000"/>
        </w:rPr>
        <w:t>ACHAT</w:t>
      </w:r>
      <w:r>
        <w:t xml:space="preserve"> | Confiance: Élevée | Risque: Moyen</w:t>
      </w:r>
    </w:p>
    <w:p>
      <w:pPr>
        <w:pStyle w:val="ListNumber"/>
      </w:pPr>
      <w:r>
        <w:rPr>
          <w:b/>
        </w:rPr>
        <w:t>BOAM - BANK OF AFRICA MALI</w:t>
      </w:r>
      <w:r>
        <w:t xml:space="preserve"> | Prix: 6995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97.80%</w:t>
      </w:r>
      <w:r>
        <w:t xml:space="preserve">  |  </w:t>
      </w:r>
      <w:r>
        <w:rPr>
          <w:b/>
        </w:rPr>
        <w:t xml:space="preserve">vs BRVM Composite: </w:t>
      </w:r>
      <w:r>
        <w:rPr>
          <w:b/>
          <w:color w:val="008000"/>
        </w:rPr>
        <w:t>+60.72%  🟢 Surperformance</w:t>
      </w:r>
      <w:r>
        <w:br/>
      </w:r>
      <w:r>
        <w:rPr>
          <w:b/>
        </w:rPr>
        <w:t xml:space="preserve">Sentiment général: </w:t>
      </w:r>
      <w:r>
        <w:t xml:space="preserve">ACHAT  |  </w:t>
      </w:r>
      <w:r>
        <w:rPr>
          <w:b/>
        </w:rPr>
        <w:t xml:space="preserve">Risque moyen: </w:t>
      </w:r>
      <w:r>
        <w:t xml:space="preserve">Moyen  |  </w:t>
      </w:r>
      <w:r>
        <w:rPr>
          <w:b/>
        </w:rPr>
        <w:t xml:space="preserve">Prix moyen: </w:t>
      </w:r>
      <w:r>
        <w:t>10025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46.72%</w:t>
      </w:r>
      <w:r>
        <w:t xml:space="preserve">  |  </w:t>
      </w:r>
      <w:r>
        <w:rPr>
          <w:b/>
        </w:rPr>
        <w:t xml:space="preserve">vs BRVM Composite: </w:t>
      </w:r>
      <w:r>
        <w:rPr>
          <w:b/>
          <w:color w:val="008000"/>
        </w:rPr>
        <w:t>+9.64%  🟢 Surperformance</w:t>
      </w:r>
      <w:r>
        <w:br/>
      </w:r>
      <w:r>
        <w:rPr>
          <w:b/>
        </w:rPr>
        <w:t xml:space="preserve">Sentiment général: </w:t>
      </w:r>
      <w:r>
        <w:t xml:space="preserve">ACHAT  |  </w:t>
      </w:r>
      <w:r>
        <w:rPr>
          <w:b/>
        </w:rPr>
        <w:t xml:space="preserve">Risque moyen: </w:t>
      </w:r>
      <w:r>
        <w:t xml:space="preserve">Moyen  |  </w:t>
      </w:r>
      <w:r>
        <w:rPr>
          <w:b/>
        </w:rPr>
        <w:t xml:space="preserve">Prix moyen: </w:t>
      </w:r>
      <w:r>
        <w:t>14090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39.85%</w:t>
      </w:r>
      <w:r>
        <w:t xml:space="preserve">  |  </w:t>
      </w:r>
      <w:r>
        <w:rPr>
          <w:b/>
        </w:rPr>
        <w:t xml:space="preserve">vs BRVM Composite: </w:t>
      </w:r>
      <w:r>
        <w:rPr>
          <w:b/>
          <w:color w:val="008000"/>
        </w:rPr>
        <w:t>+2.77%  🟢 Surperformance</w:t>
      </w:r>
      <w:r>
        <w:br/>
      </w:r>
      <w:r>
        <w:rPr>
          <w:b/>
        </w:rPr>
        <w:t xml:space="preserve">Sentiment général: </w:t>
      </w:r>
      <w:r>
        <w:t xml:space="preserve">ACHAT  |  </w:t>
      </w:r>
      <w:r>
        <w:rPr>
          <w:b/>
        </w:rPr>
        <w:t xml:space="preserve">Risque moyen: </w:t>
      </w:r>
      <w:r>
        <w:t xml:space="preserve">Moyen  |  </w:t>
      </w:r>
      <w:r>
        <w:rPr>
          <w:b/>
        </w:rPr>
        <w:t xml:space="preserve">Prix moyen: </w:t>
      </w:r>
      <w:r>
        <w:t>6964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29.83%</w:t>
      </w:r>
      <w:r>
        <w:t xml:space="preserve">  |  </w:t>
      </w:r>
      <w:r>
        <w:rPr>
          <w:b/>
        </w:rPr>
        <w:t xml:space="preserve">vs BRVM Composite: </w:t>
      </w:r>
      <w:r>
        <w:rPr>
          <w:b/>
          <w:color w:val="C00000"/>
        </w:rPr>
        <w:t>-7.25%  🔴 Sous-performance</w:t>
      </w:r>
      <w:r>
        <w:br/>
      </w:r>
      <w:r>
        <w:rPr>
          <w:b/>
        </w:rPr>
        <w:t xml:space="preserve">Sentiment général: </w:t>
      </w:r>
      <w:r>
        <w:t xml:space="preserve">ACHAT  |  </w:t>
      </w:r>
      <w:r>
        <w:rPr>
          <w:b/>
        </w:rPr>
        <w:t xml:space="preserve">Risque moyen: </w:t>
      </w:r>
      <w:r>
        <w:t xml:space="preserve">Moyen  |  </w:t>
      </w:r>
      <w:r>
        <w:rPr>
          <w:b/>
        </w:rPr>
        <w:t xml:space="preserve">Prix moyen: </w:t>
      </w:r>
      <w:r>
        <w:t>21342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27.10%</w:t>
      </w:r>
      <w:r>
        <w:t xml:space="preserve">  |  </w:t>
      </w:r>
      <w:r>
        <w:rPr>
          <w:b/>
        </w:rPr>
        <w:t xml:space="preserve">vs BRVM Composite: </w:t>
      </w:r>
      <w:r>
        <w:rPr>
          <w:b/>
          <w:color w:val="C00000"/>
        </w:rPr>
        <w:t>-9.98%  🔴 Sous-performance</w:t>
      </w:r>
      <w:r>
        <w:br/>
      </w:r>
      <w:r>
        <w:rPr>
          <w:b/>
        </w:rPr>
        <w:t xml:space="preserve">Sentiment général: </w:t>
      </w:r>
      <w:r>
        <w:t xml:space="preserve">ACHAT  |  </w:t>
      </w:r>
      <w:r>
        <w:rPr>
          <w:b/>
        </w:rPr>
        <w:t xml:space="preserve">Risque moyen: </w:t>
      </w:r>
      <w:r>
        <w:t xml:space="preserve">Faible  |  </w:t>
      </w:r>
      <w:r>
        <w:rPr>
          <w:b/>
        </w:rPr>
        <w:t xml:space="preserve">Prix moyen: </w:t>
      </w:r>
      <w:r>
        <w:t>17857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24.93%</w:t>
      </w:r>
      <w:r>
        <w:t xml:space="preserve">  |  </w:t>
      </w:r>
      <w:r>
        <w:rPr>
          <w:b/>
        </w:rPr>
        <w:t xml:space="preserve">vs BRVM Composite: </w:t>
      </w:r>
      <w:r>
        <w:rPr>
          <w:b/>
          <w:color w:val="C00000"/>
        </w:rPr>
        <w:t>-12.15%  🔴 Sous-performance</w:t>
      </w:r>
      <w:r>
        <w:br/>
      </w:r>
      <w:r>
        <w:rPr>
          <w:b/>
        </w:rPr>
        <w:t xml:space="preserve">Sentiment général: </w:t>
      </w:r>
      <w:r>
        <w:t xml:space="preserve">ACHAT  |  </w:t>
      </w:r>
      <w:r>
        <w:rPr>
          <w:b/>
        </w:rPr>
        <w:t xml:space="preserve">Risque moyen: </w:t>
      </w:r>
      <w:r>
        <w:t xml:space="preserve">Moyen  |  </w:t>
      </w:r>
      <w:r>
        <w:rPr>
          <w:b/>
        </w:rPr>
        <w:t xml:space="preserve">Prix moyen: </w:t>
      </w:r>
      <w:r>
        <w:t>3067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3.02%</w:t>
      </w:r>
      <w:r>
        <w:t xml:space="preserve">  |  </w:t>
      </w:r>
      <w:r>
        <w:rPr>
          <w:b/>
        </w:rPr>
        <w:t xml:space="preserve">vs BRVM Composite: </w:t>
      </w:r>
      <w:r>
        <w:rPr>
          <w:b/>
          <w:color w:val="C00000"/>
        </w:rPr>
        <w:t>-34.06%  🔴 Sous-performance</w:t>
      </w:r>
      <w:r>
        <w:br/>
      </w:r>
      <w:r>
        <w:rPr>
          <w:b/>
        </w:rPr>
        <w:t xml:space="preserve">Sentiment général: </w:t>
      </w:r>
      <w:r>
        <w:t xml:space="preserve">ACHAT  |  </w:t>
      </w:r>
      <w:r>
        <w:rPr>
          <w:b/>
        </w:rPr>
        <w:t xml:space="preserve">Risque moyen: </w:t>
      </w:r>
      <w:r>
        <w:t xml:space="preserve">Faible  |  </w:t>
      </w:r>
      <w:r>
        <w:rPr>
          <w:b/>
        </w:rPr>
        <w:t xml:space="preserve">Prix moyen: </w:t>
      </w:r>
      <w:r>
        <w:t>2482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BOAB, BOABF, BOAC, BOAM, BOAN, CFAC, CIEC, FTSC, SAFC, SDCC, SDSC, SGBC, SIVC, SMBC, SPHC, STBC,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BOAS, CABC, CBIBF, ECOC, NEIC, NSBC, NTLC, ONTBF, ORGT, PALC, PRSC, SCRC, SEMC, SIBC, SOGC, TTLC,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ETIT, LNBB, ORAC, SHEC, SICC, SLBC, SNTS, STAC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1435928</w:t>
            </w:r>
          </w:p>
        </w:tc>
        <w:tc>
          <w:tcPr>
            <w:tcW w:type="dxa" w:w="1728"/>
          </w:tcPr>
          <w:p>
            <w:r>
              <w:t>97513671 FCFA</w:t>
            </w:r>
          </w:p>
        </w:tc>
        <w:tc>
          <w:tcPr>
            <w:tcW w:type="dxa" w:w="1728"/>
          </w:tcPr>
          <w:p>
            <w:r>
              <w:t>133.33%</w:t>
            </w:r>
          </w:p>
        </w:tc>
        <w:tc>
          <w:tcPr>
            <w:tcW w:type="dxa" w:w="1728"/>
          </w:tcPr>
          <w:p>
            <w:r>
              <w:t>ACHAT</w:t>
            </w:r>
          </w:p>
        </w:tc>
      </w:tr>
      <w:tr>
        <w:tc>
          <w:tcPr>
            <w:tcW w:type="dxa" w:w="1728"/>
          </w:tcPr>
          <w:p>
            <w:r>
              <w:t>BICB (BIIC BN - Banque internationale pour le commerce du benin)</w:t>
            </w:r>
          </w:p>
        </w:tc>
        <w:tc>
          <w:tcPr>
            <w:tcW w:type="dxa" w:w="1728"/>
          </w:tcPr>
          <w:p>
            <w:r>
              <w:t>18768</w:t>
            </w:r>
          </w:p>
        </w:tc>
        <w:tc>
          <w:tcPr>
            <w:tcW w:type="dxa" w:w="1728"/>
          </w:tcPr>
          <w:p>
            <w:r>
              <w:t>167547248 FCFA</w:t>
            </w:r>
          </w:p>
        </w:tc>
        <w:tc>
          <w:tcPr>
            <w:tcW w:type="dxa" w:w="1728"/>
          </w:tcPr>
          <w:p>
            <w:r>
              <w:t>105.48%</w:t>
            </w:r>
          </w:p>
        </w:tc>
        <w:tc>
          <w:tcPr>
            <w:tcW w:type="dxa" w:w="1728"/>
          </w:tcPr>
          <w:p>
            <w:r>
              <w:t>ACHAT</w:t>
            </w:r>
          </w:p>
        </w:tc>
      </w:tr>
      <w:tr>
        <w:tc>
          <w:tcPr>
            <w:tcW w:type="dxa" w:w="1728"/>
          </w:tcPr>
          <w:p>
            <w:r>
              <w:t>SDSC (SDSC - AFRICA GLOBAL LOGISTICS CI)</w:t>
            </w:r>
          </w:p>
        </w:tc>
        <w:tc>
          <w:tcPr>
            <w:tcW w:type="dxa" w:w="1728"/>
          </w:tcPr>
          <w:p>
            <w:r>
              <w:t>18293</w:t>
            </w:r>
          </w:p>
        </w:tc>
        <w:tc>
          <w:tcPr>
            <w:tcW w:type="dxa" w:w="1728"/>
          </w:tcPr>
          <w:p>
            <w:r>
              <w:t>51891871 FCFA</w:t>
            </w:r>
          </w:p>
        </w:tc>
        <w:tc>
          <w:tcPr>
            <w:tcW w:type="dxa" w:w="1728"/>
          </w:tcPr>
          <w:p>
            <w:r>
              <w:t>70.44%</w:t>
            </w:r>
          </w:p>
        </w:tc>
        <w:tc>
          <w:tcPr>
            <w:tcW w:type="dxa" w:w="1728"/>
          </w:tcPr>
          <w:p>
            <w:r>
              <w:t>ACHAT</w:t>
            </w:r>
          </w:p>
        </w:tc>
      </w:tr>
      <w:tr>
        <w:tc>
          <w:tcPr>
            <w:tcW w:type="dxa" w:w="1728"/>
          </w:tcPr>
          <w:p>
            <w:r>
              <w:t>SIBC (SIBC - SOCIETE IVOIRIENNE DE BANQUE)</w:t>
            </w:r>
          </w:p>
        </w:tc>
        <w:tc>
          <w:tcPr>
            <w:tcW w:type="dxa" w:w="1728"/>
          </w:tcPr>
          <w:p>
            <w:r>
              <w:t>15208</w:t>
            </w:r>
          </w:p>
        </w:tc>
        <w:tc>
          <w:tcPr>
            <w:tcW w:type="dxa" w:w="1728"/>
          </w:tcPr>
          <w:p>
            <w:r>
              <w:t>139012242 FCFA</w:t>
            </w:r>
          </w:p>
        </w:tc>
        <w:tc>
          <w:tcPr>
            <w:tcW w:type="dxa" w:w="1728"/>
          </w:tcPr>
          <w:p>
            <w:r>
              <w:t>33.04%</w:t>
            </w:r>
          </w:p>
        </w:tc>
        <w:tc>
          <w:tcPr>
            <w:tcW w:type="dxa" w:w="1728"/>
          </w:tcPr>
          <w:p>
            <w:r>
              <w:t>ACHAT</w:t>
            </w:r>
          </w:p>
        </w:tc>
      </w:tr>
      <w:tr>
        <w:tc>
          <w:tcPr>
            <w:tcW w:type="dxa" w:w="1728"/>
          </w:tcPr>
          <w:p>
            <w:r>
              <w:t>BOAS (BANK OF AFRICA SENEGAL)</w:t>
            </w:r>
          </w:p>
        </w:tc>
        <w:tc>
          <w:tcPr>
            <w:tcW w:type="dxa" w:w="1728"/>
          </w:tcPr>
          <w:p>
            <w:r>
              <w:t>14668</w:t>
            </w:r>
          </w:p>
        </w:tc>
        <w:tc>
          <w:tcPr>
            <w:tcW w:type="dxa" w:w="1728"/>
          </w:tcPr>
          <w:p>
            <w:r>
              <w:t>119500068 FCFA</w:t>
            </w:r>
          </w:p>
        </w:tc>
        <w:tc>
          <w:tcPr>
            <w:tcW w:type="dxa" w:w="1728"/>
          </w:tcPr>
          <w:p>
            <w:r>
              <w:t>22.49%</w:t>
            </w:r>
          </w:p>
        </w:tc>
        <w:tc>
          <w:tcPr>
            <w:tcW w:type="dxa" w:w="1728"/>
          </w:tcPr>
          <w:p>
            <w:r>
              <w:t>ACHAT</w:t>
            </w:r>
          </w:p>
        </w:tc>
      </w:tr>
      <w:tr>
        <w:tc>
          <w:tcPr>
            <w:tcW w:type="dxa" w:w="1728"/>
          </w:tcPr>
          <w:p>
            <w:r>
              <w:t>UNXC (UNXC - UNIWAX COTE D'IVOIRE)</w:t>
            </w:r>
          </w:p>
        </w:tc>
        <w:tc>
          <w:tcPr>
            <w:tcW w:type="dxa" w:w="1728"/>
          </w:tcPr>
          <w:p>
            <w:r>
              <w:t>14102</w:t>
            </w:r>
          </w:p>
        </w:tc>
        <w:tc>
          <w:tcPr>
            <w:tcW w:type="dxa" w:w="1728"/>
          </w:tcPr>
          <w:p>
            <w:r>
              <w:t>33835212 FCFA</w:t>
            </w:r>
          </w:p>
        </w:tc>
        <w:tc>
          <w:tcPr>
            <w:tcW w:type="dxa" w:w="1728"/>
          </w:tcPr>
          <w:p>
            <w:r>
              <w:t>20.00%</w:t>
            </w:r>
          </w:p>
        </w:tc>
        <w:tc>
          <w:tcPr>
            <w:tcW w:type="dxa" w:w="1728"/>
          </w:tcPr>
          <w:p>
            <w:r>
              <w:t>ACHAT</w:t>
            </w:r>
          </w:p>
        </w:tc>
      </w:tr>
      <w:tr>
        <w:tc>
          <w:tcPr>
            <w:tcW w:type="dxa" w:w="1728"/>
          </w:tcPr>
          <w:p>
            <w:r>
              <w:t>SNTS (SNTS - SONATEL SN)</w:t>
            </w:r>
          </w:p>
        </w:tc>
        <w:tc>
          <w:tcPr>
            <w:tcW w:type="dxa" w:w="1728"/>
          </w:tcPr>
          <w:p>
            <w:r>
              <w:t>12553</w:t>
            </w:r>
          </w:p>
        </w:tc>
        <w:tc>
          <w:tcPr>
            <w:tcW w:type="dxa" w:w="1728"/>
          </w:tcPr>
          <w:p>
            <w:r>
              <w:t>470200569 FCFA</w:t>
            </w:r>
          </w:p>
        </w:tc>
        <w:tc>
          <w:tcPr>
            <w:tcW w:type="dxa" w:w="1728"/>
          </w:tcPr>
          <w:p>
            <w:r>
              <w:t>36.14%</w:t>
            </w:r>
          </w:p>
        </w:tc>
        <w:tc>
          <w:tcPr>
            <w:tcW w:type="dxa" w:w="1728"/>
          </w:tcPr>
          <w:p>
            <w:r>
              <w:t>ACHAT</w:t>
            </w:r>
          </w:p>
        </w:tc>
      </w:tr>
      <w:tr>
        <w:tc>
          <w:tcPr>
            <w:tcW w:type="dxa" w:w="1728"/>
          </w:tcPr>
          <w:p>
            <w:r>
              <w:t>BOAC (BANK OF AFRICA COTE D'IVOIRE)</w:t>
            </w:r>
          </w:p>
        </w:tc>
        <w:tc>
          <w:tcPr>
            <w:tcW w:type="dxa" w:w="1728"/>
          </w:tcPr>
          <w:p>
            <w:r>
              <w:t>11519</w:t>
            </w:r>
          </w:p>
        </w:tc>
        <w:tc>
          <w:tcPr>
            <w:tcW w:type="dxa" w:w="1728"/>
          </w:tcPr>
          <w:p>
            <w:r>
              <w:t>145481446 FCFA</w:t>
            </w:r>
          </w:p>
        </w:tc>
        <w:tc>
          <w:tcPr>
            <w:tcW w:type="dxa" w:w="1728"/>
          </w:tcPr>
          <w:p>
            <w:r>
              <w:t>42.94%</w:t>
            </w:r>
          </w:p>
        </w:tc>
        <w:tc>
          <w:tcPr>
            <w:tcW w:type="dxa" w:w="1728"/>
          </w:tcPr>
          <w:p>
            <w:r>
              <w:t>ACHAT</w:t>
            </w:r>
          </w:p>
        </w:tc>
      </w:tr>
      <w:tr>
        <w:tc>
          <w:tcPr>
            <w:tcW w:type="dxa" w:w="1728"/>
          </w:tcPr>
          <w:p>
            <w:r>
              <w:t>SAFC (SAFCA CI)</w:t>
            </w:r>
          </w:p>
        </w:tc>
        <w:tc>
          <w:tcPr>
            <w:tcW w:type="dxa" w:w="1728"/>
          </w:tcPr>
          <w:p>
            <w:r>
              <w:t>10602</w:t>
            </w:r>
          </w:p>
        </w:tc>
        <w:tc>
          <w:tcPr>
            <w:tcW w:type="dxa" w:w="1728"/>
          </w:tcPr>
          <w:p>
            <w:r>
              <w:t>59421445 FCFA</w:t>
            </w:r>
          </w:p>
        </w:tc>
        <w:tc>
          <w:tcPr>
            <w:tcW w:type="dxa" w:w="1728"/>
          </w:tcPr>
          <w:p>
            <w:r>
              <w:t>-13.30%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NSBC (NSBC - NSIA BANQUE COTE D'IVOIRE)</w:t>
            </w:r>
          </w:p>
        </w:tc>
        <w:tc>
          <w:tcPr>
            <w:tcW w:type="dxa" w:w="1728"/>
          </w:tcPr>
          <w:p>
            <w:r>
              <w:t>4133</w:t>
            </w:r>
          </w:p>
        </w:tc>
        <w:tc>
          <w:tcPr>
            <w:tcW w:type="dxa" w:w="1728"/>
          </w:tcPr>
          <w:p>
            <w:r>
              <w:t>96475695 FCFA</w:t>
            </w:r>
          </w:p>
        </w:tc>
        <w:tc>
          <w:tcPr>
            <w:tcW w:type="dxa" w:w="1728"/>
          </w:tcPr>
          <w:p>
            <w:r>
              <w:t>76.26%</w:t>
            </w:r>
          </w:p>
        </w:tc>
        <w:tc>
          <w:tcPr>
            <w:tcW w:type="dxa" w:w="1728"/>
          </w:tcPr>
          <w:p>
            <w:r>
              <w:t>ACHAT</w:t>
            </w:r>
          </w:p>
        </w:tc>
      </w:tr>
      <w:tr>
        <w:tc>
          <w:tcPr>
            <w:tcW w:type="dxa" w:w="1728"/>
          </w:tcPr>
          <w:p>
            <w:r>
              <w:t>SOGC (SOGC - Société des caoutchoucs de Grand-Béréby)</w:t>
            </w:r>
          </w:p>
        </w:tc>
        <w:tc>
          <w:tcPr>
            <w:tcW w:type="dxa" w:w="1728"/>
          </w:tcPr>
          <w:p>
            <w:r>
              <w:t>4021</w:t>
            </w:r>
          </w:p>
        </w:tc>
        <w:tc>
          <w:tcPr>
            <w:tcW w:type="dxa" w:w="1728"/>
          </w:tcPr>
          <w:p>
            <w:r>
              <w:t>33209087 FCFA</w:t>
            </w:r>
          </w:p>
        </w:tc>
        <w:tc>
          <w:tcPr>
            <w:tcW w:type="dxa" w:w="1728"/>
          </w:tcPr>
          <w:p>
            <w:r>
              <w:t>5.45%</w:t>
            </w:r>
          </w:p>
        </w:tc>
        <w:tc>
          <w:tcPr>
            <w:tcW w:type="dxa" w:w="1728"/>
          </w:tcPr>
          <w:p>
            <w:r>
              <w:t>ACHAT</w:t>
            </w:r>
          </w:p>
        </w:tc>
      </w:tr>
      <w:tr>
        <w:tc>
          <w:tcPr>
            <w:tcW w:type="dxa" w:w="1728"/>
          </w:tcPr>
          <w:p>
            <w:r>
              <w:t>STBC (STBC - SITAB COTE D'IVOIRE)</w:t>
            </w:r>
          </w:p>
        </w:tc>
        <w:tc>
          <w:tcPr>
            <w:tcW w:type="dxa" w:w="1728"/>
          </w:tcPr>
          <w:p>
            <w:r>
              <w:t>3880</w:t>
            </w:r>
          </w:p>
        </w:tc>
        <w:tc>
          <w:tcPr>
            <w:tcW w:type="dxa" w:w="1728"/>
          </w:tcPr>
          <w:p>
            <w:r>
              <w:t>85762537 FCFA</w:t>
            </w:r>
          </w:p>
        </w:tc>
        <w:tc>
          <w:tcPr>
            <w:tcW w:type="dxa" w:w="1728"/>
          </w:tcPr>
          <w:p>
            <w:r>
              <w:t>0.00%</w:t>
            </w:r>
          </w:p>
        </w:tc>
        <w:tc>
          <w:tcPr>
            <w:tcW w:type="dxa" w:w="1728"/>
          </w:tcPr>
          <w:p>
            <w:r>
              <w:t>ACHAT</w:t>
            </w:r>
          </w:p>
        </w:tc>
      </w:tr>
      <w:tr>
        <w:tc>
          <w:tcPr>
            <w:tcW w:type="dxa" w:w="1728"/>
          </w:tcPr>
          <w:p>
            <w:r>
              <w:t>CFAC (CFAC - CFAO MOTORS CI)</w:t>
            </w:r>
          </w:p>
        </w:tc>
        <w:tc>
          <w:tcPr>
            <w:tcW w:type="dxa" w:w="1728"/>
          </w:tcPr>
          <w:p>
            <w:r>
              <w:t>3758</w:t>
            </w:r>
          </w:p>
        </w:tc>
        <w:tc>
          <w:tcPr>
            <w:tcW w:type="dxa" w:w="1728"/>
          </w:tcPr>
          <w:p>
            <w:r>
              <w:t>6434857 FCFA</w:t>
            </w:r>
          </w:p>
        </w:tc>
        <w:tc>
          <w:tcPr>
            <w:tcW w:type="dxa" w:w="1728"/>
          </w:tcPr>
          <w:p>
            <w:r>
              <w:t>5.62%</w:t>
            </w:r>
          </w:p>
        </w:tc>
        <w:tc>
          <w:tcPr>
            <w:tcW w:type="dxa" w:w="1728"/>
          </w:tcPr>
          <w:p>
            <w:r>
              <w:t>ACHAT</w:t>
            </w:r>
          </w:p>
        </w:tc>
      </w:tr>
      <w:tr>
        <w:tc>
          <w:tcPr>
            <w:tcW w:type="dxa" w:w="1728"/>
          </w:tcPr>
          <w:p>
            <w:r>
              <w:t>ECOC (ECOC - ECOBANK COTE D'IVOIRE)</w:t>
            </w:r>
          </w:p>
        </w:tc>
        <w:tc>
          <w:tcPr>
            <w:tcW w:type="dxa" w:w="1728"/>
          </w:tcPr>
          <w:p>
            <w:r>
              <w:t>3755</w:t>
            </w:r>
          </w:p>
        </w:tc>
        <w:tc>
          <w:tcPr>
            <w:tcW w:type="dxa" w:w="1728"/>
          </w:tcPr>
          <w:p>
            <w:r>
              <w:t>63053689 FCFA</w:t>
            </w:r>
          </w:p>
        </w:tc>
        <w:tc>
          <w:tcPr>
            <w:tcW w:type="dxa" w:w="1728"/>
          </w:tcPr>
          <w:p>
            <w:r>
              <w:t>6.28%</w:t>
            </w:r>
          </w:p>
        </w:tc>
        <w:tc>
          <w:tcPr>
            <w:tcW w:type="dxa" w:w="1728"/>
          </w:tcPr>
          <w:p>
            <w:r>
              <w:t>ACHAT</w:t>
            </w:r>
          </w:p>
        </w:tc>
      </w:tr>
      <w:tr>
        <w:tc>
          <w:tcPr>
            <w:tcW w:type="dxa" w:w="1728"/>
          </w:tcPr>
          <w:p>
            <w:r>
              <w:t>FTSC (FTSC - FILTISAC COTE D'IVOIRE)</w:t>
            </w:r>
          </w:p>
        </w:tc>
        <w:tc>
          <w:tcPr>
            <w:tcW w:type="dxa" w:w="1728"/>
          </w:tcPr>
          <w:p>
            <w:r>
              <w:t>3178</w:t>
            </w:r>
          </w:p>
        </w:tc>
        <w:tc>
          <w:tcPr>
            <w:tcW w:type="dxa" w:w="1728"/>
          </w:tcPr>
          <w:p>
            <w:r>
              <w:t>6764299 FCFA</w:t>
            </w:r>
          </w:p>
        </w:tc>
        <w:tc>
          <w:tcPr>
            <w:tcW w:type="dxa" w:w="1728"/>
          </w:tcPr>
          <w:p>
            <w:r>
              <w:t>-5.86%</w:t>
            </w:r>
          </w:p>
        </w:tc>
        <w:tc>
          <w:tcPr>
            <w:tcW w:type="dxa" w:w="1728"/>
          </w:tcPr>
          <w:p>
            <w:r>
              <w:t>ACHAT</w:t>
            </w:r>
          </w:p>
        </w:tc>
      </w:tr>
      <w:tr>
        <w:tc>
          <w:tcPr>
            <w:tcW w:type="dxa" w:w="1728"/>
          </w:tcPr>
          <w:p>
            <w:r>
              <w:t>PALC (PALC - PALM COTE D'IVOIRE)</w:t>
            </w:r>
          </w:p>
        </w:tc>
        <w:tc>
          <w:tcPr>
            <w:tcW w:type="dxa" w:w="1728"/>
          </w:tcPr>
          <w:p>
            <w:r>
              <w:t>3120</w:t>
            </w:r>
          </w:p>
        </w:tc>
        <w:tc>
          <w:tcPr>
            <w:tcW w:type="dxa" w:w="1728"/>
          </w:tcPr>
          <w:p>
            <w:r>
              <w:t>27772123 FCFA</w:t>
            </w:r>
          </w:p>
        </w:tc>
        <w:tc>
          <w:tcPr>
            <w:tcW w:type="dxa" w:w="1728"/>
          </w:tcPr>
          <w:p>
            <w:r>
              <w:t>6.70%</w:t>
            </w:r>
          </w:p>
        </w:tc>
        <w:tc>
          <w:tcPr>
            <w:tcW w:type="dxa" w:w="1728"/>
          </w:tcPr>
          <w:p>
            <w:r>
              <w:t>ACHAT FORT</w:t>
            </w:r>
          </w:p>
        </w:tc>
      </w:tr>
      <w:tr>
        <w:tc>
          <w:tcPr>
            <w:tcW w:type="dxa" w:w="1728"/>
          </w:tcPr>
          <w:p>
            <w:r>
              <w:t>NEIC (NEIC - NEI-CEDA CI)</w:t>
            </w:r>
          </w:p>
        </w:tc>
        <w:tc>
          <w:tcPr>
            <w:tcW w:type="dxa" w:w="1728"/>
          </w:tcPr>
          <w:p>
            <w:r>
              <w:t>2581</w:t>
            </w:r>
          </w:p>
        </w:tc>
        <w:tc>
          <w:tcPr>
            <w:tcW w:type="dxa" w:w="1728"/>
          </w:tcPr>
          <w:p>
            <w:r>
              <w:t>7188546 FCFA</w:t>
            </w:r>
          </w:p>
        </w:tc>
        <w:tc>
          <w:tcPr>
            <w:tcW w:type="dxa" w:w="1728"/>
          </w:tcPr>
          <w:p>
            <w:r>
              <w:t>100.36%</w:t>
            </w:r>
          </w:p>
        </w:tc>
        <w:tc>
          <w:tcPr>
            <w:tcW w:type="dxa" w:w="1728"/>
          </w:tcPr>
          <w:p>
            <w:r>
              <w:t>ACHAT</w:t>
            </w:r>
          </w:p>
        </w:tc>
      </w:tr>
      <w:tr>
        <w:tc>
          <w:tcPr>
            <w:tcW w:type="dxa" w:w="1728"/>
          </w:tcPr>
          <w:p>
            <w:r>
              <w:t>TTLS (TTLS - TOTAL ENERGIES MARKETING SENEGAL)</w:t>
            </w:r>
          </w:p>
        </w:tc>
        <w:tc>
          <w:tcPr>
            <w:tcW w:type="dxa" w:w="1728"/>
          </w:tcPr>
          <w:p>
            <w:r>
              <w:t>2424</w:t>
            </w:r>
          </w:p>
        </w:tc>
        <w:tc>
          <w:tcPr>
            <w:tcW w:type="dxa" w:w="1728"/>
          </w:tcPr>
          <w:p>
            <w:r>
              <w:t>9285925 FCFA</w:t>
            </w:r>
          </w:p>
        </w:tc>
        <w:tc>
          <w:tcPr>
            <w:tcW w:type="dxa" w:w="1728"/>
          </w:tcPr>
          <w:p>
            <w:r>
              <w:t>31.45%</w:t>
            </w:r>
          </w:p>
        </w:tc>
        <w:tc>
          <w:tcPr>
            <w:tcW w:type="dxa" w:w="1728"/>
          </w:tcPr>
          <w:p>
            <w:r>
              <w:t>ACHAT</w:t>
            </w:r>
          </w:p>
        </w:tc>
      </w:tr>
      <w:tr>
        <w:tc>
          <w:tcPr>
            <w:tcW w:type="dxa" w:w="1728"/>
          </w:tcPr>
          <w:p>
            <w:r>
              <w:t>SDCC (SDCC - Société de Distribution d'Eau de Côte d'Ivoire)</w:t>
            </w:r>
          </w:p>
        </w:tc>
        <w:tc>
          <w:tcPr>
            <w:tcW w:type="dxa" w:w="1728"/>
          </w:tcPr>
          <w:p>
            <w:r>
              <w:t>2368</w:t>
            </w:r>
          </w:p>
        </w:tc>
        <w:tc>
          <w:tcPr>
            <w:tcW w:type="dxa" w:w="1728"/>
          </w:tcPr>
          <w:p>
            <w:r>
              <w:t>30951614 FCFA</w:t>
            </w:r>
          </w:p>
        </w:tc>
        <w:tc>
          <w:tcPr>
            <w:tcW w:type="dxa" w:w="1728"/>
          </w:tcPr>
          <w:p>
            <w:r>
              <w:t>81.08%</w:t>
            </w:r>
          </w:p>
        </w:tc>
        <w:tc>
          <w:tcPr>
            <w:tcW w:type="dxa" w:w="1728"/>
          </w:tcPr>
          <w:p>
            <w:r>
              <w:t>ACHAT FORT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SNTS - SNTS - SONATEL SN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ETIT - ETIT - Ecobank Transnational Incorporated Togo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3. LNBB - LNBB - LOTERIE NATIONALE DU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4.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5. SHEC - SHEC - VIVO ENERGY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STAC - STAC - SETAO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BOABF - BANK OF AFRICA BURKINA FASO</w:t>
      </w:r>
    </w:p>
    <w:p>
      <w:r>
        <w:rPr>
          <w:b/>
        </w:rPr>
        <w:t xml:space="preserve">Score de divergence: </w:t>
      </w:r>
      <w:r>
        <w:t>2/8</w:t>
        <w:br/>
      </w:r>
      <w:r>
        <w:rPr>
          <w:b/>
        </w:rPr>
        <w:t xml:space="preserve">Description: </w:t>
      </w:r>
      <w:r>
        <w:t>Signaux d'achat: MM, RSI, Stochastique | Signaux de vente: MACD | Recommandation finale: ACHAT</w:t>
        <w:br/>
      </w:r>
    </w:p>
    <w:p/>
    <w:p>
      <w:pPr>
        <w:pStyle w:val="Heading3"/>
      </w:pPr>
      <w:r>
        <w:t>10.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SHEC (SHEC - VIVO ENERGY COTE D'IVOIRE)</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**Fed** : hausse des taux directeurs américains (17/09), entraînant un effondrement du brut.</w:t>
      </w:r>
    </w:p>
    <w:p>
      <w:pPr>
        <w:pStyle w:val="ListBullet"/>
        <w:spacing w:before="20" w:after="20"/>
        <w:ind w:left="360"/>
      </w:pPr>
      <w:r>
        <w:rPr>
          <w:sz w:val="18"/>
        </w:rPr>
        <w:t>**BCE** : relèvement des taux directeurs, renchérissement attendu du crédit immobilier en 2026.</w:t>
      </w:r>
    </w:p>
    <w:p>
      <w:pPr>
        <w:pStyle w:val="ListBullet"/>
        <w:spacing w:before="20" w:after="20"/>
        <w:ind w:left="360"/>
      </w:pPr>
      <w:r>
        <w:rPr>
          <w:color w:val="C00000"/>
          <w:sz w:val="18"/>
        </w:rPr>
        <w:t>**Matières premières** : baisse simultanée du pétrole et du café ; volatilité sur le baril (flambée puis chute).</w:t>
      </w:r>
    </w:p>
    <w:p>
      <w:pPr>
        <w:pStyle w:val="ListBullet"/>
        <w:spacing w:before="20" w:after="20"/>
        <w:ind w:left="360"/>
      </w:pPr>
      <w:r>
        <w:rPr>
          <w:sz w:val="18"/>
        </w:rPr>
        <w:t>**Dollar** : fermeté persistante malgré le resserrement déjà intégré par les marchés.</w:t>
      </w:r>
    </w:p>
    <w:p>
      <w:pPr>
        <w:pStyle w:val="Heading3"/>
      </w:pPr>
      <w:r>
        <w:rPr>
          <w:color w:val="500050"/>
        </w:rPr>
        <w:t>⚡ Impact estimé sur la BRVM</w:t>
      </w:r>
    </w:p>
    <w:p>
      <w:pPr>
        <w:spacing w:before="20" w:after="40"/>
        <w:ind w:left="280"/>
      </w:pPr>
      <w:r>
        <w:rPr>
          <w:i/>
          <w:sz w:val="18"/>
        </w:rPr>
        <w:t>Le durcissement monétaire mondial renchérit le coût du capital et détourne les flux vers les actifs dollar. Pour la BRVM : pression baissière sur les valeurs bancaires (SGBC, BICB, BOAB, BOAC) via hausse des taux, et sur les industriels énergivores (SDSC, FTSC, TTLS) du fait de la volatilité pétrolière. La baisse du café pénalise indirectement les exportateurs ivoiriens mais pas de cotée purement caféière.</w:t>
      </w:r>
    </w:p>
    <w:p>
      <w:pPr>
        <w:pStyle w:val="Heading2"/>
      </w:pPr>
      <w:r>
        <w:rPr>
          <w:color w:val="006E32"/>
        </w:rPr>
        <w:t>🌍 Plan Africain</w:t>
      </w:r>
    </w:p>
    <w:p>
      <w:pPr>
        <w:pStyle w:val="ListBullet"/>
        <w:spacing w:before="20" w:after="20"/>
        <w:ind w:left="360"/>
      </w:pPr>
      <w:r>
        <w:rPr>
          <w:sz w:val="18"/>
        </w:rPr>
        <w:t>**Sénégal/FMI** : accord sur un programme d'aide de ~1,9 Md€ (01-02/09).</w:t>
      </w:r>
    </w:p>
    <w:p>
      <w:pPr>
        <w:pStyle w:val="ListBullet"/>
        <w:spacing w:before="20" w:after="20"/>
        <w:ind w:left="360"/>
      </w:pPr>
      <w:r>
        <w:rPr>
          <w:sz w:val="18"/>
        </w:rPr>
        <w:t>**Afrique du Sud** : Goldman Sachs anticipe un retour en « Investment grade » dès 2028.</w:t>
      </w:r>
    </w:p>
    <w:p>
      <w:pPr>
        <w:pStyle w:val="ListBullet"/>
        <w:spacing w:before="20" w:after="20"/>
        <w:ind w:left="360"/>
      </w:pPr>
      <w:r>
        <w:rPr>
          <w:sz w:val="18"/>
        </w:rPr>
        <w:t>**Sentiment général** : amélioration des fondamentaux souverains africains.</w:t>
      </w:r>
    </w:p>
    <w:p>
      <w:pPr>
        <w:pStyle w:val="Heading3"/>
      </w:pPr>
      <w:r>
        <w:rPr>
          <w:color w:val="500050"/>
        </w:rPr>
        <w:t>⚡ Impact estimé sur la BRVM</w:t>
      </w:r>
    </w:p>
    <w:p>
      <w:pPr>
        <w:spacing w:before="20" w:after="40"/>
        <w:ind w:left="280"/>
      </w:pPr>
      <w:r>
        <w:rPr>
          <w:i/>
          <w:sz w:val="18"/>
        </w:rPr>
        <w:t>Ces signaux positifs soutiennent la perception risque de la zone UEMOA et peuvent attirer des capitaux vers les banques régionales (SGBC, BOAB, BOAC) présentes au Sénégal. Aucune société cotée n'est directement exposée à l'Afrique du Sud, impact limité à la confiance investisseurs.</w:t>
      </w:r>
    </w:p>
    <w:p>
      <w:pPr>
        <w:pStyle w:val="Heading2"/>
      </w:pPr>
      <w:r>
        <w:rPr>
          <w:color w:val="145A28"/>
        </w:rPr>
        <w:t>🌍 Plan Afrique de l'Ouest</w:t>
      </w:r>
    </w:p>
    <w:p>
      <w:pPr>
        <w:pStyle w:val="ListBullet"/>
        <w:spacing w:before="20" w:after="20"/>
        <w:ind w:left="360"/>
      </w:pPr>
      <w:r>
        <w:rPr>
          <w:sz w:val="18"/>
        </w:rPr>
        <w:t>**CEDEAO-Tunisie** : engagement pour une coopération renforcée (15/09).</w:t>
      </w:r>
    </w:p>
    <w:p>
      <w:pPr>
        <w:pStyle w:val="ListBullet"/>
        <w:spacing w:before="20" w:after="20"/>
        <w:ind w:left="360"/>
      </w:pPr>
      <w:r>
        <w:rPr>
          <w:sz w:val="18"/>
        </w:rPr>
        <w:t>**Bénin** : audit CEDEAO des projets structurants dans l'Ouémé (15/09).</w:t>
      </w:r>
    </w:p>
    <w:p>
      <w:pPr>
        <w:pStyle w:val="ListBullet"/>
        <w:spacing w:before="20" w:after="20"/>
        <w:ind w:left="360"/>
      </w:pPr>
      <w:r>
        <w:rPr>
          <w:sz w:val="18"/>
        </w:rPr>
        <w:t>**CEDEAO** : dynamique régionale portée par la présidence sénégalaise (11/09).</w:t>
      </w:r>
    </w:p>
    <w:p>
      <w:pPr>
        <w:pStyle w:val="Heading3"/>
      </w:pPr>
      <w:r>
        <w:rPr>
          <w:color w:val="500050"/>
        </w:rPr>
        <w:t>⚡ Impact estimé sur la BRVM</w:t>
      </w:r>
    </w:p>
    <w:p>
      <w:pPr>
        <w:spacing w:before="20" w:after="40"/>
        <w:ind w:left="280"/>
      </w:pPr>
      <w:r>
        <w:rPr>
          <w:i/>
          <w:sz w:val="18"/>
        </w:rPr>
        <w:t>Renforcement de l'intégration régionale favorable aux groupes panafricains cotés (BOAB, BOAC, SGBC, ETIT, ONTBF) opérant au Bénin, Togo, Sénégal. Effet modéré mais positif sur le sentiment.</w:t>
      </w:r>
    </w:p>
    <w:p>
      <w:pPr>
        <w:pStyle w:val="Heading2"/>
      </w:pPr>
      <w:r>
        <w:rPr>
          <w:color w:val="8C4600"/>
        </w:rPr>
        <w:t>🏦 Plan UEMOA / Zone Franc</w:t>
      </w:r>
    </w:p>
    <w:p>
      <w:pPr>
        <w:pStyle w:val="ListBullet"/>
        <w:spacing w:before="20" w:after="20"/>
        <w:ind w:left="360"/>
      </w:pPr>
      <w:r>
        <w:rPr>
          <w:sz w:val="18"/>
        </w:rPr>
        <w:t>**Togo** : 323 femmes formées au leadership politique depuis 2020.</w:t>
      </w:r>
    </w:p>
    <w:p>
      <w:pPr>
        <w:pStyle w:val="ListBullet"/>
        <w:spacing w:before="20" w:after="20"/>
        <w:ind w:left="360"/>
      </w:pPr>
      <w:r>
        <w:rPr>
          <w:sz w:val="18"/>
        </w:rPr>
        <w:t>**Burkina Faso** : lancement d'une plateforme nationale de signature électronique (dématérialisation).</w:t>
      </w:r>
    </w:p>
    <w:p>
      <w:pPr>
        <w:pStyle w:val="ListBullet"/>
        <w:spacing w:before="20" w:after="20"/>
        <w:ind w:left="360"/>
      </w:pPr>
      <w:r>
        <w:rPr>
          <w:sz w:val="18"/>
        </w:rPr>
        <w:t>**Données BCEAO, inflation, FCFA, cacao, caoutchouc** : non fournies.</w:t>
      </w:r>
    </w:p>
    <w:p>
      <w:pPr>
        <w:pStyle w:val="Heading3"/>
      </w:pPr>
      <w:r>
        <w:rPr>
          <w:color w:val="500050"/>
        </w:rPr>
        <w:t>⚡ Impact estimé sur la BRVM</w:t>
      </w:r>
    </w:p>
    <w:p>
      <w:pPr>
        <w:spacing w:before="20" w:after="40"/>
        <w:ind w:left="280"/>
      </w:pPr>
      <w:r>
        <w:rPr>
          <w:i/>
          <w:sz w:val="18"/>
        </w:rPr>
        <w:t>La digitalisation administrative au Burkina est marginalement positive pour les opérateurs télécoms (ONTBF, SNTS) et services. Aucune donnée sur le cacao/caoutchouc pour évaluer SIFC, SOGC, PALC — **données insuffisantes** sur ce point.</w:t>
      </w:r>
    </w:p>
    <w:p>
      <w:pPr>
        <w:pStyle w:val="Heading2"/>
      </w:pPr>
      <w:r>
        <w:rPr>
          <w:color w:val="003366"/>
        </w:rPr>
        <w:t>📈 Plan BRVM</w:t>
      </w:r>
    </w:p>
    <w:p>
      <w:pPr>
        <w:pStyle w:val="ListBullet"/>
        <w:spacing w:before="20" w:after="20"/>
        <w:ind w:left="360"/>
      </w:pPr>
      <w:r>
        <w:rPr>
          <w:sz w:val="18"/>
        </w:rPr>
        <w:t>Résultats encourageants des sociétés ivoiriennes cotées (La Tribune, 09/06).</w:t>
      </w:r>
    </w:p>
    <w:p>
      <w:pPr>
        <w:pStyle w:val="ListBullet"/>
        <w:spacing w:before="20" w:after="20"/>
        <w:ind w:left="360"/>
      </w:pPr>
      <w:r>
        <w:rPr>
          <w:sz w:val="18"/>
        </w:rPr>
        <w:t>Indice BRVM Composite : 549,56.</w:t>
      </w:r>
    </w:p>
    <w:p>
      <w:pPr>
        <w:pStyle w:val="ListBullet"/>
        <w:spacing w:before="20" w:after="20"/>
        <w:ind w:left="360"/>
      </w:pPr>
      <w:r>
        <w:rPr>
          <w:sz w:val="18"/>
        </w:rPr>
        <w:t>Pas d'IPO ni de mouvement de dividende signalé dans les flux.</w:t>
      </w:r>
    </w:p>
    <w:p>
      <w:pPr>
        <w:pStyle w:val="Heading3"/>
      </w:pPr>
      <w:r>
        <w:rPr>
          <w:color w:val="500050"/>
        </w:rPr>
        <w:t>⚡ Impact estimé sur la BRVM</w:t>
      </w:r>
    </w:p>
    <w:p>
      <w:pPr>
        <w:spacing w:before="20" w:after="40"/>
        <w:ind w:left="280"/>
      </w:pPr>
      <w:r>
        <w:rPr>
          <w:i/>
          <w:sz w:val="18"/>
        </w:rPr>
        <w:t>Sentiment globalement constructif sur les valeurs ivoiriennes. Recommandations : **SGBC/BICB** (surveillance, sensibles aux taux), **ONTBF/SNTS** (télécoms défensifs, digitalisation favorable), **PALC/SOGC** (agro, dépendants du cacao — données manquantes), **ETIT** (bancaire, bénéficie de la croissance UEMOA). Prudence sur **TTLS** (volatilité pétrole).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Fed et BCE en resserrement monétaire coordonné.</w:t>
      </w:r>
    </w:p>
    <w:p>
      <w:pPr>
        <w:pStyle w:val="ListBullet"/>
        <w:spacing w:before="20" w:after="20"/>
        <w:ind w:left="360"/>
      </w:pPr>
      <w:r>
        <w:rPr>
          <w:sz w:val="18"/>
        </w:rPr>
        <w:t>Volatilité pétrole liée aux décisions monétaires US.</w:t>
      </w:r>
    </w:p>
    <w:p>
      <w:pPr>
        <w:pStyle w:val="ListBullet"/>
        <w:spacing w:before="20" w:after="20"/>
        <w:ind w:left="360"/>
      </w:pPr>
      <w:r>
        <w:rPr>
          <w:sz w:val="18"/>
        </w:rPr>
        <w:t>Pas de conflit majeur signalé dans les flux.</w:t>
      </w:r>
    </w:p>
    <w:p>
      <w:pPr>
        <w:pStyle w:val="Heading3"/>
      </w:pPr>
      <w:r>
        <w:rPr>
          <w:color w:val="500050"/>
        </w:rPr>
        <w:t>⚡ Impact estimé sur la BRVM</w:t>
      </w:r>
    </w:p>
    <w:p>
      <w:pPr>
        <w:spacing w:before="20" w:after="40"/>
        <w:ind w:left="280"/>
      </w:pPr>
      <w:r>
        <w:rPr>
          <w:i/>
          <w:sz w:val="18"/>
        </w:rPr>
        <w:t>Environnement géopolitique mondial peu lisible mais sans choc direct. Les investisseurs BRVM restent en mode « risk-off » sélectif, privilégiant les rendements obligataires UEMOA.</w:t>
      </w:r>
    </w:p>
    <w:p>
      <w:pPr>
        <w:pStyle w:val="Heading2"/>
      </w:pPr>
      <w:r>
        <w:rPr>
          <w:color w:val="006E32"/>
        </w:rPr>
        <w:t>🌍 Plan Africain</w:t>
      </w:r>
    </w:p>
    <w:p>
      <w:pPr>
        <w:pStyle w:val="ListBullet"/>
        <w:spacing w:before="20" w:after="20"/>
        <w:ind w:left="360"/>
      </w:pPr>
      <w:r>
        <w:rPr>
          <w:sz w:val="18"/>
        </w:rPr>
        <w:t>Sénégal : coopération FMI renforcée, stabilité politique sous Faye.</w:t>
      </w:r>
    </w:p>
    <w:p>
      <w:pPr>
        <w:pStyle w:val="ListBullet"/>
        <w:spacing w:before="20" w:after="20"/>
        <w:ind w:left="360"/>
      </w:pPr>
      <w:r>
        <w:rPr>
          <w:sz w:val="18"/>
        </w:rPr>
        <w:t>Mali-Algérie : visites réciproques pour un rapprochement bilatéral.</w:t>
      </w:r>
    </w:p>
    <w:p>
      <w:pPr>
        <w:pStyle w:val="ListBullet"/>
        <w:spacing w:before="20" w:after="20"/>
        <w:ind w:left="360"/>
      </w:pPr>
      <w:r>
        <w:rPr>
          <w:sz w:val="18"/>
        </w:rPr>
        <w:t>Pas de coup d'État ni de transition signalée.</w:t>
      </w:r>
    </w:p>
    <w:p>
      <w:pPr>
        <w:pStyle w:val="Heading3"/>
      </w:pPr>
      <w:r>
        <w:rPr>
          <w:color w:val="500050"/>
        </w:rPr>
        <w:t>⚡ Impact estimé sur la BRVM</w:t>
      </w:r>
    </w:p>
    <w:p>
      <w:pPr>
        <w:spacing w:before="20" w:after="40"/>
        <w:ind w:left="280"/>
      </w:pPr>
      <w:r>
        <w:rPr>
          <w:i/>
          <w:sz w:val="18"/>
        </w:rPr>
        <w:t>Stabilité politique sénégalaise = signal positif pour les banques cotées exposées (BOAB, BOAC, SGBC). Le rapprochement Mali-Algérie reste sans effet direct sur les valeurs BRVM.</w:t>
      </w:r>
    </w:p>
    <w:p>
      <w:pPr>
        <w:pStyle w:val="Heading2"/>
      </w:pPr>
      <w:r>
        <w:rPr>
          <w:color w:val="145A28"/>
        </w:rPr>
        <w:t>🌍 Plan Afrique de l'Ouest</w:t>
      </w:r>
    </w:p>
    <w:p>
      <w:pPr>
        <w:pStyle w:val="ListBullet"/>
        <w:spacing w:before="20" w:after="20"/>
        <w:ind w:left="360"/>
      </w:pPr>
      <w:r>
        <w:rPr>
          <w:sz w:val="18"/>
        </w:rPr>
        <w:t>CEDEAO : dynamique d'intégration (Tunisie, Bénin, Sénégal).</w:t>
      </w:r>
    </w:p>
    <w:p>
      <w:pPr>
        <w:pStyle w:val="ListBullet"/>
        <w:spacing w:before="20" w:after="20"/>
        <w:ind w:left="360"/>
      </w:pPr>
      <w:r>
        <w:rPr>
          <w:sz w:val="18"/>
        </w:rPr>
        <w:t>AES : non mentionné dans les flux.</w:t>
      </w:r>
    </w:p>
    <w:p>
      <w:pPr>
        <w:pStyle w:val="ListBullet"/>
        <w:spacing w:before="20" w:after="20"/>
        <w:ind w:left="360"/>
      </w:pPr>
      <w:r>
        <w:rPr>
          <w:sz w:val="18"/>
        </w:rPr>
        <w:t>Sécurité régionale : non documentée.</w:t>
      </w:r>
    </w:p>
    <w:p>
      <w:pPr>
        <w:pStyle w:val="Heading3"/>
      </w:pPr>
      <w:r>
        <w:rPr>
          <w:color w:val="500050"/>
        </w:rPr>
        <w:t>⚡ Impact estimé sur la BRVM</w:t>
      </w:r>
    </w:p>
    <w:p>
      <w:pPr>
        <w:spacing w:before="20" w:after="40"/>
        <w:ind w:left="280"/>
      </w:pPr>
      <w:r>
        <w:rPr>
          <w:i/>
          <w:sz w:val="18"/>
        </w:rPr>
        <w:t>Absence de tensions nouvelles = environnement neutre à positif pour les sociétés opérant au Bénin, Togo, Sénégal (ETIT, ONTBF, BOAB). Risque sécuritaire sahélien non chiffré.</w:t>
      </w:r>
    </w:p>
    <w:p>
      <w:pPr>
        <w:pStyle w:val="Heading2"/>
      </w:pPr>
      <w:r>
        <w:rPr>
          <w:color w:val="8C4600"/>
        </w:rPr>
        <w:t>🏦 Plan UEMOA / Zone Franc</w:t>
      </w:r>
    </w:p>
    <w:p>
      <w:pPr>
        <w:pStyle w:val="ListBullet"/>
        <w:spacing w:before="20" w:after="20"/>
        <w:ind w:left="360"/>
      </w:pPr>
      <w:r>
        <w:rPr>
          <w:sz w:val="18"/>
        </w:rPr>
        <w:t>Burkina Faso : réforme de dématérialisation (signature électronique).</w:t>
      </w:r>
    </w:p>
    <w:p>
      <w:pPr>
        <w:pStyle w:val="ListBullet"/>
        <w:spacing w:before="20" w:after="20"/>
        <w:ind w:left="360"/>
      </w:pPr>
      <w:r>
        <w:rPr>
          <w:sz w:val="18"/>
        </w:rPr>
        <w:t>Togo : renforcement du leadership féminin.</w:t>
      </w:r>
    </w:p>
    <w:p>
      <w:pPr>
        <w:pStyle w:val="ListBullet"/>
        <w:spacing w:before="20" w:after="20"/>
        <w:ind w:left="360"/>
      </w:pPr>
      <w:r>
        <w:rPr>
          <w:sz w:val="18"/>
        </w:rPr>
        <w:t>Réformes institutionnelles CREPMF : non documentées.</w:t>
      </w:r>
    </w:p>
    <w:p>
      <w:pPr>
        <w:pStyle w:val="Heading3"/>
      </w:pPr>
      <w:r>
        <w:rPr>
          <w:color w:val="500050"/>
        </w:rPr>
        <w:t>⚡ Impact estimé sur la BRVM</w:t>
      </w:r>
    </w:p>
    <w:p>
      <w:pPr>
        <w:spacing w:before="20" w:after="40"/>
        <w:ind w:left="280"/>
      </w:pPr>
      <w:r>
        <w:rPr>
          <w:i/>
          <w:sz w:val="18"/>
        </w:rPr>
        <w:t>Réformes administratives favorables à moyen terme à l'écosystème bancaire et télécom. Aucun risque réglementaire direct identifié pour la BRVM.</w:t>
      </w:r>
    </w:p>
    <w:p>
      <w:pPr>
        <w:pStyle w:val="Heading2"/>
      </w:pPr>
      <w:r>
        <w:rPr>
          <w:color w:val="003366"/>
        </w:rPr>
        <w:t>📈 Plan BRVM</w:t>
      </w:r>
    </w:p>
    <w:p>
      <w:pPr>
        <w:pStyle w:val="ListBullet"/>
        <w:spacing w:before="20" w:after="20"/>
        <w:ind w:left="360"/>
      </w:pPr>
      <w:r>
        <w:rPr>
          <w:sz w:val="18"/>
        </w:rPr>
        <w:t>Réglementation CREPMF : non documentée dans les flux.</w:t>
      </w:r>
    </w:p>
    <w:p>
      <w:pPr>
        <w:pStyle w:val="ListBullet"/>
        <w:spacing w:before="20" w:after="20"/>
        <w:ind w:left="360"/>
      </w:pPr>
      <w:r>
        <w:rPr>
          <w:sz w:val="18"/>
        </w:rPr>
        <w:t>Nouvelles cotations : aucune signalée.</w:t>
      </w:r>
    </w:p>
    <w:p>
      <w:pPr>
        <w:pStyle w:val="ListBullet"/>
        <w:spacing w:before="20" w:after="20"/>
        <w:ind w:left="360"/>
      </w:pPr>
      <w:r>
        <w:rPr>
          <w:sz w:val="18"/>
        </w:rPr>
        <w:t>Gouvernance : pas d'actualité.</w:t>
      </w:r>
    </w:p>
    <w:p>
      <w:pPr>
        <w:pStyle w:val="Heading3"/>
      </w:pPr>
      <w:r>
        <w:rPr>
          <w:color w:val="500050"/>
        </w:rPr>
        <w:t>⚡ Impact estimé sur la BRVM</w:t>
      </w:r>
    </w:p>
    <w:p>
      <w:pPr>
        <w:spacing w:before="20" w:after="40"/>
        <w:ind w:left="280"/>
      </w:pPr>
      <w:r>
        <w:rPr>
          <w:i/>
          <w:sz w:val="18"/>
        </w:rPr>
        <w:t>**Données insuffisantes** pour évaluer les évolutions réglementaires. Le marché fonctionne en régime normal.</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Fed : hausse des taux, dollar ferme.</w:t>
      </w:r>
    </w:p>
    <w:p>
      <w:pPr>
        <w:pStyle w:val="ListBullet"/>
        <w:spacing w:before="20" w:after="20"/>
        <w:ind w:left="360"/>
      </w:pPr>
      <w:r>
        <w:rPr>
          <w:color w:val="008000"/>
          <w:sz w:val="18"/>
        </w:rPr>
        <w:t>BCE : hausse des taux, crédit plus cher en 2026.</w:t>
      </w:r>
    </w:p>
    <w:p>
      <w:pPr>
        <w:pStyle w:val="ListBullet"/>
        <w:spacing w:before="20" w:after="20"/>
        <w:ind w:left="360"/>
      </w:pPr>
      <w:r>
        <w:rPr>
          <w:color w:val="C00000"/>
          <w:sz w:val="18"/>
        </w:rPr>
        <w:t>Pétrole : chute après décision Fed ; café en baisse.</w:t>
      </w:r>
    </w:p>
    <w:p>
      <w:pPr>
        <w:pStyle w:val="ListBullet"/>
        <w:spacing w:before="20" w:after="20"/>
        <w:ind w:left="360"/>
      </w:pPr>
      <w:r>
        <w:rPr>
          <w:sz w:val="18"/>
        </w:rPr>
        <w:t>Crypto / Wall Street : non documentés.</w:t>
      </w:r>
    </w:p>
    <w:p>
      <w:pPr>
        <w:pStyle w:val="Heading3"/>
      </w:pPr>
      <w:r>
        <w:rPr>
          <w:color w:val="500050"/>
        </w:rPr>
        <w:t>⚡ Impact estimé sur la BRVM</w:t>
      </w:r>
    </w:p>
    <w:p>
      <w:pPr>
        <w:spacing w:before="20" w:after="40"/>
        <w:ind w:left="280"/>
      </w:pPr>
      <w:r>
        <w:rPr>
          <w:i/>
          <w:sz w:val="18"/>
        </w:rPr>
        <w:t>Corrélation classique : resserrement mondial → aversion au risque sur les frontières. Les investisseurs BRVM peuvent arbitrer vers les titres publics UEMOA à rendement garanti plutôt que vers les actions cycliques (SDSC, FTSC).</w:t>
      </w:r>
    </w:p>
    <w:p>
      <w:pPr>
        <w:pStyle w:val="Heading2"/>
      </w:pPr>
      <w:r>
        <w:rPr>
          <w:color w:val="006E32"/>
        </w:rPr>
        <w:t>🌍 Plan Africain</w:t>
      </w:r>
    </w:p>
    <w:p>
      <w:pPr>
        <w:pStyle w:val="ListBullet"/>
        <w:spacing w:before="20" w:after="20"/>
        <w:ind w:left="360"/>
      </w:pPr>
      <w:r>
        <w:rPr>
          <w:sz w:val="18"/>
        </w:rPr>
        <w:t>Sénégal : programme FMI ~1,9 Md€ = soutien à la notation souveraine.</w:t>
      </w:r>
    </w:p>
    <w:p>
      <w:pPr>
        <w:pStyle w:val="ListBullet"/>
        <w:spacing w:before="20" w:after="20"/>
        <w:ind w:left="360"/>
      </w:pPr>
      <w:r>
        <w:rPr>
          <w:sz w:val="18"/>
        </w:rPr>
        <w:t>Afrique du Sud : perspective Investment grade 2028 (Goldman).</w:t>
      </w:r>
    </w:p>
    <w:p>
      <w:pPr>
        <w:pStyle w:val="ListBullet"/>
        <w:spacing w:before="20" w:after="20"/>
        <w:ind w:left="360"/>
      </w:pPr>
      <w:r>
        <w:rPr>
          <w:sz w:val="18"/>
        </w:rPr>
        <w:t>Eurobonds africains : non documentés.</w:t>
      </w:r>
    </w:p>
    <w:p>
      <w:pPr>
        <w:pStyle w:val="Heading3"/>
      </w:pPr>
      <w:r>
        <w:rPr>
          <w:color w:val="500050"/>
        </w:rPr>
        <w:t>⚡ Impact estimé sur la BRVM</w:t>
      </w:r>
    </w:p>
    <w:p>
      <w:pPr>
        <w:spacing w:before="20" w:after="40"/>
        <w:ind w:left="280"/>
      </w:pPr>
      <w:r>
        <w:rPr>
          <w:i/>
          <w:sz w:val="18"/>
        </w:rPr>
        <w:t>Amélioration des notations souveraines africaines = concurrence accrue pour les capitaux. La BRVM doit offrir de la liquidité et du rendement pour retenir les flux régionaux.</w:t>
      </w:r>
    </w:p>
    <w:p>
      <w:pPr>
        <w:pStyle w:val="Heading2"/>
      </w:pPr>
      <w:r>
        <w:rPr>
          <w:color w:val="145A28"/>
        </w:rPr>
        <w:t>🌍 Plan Afrique de l'Ouest</w:t>
      </w:r>
    </w:p>
    <w:p>
      <w:pPr>
        <w:pStyle w:val="ListBullet"/>
        <w:spacing w:before="20" w:after="20"/>
        <w:ind w:left="360"/>
      </w:pPr>
      <w:r>
        <w:rPr>
          <w:sz w:val="18"/>
        </w:rPr>
        <w:t>Bourses concurrentes (Ghana, Nigeria) : non documentées.</w:t>
      </w:r>
    </w:p>
    <w:p>
      <w:pPr>
        <w:pStyle w:val="ListBullet"/>
        <w:spacing w:before="20" w:after="20"/>
        <w:ind w:left="360"/>
      </w:pPr>
      <w:r>
        <w:rPr>
          <w:sz w:val="18"/>
        </w:rPr>
        <w:t>Flux sous-régionaux : non documentés.</w:t>
      </w:r>
    </w:p>
    <w:p>
      <w:pPr>
        <w:pStyle w:val="Heading3"/>
      </w:pPr>
      <w:r>
        <w:rPr>
          <w:color w:val="500050"/>
        </w:rPr>
        <w:t>⚡ Impact estimé sur la BRVM</w:t>
      </w:r>
    </w:p>
    <w:p>
      <w:pPr>
        <w:spacing w:before="20" w:after="40"/>
        <w:ind w:left="280"/>
      </w:pPr>
      <w:r>
        <w:rPr>
          <w:i/>
          <w:sz w:val="18"/>
        </w:rPr>
        <w:t>**Données insuffisantes** pour évaluer le positionnement concurrentiel de la BRVM dans la sous-région.</w:t>
      </w:r>
    </w:p>
    <w:p>
      <w:pPr>
        <w:pStyle w:val="Heading2"/>
      </w:pPr>
      <w:r>
        <w:rPr>
          <w:color w:val="8C4600"/>
        </w:rPr>
        <w:t>🏦 Plan UEMOA / Zone Franc</w:t>
      </w:r>
    </w:p>
    <w:p>
      <w:pPr>
        <w:pStyle w:val="ListBullet"/>
        <w:spacing w:before="20" w:after="20"/>
        <w:ind w:left="360"/>
      </w:pPr>
      <w:r>
        <w:rPr>
          <w:sz w:val="18"/>
        </w:rPr>
        <w:t>Marché des titres publics : non documenté.</w:t>
      </w:r>
    </w:p>
    <w:p>
      <w:pPr>
        <w:pStyle w:val="ListBullet"/>
        <w:spacing w:before="20" w:after="20"/>
        <w:ind w:left="360"/>
      </w:pPr>
      <w:r>
        <w:rPr>
          <w:sz w:val="18"/>
        </w:rPr>
        <w:t>Taux interbancaire BCEAO : non documenté.</w:t>
      </w:r>
    </w:p>
    <w:p>
      <w:pPr>
        <w:pStyle w:val="ListBullet"/>
        <w:spacing w:before="20" w:after="20"/>
        <w:ind w:left="360"/>
      </w:pPr>
      <w:r>
        <w:rPr>
          <w:sz w:val="18"/>
        </w:rPr>
        <w:t>Liquidité bancaire : non documentée.</w:t>
      </w:r>
    </w:p>
    <w:p>
      <w:pPr>
        <w:pStyle w:val="Heading3"/>
      </w:pPr>
      <w:r>
        <w:rPr>
          <w:color w:val="500050"/>
        </w:rPr>
        <w:t>⚡ Impact estimé sur la BRVM</w:t>
      </w:r>
    </w:p>
    <w:p>
      <w:pPr>
        <w:spacing w:before="20" w:after="40"/>
        <w:ind w:left="280"/>
      </w:pPr>
      <w:r>
        <w:rPr>
          <w:i/>
          <w:sz w:val="18"/>
        </w:rPr>
        <w:t>**Données insuffisantes.** En l'absence de données sur les taux BCEAO, l'arbitrage titres publics / actions BRVM ne peut être quantifié. À surveiller : si les taux publics restent élevés, pression sur les valorisations bancaires (SGBC, BICB, BOAB).</w:t>
      </w:r>
    </w:p>
    <w:p>
      <w:pPr>
        <w:pStyle w:val="Heading2"/>
      </w:pPr>
      <w:r>
        <w:rPr>
          <w:color w:val="003366"/>
        </w:rPr>
        <w:t>📈 Plan BRVM</w:t>
      </w:r>
    </w:p>
    <w:p>
      <w:pPr>
        <w:pStyle w:val="ListBullet"/>
        <w:spacing w:before="20" w:after="20"/>
        <w:ind w:left="360"/>
      </w:pPr>
      <w:r>
        <w:rPr>
          <w:sz w:val="18"/>
        </w:rPr>
        <w:t>Indice Composite : 549,56.</w:t>
      </w:r>
    </w:p>
    <w:p>
      <w:pPr>
        <w:pStyle w:val="ListBullet"/>
        <w:spacing w:before="20" w:after="20"/>
        <w:ind w:left="360"/>
      </w:pPr>
      <w:r>
        <w:rPr>
          <w:sz w:val="18"/>
        </w:rPr>
        <w:t>Résultats ivoiriens encourageants (09/06).</w:t>
      </w:r>
    </w:p>
    <w:p>
      <w:pPr>
        <w:pStyle w:val="ListBullet"/>
        <w:spacing w:before="20" w:after="20"/>
        <w:ind w:left="360"/>
      </w:pPr>
      <w:r>
        <w:rPr>
          <w:sz w:val="18"/>
        </w:rPr>
        <w:t>Top/Flop, volumes, IPO : non documentés.</w:t>
      </w:r>
    </w:p>
    <w:p>
      <w:pPr>
        <w:pStyle w:val="Heading3"/>
      </w:pPr>
      <w:r>
        <w:rPr>
          <w:color w:val="500050"/>
        </w:rPr>
        <w:t>⚡ Impact estimé sur la BRVM</w:t>
      </w:r>
    </w:p>
    <w:p>
      <w:pPr>
        <w:spacing w:before="20" w:after="40"/>
        <w:ind w:left="280"/>
      </w:pPr>
      <w:r>
        <w:rPr>
          <w:i/>
          <w:sz w:val="18"/>
        </w:rPr>
        <w:t>Recommandations synthétiques :</w:t>
      </w:r>
    </w:p>
    <w:p>
      <w:pPr>
        <w:pStyle w:val="ListBullet"/>
        <w:spacing w:before="20" w:after="20"/>
        <w:ind w:left="560"/>
      </w:pPr>
      <w:r>
        <w:rPr>
          <w:color w:val="008000"/>
          <w:sz w:val="18"/>
        </w:rPr>
        <w:t>**SGBC, BICB, BOAB, BOAC, BOAM** : neutre à positif, bénéficient de la croissance UEMOA mais sensibles aux taux.</w:t>
      </w:r>
    </w:p>
    <w:p>
      <w:pPr>
        <w:pStyle w:val="ListBullet"/>
        <w:spacing w:before="20" w:after="20"/>
        <w:ind w:left="560"/>
      </w:pPr>
      <w:r>
        <w:rPr>
          <w:color w:val="008000"/>
          <w:sz w:val="18"/>
        </w:rPr>
        <w:t>**ONTBF, SNTS** : défensif, digitalisation favorable.</w:t>
      </w:r>
    </w:p>
    <w:p>
      <w:pPr>
        <w:pStyle w:val="ListBullet"/>
        <w:spacing w:before="20" w:after="20"/>
        <w:ind w:left="560"/>
      </w:pPr>
      <w:r>
        <w:rPr>
          <w:color w:val="500050"/>
          <w:sz w:val="18"/>
        </w:rPr>
        <w:t>**PALC, SOGC, SIFC** : dépendants cacao/caoutchouc — **données manquantes**, prudence.</w:t>
      </w:r>
    </w:p>
    <w:p>
      <w:pPr>
        <w:pStyle w:val="ListBullet"/>
        <w:spacing w:before="20" w:after="20"/>
        <w:ind w:left="560"/>
      </w:pPr>
      <w:r>
        <w:rPr>
          <w:color w:val="C00000"/>
          <w:sz w:val="18"/>
        </w:rPr>
        <w:t>**TTLS** : sous pression (volatilité pétrole).</w:t>
      </w:r>
    </w:p>
    <w:p>
      <w:pPr>
        <w:pStyle w:val="ListBullet"/>
        <w:spacing w:before="20" w:after="20"/>
        <w:ind w:left="560"/>
      </w:pPr>
      <w:r>
        <w:rPr>
          <w:color w:val="008000"/>
          <w:sz w:val="18"/>
        </w:rPr>
        <w:t>**ETIT** : positif, exposition bancaire régionale.</w:t>
      </w:r>
    </w:p>
    <w:p>
      <w:pPr>
        <w:pStyle w:val="ListBullet"/>
        <w:spacing w:before="20" w:after="20"/>
        <w:ind w:left="560"/>
      </w:pPr>
      <w:r>
        <w:rPr>
          <w:color w:val="500050"/>
          <w:sz w:val="18"/>
        </w:rPr>
        <w:t>**SDSC, FTSC** : neutre, coûts énergétiques à surveiller.</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mondial (Fed, BCE en resserrement, volatilité pétrole/café) crée un vent de face pour les valorisations actions, tandis que la zone UEMOA bénéficie de signaux positifs (FMI Sénégal, intégration CEDEAO, résultats ivoiriens). La BRVM à 549,56 points évolue dans un régime de prudence : privilégier les valeurs bancaires solides (SGBC, ETIT) et télécoms défensives (ONTBF), éviter les cycliques exposées au pétrole (TTLS) et attendre des données cacao/caoutchouc avant de se positionner sur PALC/SOGC.</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Pétrole prix : flambée du baril, comment renégocier vos contrats de fo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Marché des matières premières : Les prix du pétrole brut et du café ba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 xml:space="preserve">Prix des carburants : pourquoi le prix du Superéthanol-E85 reste-t-il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La BCE a augmenté ses taux directeurs : votre crédit immobilier coûter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CEDEAO-Tunisie : Engagement en faveur d'une coopération renforcée - ko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2026-09-16</w:t>
            </w:r>
          </w:p>
        </w:tc>
        <w:tc>
          <w:tcPr>
            <w:tcW w:type="dxa" w:w="1728"/>
          </w:tcPr>
          <w:p>
            <w:r>
              <w:rPr>
                <w:sz w:val="14"/>
              </w:rPr>
              <w:t>Leadership politique : 323 femmes formées au Togo depuis 2020 - togofi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 xml:space="preserve">Burkina Faso : cap zéro papier, une plateforme nationale de signature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2026-09-17</w:t>
            </w:r>
          </w:p>
        </w:tc>
        <w:tc>
          <w:tcPr>
            <w:tcW w:type="dxa" w:w="1728"/>
          </w:tcPr>
          <w:p>
            <w:r>
              <w:rPr>
                <w:sz w:val="14"/>
              </w:rPr>
              <w:t>(La Chronique Politique de Monoko) : Coopération Mali-Algérie : Des vi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2026-09-16</w:t>
            </w:r>
          </w:p>
        </w:tc>
        <w:tc>
          <w:tcPr>
            <w:tcW w:type="dxa" w:w="1728"/>
          </w:tcPr>
          <w:p>
            <w:r>
              <w:rPr>
                <w:sz w:val="14"/>
              </w:rPr>
              <w:t>Le Mali prépare le recours au bracelet électronique face à la surpopul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Burkina Faso : l’expérience chinoise comme source d’inspiration - Afri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2026-09-15</w:t>
            </w:r>
          </w:p>
        </w:tc>
        <w:tc>
          <w:tcPr>
            <w:tcW w:type="dxa" w:w="1728"/>
          </w:tcPr>
          <w:p>
            <w:r>
              <w:rPr>
                <w:sz w:val="14"/>
              </w:rPr>
              <w:t>Mali-Algérie : Assimi Goïta attendu prochainement à Alger - koaci.com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Pétrole prix : flambée du baril, comment renégocier vos contrats de fo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Marché des matières premières : Les prix du pétrole brut et du café ba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 xml:space="preserve">Prix des carburants : pourquoi le prix du Superéthanol-E85 reste-t-il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 xml:space="preserve">Prix des carburants : pourquoi le prix du Superéthanol-E85 reste-t-il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États-Unis : l’inflation "trop élevée" pousse la Fed à serrer la vis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Leadership politique : 323 femmes formées au Togo depuis 2020 - togofi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 xml:space="preserve">Prix des carburants : pourquoi le prix du Superéthanol-E85 reste-t-il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États-Unis : l’inflation "trop élevée" pousse la Fed à serrer la vis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Leadership politique : 323 femmes formées au Togo depuis 2020 - togofi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 xml:space="preserve">Prix des carburants : pourquoi le prix du Superéthanol-E85 reste-t-il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États-Unis : l’inflation "trop élevée" pousse la Fed à serrer la vis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 xml:space="preserve">Prix des carburants : pourquoi le prix du Superéthanol-E85 reste-t-il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États-Unis : l’inflation "trop élevée" pousse la Fed à serrer la vis 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Pétrole prix : flambée du baril, comment renégocier vos contrats de fo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Marché des matières premières : Les prix du pétrole brut et du café ba</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La BCE a augmenté ses taux directeurs : votre crédit immobilier coûter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La BCE a augmenté ses taux directeurs : votre crédit immobilier coûter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 xml:space="preserve">Burkina Faso : cap zéro papier, une plateforme nationale de signature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La BCE a augmenté ses taux directeurs : votre crédit immobilier coûter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 xml:space="preserve">Burkina Faso : cap zéro papier, une plateforme nationale de signature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La BCE a augmenté ses taux directeurs : votre crédit immobilier coûter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Leadership politique : 323 femmes formées au Togo depuis 2020 - togofi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2026-09-17</w:t>
            </w:r>
          </w:p>
        </w:tc>
        <w:tc>
          <w:tcPr>
            <w:tcW w:type="dxa" w:w="1728"/>
          </w:tcPr>
          <w:p>
            <w:r>
              <w:rPr>
                <w:sz w:val="14"/>
              </w:rPr>
              <w:t>Les prix du pétrole et du café ont tous deux baissé. - Vietnam.vn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2026-09-17</w:t>
            </w:r>
          </w:p>
        </w:tc>
        <w:tc>
          <w:tcPr>
            <w:tcW w:type="dxa" w:w="1728"/>
          </w:tcPr>
          <w:p>
            <w:r>
              <w:rPr>
                <w:sz w:val="14"/>
              </w:rPr>
              <w:t>La Fed relève ses taux d'intérêt, les prix du pétrole brut s'effondren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La BCE a augmenté ses taux directeurs : votre crédit immobilier coûter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2026-09-16</w:t>
            </w:r>
          </w:p>
        </w:tc>
        <w:tc>
          <w:tcPr>
            <w:tcW w:type="dxa" w:w="1728"/>
          </w:tcPr>
          <w:p>
            <w:r>
              <w:rPr>
                <w:sz w:val="14"/>
              </w:rPr>
              <w:t>Why is the US Dollar firm when the Federal Reserve hike is already ful</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2026-09-17</w:t>
            </w:r>
          </w:p>
        </w:tc>
        <w:tc>
          <w:tcPr>
            <w:tcW w:type="dxa" w:w="1728"/>
          </w:tcPr>
          <w:p>
            <w:r>
              <w:rPr>
                <w:sz w:val="14"/>
              </w:rPr>
              <w:t xml:space="preserve">Burkina Faso : cap zéro papier, une plateforme nationale de signature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(7 alerte(s))</w:t>
      </w:r>
    </w:p>
    <w:p>
      <w:pPr>
        <w:spacing w:before="40" w:after="40"/>
        <w:ind w:left="360"/>
      </w:pPr>
      <w:r>
        <w:rPr>
          <w:color w:val="646464"/>
          <w:sz w:val="17"/>
        </w:rPr>
        <w:t xml:space="preserve">[17/09/2026] 🟢  </w:t>
      </w:r>
      <w:r>
        <w:rPr>
          <w:b/>
          <w:color w:val="008000"/>
          <w:sz w:val="18"/>
        </w:rPr>
        <w:t>Burkina Faso : cap zéro papier, une plateforme nationale de signature électronique lancée - koaci.com</w:t>
      </w:r>
      <w:r>
        <w:rPr>
          <w:color w:val="787878"/>
          <w:sz w:val="15"/>
        </w:rPr>
        <w:t xml:space="preserve">  [politique]</w:t>
      </w:r>
      <w:r>
        <w:rPr>
          <w:color w:val="B47800"/>
          <w:sz w:val="16"/>
        </w:rPr>
        <w:t xml:space="preserve">  ★ 50/10</w:t>
      </w:r>
    </w:p>
    <w:p>
      <w:pPr>
        <w:spacing w:before="0" w:after="20"/>
        <w:ind w:left="600"/>
      </w:pPr>
      <w:r>
        <w:rPr>
          <w:color w:val="323232"/>
          <w:sz w:val="17"/>
        </w:rPr>
        <w:t>Le Burkina Faso a lancé une plateforme nationale de signature électronique dans le cadre de sa stratégie de dématérialisation des procédures administratives et financières. Cette initiative vise à réduire l'usage du papier, à accélérer les transactions et à renforcer la traçabilité des documents officiels. Elle s'inscrit dans un mouvement plus larg</w:t>
      </w:r>
    </w:p>
    <w:p>
      <w:pPr>
        <w:spacing w:before="0" w:after="40"/>
        <w:ind w:left="600"/>
      </w:pPr>
      <w:r>
        <w:rPr>
          <w:color w:val="00643C"/>
          <w:sz w:val="16"/>
        </w:rPr>
        <w:t>Points clés : Lancement d'une plateforme nationale de signature électronique au Burkina Faso  •  Objectif de dématérialisation et de réduction de la consommation de papier  •  Modernisation des procédures administratives et financières  •  Potentiel d'amélioration du climat des affaires dans l'UEMOA</w:t>
      </w:r>
    </w:p>
    <w:p>
      <w:pPr>
        <w:spacing w:before="0" w:after="60"/>
        <w:ind w:left="600"/>
      </w:pPr>
      <w:r>
        <w:rPr>
          <w:color w:val="0064B4"/>
          <w:sz w:val="15"/>
        </w:rPr>
        <w:t>Source : https://news.google.com/rss/articles/CBMi9AFBVV95cUxOQ3BmOW1VbnA4T19FM2hEOGEwbHp</w:t>
      </w:r>
    </w:p>
    <w:p>
      <w:pPr>
        <w:spacing w:before="40" w:after="40"/>
        <w:ind w:left="360"/>
      </w:pPr>
      <w:r>
        <w:rPr>
          <w:color w:val="646464"/>
          <w:sz w:val="17"/>
        </w:rPr>
        <w:t xml:space="preserve">[17/09/2026] ⚪  </w:t>
      </w:r>
      <w:r>
        <w:rPr>
          <w:b/>
          <w:color w:val="505050"/>
          <w:sz w:val="18"/>
        </w:rPr>
        <w:t>(La Chronique Politique de Monoko) : Coopération Mali-Algérie : Des visites réciproques pour un remake - Bamada.net</w:t>
      </w:r>
      <w:r>
        <w:rPr>
          <w:color w:val="787878"/>
          <w:sz w:val="15"/>
        </w:rPr>
        <w:t xml:space="preserve">  [politique]</w:t>
      </w:r>
      <w:r>
        <w:rPr>
          <w:color w:val="B47800"/>
          <w:sz w:val="16"/>
        </w:rPr>
        <w:t xml:space="preserve">  ★ 50/10</w:t>
      </w:r>
    </w:p>
    <w:p>
      <w:pPr>
        <w:spacing w:before="0" w:after="20"/>
        <w:ind w:left="600"/>
      </w:pPr>
      <w:r>
        <w:rPr>
          <w:color w:val="323232"/>
          <w:sz w:val="17"/>
        </w:rPr>
        <w:t>L'article traite de la coopération entre le Mali et l'Algérie, marquée par des visites réciproques visant à renforcer les relations bilatérales. Il s'agit d'une chronique politique qui analyse les enjeux de cette coopération et son éventuel 'remake'. Aucune information économique ou financière n'est abordée.</w:t>
      </w:r>
    </w:p>
    <w:p>
      <w:pPr>
        <w:spacing w:before="0" w:after="40"/>
        <w:ind w:left="600"/>
      </w:pPr>
      <w:r>
        <w:rPr>
          <w:color w:val="00643C"/>
          <w:sz w:val="16"/>
        </w:rPr>
        <w:t>Points clés : Coopération Mali-Algérie  •  Visites réciproques  •  Chronique politique</w:t>
      </w:r>
    </w:p>
    <w:p>
      <w:pPr>
        <w:spacing w:before="0" w:after="60"/>
        <w:ind w:left="600"/>
      </w:pPr>
      <w:r>
        <w:rPr>
          <w:color w:val="0064B4"/>
          <w:sz w:val="15"/>
        </w:rPr>
        <w:t>Source : https://news.google.com/rss/articles/CBMitgFBVV95cUxPcnF2dHo0RFJQSmZMYkMzVFdtT0p</w:t>
      </w:r>
    </w:p>
    <w:p>
      <w:pPr>
        <w:spacing w:before="40" w:after="40"/>
        <w:ind w:left="360"/>
      </w:pPr>
      <w:r>
        <w:rPr>
          <w:color w:val="646464"/>
          <w:sz w:val="17"/>
        </w:rPr>
        <w:t xml:space="preserve">[16/09/2026] ⚪  </w:t>
      </w:r>
      <w:r>
        <w:rPr>
          <w:b/>
          <w:color w:val="505050"/>
          <w:sz w:val="18"/>
        </w:rPr>
        <w:t>Le Mali prépare le recours au bracelet électronique face à la surpopulation carcérale - Anadolu Ajansı</w:t>
      </w:r>
      <w:r>
        <w:rPr>
          <w:color w:val="787878"/>
          <w:sz w:val="15"/>
        </w:rPr>
        <w:t xml:space="preserve">  [politique]</w:t>
      </w:r>
      <w:r>
        <w:rPr>
          <w:color w:val="B47800"/>
          <w:sz w:val="16"/>
        </w:rPr>
        <w:t xml:space="preserve">  ★ 50/10</w:t>
      </w:r>
    </w:p>
    <w:p>
      <w:pPr>
        <w:spacing w:before="0" w:after="20"/>
        <w:ind w:left="600"/>
      </w:pPr>
      <w:r>
        <w:rPr>
          <w:color w:val="323232"/>
          <w:sz w:val="17"/>
        </w:rPr>
        <w:t xml:space="preserve">Le Mali prépare l'introduction du bracelet électronique pour faire face à la surpopulation carcérale. Cette mesure vise à désengorger les prisons et à moderniser le système judiciaire. Elle pourrait s'inscrire dans un cadre de surveillance à distance des détenus en attente de jugement ou condamnés à de courtes peines. Le projet est encore au stade </w:t>
      </w:r>
    </w:p>
    <w:p>
      <w:pPr>
        <w:spacing w:before="0" w:after="40"/>
        <w:ind w:left="600"/>
      </w:pPr>
      <w:r>
        <w:rPr>
          <w:color w:val="00643C"/>
          <w:sz w:val="16"/>
        </w:rPr>
        <w:t>Points clés : Le Mali envisage le bracelet électronique pour réduire la surpopulation carcérale  •  Mesure de modernisation du système judiciaire et pénitentiaire  •  Projet encore en phase de préparation</w:t>
      </w:r>
    </w:p>
    <w:p>
      <w:pPr>
        <w:spacing w:before="0" w:after="60"/>
        <w:ind w:left="600"/>
      </w:pPr>
      <w:r>
        <w:rPr>
          <w:color w:val="0064B4"/>
          <w:sz w:val="15"/>
        </w:rPr>
        <w:t>Source : https://news.google.com/rss/articles/CBMi4gFBVV95cUxOVHhIWldJNHRKRVJhWC1qc1l1T3o</w:t>
      </w:r>
    </w:p>
    <w:p>
      <w:pPr>
        <w:spacing w:before="40" w:after="40"/>
        <w:ind w:left="360"/>
      </w:pPr>
      <w:r>
        <w:rPr>
          <w:color w:val="646464"/>
          <w:sz w:val="17"/>
        </w:rPr>
        <w:t xml:space="preserve">[16/09/2026] 🟢  </w:t>
      </w:r>
      <w:r>
        <w:rPr>
          <w:b/>
          <w:color w:val="008000"/>
          <w:sz w:val="18"/>
        </w:rPr>
        <w:t>Leadership politique : 323 femmes formées au Togo depuis 2020 - togofirst.com</w:t>
      </w:r>
      <w:r>
        <w:rPr>
          <w:color w:val="787878"/>
          <w:sz w:val="15"/>
        </w:rPr>
        <w:t xml:space="preserve">  [politique]</w:t>
      </w:r>
      <w:r>
        <w:rPr>
          <w:color w:val="B47800"/>
          <w:sz w:val="16"/>
        </w:rPr>
        <w:t xml:space="preserve">  ★ 50/10</w:t>
      </w:r>
    </w:p>
    <w:p>
      <w:pPr>
        <w:spacing w:before="0" w:after="20"/>
        <w:ind w:left="600"/>
      </w:pPr>
      <w:r>
        <w:rPr>
          <w:color w:val="323232"/>
          <w:sz w:val="17"/>
        </w:rPr>
        <w:t>Depuis 2020, le Togo a formé 323 femmes au leadership politique, selon togofirst.com. Cette initiative vise à renforcer la participation des femmes dans la vie politique et la gouvernance. Elle s'inscrit dans une dynamique d'inclusion et de promotion du genre dans l'espace UEMOA. Aucun impact direct sur les marchés financiers n'est identifié.</w:t>
      </w:r>
    </w:p>
    <w:p>
      <w:pPr>
        <w:spacing w:before="0" w:after="40"/>
        <w:ind w:left="600"/>
      </w:pPr>
      <w:r>
        <w:rPr>
          <w:color w:val="00643C"/>
          <w:sz w:val="16"/>
        </w:rPr>
        <w:t>Points clés : 323 femmes formées au leadership politique au Togo depuis 2020  •  Initiative favorisant l'inclusion des femmes dans la gouvernance  •  Aucune implication directe sur les marchés financiers de la BRVM</w:t>
      </w:r>
    </w:p>
    <w:p>
      <w:pPr>
        <w:spacing w:before="0" w:after="60"/>
        <w:ind w:left="600"/>
      </w:pPr>
      <w:r>
        <w:rPr>
          <w:color w:val="0064B4"/>
          <w:sz w:val="15"/>
        </w:rPr>
        <w:t>Source : https://news.google.com/rss/articles/CBMirgFBVV95cUxQeHhpSTd0LVE4MEFSRWgxYlYtV0Q</w:t>
      </w:r>
    </w:p>
    <w:p>
      <w:pPr>
        <w:spacing w:before="40" w:after="40"/>
        <w:ind w:left="360"/>
      </w:pPr>
      <w:r>
        <w:rPr>
          <w:color w:val="646464"/>
          <w:sz w:val="17"/>
        </w:rPr>
        <w:t xml:space="preserve">[15/09/2026] ⚪  </w:t>
      </w:r>
      <w:r>
        <w:rPr>
          <w:b/>
          <w:color w:val="505050"/>
          <w:sz w:val="18"/>
        </w:rPr>
        <w:t>Mali-Palestine: la solidarité avec Gaza en coopération avec les femmes Palestiennes - Anadolu Ajansı</w:t>
      </w:r>
      <w:r>
        <w:rPr>
          <w:color w:val="787878"/>
          <w:sz w:val="15"/>
        </w:rPr>
        <w:t xml:space="preserve">  [politique]</w:t>
      </w:r>
      <w:r>
        <w:rPr>
          <w:color w:val="B47800"/>
          <w:sz w:val="16"/>
        </w:rPr>
        <w:t xml:space="preserve">  ★ 50/10</w:t>
      </w:r>
    </w:p>
    <w:p>
      <w:pPr>
        <w:spacing w:before="0" w:after="20"/>
        <w:ind w:left="600"/>
      </w:pPr>
      <w:r>
        <w:rPr>
          <w:color w:val="323232"/>
          <w:sz w:val="17"/>
        </w:rPr>
        <w:t>L'article rapporte une initiative de solidarité du Mali envers Gaza, menée en coopération avec des femmes palestiniennes. Il s'agit d'une action politique et humanitaire symbolique, sans lien direct avec les marchés financiers. Aucune implication économique ou commerciale n'est mentionnée.</w:t>
      </w:r>
    </w:p>
    <w:p>
      <w:pPr>
        <w:spacing w:before="0" w:after="40"/>
        <w:ind w:left="600"/>
      </w:pPr>
      <w:r>
        <w:rPr>
          <w:color w:val="00643C"/>
          <w:sz w:val="16"/>
        </w:rPr>
        <w:t>Points clés : Solidarité du Mali avec Gaza  •  Coopération avec des femmes palestiniennes  •  Nature politique et humanitaire de l'initiative</w:t>
      </w:r>
    </w:p>
    <w:p>
      <w:pPr>
        <w:spacing w:before="0" w:after="60"/>
        <w:ind w:left="600"/>
      </w:pPr>
      <w:r>
        <w:rPr>
          <w:color w:val="0064B4"/>
          <w:sz w:val="15"/>
        </w:rPr>
        <w:t>Source : https://news.google.com/rss/articles/CBMizgFBVV95cUxNYnkweUF0WlhZSTlTVW5EV2NzQ0F</w:t>
      </w:r>
    </w:p>
    <w:p>
      <w:pPr>
        <w:spacing w:before="120" w:after="40"/>
      </w:pPr>
      <w:r>
        <w:rPr>
          <w:b/>
          <w:color w:val="00467F"/>
          <w:sz w:val="20"/>
        </w:rPr>
        <w:t>🔑 matieres_premieres  (9 alerte(s))</w:t>
      </w:r>
    </w:p>
    <w:p>
      <w:pPr>
        <w:spacing w:before="40" w:after="40"/>
        <w:ind w:left="360"/>
      </w:pPr>
      <w:r>
        <w:rPr>
          <w:color w:val="646464"/>
          <w:sz w:val="17"/>
        </w:rPr>
        <w:t xml:space="preserve">[17/09/2026] 🔴  </w:t>
      </w:r>
      <w:r>
        <w:rPr>
          <w:b/>
          <w:color w:val="C00000"/>
          <w:sz w:val="18"/>
        </w:rPr>
        <w:t>Marché des matières premières : Les prix du pétrole brut et du café baissent tous deux.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Les prix du pétrole brut et du café ont enregistré une baisse simultanée sur les marchés internationaux des matières premières. Cette tendance baissière concerne deux commodités majeures suivies par les investisseurs. La baisse du pétrole affecte les coûts énergétiques mondiaux, tandis que celle du café touche directement les pays producteurs. Ces </w:t>
      </w:r>
    </w:p>
    <w:p>
      <w:pPr>
        <w:spacing w:before="0" w:after="40"/>
        <w:ind w:left="600"/>
      </w:pPr>
      <w:r>
        <w:rPr>
          <w:color w:val="00643C"/>
          <w:sz w:val="16"/>
        </w:rPr>
        <w:t>Points clés : Baisse simultanée des prix du pétrole brut et du café  •  Impact potentiel sur les pays exportateurs de café  •  Répercussions sur les coûts énergétiques mondiaux</w:t>
      </w:r>
    </w:p>
    <w:p>
      <w:pPr>
        <w:spacing w:before="0" w:after="60"/>
        <w:ind w:left="600"/>
      </w:pPr>
      <w:r>
        <w:rPr>
          <w:color w:val="0064B4"/>
          <w:sz w:val="15"/>
        </w:rPr>
        <w:t>Source : https://news.google.com/rss/articles/CBMiigFBVV95cUxOak1ndTFUMFBnM01xMFlVYjRYTlZ</w:t>
      </w:r>
    </w:p>
    <w:p>
      <w:pPr>
        <w:spacing w:before="40" w:after="40"/>
        <w:ind w:left="360"/>
      </w:pPr>
      <w:r>
        <w:rPr>
          <w:color w:val="646464"/>
          <w:sz w:val="17"/>
        </w:rPr>
        <w:t xml:space="preserve">[17/09/2026] 🔴  </w:t>
      </w:r>
      <w:r>
        <w:rPr>
          <w:b/>
          <w:color w:val="C00000"/>
          <w:sz w:val="18"/>
        </w:rPr>
        <w:t>La Fed relève ses taux d'intérêt, les prix du pétrole brut s'effondrent.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La Réserve fédérale américaine a relevé ses taux d'intérêt, une décision de politique monétaire qui a entraîné une chute des prix du pétrole brut. Cette hausse des taux renforce le dollar et pèse sur la demande de matières premières, notamment l'énergie. Les marchés pétroliers réagissent négativement, avec des baisses marquées des cours du brut.</w:t>
      </w:r>
    </w:p>
    <w:p>
      <w:pPr>
        <w:spacing w:before="0" w:after="40"/>
        <w:ind w:left="600"/>
      </w:pPr>
      <w:r>
        <w:rPr>
          <w:color w:val="00643C"/>
          <w:sz w:val="16"/>
        </w:rPr>
        <w:t>Points clés : La Fed relève ses taux d'intérêt  •  Les prix du pétrole brut s'effondrent en réaction  •  Impact sur les matières premières et le dollar</w:t>
      </w:r>
    </w:p>
    <w:p>
      <w:pPr>
        <w:spacing w:before="0" w:after="60"/>
        <w:ind w:left="600"/>
      </w:pPr>
      <w:r>
        <w:rPr>
          <w:color w:val="0064B4"/>
          <w:sz w:val="15"/>
        </w:rPr>
        <w:t>Source : https://news.google.com/rss/articles/CBMicEFVX3lxTFBOejltMUVjQjVZR2JwYzJfV3lyYXY</w:t>
      </w:r>
    </w:p>
    <w:p>
      <w:pPr>
        <w:spacing w:before="40" w:after="40"/>
        <w:ind w:left="360"/>
      </w:pPr>
      <w:r>
        <w:rPr>
          <w:color w:val="646464"/>
          <w:sz w:val="17"/>
        </w:rPr>
        <w:t xml:space="preserve">[17/09/2026] 🔴  </w:t>
      </w:r>
      <w:r>
        <w:rPr>
          <w:b/>
          <w:color w:val="C00000"/>
          <w:sz w:val="18"/>
        </w:rPr>
        <w:t>Les prix du pétrole et du café ont tous deux baissé.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et du café ont enregistré une baisse simultanée sur les marchés internationaux. Cette tendance baissière concerne deux matières premières essentielles pour l'économie mondiale. Pour la BRVM, cette évolution est particulièrement pertinente car le café est un produit d'exportation majeur de la Côte d'Ivoire. La baisse des prix pou</w:t>
      </w:r>
    </w:p>
    <w:p>
      <w:pPr>
        <w:spacing w:before="0" w:after="40"/>
        <w:ind w:left="600"/>
      </w:pPr>
      <w:r>
        <w:rPr>
          <w:color w:val="00643C"/>
          <w:sz w:val="16"/>
        </w:rPr>
        <w:t>Points clés : Baisse simultanée des prix du pétrole et du café sur les marchés internationaux  •  Le café est une culture d'exportation clé pour la Côte d'Ivoire, membre de la BRVM  •  Impact potentiel sur les revenus des producteurs et exportateurs ivoiriens  •  Surveillance nécessaire des sociétés cotées liées aux matières premières agricoles</w:t>
      </w:r>
    </w:p>
    <w:p>
      <w:pPr>
        <w:spacing w:before="0" w:after="60"/>
        <w:ind w:left="600"/>
      </w:pPr>
      <w:r>
        <w:rPr>
          <w:color w:val="0064B4"/>
          <w:sz w:val="15"/>
        </w:rPr>
        <w:t>Source : https://news.google.com/rss/articles/CBMiakFVX3lxTFB4X0YzdmhMVE9QODlueDRuM0ZkWGR</w:t>
      </w:r>
    </w:p>
    <w:p>
      <w:pPr>
        <w:spacing w:before="40" w:after="40"/>
        <w:ind w:left="360"/>
      </w:pPr>
      <w:r>
        <w:rPr>
          <w:color w:val="646464"/>
          <w:sz w:val="17"/>
        </w:rPr>
        <w:t xml:space="preserve">[16/09/2026] ⚪  </w:t>
      </w:r>
      <w:r>
        <w:rPr>
          <w:b/>
          <w:color w:val="505050"/>
          <w:sz w:val="18"/>
        </w:rPr>
        <w:t>Prix des carburants : pourquoi le prix du Superéthanol-E85 reste-t-il stable ? - Bioethanolcarburant</w:t>
      </w:r>
      <w:r>
        <w:rPr>
          <w:color w:val="787878"/>
          <w:sz w:val="15"/>
        </w:rPr>
        <w:t xml:space="preserve">  [matieres_premieres]</w:t>
      </w:r>
      <w:r>
        <w:rPr>
          <w:color w:val="B47800"/>
          <w:sz w:val="16"/>
        </w:rPr>
        <w:t xml:space="preserve">  ★ 50/10</w:t>
      </w:r>
    </w:p>
    <w:p>
      <w:pPr>
        <w:spacing w:before="0" w:after="20"/>
        <w:ind w:left="600"/>
      </w:pPr>
      <w:r>
        <w:rPr>
          <w:color w:val="323232"/>
          <w:sz w:val="17"/>
        </w:rPr>
        <w:t>Le prix du Superéthanol-E85 reste stable malgré les fluctuations des prix des carburants traditionnels. Cette stabilité s'explique par la structure de coûts spécifique à ce biocarburant, notamment le prix de la matière première agricole et les politiques de soutien. Cette situation pourrait influencer la compétitivité des biocarburants sur le march</w:t>
      </w:r>
    </w:p>
    <w:p>
      <w:pPr>
        <w:spacing w:before="0" w:after="40"/>
        <w:ind w:left="600"/>
      </w:pPr>
      <w:r>
        <w:rPr>
          <w:color w:val="00643C"/>
          <w:sz w:val="16"/>
        </w:rPr>
        <w:t>Points clés : Le Superéthanol-E85 est un biocarburant issu de la betterave et du blé.  •  Sa stabilité contraste avec la volatilité des prix de l'essence et du diesel.  •  Les subventions et la fiscalité jouent un rôle clé dans son prix.</w:t>
      </w:r>
    </w:p>
    <w:p>
      <w:pPr>
        <w:spacing w:before="0" w:after="60"/>
        <w:ind w:left="600"/>
      </w:pPr>
      <w:r>
        <w:rPr>
          <w:color w:val="0064B4"/>
          <w:sz w:val="15"/>
        </w:rPr>
        <w:t>Source : https://news.google.com/rss/articles/CBMiwAFBVV95cUxPUFR4Y1czdUdMR251akQ0VWFXN28</w:t>
      </w:r>
    </w:p>
    <w:p>
      <w:pPr>
        <w:spacing w:before="40" w:after="40"/>
        <w:ind w:left="360"/>
      </w:pPr>
      <w:r>
        <w:rPr>
          <w:color w:val="646464"/>
          <w:sz w:val="17"/>
        </w:rPr>
        <w:t xml:space="preserve">[16/09/2026] 🔴  </w:t>
      </w:r>
      <w:r>
        <w:rPr>
          <w:b/>
          <w:color w:val="C00000"/>
          <w:sz w:val="18"/>
        </w:rPr>
        <w:t>Pétrole prix : flambée du baril, comment renégocier vos contrats de fourniture et de transport ? - Kohen Avocats</w:t>
      </w:r>
      <w:r>
        <w:rPr>
          <w:color w:val="787878"/>
          <w:sz w:val="15"/>
        </w:rPr>
        <w:t xml:space="preserve">  [matieres_premieres]</w:t>
      </w:r>
      <w:r>
        <w:rPr>
          <w:color w:val="B47800"/>
          <w:sz w:val="16"/>
        </w:rPr>
        <w:t xml:space="preserve">  ★ 50/10</w:t>
      </w:r>
    </w:p>
    <w:p>
      <w:pPr>
        <w:spacing w:before="0" w:after="20"/>
        <w:ind w:left="600"/>
      </w:pPr>
      <w:r>
        <w:rPr>
          <w:color w:val="323232"/>
          <w:sz w:val="17"/>
        </w:rPr>
        <w:t>Le baril de pétrole connaît une flambée des prix qui pousse les entreprises à renégocier leurs contrats de fourniture et de transport. Kohen Avocats explique les mécanismes juridiques et stratégiques pour adapter ces contrats face à la volatilité des cours. Cette situation concerne particulièrement les secteurs énergivores et les transporteurs. Une</w:t>
      </w:r>
    </w:p>
    <w:p>
      <w:pPr>
        <w:spacing w:before="0" w:after="40"/>
        <w:ind w:left="600"/>
      </w:pPr>
      <w:r>
        <w:rPr>
          <w:color w:val="00643C"/>
          <w:sz w:val="16"/>
        </w:rPr>
        <w:t>Points clés : Flambée du prix du baril de pétrole  •  Nécessité de renégocier les contrats de fourniture et de transport  •  Conseils juridiques pour adapter les clauses contractuelles  •  Impact sur les coûts des entreprises énergivores</w:t>
      </w:r>
    </w:p>
    <w:p>
      <w:pPr>
        <w:spacing w:before="0" w:after="60"/>
        <w:ind w:left="600"/>
      </w:pPr>
      <w:r>
        <w:rPr>
          <w:color w:val="0064B4"/>
          <w:sz w:val="15"/>
        </w:rPr>
        <w:t>Source : https://news.google.com/rss/articles/CBMirAFBVV95cUxQdzNoeVU5eVlIaWpDNDItUnFmM3V</w:t>
      </w:r>
    </w:p>
    <w:p>
      <w:pPr>
        <w:spacing w:before="120" w:after="40"/>
      </w:pPr>
      <w:r>
        <w:rPr>
          <w:b/>
          <w:color w:val="00467F"/>
          <w:sz w:val="20"/>
        </w:rPr>
        <w:t>🔑 politique_monetaire  (3 alerte(s))</w:t>
      </w:r>
    </w:p>
    <w:p>
      <w:pPr>
        <w:spacing w:before="40" w:after="40"/>
        <w:ind w:left="360"/>
      </w:pPr>
      <w:r>
        <w:rPr>
          <w:color w:val="646464"/>
          <w:sz w:val="17"/>
        </w:rPr>
        <w:t xml:space="preserve">[16/09/2026] 🔴  </w:t>
      </w:r>
      <w:r>
        <w:rPr>
          <w:b/>
          <w:color w:val="C00000"/>
          <w:sz w:val="18"/>
        </w:rPr>
        <w:t>États-Unis : l’inflation "trop élevée" pousse la Fed à serrer la vis et braver Trump - RTBF</w:t>
      </w:r>
      <w:r>
        <w:rPr>
          <w:color w:val="787878"/>
          <w:sz w:val="15"/>
        </w:rPr>
        <w:t xml:space="preserve">  [politique_monetaire]</w:t>
      </w:r>
      <w:r>
        <w:rPr>
          <w:color w:val="B47800"/>
          <w:sz w:val="16"/>
        </w:rPr>
        <w:t xml:space="preserve">  ★ 50/10</w:t>
      </w:r>
    </w:p>
    <w:p>
      <w:pPr>
        <w:spacing w:before="0" w:after="20"/>
        <w:ind w:left="600"/>
      </w:pPr>
      <w:r>
        <w:rPr>
          <w:color w:val="323232"/>
          <w:sz w:val="17"/>
        </w:rPr>
        <w:t>La Réserve fédérale américaine a décidé de resserrer sa politique monétaire en raison d'une inflation jugée trop élevée, malgré les pressions politiques de Donald Trump qui plaide pour des baisses de taux. Cette décision pourrait se traduire par une hausse des taux directeurs ou le maintien de taux élevés plus longtemps. Ce bras de fer entre la Fed</w:t>
      </w:r>
    </w:p>
    <w:p>
      <w:pPr>
        <w:spacing w:before="0" w:after="40"/>
        <w:ind w:left="600"/>
      </w:pPr>
      <w:r>
        <w:rPr>
          <w:color w:val="00643C"/>
          <w:sz w:val="16"/>
        </w:rPr>
        <w:t>Points clés : La Fed maintient une politique monétaire restrictive face à une inflation persistante  •  Donald Trump fait pression pour un assouplissement monétaire  •  Risque de volatilité accrue sur les marchés obligataires et de change  •  Impact potentiel sur les flux de capitaux vers les marchés émergents dont la BRVM</w:t>
      </w:r>
    </w:p>
    <w:p>
      <w:pPr>
        <w:spacing w:before="0" w:after="60"/>
        <w:ind w:left="600"/>
      </w:pPr>
      <w:r>
        <w:rPr>
          <w:color w:val="0064B4"/>
          <w:sz w:val="15"/>
        </w:rPr>
        <w:t>Source : https://news.google.com/rss/articles/CBMipAFBVV95cUxQZzl5VHp5LTR6Vkp2ejNNMFNOZjh</w:t>
      </w:r>
    </w:p>
    <w:p>
      <w:pPr>
        <w:spacing w:before="40" w:after="40"/>
        <w:ind w:left="360"/>
      </w:pPr>
      <w:r>
        <w:rPr>
          <w:color w:val="646464"/>
          <w:sz w:val="17"/>
        </w:rPr>
        <w:t xml:space="preserve">[16/09/2026] 🔴  </w:t>
      </w:r>
      <w:r>
        <w:rPr>
          <w:b/>
          <w:color w:val="C00000"/>
          <w:sz w:val="18"/>
        </w:rPr>
        <w:t>La BCE a augmenté ses taux directeurs : votre crédit immobilier coûtera-t-il plus cher en 2026 - ladepeche.fr</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a décidé de relever ses taux directeurs, une décision qui pourrait renchérir le coût du crédit immobilier en 2026. Cette hausse vise à lutter contre l'inflation persistante dans la zone euro. Les ménages et les investisseurs immobiliers devront anticiper des conditions de financement plus strictes. L'article exam</w:t>
      </w:r>
    </w:p>
    <w:p>
      <w:pPr>
        <w:spacing w:before="0" w:after="40"/>
        <w:ind w:left="600"/>
      </w:pPr>
      <w:r>
        <w:rPr>
          <w:color w:val="00643C"/>
          <w:sz w:val="16"/>
        </w:rPr>
        <w:t>Points clés : La BCE augmente ses taux directeurs pour contrer l'inflation.  •  Le crédit immobilier pourrait devenir plus cher en 2026.  •  Les conditions de financement se durcissent pour les emprunteurs.  •  Impact potentiel sur le marché immobilier européen.</w:t>
      </w:r>
    </w:p>
    <w:p>
      <w:pPr>
        <w:spacing w:before="0" w:after="60"/>
        <w:ind w:left="600"/>
      </w:pPr>
      <w:r>
        <w:rPr>
          <w:color w:val="0064B4"/>
          <w:sz w:val="15"/>
        </w:rPr>
        <w:t>Source : https://news.google.com/rss/articles/CBMi2AFBVV95cUxPWjJGZmFZcTRSRTNSRXV1RmJTQmF</w:t>
      </w:r>
    </w:p>
    <w:p>
      <w:pPr>
        <w:spacing w:before="40" w:after="40"/>
        <w:ind w:left="360"/>
      </w:pPr>
      <w:r>
        <w:rPr>
          <w:color w:val="646464"/>
          <w:sz w:val="17"/>
        </w:rPr>
        <w:t xml:space="preserve">[16/09/2026] ⚪  </w:t>
      </w:r>
      <w:r>
        <w:rPr>
          <w:b/>
          <w:color w:val="505050"/>
          <w:sz w:val="18"/>
        </w:rPr>
        <w:t>Why is the US Dollar firm when the Federal Reserve hike is already fully priced in? - tmgm.com</w:t>
      </w:r>
      <w:r>
        <w:rPr>
          <w:color w:val="787878"/>
          <w:sz w:val="15"/>
        </w:rPr>
        <w:t xml:space="preserve">  [politique_monetaire]</w:t>
      </w:r>
      <w:r>
        <w:rPr>
          <w:color w:val="B47800"/>
          <w:sz w:val="16"/>
        </w:rPr>
        <w:t xml:space="preserve">  ★ 50/10</w:t>
      </w:r>
    </w:p>
    <w:p>
      <w:pPr>
        <w:spacing w:before="0" w:after="20"/>
        <w:ind w:left="600"/>
      </w:pPr>
      <w:r>
        <w:rPr>
          <w:color w:val="323232"/>
          <w:sz w:val="17"/>
        </w:rPr>
        <w:t>L'article examine pourquoi le dollar américain reste ferme alors que le marché a déjà intégré une hausse des taux de la Réserve fédérale. Il suggère que d'autres facteurs, comme les anticipations de politique monétaire future ou les flux de capitaux, soutiennent la devise. Cette dynamique pourrait avoir des répercussions sur les marchés émergents e</w:t>
      </w:r>
    </w:p>
    <w:p>
      <w:pPr>
        <w:spacing w:before="0" w:after="40"/>
        <w:ind w:left="600"/>
      </w:pPr>
      <w:r>
        <w:rPr>
          <w:color w:val="00643C"/>
          <w:sz w:val="16"/>
        </w:rPr>
        <w:t>Points clés : La hausse des taux de la Fed est déjà anticipée par les marchés.  •  Le dollar reste soutenu par des facteurs au-delà de la simple hausse des taux.  •  Les implications pour les marchés émergents et le commerce international.</w:t>
      </w:r>
    </w:p>
    <w:p>
      <w:pPr>
        <w:spacing w:before="0" w:after="60"/>
        <w:ind w:left="600"/>
      </w:pPr>
      <w:r>
        <w:rPr>
          <w:color w:val="0064B4"/>
          <w:sz w:val="15"/>
        </w:rPr>
        <w:t>Source : https://news.google.com/rss/articles/CBMi4gFBVV95cUxNRExwWlRxWV83eWcyWEhGczJyLUt</w:t>
      </w:r>
    </w:p>
    <w:p>
      <w:pPr>
        <w:spacing w:before="120" w:after="40"/>
      </w:pPr>
      <w:r>
        <w:rPr>
          <w:b/>
          <w:color w:val="00467F"/>
          <w:sz w:val="20"/>
        </w:rPr>
        <w:t>🔑 économique  (1 alerte(s))</w:t>
      </w:r>
    </w:p>
    <w:p>
      <w:pPr>
        <w:spacing w:before="40" w:after="40"/>
        <w:ind w:left="360"/>
      </w:pPr>
      <w:r>
        <w:rPr>
          <w:color w:val="646464"/>
          <w:sz w:val="17"/>
        </w:rPr>
        <w:t xml:space="preserve">[15/09/2026] 🟢  </w:t>
      </w:r>
      <w:r>
        <w:rPr>
          <w:b/>
          <w:color w:val="008000"/>
          <w:sz w:val="18"/>
        </w:rPr>
        <w:t>CEDEAO-Tunisie : Engagement en faveur d'une coopération renforcée - koaci.com</w:t>
      </w:r>
      <w:r>
        <w:rPr>
          <w:color w:val="787878"/>
          <w:sz w:val="15"/>
        </w:rPr>
        <w:t xml:space="preserve">  [économique]</w:t>
      </w:r>
      <w:r>
        <w:rPr>
          <w:color w:val="B47800"/>
          <w:sz w:val="16"/>
        </w:rPr>
        <w:t xml:space="preserve">  ★ 50/10</w:t>
      </w:r>
    </w:p>
    <w:p>
      <w:pPr>
        <w:spacing w:before="0" w:after="20"/>
        <w:ind w:left="600"/>
      </w:pPr>
      <w:r>
        <w:rPr>
          <w:color w:val="323232"/>
          <w:sz w:val="17"/>
        </w:rPr>
        <w:t>La CEDEAO et la Tunisie ont réaffirmé leur volonté de renforcer leur coopération économique lors d'une rencontre officielle. Cet engagement vise à développer les échanges commerciaux et les investissements entre les deux parties. Cette dynamique pourrait ouvrir de nouvelles opportunités pour les entreprises de la zone ouest-africaine.</w:t>
      </w:r>
    </w:p>
    <w:p>
      <w:pPr>
        <w:spacing w:before="0" w:after="40"/>
        <w:ind w:left="600"/>
      </w:pPr>
      <w:r>
        <w:rPr>
          <w:color w:val="00643C"/>
          <w:sz w:val="16"/>
        </w:rPr>
        <w:t>Points clés : Renforcement de la coopération économique entre la CEDEAO et la Tunisie  •  Volonté d'accroître les échanges commerciaux et les investissements  •  Opportunités potentielles pour les entreprises de la zone CEDEAO</w:t>
      </w:r>
    </w:p>
    <w:p>
      <w:pPr>
        <w:spacing w:before="0" w:after="60"/>
        <w:ind w:left="600"/>
      </w:pPr>
      <w:r>
        <w:rPr>
          <w:color w:val="0064B4"/>
          <w:sz w:val="15"/>
        </w:rPr>
        <w:t>Source : https://news.google.com/rss/articles/CBMizAFBVV95cUxOVlZjNFVnejZCWGZoQTdxNGNGOWp</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12,150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20,900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8,150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13,400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5</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2,340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10,500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3,085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6,995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3,085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3,950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4,040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2,105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2,930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2,270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17,690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8,180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5,355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34,450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6,650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4,985</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9,180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24,500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8,600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29</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17,005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2,830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38,800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4,100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8,120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22,395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2,450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3,285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2,745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31,700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49,025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20,900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13,400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2,340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6,995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2,090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3,950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2,105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12,150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STBC</w:t>
            </w:r>
          </w:p>
        </w:tc>
        <w:tc>
          <w:tcPr>
            <w:tcW w:type="dxa" w:w="1728"/>
            <w:shd w:fill="E2EFDA" w:val="clear"/>
          </w:tcPr>
          <w:p>
            <w:r>
              <w:rPr>
                <w:sz w:val="17"/>
              </w:rPr>
              <w:t>STBC - SITAB COTE D'IVOIRE</w:t>
            </w:r>
          </w:p>
        </w:tc>
        <w:tc>
          <w:tcPr>
            <w:tcW w:type="dxa" w:w="1728"/>
            <w:shd w:fill="E2EFDA" w:val="clear"/>
          </w:tcPr>
          <w:p>
            <w:r>
              <w:rPr>
                <w:sz w:val="17"/>
              </w:rPr>
              <w:t>20,900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BOABF</w:t>
            </w:r>
          </w:p>
        </w:tc>
        <w:tc>
          <w:tcPr>
            <w:tcW w:type="dxa" w:w="1728"/>
            <w:shd w:fill="E2EFDA" w:val="clear"/>
          </w:tcPr>
          <w:p>
            <w:r>
              <w:rPr>
                <w:sz w:val="17"/>
              </w:rPr>
              <w:t>BANK OF AFRICA BURKINA FASO</w:t>
            </w:r>
          </w:p>
        </w:tc>
        <w:tc>
          <w:tcPr>
            <w:tcW w:type="dxa" w:w="1728"/>
            <w:shd w:fill="E2EFDA" w:val="clear"/>
          </w:tcPr>
          <w:p>
            <w:r>
              <w:rPr>
                <w:sz w:val="17"/>
              </w:rPr>
              <w:t>8,150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SDCC</w:t>
            </w:r>
          </w:p>
        </w:tc>
        <w:tc>
          <w:tcPr>
            <w:tcW w:type="dxa" w:w="1728"/>
            <w:shd w:fill="E2EFDA" w:val="clear"/>
          </w:tcPr>
          <w:p>
            <w:r>
              <w:rPr>
                <w:sz w:val="17"/>
              </w:rPr>
              <w:t>SDCC - Société de Distributi</w:t>
            </w:r>
          </w:p>
        </w:tc>
        <w:tc>
          <w:tcPr>
            <w:tcW w:type="dxa" w:w="1728"/>
            <w:shd w:fill="E2EFDA" w:val="clear"/>
          </w:tcPr>
          <w:p>
            <w:r>
              <w:rPr>
                <w:sz w:val="17"/>
              </w:rPr>
              <w:t>13,400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2,340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3,085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12,150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STBC</w:t>
            </w:r>
          </w:p>
        </w:tc>
        <w:tc>
          <w:tcPr>
            <w:tcW w:type="dxa" w:w="1728"/>
            <w:shd w:fill="FCE4D6" w:val="clear"/>
          </w:tcPr>
          <w:p>
            <w:r>
              <w:rPr>
                <w:sz w:val="17"/>
              </w:rPr>
              <w:t>STBC - SITAB COTE D'IVOIRE</w:t>
            </w:r>
          </w:p>
        </w:tc>
        <w:tc>
          <w:tcPr>
            <w:tcW w:type="dxa" w:w="1728"/>
            <w:shd w:fill="FCE4D6" w:val="clear"/>
          </w:tcPr>
          <w:p>
            <w:r>
              <w:rPr>
                <w:sz w:val="17"/>
              </w:rPr>
              <w:t>20,900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BOABF</w:t>
            </w:r>
          </w:p>
        </w:tc>
        <w:tc>
          <w:tcPr>
            <w:tcW w:type="dxa" w:w="1728"/>
            <w:shd w:fill="FCE4D6" w:val="clear"/>
          </w:tcPr>
          <w:p>
            <w:r>
              <w:rPr>
                <w:sz w:val="17"/>
              </w:rPr>
              <w:t>BANK OF AFRICA BURKINA FASO</w:t>
            </w:r>
          </w:p>
        </w:tc>
        <w:tc>
          <w:tcPr>
            <w:tcW w:type="dxa" w:w="1728"/>
            <w:shd w:fill="FCE4D6" w:val="clear"/>
          </w:tcPr>
          <w:p>
            <w:r>
              <w:rPr>
                <w:sz w:val="17"/>
              </w:rPr>
              <w:t>8,150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SDCC</w:t>
            </w:r>
          </w:p>
        </w:tc>
        <w:tc>
          <w:tcPr>
            <w:tcW w:type="dxa" w:w="1728"/>
            <w:shd w:fill="FCE4D6" w:val="clear"/>
          </w:tcPr>
          <w:p>
            <w:r>
              <w:rPr>
                <w:sz w:val="17"/>
              </w:rPr>
              <w:t>SDCC - Société de Distributi</w:t>
            </w:r>
          </w:p>
        </w:tc>
        <w:tc>
          <w:tcPr>
            <w:tcW w:type="dxa" w:w="1728"/>
            <w:shd w:fill="FCE4D6" w:val="clear"/>
          </w:tcPr>
          <w:p>
            <w:r>
              <w:rPr>
                <w:sz w:val="17"/>
              </w:rPr>
              <w:t>13,400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2,340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3,085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SHEC — SHEC - VIVO ENERGY COTE D'IVOIRE</w:t>
      </w:r>
    </w:p>
    <w:p>
      <w:pPr>
        <w:pStyle w:val="ListBullet"/>
        <w:spacing w:before="20"/>
        <w:ind w:left="400"/>
      </w:pPr>
      <w:r>
        <w:rPr>
          <w:sz w:val="18"/>
        </w:rPr>
        <w:t>🔴 RSI surachat (90.0 &gt; 70) — risque de correction</w:t>
      </w:r>
    </w:p>
    <w:p>
      <w:pPr>
        <w:pStyle w:val="ListBullet"/>
        <w:spacing w:before="20"/>
        <w:ind w:left="400"/>
      </w:pPr>
      <w:r>
        <w:rPr>
          <w:sz w:val="18"/>
        </w:rPr>
        <w:t>⚠️ Cours à 0.0% du plus haut 100j (2,930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(79.4 &gt; 70) — risque de correction</w:t>
      </w:r>
    </w:p>
    <w:p>
      <w:pPr>
        <w:pStyle w:val="ListBullet"/>
        <w:spacing w:before="20"/>
        <w:ind w:left="400"/>
      </w:pPr>
      <w:r>
        <w:rPr>
          <w:sz w:val="18"/>
        </w:rPr>
        <w:t>⚠️ Cours à 1.2% du plus haut 100j (39,275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(74.3 &gt; 70) — risque de correction</w:t>
      </w:r>
    </w:p>
    <w:p>
      <w:pPr>
        <w:pStyle w:val="ListBullet"/>
        <w:spacing w:before="20"/>
        <w:ind w:left="400"/>
      </w:pPr>
      <w:r>
        <w:rPr>
          <w:sz w:val="18"/>
        </w:rPr>
        <w:t>⚠️ Cours à 1.3% du plus haut 100j (4,095 FCFA)</w:t>
      </w:r>
    </w:p>
    <w:p>
      <w:pPr>
        <w:spacing w:before="120"/>
      </w:pPr>
      <w:r>
        <w:rPr>
          <w:b/>
          <w:color w:val="0050A0"/>
          <w:sz w:val="20"/>
        </w:rPr>
        <w:t>BICB — BIIC BN - Banque internationale pour le commerce du benin</w:t>
      </w:r>
    </w:p>
    <w:p>
      <w:pPr>
        <w:pStyle w:val="ListBullet"/>
        <w:spacing w:before="20"/>
        <w:ind w:left="400"/>
      </w:pPr>
      <w:r>
        <w:rPr>
          <w:sz w:val="18"/>
        </w:rPr>
        <w:t>🔴 RSI surachat (78.7 &gt; 70) — risque de correction</w:t>
      </w:r>
    </w:p>
    <w:p>
      <w:pPr>
        <w:pStyle w:val="ListBullet"/>
        <w:spacing w:before="20"/>
        <w:ind w:left="400"/>
      </w:pPr>
      <w:r>
        <w:rPr>
          <w:sz w:val="18"/>
        </w:rPr>
        <w:t>⚠️ Cours à 2.7% du plus haut 100j (10,790 FCFA)</w:t>
      </w:r>
    </w:p>
    <w:p>
      <w:pPr>
        <w:spacing w:before="120"/>
      </w:pPr>
      <w:r>
        <w:rPr>
          <w:b/>
          <w:color w:val="0050A0"/>
          <w:sz w:val="20"/>
        </w:rPr>
        <w:t>CBIBF — CBIBF - CORIS BANK INTERNATIONAL BURKINA FASO</w:t>
      </w:r>
    </w:p>
    <w:p>
      <w:pPr>
        <w:pStyle w:val="ListBullet"/>
        <w:spacing w:before="20"/>
        <w:ind w:left="400"/>
      </w:pPr>
      <w:r>
        <w:rPr>
          <w:sz w:val="18"/>
        </w:rPr>
        <w:t>🔴 RSI surachat (87.5 &gt; 70) — risque de correction</w:t>
      </w:r>
    </w:p>
    <w:p>
      <w:pPr>
        <w:pStyle w:val="ListBullet"/>
        <w:spacing w:before="20"/>
        <w:ind w:left="400"/>
      </w:pPr>
      <w:r>
        <w:rPr>
          <w:sz w:val="18"/>
        </w:rPr>
        <w:t>⚠️ Cours à 0.0% du plus haut 100j (34,450 FCFA)</w:t>
      </w:r>
    </w:p>
    <w:p>
      <w:pPr>
        <w:spacing w:before="120"/>
      </w:pPr>
      <w:r>
        <w:rPr>
          <w:b/>
          <w:color w:val="0050A0"/>
          <w:sz w:val="20"/>
        </w:rPr>
        <w:t>NSBC — NSBC - NSIA BANQUE COTE D'IVOIRE</w:t>
      </w:r>
    </w:p>
    <w:p>
      <w:pPr>
        <w:pStyle w:val="ListBullet"/>
        <w:spacing w:before="20"/>
        <w:ind w:left="400"/>
      </w:pPr>
      <w:r>
        <w:rPr>
          <w:sz w:val="18"/>
        </w:rPr>
        <w:t>🔴 RSI surachat (73.5 &gt; 70) — risque de correction</w:t>
      </w:r>
    </w:p>
    <w:p>
      <w:pPr>
        <w:pStyle w:val="ListBullet"/>
        <w:spacing w:before="20"/>
        <w:ind w:left="400"/>
      </w:pPr>
      <w:r>
        <w:rPr>
          <w:sz w:val="18"/>
        </w:rPr>
        <w:t>⚠️ Cours à 1.5% du plus haut 100j (24,885 FCFA)</w:t>
      </w:r>
    </w:p>
    <w:p>
      <w:pPr>
        <w:spacing w:before="120"/>
      </w:pPr>
      <w:r>
        <w:rPr>
          <w:b/>
          <w:color w:val="0050A0"/>
          <w:sz w:val="20"/>
        </w:rPr>
        <w:t>ORAC — ORAC - ORANGE COTE D'IVOIRE</w:t>
      </w:r>
    </w:p>
    <w:p>
      <w:pPr>
        <w:pStyle w:val="ListBullet"/>
        <w:spacing w:before="20"/>
        <w:ind w:left="400"/>
      </w:pPr>
      <w:r>
        <w:rPr>
          <w:sz w:val="18"/>
        </w:rPr>
        <w:t>⚠️ Cours à 0.5%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0.0% du plus bas 100j (2,450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survente (20.1 &lt; 30) — opportunité potentielle</w:t>
      </w:r>
    </w:p>
    <w:p>
      <w:pPr>
        <w:spacing w:before="120"/>
      </w:pPr>
      <w:r>
        <w:rPr>
          <w:b/>
          <w:color w:val="0050A0"/>
          <w:sz w:val="20"/>
        </w:rPr>
        <w:t>BOAC — BANK OF AFRICA COTE D'IVOIRE</w:t>
      </w:r>
    </w:p>
    <w:p>
      <w:pPr>
        <w:pStyle w:val="ListBullet"/>
        <w:spacing w:before="20"/>
        <w:ind w:left="400"/>
      </w:pPr>
      <w:r>
        <w:rPr>
          <w:sz w:val="18"/>
        </w:rPr>
        <w:t>🟢 RSI survente (21.6 &lt; 30) — opportunité potentielle</w:t>
      </w:r>
    </w:p>
    <w:p>
      <w:pPr>
        <w:spacing w:before="120"/>
      </w:pPr>
      <w:r>
        <w:rPr>
          <w:b/>
          <w:color w:val="0050A0"/>
          <w:sz w:val="20"/>
        </w:rPr>
        <w:t>BOAM — BANK OF AFRICA MALI</w:t>
      </w:r>
    </w:p>
    <w:p>
      <w:pPr>
        <w:pStyle w:val="ListBullet"/>
        <w:spacing w:before="20"/>
        <w:ind w:left="400"/>
      </w:pPr>
      <w:r>
        <w:rPr>
          <w:sz w:val="18"/>
        </w:rPr>
        <w:t>⚠️ Cours à 2.8% du plus haut 100j (7,195 FCFA)</w:t>
      </w:r>
    </w:p>
    <w:p>
      <w:pPr>
        <w:spacing w:before="120"/>
      </w:pPr>
      <w:r>
        <w:rPr>
          <w:b/>
          <w:color w:val="0050A0"/>
          <w:sz w:val="20"/>
        </w:rPr>
        <w:t>BOAS — BANK OF AFRICA SENEGAL</w:t>
      </w:r>
    </w:p>
    <w:p>
      <w:pPr>
        <w:pStyle w:val="ListBullet"/>
        <w:spacing w:before="20"/>
        <w:ind w:left="400"/>
      </w:pPr>
      <w:r>
        <w:rPr>
          <w:sz w:val="18"/>
        </w:rPr>
        <w:t>⚠️ Cours à 2.9% du plus haut 100j (8,500 FCFA)</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RSI surachat (71.6 &gt; 70) — risque de correction</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RSI survente (18.9 &lt; 30) — opportunité potentielle</w:t>
      </w:r>
    </w:p>
    <w:p>
      <w:pPr>
        <w:spacing w:before="120"/>
      </w:pPr>
      <w:r>
        <w:rPr>
          <w:b/>
          <w:color w:val="0050A0"/>
          <w:sz w:val="20"/>
        </w:rPr>
        <w:t>TTLS — TTLS - TOTAL ENERGIES MARKETING SENEGAL</w:t>
      </w:r>
    </w:p>
    <w:p>
      <w:pPr>
        <w:pStyle w:val="ListBullet"/>
        <w:spacing w:before="20"/>
        <w:ind w:left="400"/>
      </w:pPr>
      <w:r>
        <w:rPr>
          <w:sz w:val="18"/>
        </w:rPr>
        <w:t>🔴 RSI surachat (76.8 &gt; 70) — risque de correction</w:t>
      </w:r>
    </w:p>
    <w:p>
      <w:pPr>
        <w:spacing w:before="120"/>
      </w:pPr>
      <w:r>
        <w:rPr>
          <w:b/>
          <w:color w:val="0050A0"/>
          <w:sz w:val="20"/>
        </w:rPr>
        <w:t>UNLC — UNLC - UNILEVER COTE D'IVOIRE</w:t>
      </w:r>
    </w:p>
    <w:p>
      <w:pPr>
        <w:pStyle w:val="ListBullet"/>
        <w:spacing w:before="20"/>
        <w:ind w:left="400"/>
      </w:pPr>
      <w:r>
        <w:rPr>
          <w:sz w:val="18"/>
        </w:rPr>
        <w:t>⚠️ Cours à 0.0% du plus bas 100j (49,025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#4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SAFC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-2.73%  |  Médiane : -2.21%</w:t>
            </w:r>
          </w:p>
        </w:tc>
      </w:tr>
      <w:tr>
        <w:tc>
          <w:tcPr>
            <w:tcW w:type="dxa" w:w="2835"/>
            <w:shd w:fill="DEEAF1" w:val="clear"/>
          </w:tcPr>
          <w:p>
            <w:r>
              <w:rPr>
                <w:b/>
                <w:sz w:val="18"/>
              </w:rPr>
              <w:t>Répartition</w:t>
            </w:r>
          </w:p>
        </w:tc>
        <w:tc>
          <w:tcPr>
            <w:tcW w:type="dxa" w:w="7370"/>
          </w:tcPr>
          <w:p>
            <w:r>
              <w:rPr>
                <w:b/>
                <w:sz w:val="18"/>
              </w:rPr>
              <w:t>📈 12 sociétés en hausse (&gt;+1%)   📉 28 en baisse (&lt;-1%)   ➡️ 7 neutres</w:t>
            </w:r>
          </w:p>
        </w:tc>
      </w:tr>
      <w:tr>
        <w:tc>
          <w:tcPr>
            <w:tcW w:type="dxa" w:w="2835"/>
            <w:shd w:fill="DEEAF1" w:val="clear"/>
          </w:tcPr>
          <w:p>
            <w:r>
              <w:rPr>
                <w:b/>
                <w:sz w:val="18"/>
              </w:rPr>
              <w:t>Confiance globale</w:t>
            </w:r>
          </w:p>
        </w:tc>
        <w:tc>
          <w:tcPr>
            <w:tcW w:type="dxa" w:w="7370"/>
          </w:tcPr>
          <w:p>
            <w:r>
              <w:rPr>
                <w:b/>
                <w:sz w:val="18"/>
              </w:rPr>
              <w:t>Élevée : 0 sociétés (0%)   Moyenne : 15   Faible : 32 (68%)   → Confiance dominante : Faible</w:t>
            </w:r>
          </w:p>
        </w:tc>
      </w:tr>
    </w:tbl>
    <w:p/>
    <w:p>
      <w:r>
        <w:rPr>
          <w:i/>
          <w:color w:val="282828"/>
          <w:sz w:val="18"/>
        </w:rPr>
        <w:t>📝 Analyse : Légère tendance baissière avec signal mixte : 28 sociétés en baisse vs 12 en hausse. Variation moyenne : -2.73%.</w:t>
      </w:r>
    </w:p>
    <w:p>
      <w:r>
        <w:rPr>
          <w:i/>
          <w:color w:val="282828"/>
          <w:sz w:val="18"/>
        </w:rPr>
        <w:t>🎯 Fiabilité : ⚠️ La confiance est globalement FAIBLE (68%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20,900 FCFA</w:t>
            </w:r>
          </w:p>
        </w:tc>
        <w:tc>
          <w:tcPr>
            <w:tcW w:type="dxa" w:w="1417"/>
            <w:shd w:fill="FFFFFF" w:val="clear"/>
          </w:tcPr>
          <w:p>
            <w:r>
              <w:rPr>
                <w:sz w:val="16"/>
              </w:rPr>
              <w:t>24,216 FCFA</w:t>
            </w:r>
          </w:p>
        </w:tc>
        <w:tc>
          <w:tcPr>
            <w:tcW w:type="dxa" w:w="1134"/>
            <w:shd w:fill="C6EFCE" w:val="clear"/>
          </w:tcPr>
          <w:p>
            <w:r>
              <w:rPr>
                <w:b/>
                <w:color w:val="007800"/>
                <w:sz w:val="16"/>
              </w:rPr>
              <w:t>+15.86%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3,085 FCFA</w:t>
            </w:r>
          </w:p>
        </w:tc>
        <w:tc>
          <w:tcPr>
            <w:tcW w:type="dxa" w:w="1417"/>
            <w:shd w:fill="FFFFFF" w:val="clear"/>
          </w:tcPr>
          <w:p>
            <w:r>
              <w:rPr>
                <w:sz w:val="16"/>
              </w:rPr>
              <w:t>3,421 FCFA</w:t>
            </w:r>
          </w:p>
        </w:tc>
        <w:tc>
          <w:tcPr>
            <w:tcW w:type="dxa" w:w="1134"/>
            <w:shd w:fill="C6EFCE" w:val="clear"/>
          </w:tcPr>
          <w:p>
            <w:r>
              <w:rPr>
                <w:b/>
                <w:color w:val="007800"/>
                <w:sz w:val="16"/>
              </w:rPr>
              <w:t>+10.90%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41,446 FCFA</w:t>
            </w:r>
          </w:p>
        </w:tc>
        <w:tc>
          <w:tcPr>
            <w:tcW w:type="dxa" w:w="1134"/>
            <w:shd w:fill="C6EFCE" w:val="clear"/>
          </w:tcPr>
          <w:p>
            <w:r>
              <w:rPr>
                <w:b/>
                <w:color w:val="007800"/>
                <w:sz w:val="16"/>
              </w:rPr>
              <w:t>+9.07%</w:t>
            </w:r>
          </w:p>
        </w:tc>
        <w:tc>
          <w:tcPr>
            <w:tcW w:type="dxa" w:w="1020"/>
            <w:shd w:fill="FFEB9C" w:val="clear"/>
          </w:tcPr>
          <w:p>
            <w:r>
              <w:rPr>
                <w:sz w:val="16"/>
              </w:rPr>
              <w:t>Moyenne</w:t>
            </w:r>
          </w:p>
        </w:tc>
      </w:tr>
      <w:tr>
        <w:tc>
          <w:tcPr>
            <w:tcW w:type="dxa" w:w="680"/>
            <w:shd w:fill="FFFFFF" w:val="clear"/>
          </w:tcPr>
          <w:p>
            <w:r>
              <w:rPr>
                <w:b/>
                <w:sz w:val="16"/>
              </w:rPr>
              <w:t>#4</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13,400 FCFA</w:t>
            </w:r>
          </w:p>
        </w:tc>
        <w:tc>
          <w:tcPr>
            <w:tcW w:type="dxa" w:w="1417"/>
            <w:shd w:fill="FFFFFF" w:val="clear"/>
          </w:tcPr>
          <w:p>
            <w:r>
              <w:rPr>
                <w:sz w:val="16"/>
              </w:rPr>
              <w:t>13,993 FCFA</w:t>
            </w:r>
          </w:p>
        </w:tc>
        <w:tc>
          <w:tcPr>
            <w:tcW w:type="dxa" w:w="1134"/>
            <w:shd w:fill="C6EFCE" w:val="clear"/>
          </w:tcPr>
          <w:p>
            <w:r>
              <w:rPr>
                <w:b/>
                <w:color w:val="007800"/>
                <w:sz w:val="16"/>
              </w:rPr>
              <w:t>+4.42%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49,025 FCFA</w:t>
            </w:r>
          </w:p>
        </w:tc>
        <w:tc>
          <w:tcPr>
            <w:tcW w:type="dxa" w:w="1417"/>
            <w:shd w:fill="FFFFFF" w:val="clear"/>
          </w:tcPr>
          <w:p>
            <w:r>
              <w:rPr>
                <w:sz w:val="16"/>
              </w:rPr>
              <w:t>50,894 FCFA</w:t>
            </w:r>
          </w:p>
        </w:tc>
        <w:tc>
          <w:tcPr>
            <w:tcW w:type="dxa" w:w="1134"/>
            <w:shd w:fill="C6EFCE" w:val="clear"/>
          </w:tcPr>
          <w:p>
            <w:r>
              <w:rPr>
                <w:b/>
                <w:color w:val="007800"/>
                <w:sz w:val="16"/>
              </w:rPr>
              <w:t>+3.81%</w:t>
            </w:r>
          </w:p>
        </w:tc>
        <w:tc>
          <w:tcPr>
            <w:tcW w:type="dxa" w:w="1020"/>
            <w:shd w:fill="FFC7CE" w:val="clear"/>
          </w:tcPr>
          <w:p>
            <w:r>
              <w:rPr>
                <w:sz w:val="16"/>
              </w:rPr>
              <w:t>Faible</w:t>
            </w:r>
          </w:p>
        </w:tc>
      </w:tr>
    </w:tbl>
    <w:p/>
    <w:p>
      <w:pPr>
        <w:pStyle w:val="ListBullet"/>
      </w:pPr>
      <w:r>
        <w:rPr>
          <w:b/>
          <w:color w:val="006400"/>
          <w:sz w:val="18"/>
        </w:rPr>
        <w:t xml:space="preserve">#1 STBC </w:t>
      </w:r>
      <w:r>
        <w:rPr>
          <w:sz w:val="17"/>
        </w:rPr>
        <w:t>(STBC - SITAB COTE D'IVOIRE) — hausse significative (+15.9%) — potentiel de revalorisation notable. Trajectoire : 📈 Hausse continue. Cours actuel : 20,900 FCFA → prédit J+10 : 24,216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(+10.9%) — potentiel de revalorisation notable. Trajectoire : 📈 Hausse continue. Cours actuel : 3,085 FCFA → prédit J+10 : 3,421 FCFA. ⚠️ Confiance limitée — volatilité élevée ou données insuffisantes. Résultat indicatif uniquement.</w:t>
      </w:r>
    </w:p>
    <w:p>
      <w:pPr>
        <w:pStyle w:val="ListBullet"/>
      </w:pPr>
      <w:r>
        <w:rPr>
          <w:b/>
          <w:color w:val="006400"/>
          <w:sz w:val="18"/>
        </w:rPr>
        <w:t xml:space="preserve">#3 SLBC </w:t>
      </w:r>
      <w:r>
        <w:rPr>
          <w:sz w:val="17"/>
        </w:rPr>
        <w:t>(SLBC - SOLIBRA COTE D'IVOIRE) — hausse modérée (+9.1%) — signal raisonnable et crédible. Trajectoire : 📈 Hausse continue. Cours actuel : 38,000 FCFA → prédit J+10 : 41,446 FCFA. Confiance partielle — les premiers jours sont fiables, les jours lointains moins précis.</w:t>
      </w:r>
    </w:p>
    <w:p>
      <w:pPr>
        <w:pStyle w:val="ListBullet"/>
      </w:pPr>
      <w:r>
        <w:rPr>
          <w:b/>
          <w:color w:val="006400"/>
          <w:sz w:val="18"/>
        </w:rPr>
        <w:t xml:space="preserve">#4 SDCC </w:t>
      </w:r>
      <w:r>
        <w:rPr>
          <w:sz w:val="17"/>
        </w:rPr>
        <w:t>(SDCC - Société de Distribution d'Eau de ) — légère hausse (+4.4%) — progression graduelle attendue. Trajectoire : 📈 Hausse continue. Cours actuel : 13,400 FCFA → prédit J+10 : 13,993 FCFA. ⚠️ Confiance limitée — volatilité élevée ou données insuffisantes. Résultat indicatif uniquement.</w:t>
      </w:r>
    </w:p>
    <w:p>
      <w:pPr>
        <w:pStyle w:val="ListBullet"/>
      </w:pPr>
      <w:r>
        <w:rPr>
          <w:b/>
          <w:color w:val="006400"/>
          <w:sz w:val="18"/>
        </w:rPr>
        <w:t xml:space="preserve">#5 UNLC </w:t>
      </w:r>
      <w:r>
        <w:rPr>
          <w:sz w:val="17"/>
        </w:rPr>
        <w:t>(UNLC - UNILEVER COTE D'IVOIRE) — légère hausse (+3.8%) — progression graduelle attendue. Trajectoire : 📉 Baisse continue. Cours actuel : 49,025 FCFA → prédit J+10 : 50,894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2,930 FCFA</w:t>
            </w:r>
          </w:p>
        </w:tc>
        <w:tc>
          <w:tcPr>
            <w:tcW w:type="dxa" w:w="1417"/>
            <w:shd w:fill="FFFFFF" w:val="clear"/>
          </w:tcPr>
          <w:p>
            <w:r>
              <w:rPr>
                <w:sz w:val="16"/>
              </w:rPr>
              <w:t>2,311 FCFA</w:t>
            </w:r>
          </w:p>
        </w:tc>
        <w:tc>
          <w:tcPr>
            <w:tcW w:type="dxa" w:w="1134"/>
            <w:shd w:fill="FFC7CE" w:val="clear"/>
          </w:tcPr>
          <w:p>
            <w:r>
              <w:rPr>
                <w:b/>
                <w:color w:val="B40000"/>
                <w:sz w:val="16"/>
              </w:rPr>
              <w:t>-21.13%</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34,450 FCFA</w:t>
            </w:r>
          </w:p>
        </w:tc>
        <w:tc>
          <w:tcPr>
            <w:tcW w:type="dxa" w:w="1417"/>
            <w:shd w:fill="FFFFFF" w:val="clear"/>
          </w:tcPr>
          <w:p>
            <w:r>
              <w:rPr>
                <w:sz w:val="16"/>
              </w:rPr>
              <w:t>28,571 FCFA</w:t>
            </w:r>
          </w:p>
        </w:tc>
        <w:tc>
          <w:tcPr>
            <w:tcW w:type="dxa" w:w="1134"/>
            <w:shd w:fill="FFC7CE" w:val="clear"/>
          </w:tcPr>
          <w:p>
            <w:r>
              <w:rPr>
                <w:b/>
                <w:color w:val="B40000"/>
                <w:sz w:val="16"/>
              </w:rPr>
              <w:t>-17.07%</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4,040 FCFA</w:t>
            </w:r>
          </w:p>
        </w:tc>
        <w:tc>
          <w:tcPr>
            <w:tcW w:type="dxa" w:w="1417"/>
            <w:shd w:fill="FFFFFF" w:val="clear"/>
          </w:tcPr>
          <w:p>
            <w:r>
              <w:rPr>
                <w:sz w:val="16"/>
              </w:rPr>
              <w:t>3,578 FCFA</w:t>
            </w:r>
          </w:p>
        </w:tc>
        <w:tc>
          <w:tcPr>
            <w:tcW w:type="dxa" w:w="1134"/>
            <w:shd w:fill="FFC7CE" w:val="clear"/>
          </w:tcPr>
          <w:p>
            <w:r>
              <w:rPr>
                <w:b/>
                <w:color w:val="B40000"/>
                <w:sz w:val="16"/>
              </w:rPr>
              <w:t>-11.44%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10,500 FCFA</w:t>
            </w:r>
          </w:p>
        </w:tc>
        <w:tc>
          <w:tcPr>
            <w:tcW w:type="dxa" w:w="1417"/>
            <w:shd w:fill="FFFFFF" w:val="clear"/>
          </w:tcPr>
          <w:p>
            <w:r>
              <w:rPr>
                <w:sz w:val="16"/>
              </w:rPr>
              <w:t>9,363 FCFA</w:t>
            </w:r>
          </w:p>
        </w:tc>
        <w:tc>
          <w:tcPr>
            <w:tcW w:type="dxa" w:w="1134"/>
            <w:shd w:fill="FFC7CE" w:val="clear"/>
          </w:tcPr>
          <w:p>
            <w:r>
              <w:rPr>
                <w:b/>
                <w:color w:val="B40000"/>
                <w:sz w:val="16"/>
              </w:rPr>
              <w:t>-10.82%</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(-21.1%) — signal de dégradation significative. Trajectoire : 📉 Baisse continue. Cours actuel : 2,930 FCFA → prédit J+10 : 2,311 FCFA. ⚠️ Confiance limitée — volatilité élevée. Ne pas agir sur ce seul signal.</w:t>
      </w:r>
    </w:p>
    <w:p>
      <w:pPr>
        <w:pStyle w:val="ListBullet"/>
      </w:pPr>
      <w:r>
        <w:rPr>
          <w:b/>
          <w:color w:val="B40000"/>
          <w:sz w:val="18"/>
        </w:rPr>
        <w:t xml:space="preserve">#2 CBIBF </w:t>
      </w:r>
      <w:r>
        <w:rPr>
          <w:sz w:val="17"/>
        </w:rPr>
        <w:t>(CBIBF - CORIS BANK INTERNATIONAL BURKINA) — correction importante (-17.1%) — signal de dégradation significative. Trajectoire : 📉 Baisse continue. Cours actuel : 34,450 FCFA → prédit J+10 : 28,571 FCFA. Confiance partielle — surveiller l'évolution réelle des premiers jours.</w:t>
      </w:r>
    </w:p>
    <w:p>
      <w:pPr>
        <w:pStyle w:val="ListBullet"/>
      </w:pPr>
      <w:r>
        <w:rPr>
          <w:b/>
          <w:color w:val="B40000"/>
          <w:sz w:val="18"/>
        </w:rPr>
        <w:t xml:space="preserve">#3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#4 ABJC </w:t>
      </w:r>
      <w:r>
        <w:rPr>
          <w:sz w:val="17"/>
        </w:rPr>
        <w:t>(ABJC - SERVAIR ABIDJAN CI) — baisse modérée (-11.4%) — repli technique attendu. Trajectoire : 📉 Baisse continue. Cours actuel : 4,040 FCFA → prédit J+10 : 3,578 FCFA. ⚠️ Confiance limitée — volatilité élevée. Ne pas agir sur ce seul signal.</w:t>
      </w:r>
    </w:p>
    <w:p>
      <w:pPr>
        <w:pStyle w:val="ListBullet"/>
      </w:pPr>
      <w:r>
        <w:rPr>
          <w:b/>
          <w:color w:val="B40000"/>
          <w:sz w:val="18"/>
        </w:rPr>
        <w:t xml:space="preserve">#5 BICB </w:t>
      </w:r>
      <w:r>
        <w:rPr>
          <w:sz w:val="17"/>
        </w:rPr>
        <w:t>(BIIC BN - Banque internationale pour le ) — baisse modérée (-10.8%) — repli technique attendu. Trajectoire : 📉 Baisse continue. Cours actuel : 10,500 FCFA → prédit J+10 : 9,363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20,900</w:t>
            </w:r>
          </w:p>
        </w:tc>
        <w:tc>
          <w:tcPr>
            <w:tcW w:type="dxa" w:w="1417"/>
            <w:shd w:fill="FFFFFF" w:val="clear"/>
          </w:tcPr>
          <w:p>
            <w:r>
              <w:rPr>
                <w:sz w:val="16"/>
              </w:rPr>
              <w:t>24,216</w:t>
            </w:r>
          </w:p>
        </w:tc>
        <w:tc>
          <w:tcPr>
            <w:tcW w:type="dxa" w:w="1134"/>
            <w:shd w:fill="C6EFCE" w:val="clear"/>
          </w:tcPr>
          <w:p>
            <w:r>
              <w:rPr>
                <w:b/>
                <w:color w:val="007800"/>
                <w:sz w:val="16"/>
              </w:rPr>
              <w:t>+15.86%</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3,085</w:t>
            </w:r>
          </w:p>
        </w:tc>
        <w:tc>
          <w:tcPr>
            <w:tcW w:type="dxa" w:w="1417"/>
            <w:shd w:fill="FFFFFF" w:val="clear"/>
          </w:tcPr>
          <w:p>
            <w:r>
              <w:rPr>
                <w:sz w:val="16"/>
              </w:rPr>
              <w:t>3,421</w:t>
            </w:r>
          </w:p>
        </w:tc>
        <w:tc>
          <w:tcPr>
            <w:tcW w:type="dxa" w:w="1134"/>
            <w:shd w:fill="C6EFCE" w:val="clear"/>
          </w:tcPr>
          <w:p>
            <w:r>
              <w:rPr>
                <w:b/>
                <w:color w:val="007800"/>
                <w:sz w:val="16"/>
              </w:rPr>
              <w:t>+10.90%</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41,446</w:t>
            </w:r>
          </w:p>
        </w:tc>
        <w:tc>
          <w:tcPr>
            <w:tcW w:type="dxa" w:w="1134"/>
            <w:shd w:fill="C6EFCE" w:val="clear"/>
          </w:tcPr>
          <w:p>
            <w:r>
              <w:rPr>
                <w:b/>
                <w:color w:val="007800"/>
                <w:sz w:val="16"/>
              </w:rPr>
              <w:t>+9.07%</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13,400</w:t>
            </w:r>
          </w:p>
        </w:tc>
        <w:tc>
          <w:tcPr>
            <w:tcW w:type="dxa" w:w="1417"/>
            <w:shd w:fill="FFFFFF" w:val="clear"/>
          </w:tcPr>
          <w:p>
            <w:r>
              <w:rPr>
                <w:sz w:val="16"/>
              </w:rPr>
              <w:t>13,993</w:t>
            </w:r>
          </w:p>
        </w:tc>
        <w:tc>
          <w:tcPr>
            <w:tcW w:type="dxa" w:w="1134"/>
            <w:shd w:fill="C6EFCE" w:val="clear"/>
          </w:tcPr>
          <w:p>
            <w:r>
              <w:rPr>
                <w:b/>
                <w:color w:val="007800"/>
                <w:sz w:val="16"/>
              </w:rPr>
              <w:t>+4.42%</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49,025</w:t>
            </w:r>
          </w:p>
        </w:tc>
        <w:tc>
          <w:tcPr>
            <w:tcW w:type="dxa" w:w="1417"/>
            <w:shd w:fill="FFFFFF" w:val="clear"/>
          </w:tcPr>
          <w:p>
            <w:r>
              <w:rPr>
                <w:sz w:val="16"/>
              </w:rPr>
              <w:t>50,894</w:t>
            </w:r>
          </w:p>
        </w:tc>
        <w:tc>
          <w:tcPr>
            <w:tcW w:type="dxa" w:w="1134"/>
            <w:shd w:fill="C6EFCE" w:val="clear"/>
          </w:tcPr>
          <w:p>
            <w:r>
              <w:rPr>
                <w:b/>
                <w:color w:val="007800"/>
                <w:sz w:val="16"/>
              </w:rPr>
              <w:t>+3.81%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6,995</w:t>
            </w:r>
          </w:p>
        </w:tc>
        <w:tc>
          <w:tcPr>
            <w:tcW w:type="dxa" w:w="1417"/>
            <w:shd w:fill="FFFFFF" w:val="clear"/>
          </w:tcPr>
          <w:p>
            <w:r>
              <w:rPr>
                <w:sz w:val="16"/>
              </w:rPr>
              <w:t>7,217</w:t>
            </w:r>
          </w:p>
        </w:tc>
        <w:tc>
          <w:tcPr>
            <w:tcW w:type="dxa" w:w="1134"/>
            <w:shd w:fill="C6EFCE" w:val="clear"/>
          </w:tcPr>
          <w:p>
            <w:r>
              <w:rPr>
                <w:b/>
                <w:color w:val="007800"/>
                <w:sz w:val="16"/>
              </w:rPr>
              <w:t>+3.17%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8,150</w:t>
            </w:r>
          </w:p>
        </w:tc>
        <w:tc>
          <w:tcPr>
            <w:tcW w:type="dxa" w:w="1417"/>
            <w:shd w:fill="FFFFFF" w:val="clear"/>
          </w:tcPr>
          <w:p>
            <w:r>
              <w:rPr>
                <w:sz w:val="16"/>
              </w:rPr>
              <w:t>8,407</w:t>
            </w:r>
          </w:p>
        </w:tc>
        <w:tc>
          <w:tcPr>
            <w:tcW w:type="dxa" w:w="1134"/>
            <w:shd w:fill="C6EFCE" w:val="clear"/>
          </w:tcPr>
          <w:p>
            <w:r>
              <w:rPr>
                <w:b/>
                <w:color w:val="007800"/>
                <w:sz w:val="16"/>
              </w:rPr>
              <w:t>+3.16%</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4,985</w:t>
            </w:r>
          </w:p>
        </w:tc>
        <w:tc>
          <w:tcPr>
            <w:tcW w:type="dxa" w:w="1417"/>
            <w:shd w:fill="FFFFFF" w:val="clear"/>
          </w:tcPr>
          <w:p>
            <w:r>
              <w:rPr>
                <w:sz w:val="16"/>
              </w:rPr>
              <w:t>5,117</w:t>
            </w:r>
          </w:p>
        </w:tc>
        <w:tc>
          <w:tcPr>
            <w:tcW w:type="dxa" w:w="1134"/>
            <w:shd w:fill="C6EFCE" w:val="clear"/>
          </w:tcPr>
          <w:p>
            <w:r>
              <w:rPr>
                <w:b/>
                <w:color w:val="007800"/>
                <w:sz w:val="16"/>
              </w:rPr>
              <w:t>+2.65%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1,690</w:t>
            </w:r>
          </w:p>
        </w:tc>
        <w:tc>
          <w:tcPr>
            <w:tcW w:type="dxa" w:w="1417"/>
            <w:shd w:fill="FFFFFF" w:val="clear"/>
          </w:tcPr>
          <w:p>
            <w:r>
              <w:rPr>
                <w:sz w:val="16"/>
              </w:rPr>
              <w:t>1,734</w:t>
            </w:r>
          </w:p>
        </w:tc>
        <w:tc>
          <w:tcPr>
            <w:tcW w:type="dxa" w:w="1134"/>
            <w:shd w:fill="C6EFCE" w:val="clear"/>
          </w:tcPr>
          <w:p>
            <w:r>
              <w:rPr>
                <w:b/>
                <w:color w:val="007800"/>
                <w:sz w:val="16"/>
              </w:rPr>
              <w:t>+2.60%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4,100</w:t>
            </w:r>
          </w:p>
        </w:tc>
        <w:tc>
          <w:tcPr>
            <w:tcW w:type="dxa" w:w="1417"/>
            <w:shd w:fill="FFFFFF" w:val="clear"/>
          </w:tcPr>
          <w:p>
            <w:r>
              <w:rPr>
                <w:sz w:val="16"/>
              </w:rPr>
              <w:t>4,181</w:t>
            </w:r>
          </w:p>
        </w:tc>
        <w:tc>
          <w:tcPr>
            <w:tcW w:type="dxa" w:w="1134"/>
            <w:shd w:fill="C6EFCE" w:val="clear"/>
          </w:tcPr>
          <w:p>
            <w:r>
              <w:rPr>
                <w:b/>
                <w:color w:val="007800"/>
                <w:sz w:val="16"/>
              </w:rPr>
              <w:t>+1.98%</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17,005</w:t>
            </w:r>
          </w:p>
        </w:tc>
        <w:tc>
          <w:tcPr>
            <w:tcW w:type="dxa" w:w="1417"/>
            <w:shd w:fill="FFFFFF" w:val="clear"/>
          </w:tcPr>
          <w:p>
            <w:r>
              <w:rPr>
                <w:sz w:val="16"/>
              </w:rPr>
              <w:t>17,290</w:t>
            </w:r>
          </w:p>
        </w:tc>
        <w:tc>
          <w:tcPr>
            <w:tcW w:type="dxa" w:w="1134"/>
            <w:shd w:fill="C6EFCE" w:val="clear"/>
          </w:tcPr>
          <w:p>
            <w:r>
              <w:rPr>
                <w:b/>
                <w:color w:val="007800"/>
                <w:sz w:val="16"/>
              </w:rPr>
              <w:t>+1.68%</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16,400</w:t>
            </w:r>
          </w:p>
        </w:tc>
        <w:tc>
          <w:tcPr>
            <w:tcW w:type="dxa" w:w="1417"/>
            <w:shd w:fill="FFFFFF" w:val="clear"/>
          </w:tcPr>
          <w:p>
            <w:r>
              <w:rPr>
                <w:sz w:val="16"/>
              </w:rPr>
              <w:t>16,647</w:t>
            </w:r>
          </w:p>
        </w:tc>
        <w:tc>
          <w:tcPr>
            <w:tcW w:type="dxa" w:w="1134"/>
            <w:shd w:fill="C6EFCE" w:val="clear"/>
          </w:tcPr>
          <w:p>
            <w:r>
              <w:rPr>
                <w:b/>
                <w:color w:val="007800"/>
                <w:sz w:val="16"/>
              </w:rPr>
              <w:t>+1.51%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3,250</w:t>
            </w:r>
          </w:p>
        </w:tc>
        <w:tc>
          <w:tcPr>
            <w:tcW w:type="dxa" w:w="1417"/>
            <w:shd w:fill="FFFFFF" w:val="clear"/>
          </w:tcPr>
          <w:p>
            <w:r>
              <w:rPr>
                <w:sz w:val="16"/>
              </w:rPr>
              <w:t>3,276</w:t>
            </w:r>
          </w:p>
        </w:tc>
        <w:tc>
          <w:tcPr>
            <w:tcW w:type="dxa" w:w="1134"/>
            <w:shd w:fill="FFEB9C" w:val="clear"/>
          </w:tcPr>
          <w:p>
            <w:r>
              <w:rPr>
                <w:b/>
                <w:color w:val="646400"/>
                <w:sz w:val="16"/>
              </w:rPr>
              <w:t>+0.81%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17,690</w:t>
            </w:r>
          </w:p>
        </w:tc>
        <w:tc>
          <w:tcPr>
            <w:tcW w:type="dxa" w:w="1417"/>
            <w:shd w:fill="FFFFFF" w:val="clear"/>
          </w:tcPr>
          <w:p>
            <w:r>
              <w:rPr>
                <w:sz w:val="16"/>
              </w:rPr>
              <w:t>17,753</w:t>
            </w:r>
          </w:p>
        </w:tc>
        <w:tc>
          <w:tcPr>
            <w:tcW w:type="dxa" w:w="1134"/>
            <w:shd w:fill="FFEB9C" w:val="clear"/>
          </w:tcPr>
          <w:p>
            <w:r>
              <w:rPr>
                <w:b/>
                <w:color w:val="646400"/>
                <w:sz w:val="16"/>
              </w:rPr>
              <w:t>+0.36%</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5,355</w:t>
            </w:r>
          </w:p>
        </w:tc>
        <w:tc>
          <w:tcPr>
            <w:tcW w:type="dxa" w:w="1417"/>
            <w:shd w:fill="FFFFFF" w:val="clear"/>
          </w:tcPr>
          <w:p>
            <w:r>
              <w:rPr>
                <w:sz w:val="16"/>
              </w:rPr>
              <w:t>5,342</w:t>
            </w:r>
          </w:p>
        </w:tc>
        <w:tc>
          <w:tcPr>
            <w:tcW w:type="dxa" w:w="1134"/>
            <w:shd w:fill="FFEB9C" w:val="clear"/>
          </w:tcPr>
          <w:p>
            <w:r>
              <w:rPr>
                <w:b/>
                <w:color w:val="646400"/>
                <w:sz w:val="16"/>
              </w:rPr>
              <w:t>-0.25%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38,800</w:t>
            </w:r>
          </w:p>
        </w:tc>
        <w:tc>
          <w:tcPr>
            <w:tcW w:type="dxa" w:w="1417"/>
            <w:shd w:fill="FFFFFF" w:val="clear"/>
          </w:tcPr>
          <w:p>
            <w:r>
              <w:rPr>
                <w:sz w:val="16"/>
              </w:rPr>
              <w:t>38,558</w:t>
            </w:r>
          </w:p>
        </w:tc>
        <w:tc>
          <w:tcPr>
            <w:tcW w:type="dxa" w:w="1134"/>
            <w:shd w:fill="FFEB9C" w:val="clear"/>
          </w:tcPr>
          <w:p>
            <w:r>
              <w:rPr>
                <w:b/>
                <w:color w:val="646400"/>
                <w:sz w:val="16"/>
              </w:rPr>
              <w:t>-0.62%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24,500</w:t>
            </w:r>
          </w:p>
        </w:tc>
        <w:tc>
          <w:tcPr>
            <w:tcW w:type="dxa" w:w="1417"/>
            <w:shd w:fill="FFFFFF" w:val="clear"/>
          </w:tcPr>
          <w:p>
            <w:r>
              <w:rPr>
                <w:sz w:val="16"/>
              </w:rPr>
              <w:t>24,343</w:t>
            </w:r>
          </w:p>
        </w:tc>
        <w:tc>
          <w:tcPr>
            <w:tcW w:type="dxa" w:w="1134"/>
            <w:shd w:fill="FFEB9C" w:val="clear"/>
          </w:tcPr>
          <w:p>
            <w:r>
              <w:rPr>
                <w:b/>
                <w:color w:val="646400"/>
                <w:sz w:val="16"/>
              </w:rPr>
              <w:t>-0.64%</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22,395</w:t>
            </w:r>
          </w:p>
        </w:tc>
        <w:tc>
          <w:tcPr>
            <w:tcW w:type="dxa" w:w="1417"/>
            <w:shd w:fill="FFFFFF" w:val="clear"/>
          </w:tcPr>
          <w:p>
            <w:r>
              <w:rPr>
                <w:sz w:val="16"/>
              </w:rPr>
              <w:t>22,231</w:t>
            </w:r>
          </w:p>
        </w:tc>
        <w:tc>
          <w:tcPr>
            <w:tcW w:type="dxa" w:w="1134"/>
            <w:shd w:fill="FFEB9C" w:val="clear"/>
          </w:tcPr>
          <w:p>
            <w:r>
              <w:rPr>
                <w:b/>
                <w:color w:val="646400"/>
                <w:sz w:val="16"/>
              </w:rPr>
              <w:t>-0.73%</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3,085</w:t>
            </w:r>
          </w:p>
        </w:tc>
        <w:tc>
          <w:tcPr>
            <w:tcW w:type="dxa" w:w="1417"/>
            <w:shd w:fill="FFFFFF" w:val="clear"/>
          </w:tcPr>
          <w:p>
            <w:r>
              <w:rPr>
                <w:sz w:val="16"/>
              </w:rPr>
              <w:t>3,062</w:t>
            </w:r>
          </w:p>
        </w:tc>
        <w:tc>
          <w:tcPr>
            <w:tcW w:type="dxa" w:w="1134"/>
            <w:shd w:fill="FFEB9C" w:val="clear"/>
          </w:tcPr>
          <w:p>
            <w:r>
              <w:rPr>
                <w:b/>
                <w:color w:val="646400"/>
                <w:sz w:val="16"/>
              </w:rPr>
              <w:t>-0.75%</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3,950</w:t>
            </w:r>
          </w:p>
        </w:tc>
        <w:tc>
          <w:tcPr>
            <w:tcW w:type="dxa" w:w="1417"/>
            <w:shd w:fill="FFFFFF" w:val="clear"/>
          </w:tcPr>
          <w:p>
            <w:r>
              <w:rPr>
                <w:sz w:val="16"/>
              </w:rPr>
              <w:t>3,895</w:t>
            </w:r>
          </w:p>
        </w:tc>
        <w:tc>
          <w:tcPr>
            <w:tcW w:type="dxa" w:w="1134"/>
            <w:shd w:fill="FFC7CE" w:val="clear"/>
          </w:tcPr>
          <w:p>
            <w:r>
              <w:rPr>
                <w:b/>
                <w:color w:val="B40000"/>
                <w:sz w:val="16"/>
              </w:rPr>
              <w:t>-1.40%</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2,830</w:t>
            </w:r>
          </w:p>
        </w:tc>
        <w:tc>
          <w:tcPr>
            <w:tcW w:type="dxa" w:w="1417"/>
            <w:shd w:fill="FFFFFF" w:val="clear"/>
          </w:tcPr>
          <w:p>
            <w:r>
              <w:rPr>
                <w:sz w:val="16"/>
              </w:rPr>
              <w:t>2,785</w:t>
            </w:r>
          </w:p>
        </w:tc>
        <w:tc>
          <w:tcPr>
            <w:tcW w:type="dxa" w:w="1134"/>
            <w:shd w:fill="FFC7CE" w:val="clear"/>
          </w:tcPr>
          <w:p>
            <w:r>
              <w:rPr>
                <w:b/>
                <w:color w:val="B40000"/>
                <w:sz w:val="16"/>
              </w:rPr>
              <w:t>-1.60%</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8,120</w:t>
            </w:r>
          </w:p>
        </w:tc>
        <w:tc>
          <w:tcPr>
            <w:tcW w:type="dxa" w:w="1417"/>
            <w:shd w:fill="FFFFFF" w:val="clear"/>
          </w:tcPr>
          <w:p>
            <w:r>
              <w:rPr>
                <w:sz w:val="16"/>
              </w:rPr>
              <w:t>7,989</w:t>
            </w:r>
          </w:p>
        </w:tc>
        <w:tc>
          <w:tcPr>
            <w:tcW w:type="dxa" w:w="1134"/>
            <w:shd w:fill="FFC7CE" w:val="clear"/>
          </w:tcPr>
          <w:p>
            <w:r>
              <w:rPr>
                <w:b/>
                <w:color w:val="B40000"/>
                <w:sz w:val="16"/>
              </w:rPr>
              <w:t>-1.62%</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31,700</w:t>
            </w:r>
          </w:p>
        </w:tc>
        <w:tc>
          <w:tcPr>
            <w:tcW w:type="dxa" w:w="1417"/>
            <w:shd w:fill="FFFFFF" w:val="clear"/>
          </w:tcPr>
          <w:p>
            <w:r>
              <w:rPr>
                <w:sz w:val="16"/>
              </w:rPr>
              <w:t>31,117</w:t>
            </w:r>
          </w:p>
        </w:tc>
        <w:tc>
          <w:tcPr>
            <w:tcW w:type="dxa" w:w="1134"/>
            <w:shd w:fill="FFC7CE" w:val="clear"/>
          </w:tcPr>
          <w:p>
            <w:r>
              <w:rPr>
                <w:b/>
                <w:color w:val="B40000"/>
                <w:sz w:val="16"/>
              </w:rPr>
              <w:t>-1.84%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8,600</w:t>
            </w:r>
          </w:p>
        </w:tc>
        <w:tc>
          <w:tcPr>
            <w:tcW w:type="dxa" w:w="1417"/>
            <w:shd w:fill="FFFFFF" w:val="clear"/>
          </w:tcPr>
          <w:p>
            <w:r>
              <w:rPr>
                <w:sz w:val="16"/>
              </w:rPr>
              <w:t>8,410</w:t>
            </w:r>
          </w:p>
        </w:tc>
        <w:tc>
          <w:tcPr>
            <w:tcW w:type="dxa" w:w="1134"/>
            <w:shd w:fill="FFC7CE" w:val="clear"/>
          </w:tcPr>
          <w:p>
            <w:r>
              <w:rPr>
                <w:b/>
                <w:color w:val="B40000"/>
                <w:sz w:val="16"/>
              </w:rPr>
              <w:t>-2.21%</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2,340</w:t>
            </w:r>
          </w:p>
        </w:tc>
        <w:tc>
          <w:tcPr>
            <w:tcW w:type="dxa" w:w="1417"/>
            <w:shd w:fill="FFFFFF" w:val="clear"/>
          </w:tcPr>
          <w:p>
            <w:r>
              <w:rPr>
                <w:sz w:val="16"/>
              </w:rPr>
              <w:t>2,266</w:t>
            </w:r>
          </w:p>
        </w:tc>
        <w:tc>
          <w:tcPr>
            <w:tcW w:type="dxa" w:w="1134"/>
            <w:shd w:fill="FFC7CE" w:val="clear"/>
          </w:tcPr>
          <w:p>
            <w:r>
              <w:rPr>
                <w:b/>
                <w:color w:val="B40000"/>
                <w:sz w:val="16"/>
              </w:rPr>
              <w:t>-3.14%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8,180</w:t>
            </w:r>
          </w:p>
        </w:tc>
        <w:tc>
          <w:tcPr>
            <w:tcW w:type="dxa" w:w="1417"/>
            <w:shd w:fill="FFFFFF" w:val="clear"/>
          </w:tcPr>
          <w:p>
            <w:r>
              <w:rPr>
                <w:sz w:val="16"/>
              </w:rPr>
              <w:t>7,920</w:t>
            </w:r>
          </w:p>
        </w:tc>
        <w:tc>
          <w:tcPr>
            <w:tcW w:type="dxa" w:w="1134"/>
            <w:shd w:fill="FFC7CE" w:val="clear"/>
          </w:tcPr>
          <w:p>
            <w:r>
              <w:rPr>
                <w:b/>
                <w:color w:val="B40000"/>
                <w:sz w:val="16"/>
              </w:rPr>
              <w:t>-3.18%</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10,000</w:t>
            </w:r>
          </w:p>
        </w:tc>
        <w:tc>
          <w:tcPr>
            <w:tcW w:type="dxa" w:w="1417"/>
            <w:shd w:fill="FFFFFF" w:val="clear"/>
          </w:tcPr>
          <w:p>
            <w:r>
              <w:rPr>
                <w:sz w:val="16"/>
              </w:rPr>
              <w:t>9,649</w:t>
            </w:r>
          </w:p>
        </w:tc>
        <w:tc>
          <w:tcPr>
            <w:tcW w:type="dxa" w:w="1134"/>
            <w:shd w:fill="FFC7CE" w:val="clear"/>
          </w:tcPr>
          <w:p>
            <w:r>
              <w:rPr>
                <w:b/>
                <w:color w:val="B40000"/>
                <w:sz w:val="16"/>
              </w:rPr>
              <w:t>-3.51%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4,450</w:t>
            </w:r>
          </w:p>
        </w:tc>
        <w:tc>
          <w:tcPr>
            <w:tcW w:type="dxa" w:w="1417"/>
            <w:shd w:fill="FFFFFF" w:val="clear"/>
          </w:tcPr>
          <w:p>
            <w:r>
              <w:rPr>
                <w:sz w:val="16"/>
              </w:rPr>
              <w:t>4,290</w:t>
            </w:r>
          </w:p>
        </w:tc>
        <w:tc>
          <w:tcPr>
            <w:tcW w:type="dxa" w:w="1134"/>
            <w:shd w:fill="FFC7CE" w:val="clear"/>
          </w:tcPr>
          <w:p>
            <w:r>
              <w:rPr>
                <w:b/>
                <w:color w:val="B40000"/>
                <w:sz w:val="16"/>
              </w:rPr>
              <w:t>-3.60%</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-3.64%</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7,907</w:t>
            </w:r>
          </w:p>
        </w:tc>
        <w:tc>
          <w:tcPr>
            <w:tcW w:type="dxa" w:w="1134"/>
            <w:shd w:fill="FFC7CE" w:val="clear"/>
          </w:tcPr>
          <w:p>
            <w:r>
              <w:rPr>
                <w:b/>
                <w:color w:val="B40000"/>
                <w:sz w:val="16"/>
              </w:rPr>
              <w:t>-4.15%</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37,202</w:t>
            </w:r>
          </w:p>
        </w:tc>
        <w:tc>
          <w:tcPr>
            <w:tcW w:type="dxa" w:w="1134"/>
            <w:shd w:fill="FFC7CE" w:val="clear"/>
          </w:tcPr>
          <w:p>
            <w:r>
              <w:rPr>
                <w:b/>
                <w:color w:val="B40000"/>
                <w:sz w:val="16"/>
              </w:rPr>
              <w:t>-4.36%</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2,105</w:t>
            </w:r>
          </w:p>
        </w:tc>
        <w:tc>
          <w:tcPr>
            <w:tcW w:type="dxa" w:w="1417"/>
            <w:shd w:fill="FFFFFF" w:val="clear"/>
          </w:tcPr>
          <w:p>
            <w:r>
              <w:rPr>
                <w:sz w:val="16"/>
              </w:rPr>
              <w:t>1,994</w:t>
            </w:r>
          </w:p>
        </w:tc>
        <w:tc>
          <w:tcPr>
            <w:tcW w:type="dxa" w:w="1134"/>
            <w:shd w:fill="FFC7CE" w:val="clear"/>
          </w:tcPr>
          <w:p>
            <w:r>
              <w:rPr>
                <w:b/>
                <w:color w:val="B40000"/>
                <w:sz w:val="16"/>
              </w:rPr>
              <w:t>-5.27%</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2,270</w:t>
            </w:r>
          </w:p>
        </w:tc>
        <w:tc>
          <w:tcPr>
            <w:tcW w:type="dxa" w:w="1417"/>
            <w:shd w:fill="FFFFFF" w:val="clear"/>
          </w:tcPr>
          <w:p>
            <w:r>
              <w:rPr>
                <w:sz w:val="16"/>
              </w:rPr>
              <w:t>2,141</w:t>
            </w:r>
          </w:p>
        </w:tc>
        <w:tc>
          <w:tcPr>
            <w:tcW w:type="dxa" w:w="1134"/>
            <w:shd w:fill="FFC7CE" w:val="clear"/>
          </w:tcPr>
          <w:p>
            <w:r>
              <w:rPr>
                <w:b/>
                <w:color w:val="B40000"/>
                <w:sz w:val="16"/>
              </w:rPr>
              <w:t>-5.67%</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3,278</w:t>
            </w:r>
          </w:p>
        </w:tc>
        <w:tc>
          <w:tcPr>
            <w:tcW w:type="dxa" w:w="1134"/>
            <w:shd w:fill="FFC7CE" w:val="clear"/>
          </w:tcPr>
          <w:p>
            <w:r>
              <w:rPr>
                <w:b/>
                <w:color w:val="B40000"/>
                <w:sz w:val="16"/>
              </w:rPr>
              <w:t>-6.34%</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12,150</w:t>
            </w:r>
          </w:p>
        </w:tc>
        <w:tc>
          <w:tcPr>
            <w:tcW w:type="dxa" w:w="1417"/>
            <w:shd w:fill="FFFFFF" w:val="clear"/>
          </w:tcPr>
          <w:p>
            <w:r>
              <w:rPr>
                <w:sz w:val="16"/>
              </w:rPr>
              <w:t>11,339</w:t>
            </w:r>
          </w:p>
        </w:tc>
        <w:tc>
          <w:tcPr>
            <w:tcW w:type="dxa" w:w="1134"/>
            <w:shd w:fill="FFC7CE" w:val="clear"/>
          </w:tcPr>
          <w:p>
            <w:r>
              <w:rPr>
                <w:b/>
                <w:color w:val="B40000"/>
                <w:sz w:val="16"/>
              </w:rPr>
              <w:t>-6.68%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9,180</w:t>
            </w:r>
          </w:p>
        </w:tc>
        <w:tc>
          <w:tcPr>
            <w:tcW w:type="dxa" w:w="1417"/>
            <w:shd w:fill="FFFFFF" w:val="clear"/>
          </w:tcPr>
          <w:p>
            <w:r>
              <w:rPr>
                <w:sz w:val="16"/>
              </w:rPr>
              <w:t>8,558</w:t>
            </w:r>
          </w:p>
        </w:tc>
        <w:tc>
          <w:tcPr>
            <w:tcW w:type="dxa" w:w="1134"/>
            <w:shd w:fill="FFC7CE" w:val="clear"/>
          </w:tcPr>
          <w:p>
            <w:r>
              <w:rPr>
                <w:b/>
                <w:color w:val="B40000"/>
                <w:sz w:val="16"/>
              </w:rPr>
              <w:t>-6.78%</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2,090</w:t>
            </w:r>
          </w:p>
        </w:tc>
        <w:tc>
          <w:tcPr>
            <w:tcW w:type="dxa" w:w="1417"/>
            <w:shd w:fill="FFFFFF" w:val="clear"/>
          </w:tcPr>
          <w:p>
            <w:r>
              <w:rPr>
                <w:sz w:val="16"/>
              </w:rPr>
              <w:t>1,943</w:t>
            </w:r>
          </w:p>
        </w:tc>
        <w:tc>
          <w:tcPr>
            <w:tcW w:type="dxa" w:w="1134"/>
            <w:shd w:fill="FFC7CE" w:val="clear"/>
          </w:tcPr>
          <w:p>
            <w:r>
              <w:rPr>
                <w:b/>
                <w:color w:val="B40000"/>
                <w:sz w:val="16"/>
              </w:rPr>
              <w:t>-7.04%</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2,450</w:t>
            </w:r>
          </w:p>
        </w:tc>
        <w:tc>
          <w:tcPr>
            <w:tcW w:type="dxa" w:w="1417"/>
            <w:shd w:fill="FFFFFF" w:val="clear"/>
          </w:tcPr>
          <w:p>
            <w:r>
              <w:rPr>
                <w:sz w:val="16"/>
              </w:rPr>
              <w:t>2,275</w:t>
            </w:r>
          </w:p>
        </w:tc>
        <w:tc>
          <w:tcPr>
            <w:tcW w:type="dxa" w:w="1134"/>
            <w:shd w:fill="FFC7CE" w:val="clear"/>
          </w:tcPr>
          <w:p>
            <w:r>
              <w:rPr>
                <w:b/>
                <w:color w:val="B40000"/>
                <w:sz w:val="16"/>
              </w:rPr>
              <w:t>-7.13%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3,285</w:t>
            </w:r>
          </w:p>
        </w:tc>
        <w:tc>
          <w:tcPr>
            <w:tcW w:type="dxa" w:w="1417"/>
            <w:shd w:fill="FFFFFF" w:val="clear"/>
          </w:tcPr>
          <w:p>
            <w:r>
              <w:rPr>
                <w:sz w:val="16"/>
              </w:rPr>
              <w:t>2,983</w:t>
            </w:r>
          </w:p>
        </w:tc>
        <w:tc>
          <w:tcPr>
            <w:tcW w:type="dxa" w:w="1134"/>
            <w:shd w:fill="FFC7CE" w:val="clear"/>
          </w:tcPr>
          <w:p>
            <w:r>
              <w:rPr>
                <w:b/>
                <w:color w:val="B40000"/>
                <w:sz w:val="16"/>
              </w:rPr>
              <w:t>-9.20%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6,650</w:t>
            </w:r>
          </w:p>
        </w:tc>
        <w:tc>
          <w:tcPr>
            <w:tcW w:type="dxa" w:w="1417"/>
            <w:shd w:fill="FFFFFF" w:val="clear"/>
          </w:tcPr>
          <w:p>
            <w:r>
              <w:rPr>
                <w:sz w:val="16"/>
              </w:rPr>
              <w:t>5,963</w:t>
            </w:r>
          </w:p>
        </w:tc>
        <w:tc>
          <w:tcPr>
            <w:tcW w:type="dxa" w:w="1134"/>
            <w:shd w:fill="FFC7CE" w:val="clear"/>
          </w:tcPr>
          <w:p>
            <w:r>
              <w:rPr>
                <w:b/>
                <w:color w:val="B40000"/>
                <w:sz w:val="16"/>
              </w:rPr>
              <w:t>-10.33%</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2,745</w:t>
            </w:r>
          </w:p>
        </w:tc>
        <w:tc>
          <w:tcPr>
            <w:tcW w:type="dxa" w:w="1417"/>
            <w:shd w:fill="FFFFFF" w:val="clear"/>
          </w:tcPr>
          <w:p>
            <w:r>
              <w:rPr>
                <w:sz w:val="16"/>
              </w:rPr>
              <w:t>2,457</w:t>
            </w:r>
          </w:p>
        </w:tc>
        <w:tc>
          <w:tcPr>
            <w:tcW w:type="dxa" w:w="1134"/>
            <w:shd w:fill="FFC7CE" w:val="clear"/>
          </w:tcPr>
          <w:p>
            <w:r>
              <w:rPr>
                <w:b/>
                <w:color w:val="B40000"/>
                <w:sz w:val="16"/>
              </w:rPr>
              <w:t>-10.51%</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10,500</w:t>
            </w:r>
          </w:p>
        </w:tc>
        <w:tc>
          <w:tcPr>
            <w:tcW w:type="dxa" w:w="1417"/>
            <w:shd w:fill="FFFFFF" w:val="clear"/>
          </w:tcPr>
          <w:p>
            <w:r>
              <w:rPr>
                <w:sz w:val="16"/>
              </w:rPr>
              <w:t>9,363</w:t>
            </w:r>
          </w:p>
        </w:tc>
        <w:tc>
          <w:tcPr>
            <w:tcW w:type="dxa" w:w="1134"/>
            <w:shd w:fill="FFC7CE" w:val="clear"/>
          </w:tcPr>
          <w:p>
            <w:r>
              <w:rPr>
                <w:b/>
                <w:color w:val="B40000"/>
                <w:sz w:val="16"/>
              </w:rPr>
              <w:t>-10.82%</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4,040</w:t>
            </w:r>
          </w:p>
        </w:tc>
        <w:tc>
          <w:tcPr>
            <w:tcW w:type="dxa" w:w="1417"/>
            <w:shd w:fill="FFFFFF" w:val="clear"/>
          </w:tcPr>
          <w:p>
            <w:r>
              <w:rPr>
                <w:sz w:val="16"/>
              </w:rPr>
              <w:t>3,578</w:t>
            </w:r>
          </w:p>
        </w:tc>
        <w:tc>
          <w:tcPr>
            <w:tcW w:type="dxa" w:w="1134"/>
            <w:shd w:fill="FFC7CE" w:val="clear"/>
          </w:tcPr>
          <w:p>
            <w:r>
              <w:rPr>
                <w:b/>
                <w:color w:val="B40000"/>
                <w:sz w:val="16"/>
              </w:rPr>
              <w:t>-11.44%</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34,450</w:t>
            </w:r>
          </w:p>
        </w:tc>
        <w:tc>
          <w:tcPr>
            <w:tcW w:type="dxa" w:w="1417"/>
            <w:shd w:fill="FFFFFF" w:val="clear"/>
          </w:tcPr>
          <w:p>
            <w:r>
              <w:rPr>
                <w:sz w:val="16"/>
              </w:rPr>
              <w:t>28,571</w:t>
            </w:r>
          </w:p>
        </w:tc>
        <w:tc>
          <w:tcPr>
            <w:tcW w:type="dxa" w:w="1134"/>
            <w:shd w:fill="FFC7CE" w:val="clear"/>
          </w:tcPr>
          <w:p>
            <w:r>
              <w:rPr>
                <w:b/>
                <w:color w:val="B40000"/>
                <w:sz w:val="16"/>
              </w:rPr>
              <w:t>-17.07%</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2,930</w:t>
            </w:r>
          </w:p>
        </w:tc>
        <w:tc>
          <w:tcPr>
            <w:tcW w:type="dxa" w:w="1417"/>
            <w:shd w:fill="FFFFFF" w:val="clear"/>
          </w:tcPr>
          <w:p>
            <w:r>
              <w:rPr>
                <w:sz w:val="16"/>
              </w:rPr>
              <w:t>2,311</w:t>
            </w:r>
          </w:p>
        </w:tc>
        <w:tc>
          <w:tcPr>
            <w:tcW w:type="dxa" w:w="1134"/>
            <w:shd w:fill="FFC7CE" w:val="clear"/>
          </w:tcPr>
          <w:p>
            <w:r>
              <w:rPr>
                <w:b/>
                <w:color w:val="B40000"/>
                <w:sz w:val="16"/>
              </w:rPr>
              <w:t>-21.13%</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3,626 titres</w:t>
            </w:r>
          </w:p>
        </w:tc>
        <w:tc>
          <w:tcPr>
            <w:tcW w:type="dxa" w:w="2268"/>
            <w:shd w:fill="FFF2CC" w:val="clear"/>
          </w:tcPr>
          <w:p>
            <w:r>
              <w:rPr>
                <w:b/>
                <w:color w:val="503200"/>
                <w:sz w:val="16"/>
              </w:rPr>
              <w:t xml:space="preserve">Cours actuel : </w:t>
            </w:r>
            <w:r>
              <w:rPr>
                <w:color w:val="000000"/>
                <w:sz w:val="17"/>
              </w:rPr>
              <w:t>4,040 FCFA</w:t>
            </w:r>
          </w:p>
          <w:p>
            <w:r>
              <w:rPr>
                <w:b/>
                <w:color w:val="503200"/>
                <w:sz w:val="16"/>
              </w:rPr>
              <w:t xml:space="preserve">Var. 100 jours : </w:t>
            </w:r>
            <w:r>
              <w:rPr>
                <w:b/>
                <w:color w:val="007800"/>
                <w:sz w:val="17"/>
              </w:rPr>
              <w:t>+22.24%</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10.36% (Moyenne) — μ=3,278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β=0.4798 (Défensif) — Cov=0.000017, Var(idx)=0.000034, ρ=0.091,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2026-09-17</w:t>
            </w:r>
          </w:p>
        </w:tc>
        <w:tc>
          <w:tcPr>
            <w:tcW w:type="dxa" w:w="1440"/>
            <w:shd w:fill="FFDCE0" w:val="clear"/>
          </w:tcPr>
          <w:p>
            <w:r>
              <w:rPr>
                <w:sz w:val="17"/>
              </w:rPr>
              <w:t>3,779</w:t>
            </w:r>
          </w:p>
        </w:tc>
        <w:tc>
          <w:tcPr>
            <w:tcW w:type="dxa" w:w="1440"/>
            <w:shd w:fill="FFDCE0" w:val="clear"/>
          </w:tcPr>
          <w:p>
            <w:r>
              <w:rPr>
                <w:b/>
                <w:sz w:val="17"/>
              </w:rPr>
              <w:t>3,955</w:t>
            </w:r>
          </w:p>
        </w:tc>
        <w:tc>
          <w:tcPr>
            <w:tcW w:type="dxa" w:w="1440"/>
            <w:shd w:fill="FFDCE0" w:val="clear"/>
          </w:tcPr>
          <w:p>
            <w:r>
              <w:rPr>
                <w:sz w:val="17"/>
              </w:rPr>
              <w:t>4,130</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2026-09-18</w:t>
            </w:r>
          </w:p>
        </w:tc>
        <w:tc>
          <w:tcPr>
            <w:tcW w:type="dxa" w:w="1440"/>
            <w:shd w:fill="FFDCE0" w:val="clear"/>
          </w:tcPr>
          <w:p>
            <w:r>
              <w:rPr>
                <w:sz w:val="17"/>
              </w:rPr>
              <w:t>3,657</w:t>
            </w:r>
          </w:p>
        </w:tc>
        <w:tc>
          <w:tcPr>
            <w:tcW w:type="dxa" w:w="1440"/>
            <w:shd w:fill="FFDCE0" w:val="clear"/>
          </w:tcPr>
          <w:p>
            <w:r>
              <w:rPr>
                <w:b/>
                <w:sz w:val="17"/>
              </w:rPr>
              <w:t>3,901</w:t>
            </w:r>
          </w:p>
        </w:tc>
        <w:tc>
          <w:tcPr>
            <w:tcW w:type="dxa" w:w="1440"/>
            <w:shd w:fill="FFDCE0" w:val="clear"/>
          </w:tcPr>
          <w:p>
            <w:r>
              <w:rPr>
                <w:sz w:val="17"/>
              </w:rPr>
              <w:t>4,146</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2026-09-21</w:t>
            </w:r>
          </w:p>
        </w:tc>
        <w:tc>
          <w:tcPr>
            <w:tcW w:type="dxa" w:w="1440"/>
            <w:shd w:fill="FFDCE0" w:val="clear"/>
          </w:tcPr>
          <w:p>
            <w:r>
              <w:rPr>
                <w:sz w:val="17"/>
              </w:rPr>
              <w:t>3,549</w:t>
            </w:r>
          </w:p>
        </w:tc>
        <w:tc>
          <w:tcPr>
            <w:tcW w:type="dxa" w:w="1440"/>
            <w:shd w:fill="FFDCE0" w:val="clear"/>
          </w:tcPr>
          <w:p>
            <w:r>
              <w:rPr>
                <w:b/>
                <w:sz w:val="17"/>
              </w:rPr>
              <w:t>3,845</w:t>
            </w:r>
          </w:p>
        </w:tc>
        <w:tc>
          <w:tcPr>
            <w:tcW w:type="dxa" w:w="1440"/>
            <w:shd w:fill="FFDCE0" w:val="clear"/>
          </w:tcPr>
          <w:p>
            <w:r>
              <w:rPr>
                <w:sz w:val="17"/>
              </w:rPr>
              <w:t>4,140</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3,459</w:t>
            </w:r>
          </w:p>
        </w:tc>
        <w:tc>
          <w:tcPr>
            <w:tcW w:type="dxa" w:w="1440"/>
            <w:shd w:fill="FFDCE0" w:val="clear"/>
          </w:tcPr>
          <w:p>
            <w:r>
              <w:rPr>
                <w:b/>
                <w:sz w:val="17"/>
              </w:rPr>
              <w:t>3,796</w:t>
            </w:r>
          </w:p>
        </w:tc>
        <w:tc>
          <w:tcPr>
            <w:tcW w:type="dxa" w:w="1440"/>
            <w:shd w:fill="FFDCE0" w:val="clear"/>
          </w:tcPr>
          <w:p>
            <w:r>
              <w:rPr>
                <w:sz w:val="17"/>
              </w:rPr>
              <w:t>4,132</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3,380</w:t>
            </w:r>
          </w:p>
        </w:tc>
        <w:tc>
          <w:tcPr>
            <w:tcW w:type="dxa" w:w="1440"/>
            <w:shd w:fill="FFDCE0" w:val="clear"/>
          </w:tcPr>
          <w:p>
            <w:r>
              <w:rPr>
                <w:b/>
                <w:sz w:val="17"/>
              </w:rPr>
              <w:t>3,752</w:t>
            </w:r>
          </w:p>
        </w:tc>
        <w:tc>
          <w:tcPr>
            <w:tcW w:type="dxa" w:w="1440"/>
            <w:shd w:fill="FFDCE0" w:val="clear"/>
          </w:tcPr>
          <w:p>
            <w:r>
              <w:rPr>
                <w:sz w:val="17"/>
              </w:rPr>
              <w:t>4,124</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3,309</w:t>
            </w:r>
          </w:p>
        </w:tc>
        <w:tc>
          <w:tcPr>
            <w:tcW w:type="dxa" w:w="1440"/>
            <w:shd w:fill="FFDCE0" w:val="clear"/>
          </w:tcPr>
          <w:p>
            <w:r>
              <w:rPr>
                <w:b/>
                <w:sz w:val="17"/>
              </w:rPr>
              <w:t>3,713</w:t>
            </w:r>
          </w:p>
        </w:tc>
        <w:tc>
          <w:tcPr>
            <w:tcW w:type="dxa" w:w="1440"/>
            <w:shd w:fill="FFDCE0" w:val="clear"/>
          </w:tcPr>
          <w:p>
            <w:r>
              <w:rPr>
                <w:sz w:val="17"/>
              </w:rPr>
              <w:t>4,116</w:t>
            </w:r>
          </w:p>
        </w:tc>
        <w:tc>
          <w:tcPr>
            <w:tcW w:type="dxa" w:w="1440"/>
            <w:shd w:fill="FFDCE0" w:val="clear"/>
          </w:tcPr>
          <w:p>
            <w:r>
              <w:rPr>
                <w:b/>
                <w:color w:val="C00000"/>
                <w:sz w:val="17"/>
              </w:rPr>
              <w:t>-8.1%</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3,245</w:t>
            </w:r>
          </w:p>
        </w:tc>
        <w:tc>
          <w:tcPr>
            <w:tcW w:type="dxa" w:w="1440"/>
            <w:shd w:fill="FFDCE0" w:val="clear"/>
          </w:tcPr>
          <w:p>
            <w:r>
              <w:rPr>
                <w:b/>
                <w:sz w:val="17"/>
              </w:rPr>
              <w:t>3,676</w:t>
            </w:r>
          </w:p>
        </w:tc>
        <w:tc>
          <w:tcPr>
            <w:tcW w:type="dxa" w:w="1440"/>
            <w:shd w:fill="FFDCE0" w:val="clear"/>
          </w:tcPr>
          <w:p>
            <w:r>
              <w:rPr>
                <w:sz w:val="17"/>
              </w:rPr>
              <w:t>4,107</w:t>
            </w:r>
          </w:p>
        </w:tc>
        <w:tc>
          <w:tcPr>
            <w:tcW w:type="dxa" w:w="1440"/>
            <w:shd w:fill="FFDCE0" w:val="clear"/>
          </w:tcPr>
          <w:p>
            <w:r>
              <w:rPr>
                <w:b/>
                <w:color w:val="C00000"/>
                <w:sz w:val="17"/>
              </w:rPr>
              <w:t>-9.0%</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3,184</w:t>
            </w:r>
          </w:p>
        </w:tc>
        <w:tc>
          <w:tcPr>
            <w:tcW w:type="dxa" w:w="1440"/>
            <w:shd w:fill="FFDCE0" w:val="clear"/>
          </w:tcPr>
          <w:p>
            <w:r>
              <w:rPr>
                <w:b/>
                <w:sz w:val="17"/>
              </w:rPr>
              <w:t>3,641</w:t>
            </w:r>
          </w:p>
        </w:tc>
        <w:tc>
          <w:tcPr>
            <w:tcW w:type="dxa" w:w="1440"/>
            <w:shd w:fill="FFDCE0" w:val="clear"/>
          </w:tcPr>
          <w:p>
            <w:r>
              <w:rPr>
                <w:sz w:val="17"/>
              </w:rPr>
              <w:t>4,098</w:t>
            </w:r>
          </w:p>
        </w:tc>
        <w:tc>
          <w:tcPr>
            <w:tcW w:type="dxa" w:w="1440"/>
            <w:shd w:fill="FFDCE0" w:val="clear"/>
          </w:tcPr>
          <w:p>
            <w:r>
              <w:rPr>
                <w:b/>
                <w:color w:val="C00000"/>
                <w:sz w:val="17"/>
              </w:rPr>
              <w:t>-9.9%</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3,129</w:t>
            </w:r>
          </w:p>
        </w:tc>
        <w:tc>
          <w:tcPr>
            <w:tcW w:type="dxa" w:w="1440"/>
            <w:shd w:fill="FFDCE0" w:val="clear"/>
          </w:tcPr>
          <w:p>
            <w:r>
              <w:rPr>
                <w:b/>
                <w:sz w:val="17"/>
              </w:rPr>
              <w:t>3,609</w:t>
            </w:r>
          </w:p>
        </w:tc>
        <w:tc>
          <w:tcPr>
            <w:tcW w:type="dxa" w:w="1440"/>
            <w:shd w:fill="FFDCE0" w:val="clear"/>
          </w:tcPr>
          <w:p>
            <w:r>
              <w:rPr>
                <w:sz w:val="17"/>
              </w:rPr>
              <w:t>4,089</w:t>
            </w:r>
          </w:p>
        </w:tc>
        <w:tc>
          <w:tcPr>
            <w:tcW w:type="dxa" w:w="1440"/>
            <w:shd w:fill="FFDCE0" w:val="clear"/>
          </w:tcPr>
          <w:p>
            <w:r>
              <w:rPr>
                <w:b/>
                <w:color w:val="C00000"/>
                <w:sz w:val="17"/>
              </w:rPr>
              <w:t>-10.7%</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3,076</w:t>
            </w:r>
          </w:p>
        </w:tc>
        <w:tc>
          <w:tcPr>
            <w:tcW w:type="dxa" w:w="1440"/>
            <w:shd w:fill="FFDCE0" w:val="clear"/>
          </w:tcPr>
          <w:p>
            <w:r>
              <w:rPr>
                <w:b/>
                <w:sz w:val="17"/>
              </w:rPr>
              <w:t>3,578</w:t>
            </w:r>
          </w:p>
        </w:tc>
        <w:tc>
          <w:tcPr>
            <w:tcW w:type="dxa" w:w="1440"/>
            <w:shd w:fill="FFDCE0" w:val="clear"/>
          </w:tcPr>
          <w:p>
            <w:r>
              <w:rPr>
                <w:sz w:val="17"/>
              </w:rPr>
              <w:t>4,080</w:t>
            </w:r>
          </w:p>
        </w:tc>
        <w:tc>
          <w:tcPr>
            <w:tcW w:type="dxa" w:w="1440"/>
            <w:shd w:fill="FFDCE0" w:val="clear"/>
          </w:tcPr>
          <w:p>
            <w:r>
              <w:rPr>
                <w:b/>
                <w:color w:val="C00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**Bourse Régionale des Valeurs Mobilières (BRVM) — Secteur : Services aéroportuaires**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44,08 milliards FCFA, Servair Abidjan se positionne comme une valeur de taille intermédiaire sur le compartiment des sociétés non-financières de la BRVM, ce qui traduit une liquidité limitée mais une certaine notoriété sectorielle. Le BPA de 124 FCFA/action signifie que chaque titre génère un bénéfice net de 124 FCFA, ce qui, rapporté au cours actuel de 4 040 FCFA, donne un PER de 32,6x — très nettement supérieur à la moyenne du marché BRVM (8-12x), signalant que les investisseurs paient une prime de croissance élevée ou que le titre est surévalué au regard de ses bénéfices actuels. Le ratio P/B de 8,54x (largement supérieur au seuil de 4x) confirme que le marché valorise l'entreprise à plus de huit fois sa valeur comptable, une prime exigeante qui suppose une forte rentabilité future des fonds propres. Enfin, l'EV/EBITDA de 16,9x (au-dessus du seuil de 15x) indique que la valeur d'entreprise (capitalisation + dette nette) représente près de 17 fois la capacité opérationnelle de l'entreprise, ce qui est très exigeant et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progression totale de +22,24%, avec une dernière séance en hausse de +0,62%, confirmant une dynamique haussière soutenue. Le cours actuel de 4 040 FCFA se situe dans la partie haute du range de trading, dont le plus haut atteint 4 095 FCFA et le plus bas 2 800 FCFA — soit une amplitude de près de 46%, révélant une forte volatilité directionnelle. La tendance générale est donc clairement haussière, portée par un volume moyen quotidien de 3 626 titres, ce qui reste modeste mais suffisant pour assurer une liquidité minimale. Les statistiques descriptives révèlent une moyenne de 3 278 FCFA supérieure à la médiane de 3 182 FCFA, avec un mode à 3 150 FCFA : cet écart entre moyenne et médiane, couplé à un skewness positif de 0,880, indique une asymétrie à droite — autrement dit, le cours a passé plus de journées sous la moyenne mais a connu des pics haussiers marqués qui tirent la moyenne vers le haut. L'écart-type de 341 FCFA (CV = 10,4%) traduit une dispersion modérée autour de la moyenne, tandis que le kurtosis de -0,151 (mésokurtique) suggère une distribution proche de la normale, sans risque excessif de pics extrêmes. La volatilité annualisée de 48,6% classe le titre dans la catégorie des valeurs à volatilité élevée (&gt;30%), ce qui implique un risque de fluctuation important et justifie une approche prudente en termes de sizing.</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3 811,5 FCFA et la MM50 à 3 379,9 FCFA, toutes deux nettement inférieures au cours actuel de 4 040 FCFA, ce qui confirme une configuration haussière avec un cours évoluant au-dessus de ses moyennes. L'écart positif entre la MM20 et la MM50 (environ 431 FCFA) traduit un momentum haussier soutenu, et la décision technique qui en découle est logiquement un **Achat**.</w:t>
      </w:r>
    </w:p>
    <w:p>
      <w:pPr>
        <w:spacing w:after="120" w:line="276" w:lineRule="auto"/>
      </w:pPr>
      <w:r>
        <w:t>**Bandes de Bollinger** : La borne supérieure se situe à 4 284,02 FCFA et la borne inférieure à 3 338,98 FCFA, encadrant le cours actuel de 4 040 FCFA qui évolue dans la partie haute du canal sans toutefois toucher la borne supérieure. Cette position suggère une pression acheteuse modérée mais pas encore de situation de surachat extrême, ce qui justifie une décision **Neutre** — le titre n'est ni en zone d'achat agressive, ni en zone de vente.</w:t>
      </w:r>
    </w:p>
    <w:p>
      <w:pPr>
        <w:spacing w:after="120" w:line="276" w:lineRule="auto"/>
      </w:pPr>
      <w:r>
        <w:t>**MACD** : La valeur du MACD (206,814) est légèrement supérieure à son signal (204,807), générant un croisement haussier de faible amplitude. Ce différentiel positif, bien que ténu, confirme un momentum haussier encore présent mais qui s'essouffle, justifiant une décision d'**Achat** avec prudence.</w:t>
      </w:r>
    </w:p>
    <w:p>
      <w:pPr>
        <w:spacing w:after="120" w:line="276" w:lineRule="auto"/>
      </w:pPr>
      <w:r>
        <w:t>**RSI** : À 74,306, le RSI se situe au-dessus du seuil de 70, ce qui place le titre en zone de surachat. Cette configuration indique que la pression acheteuse est excessive et qu'un repli technique est probable à court terme, justifiant une décision de **Vente** — les investisseurs déjà positionnés pourraient envisager des prises de bénéfices.</w:t>
      </w:r>
    </w:p>
    <w:p>
      <w:pPr>
        <w:spacing w:after="120" w:line="276" w:lineRule="auto"/>
      </w:pPr>
      <w:r>
        <w:t>**Stochastique** : Le %K (86,42) et le %D (86,267) évoluent tous deux en zone de surachat (&gt;80), avec un croisement quasi inexistant entre les deux lignes. Cette configuration confirme la saturation haussière et renforce le signal de **Vente** à court terme, en cohérence avec le RSI.</w:t>
      </w:r>
    </w:p>
    <w:p>
      <w:pPr>
        <w:spacing w:after="120" w:line="276" w:lineRule="auto"/>
      </w:pPr>
      <w:r>
        <w:t>**Conclusion technique** : Les indicateurs techniques présentent une divergence notable : les moyennes mobiles et le MACD confirment une tendance haussière de fond, tandis que le RSI et le stochastique signalent un surachat imminent. Cette configuration suggère que le titre pourrait connaître une correction à court terme avant de reprendre sa tendance haussière. La prudence est de mise pour les nouveaux entrants, tandis que les détenteurs pourraient sécuriser une partie de leurs gains.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 réalisé un chiffre d'affaires de 13,298 milliards FCFA, en croissance de 6,67% par rapport à 2024, témoignant d'une dynamique commerciale positive. Le résultat net s'établit à 1,351 milliard FCFA, en baisse de 12,1% (contre 1,81 milliard en 2024 selon les rapports), principalement en raison d'une charge d'impôt en forte hausse (+46,7% à 848 millions FCFA). La rentabilité reste solide avec un ROE de 26,18% (largement supérieur au seuil de 15% considéré comme excellent) et un ROA de 14,64%, confirmant l'efficacité de l'entreprise à générer des profits à partir de ses fonds propres et de ses actifs. La marge nette de 10,16% et la marge opérationnelle de 16,38% traduisent une bonne maîtrise des coûts, tandis que la marge brute de 68,49% reflète un positionnement sectoriel favorable. La structure financière est saine avec une autonomie financière de 55,92% (capitaux propres/total bilan) et un endettement financier quasi nul (dette financière totale de 65,89 millions FCFA seulement, soit un ratio de dépendance financière de 1,28%). Le BFR de 257,45 millions FCFA est positif mais maîtrisé, et la trésorerie nette de 4,035 milliards FCFA offre une confortable marge de manœuvre. Les délais d'exploitation révèlent un délai client de 70,10 jours (risque de trésorerie modéré) et un délai fournisseur de 92,11 jours (favorable à la trésorerie), tandis que la durée de stockage de 29,40 jours reste raisonnable pour le secteur.</w:t>
      </w:r>
    </w:p>
    <w:p>
      <w:pPr>
        <w:spacing w:after="120" w:line="276" w:lineRule="auto"/>
      </w:pPr>
      <w:r>
        <w:t>**Estimations basées sur les rapports trimestriels** : Le rapport T1 2026 (publié le 30 avril 2026) fait état d'un chiffre d'affaires de 3,237 milliards FCFA (+1,9% vs T1 2025) mais d'une dégradation marquée de la rentabilité avec un résultat net de 222,625 millions FCFA (-35,6%) et un résultat des activités ordinaires de 327,622 millions FCFA (-27,4%). Cette contre-performance est attribuée à des ajustements de redevances aéroportuaires intervenus depuis avril 2025 et à un environnement géopolitique défavorable au Moyen-Orient affectant certaines compagnies clientes. Sur la base de ce T1 2026, on peut estimer que l'exercice 2026 devrait enregistrer une croissance modérée du chiffre d'affaires (autour de +2-3%) mais une pression persistante sur les marges, avec un résultat net annuel potentiellement en retrait par rapport à 2025. Le rapport T3 2025 (publié le 30 septembre 2025) montrait déjà un redressement avec un CA trimestriel de 10,218 milliards FCFA (+10,3%) et un résultat net de 1,325 milliard FCFA (+17,1%), mais cette dynamique semble s'être essoufflée au T1 2026. La résolution du litige avec la BCEAO (blocage des transferts de devises) reste un point de vigilance, bien que son impact semble avoir été circonscrit au T3 2025.</w:t>
      </w:r>
    </w:p>
    <w:p>
      <w:pPr>
        <w:spacing w:after="120" w:line="276" w:lineRule="auto"/>
      </w:pPr>
      <w:r>
        <w:t>**Recommandation fondamentale** : Malgré une valorisation boursière exigeante (PER 32,6x, P/B 8,54x), les fondamentaux de Servair Abidjan restent solides : rentabilité élevée (ROE 26,18%), structure financière saine (autonomie financière 55,92%), trésorerie confortable (4,035 milliards FCFA) et croissance du chiffre d'affaires (+6,67% en 2025). Cependant, la dégradation de la rentabilité au T1 2026 (-35,6% de résultat net) et les risques exogènes (tensions géopolitiques, litige réglementaire) incitent à la prudence. La recommandation fondamentale est de **Conserver** le titre pour les investisseurs déjà positionnés, en attendant une clarification sur la trajectoire bénéficiaire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révèle une situation contrastée pour Servair Abidjan. Sur le plan de la **valorisation (Partie 0)**, les ratios PER (32,6x), P/B (8,54x) et EV/EBITDA (16,9x) indiquent une nette surévaluation par rapport aux moyennes du marché BRVM, ce qui laisse peu de marge de sécurité en cas de déception sur les résultats. Le **comportement du cours (Partie 1)** est haussier (+22,24% sur 100 jours) mais accompagné d'une volatilité élevée (48,6%) et d'un skewness positif (0,880) qui suggère une asymétrie à droite — les pics haussiers ont été plus marqués que les creux, mais le titre évolue dans la partie haute de son range, ce qui limite le potentiel de hausse à court terme. Les **signaux techniques (Partie 2)** sont divergents : les moyennes mobiles et le MACD confirment la tendance haussière, mais le RSI (74,3) et le stochastique (86,4) signalent un surachat imminent, plaidant pour une correction à court terme. Les **fondamentaux (Partie 3)** restent solides (ROE 26,18%, autonomie financière 55,92%, trésorerie de 4,035 milliards FCFA) mais la dégradation de la rentabilité au T1 2026 (-35,6% de résultat net) et les risques exogènes (tensions géopolitiques, litige BCEAO) pèsent sur les perspectives. Les **prédictions IA (J+1 à J+10)** anticipent une trajectoire baissière (de 3 955 FCFA à 3 752 FCFA), ce qui confirme les signaux de surachat techniques et suggère une correction imminente.</w:t>
      </w:r>
    </w:p>
    <w:p>
      <w:pPr>
        <w:spacing w:after="120" w:line="276" w:lineRule="auto"/>
      </w:pPr>
      <w:r>
        <w:t>**Recommandation finale** : **CONSERVER** (pour les détenteurs) / **VENTE** (pour les nouveaux entrants). La convergence entre la surévaluation boursière, le surachat technique et la dégradation des résultats trimestriels plaide pour une prudence accrue à court terme, malgré des fondamentaux solides à moyen/long terme. Le niveau de confiance est **Moyen** (les signaux techniques et fondamentaux sont contradictoires), et le niveau de risque global est **Élevé** (volatilité 48,6%, valorisation exigeante, incertitudes réglementaires). L'horizon d'investissement optimal est **moyen terme (3-12 mois)** pour les investisseurs déjà positionnés, en attendant une clarification sur la trajectoire bénéficiaire 2026 et la résolution des risques exogènes. Les nouveaux entrants devraient attendre une correction vers la MM20 (3 811 FCFA) ou la borne inférieure des Bandes de Bollinger (3 339 FCFA) pour envisager une entrée avec un meilleur rapport risque/rendement.</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12,859 titres</w:t>
            </w:r>
          </w:p>
        </w:tc>
        <w:tc>
          <w:tcPr>
            <w:tcW w:type="dxa" w:w="2268"/>
            <w:shd w:fill="FFF2CC" w:val="clear"/>
          </w:tcPr>
          <w:p>
            <w:r>
              <w:rPr>
                <w:b/>
                <w:color w:val="503200"/>
                <w:sz w:val="16"/>
              </w:rPr>
              <w:t xml:space="preserve">Cours actuel : </w:t>
            </w:r>
            <w:r>
              <w:rPr>
                <w:color w:val="000000"/>
                <w:sz w:val="17"/>
              </w:rPr>
              <w:t>10,500 FCFA</w:t>
            </w:r>
          </w:p>
          <w:p>
            <w:r>
              <w:rPr>
                <w:b/>
                <w:color w:val="503200"/>
                <w:sz w:val="16"/>
              </w:rPr>
              <w:t xml:space="preserve">Var. 100 jours : </w:t>
            </w:r>
            <w:r>
              <w:rPr>
                <w:b/>
                <w:color w:val="007800"/>
                <w:sz w:val="17"/>
              </w:rPr>
              <w:t>+105.48%</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24.67% (Élevée) — μ=6,827 FCFA, σ=1,684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β=0.5357 (Défensif) — Cov=0.000018, Var(idx)=0.000034, ρ=0.144,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12,859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2026-09-17</w:t>
            </w:r>
          </w:p>
        </w:tc>
        <w:tc>
          <w:tcPr>
            <w:tcW w:type="dxa" w:w="1440"/>
            <w:shd w:fill="FFDCE0" w:val="clear"/>
          </w:tcPr>
          <w:p>
            <w:r>
              <w:rPr>
                <w:sz w:val="17"/>
              </w:rPr>
              <w:t>9,399</w:t>
            </w:r>
          </w:p>
        </w:tc>
        <w:tc>
          <w:tcPr>
            <w:tcW w:type="dxa" w:w="1440"/>
            <w:shd w:fill="FFDCE0" w:val="clear"/>
          </w:tcPr>
          <w:p>
            <w:r>
              <w:rPr>
                <w:b/>
                <w:sz w:val="17"/>
              </w:rPr>
              <w:t>9,786</w:t>
            </w:r>
          </w:p>
        </w:tc>
        <w:tc>
          <w:tcPr>
            <w:tcW w:type="dxa" w:w="1440"/>
            <w:shd w:fill="FFDCE0" w:val="clear"/>
          </w:tcPr>
          <w:p>
            <w:r>
              <w:rPr>
                <w:sz w:val="17"/>
              </w:rPr>
              <w:t>10,173</w:t>
            </w:r>
          </w:p>
        </w:tc>
        <w:tc>
          <w:tcPr>
            <w:tcW w:type="dxa" w:w="1440"/>
            <w:shd w:fill="FFDCE0" w:val="clear"/>
          </w:tcPr>
          <w:p>
            <w:r>
              <w:rPr>
                <w:b/>
                <w:color w:val="C00000"/>
                <w:sz w:val="17"/>
              </w:rPr>
              <w:t>-6.8%</w:t>
            </w:r>
          </w:p>
        </w:tc>
      </w:tr>
      <w:tr>
        <w:tc>
          <w:tcPr>
            <w:tcW w:type="dxa" w:w="1440"/>
            <w:shd w:fill="FFDCE0" w:val="clear"/>
          </w:tcPr>
          <w:p>
            <w:r>
              <w:rPr>
                <w:sz w:val="17"/>
              </w:rPr>
              <w:t>J+2  ⭐</w:t>
            </w:r>
          </w:p>
        </w:tc>
        <w:tc>
          <w:tcPr>
            <w:tcW w:type="dxa" w:w="1440"/>
            <w:shd w:fill="FFDCE0" w:val="clear"/>
          </w:tcPr>
          <w:p>
            <w:r>
              <w:rPr>
                <w:sz w:val="17"/>
              </w:rPr>
              <w:t>2026-09-18</w:t>
            </w:r>
          </w:p>
        </w:tc>
        <w:tc>
          <w:tcPr>
            <w:tcW w:type="dxa" w:w="1440"/>
            <w:shd w:fill="FFDCE0" w:val="clear"/>
          </w:tcPr>
          <w:p>
            <w:r>
              <w:rPr>
                <w:sz w:val="17"/>
              </w:rPr>
              <w:t>9,183</w:t>
            </w:r>
          </w:p>
        </w:tc>
        <w:tc>
          <w:tcPr>
            <w:tcW w:type="dxa" w:w="1440"/>
            <w:shd w:fill="FFDCE0" w:val="clear"/>
          </w:tcPr>
          <w:p>
            <w:r>
              <w:rPr>
                <w:b/>
                <w:sz w:val="17"/>
              </w:rPr>
              <w:t>9,727</w:t>
            </w:r>
          </w:p>
        </w:tc>
        <w:tc>
          <w:tcPr>
            <w:tcW w:type="dxa" w:w="1440"/>
            <w:shd w:fill="FFDCE0" w:val="clear"/>
          </w:tcPr>
          <w:p>
            <w:r>
              <w:rPr>
                <w:sz w:val="17"/>
              </w:rPr>
              <w:t>10,271</w:t>
            </w:r>
          </w:p>
        </w:tc>
        <w:tc>
          <w:tcPr>
            <w:tcW w:type="dxa" w:w="1440"/>
            <w:shd w:fill="FFDCE0" w:val="clear"/>
          </w:tcPr>
          <w:p>
            <w:r>
              <w:rPr>
                <w:b/>
                <w:color w:val="C00000"/>
                <w:sz w:val="17"/>
              </w:rPr>
              <w:t>-7.4%</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8,996</w:t>
            </w:r>
          </w:p>
        </w:tc>
        <w:tc>
          <w:tcPr>
            <w:tcW w:type="dxa" w:w="1440"/>
            <w:shd w:fill="FFDCE0" w:val="clear"/>
          </w:tcPr>
          <w:p>
            <w:r>
              <w:rPr>
                <w:b/>
                <w:sz w:val="17"/>
              </w:rPr>
              <w:t>9,658</w:t>
            </w:r>
          </w:p>
        </w:tc>
        <w:tc>
          <w:tcPr>
            <w:tcW w:type="dxa" w:w="1440"/>
            <w:shd w:fill="FFDCE0" w:val="clear"/>
          </w:tcPr>
          <w:p>
            <w:r>
              <w:rPr>
                <w:sz w:val="17"/>
              </w:rPr>
              <w:t>10,319</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8,835</w:t>
            </w:r>
          </w:p>
        </w:tc>
        <w:tc>
          <w:tcPr>
            <w:tcW w:type="dxa" w:w="1440"/>
            <w:shd w:fill="FFDCE0" w:val="clear"/>
          </w:tcPr>
          <w:p>
            <w:r>
              <w:rPr>
                <w:b/>
                <w:sz w:val="17"/>
              </w:rPr>
              <w:t>9,594</w:t>
            </w:r>
          </w:p>
        </w:tc>
        <w:tc>
          <w:tcPr>
            <w:tcW w:type="dxa" w:w="1440"/>
            <w:shd w:fill="FFDCE0" w:val="clear"/>
          </w:tcPr>
          <w:p>
            <w:r>
              <w:rPr>
                <w:sz w:val="17"/>
              </w:rPr>
              <w:t>10,352</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8,695</w:t>
            </w:r>
          </w:p>
        </w:tc>
        <w:tc>
          <w:tcPr>
            <w:tcW w:type="dxa" w:w="1440"/>
            <w:shd w:fill="FFDCE0" w:val="clear"/>
          </w:tcPr>
          <w:p>
            <w:r>
              <w:rPr>
                <w:b/>
                <w:sz w:val="17"/>
              </w:rPr>
              <w:t>9,538</w:t>
            </w:r>
          </w:p>
        </w:tc>
        <w:tc>
          <w:tcPr>
            <w:tcW w:type="dxa" w:w="1440"/>
            <w:shd w:fill="FFDCE0" w:val="clear"/>
          </w:tcPr>
          <w:p>
            <w:r>
              <w:rPr>
                <w:sz w:val="17"/>
              </w:rPr>
              <w:t>10,381</w:t>
            </w:r>
          </w:p>
        </w:tc>
        <w:tc>
          <w:tcPr>
            <w:tcW w:type="dxa" w:w="1440"/>
            <w:shd w:fill="FFDCE0" w:val="clear"/>
          </w:tcPr>
          <w:p>
            <w:r>
              <w:rPr>
                <w:b/>
                <w:color w:val="C00000"/>
                <w:sz w:val="17"/>
              </w:rPr>
              <w:t>-9.2%</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8,571</w:t>
            </w:r>
          </w:p>
        </w:tc>
        <w:tc>
          <w:tcPr>
            <w:tcW w:type="dxa" w:w="1440"/>
            <w:shd w:fill="FFDCE0" w:val="clear"/>
          </w:tcPr>
          <w:p>
            <w:r>
              <w:rPr>
                <w:b/>
                <w:sz w:val="17"/>
              </w:rPr>
              <w:t>9,490</w:t>
            </w:r>
          </w:p>
        </w:tc>
        <w:tc>
          <w:tcPr>
            <w:tcW w:type="dxa" w:w="1440"/>
            <w:shd w:fill="FFDCE0" w:val="clear"/>
          </w:tcPr>
          <w:p>
            <w:r>
              <w:rPr>
                <w:sz w:val="17"/>
              </w:rPr>
              <w:t>10,410</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8,462</w:t>
            </w:r>
          </w:p>
        </w:tc>
        <w:tc>
          <w:tcPr>
            <w:tcW w:type="dxa" w:w="1440"/>
            <w:shd w:fill="FFDCE0" w:val="clear"/>
          </w:tcPr>
          <w:p>
            <w:r>
              <w:rPr>
                <w:b/>
                <w:sz w:val="17"/>
              </w:rPr>
              <w:t>9,450</w:t>
            </w:r>
          </w:p>
        </w:tc>
        <w:tc>
          <w:tcPr>
            <w:tcW w:type="dxa" w:w="1440"/>
            <w:shd w:fill="FFDCE0" w:val="clear"/>
          </w:tcPr>
          <w:p>
            <w:r>
              <w:rPr>
                <w:sz w:val="17"/>
              </w:rPr>
              <w:t>10,439</w:t>
            </w:r>
          </w:p>
        </w:tc>
        <w:tc>
          <w:tcPr>
            <w:tcW w:type="dxa" w:w="1440"/>
            <w:shd w:fill="FFDCE0" w:val="clear"/>
          </w:tcPr>
          <w:p>
            <w:r>
              <w:rPr>
                <w:b/>
                <w:color w:val="C00000"/>
                <w:sz w:val="17"/>
              </w:rPr>
              <w:t>-10.0%</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8,363</w:t>
            </w:r>
          </w:p>
        </w:tc>
        <w:tc>
          <w:tcPr>
            <w:tcW w:type="dxa" w:w="1440"/>
            <w:shd w:fill="FFDCE0" w:val="clear"/>
          </w:tcPr>
          <w:p>
            <w:r>
              <w:rPr>
                <w:b/>
                <w:sz w:val="17"/>
              </w:rPr>
              <w:t>9,416</w:t>
            </w:r>
          </w:p>
        </w:tc>
        <w:tc>
          <w:tcPr>
            <w:tcW w:type="dxa" w:w="1440"/>
            <w:shd w:fill="FFDCE0" w:val="clear"/>
          </w:tcPr>
          <w:p>
            <w:r>
              <w:rPr>
                <w:sz w:val="17"/>
              </w:rPr>
              <w:t>10,469</w:t>
            </w:r>
          </w:p>
        </w:tc>
        <w:tc>
          <w:tcPr>
            <w:tcW w:type="dxa" w:w="1440"/>
            <w:shd w:fill="FFDCE0" w:val="clear"/>
          </w:tcPr>
          <w:p>
            <w:r>
              <w:rPr>
                <w:b/>
                <w:color w:val="C00000"/>
                <w:sz w:val="17"/>
              </w:rPr>
              <w:t>-10.3%</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8,274</w:t>
            </w:r>
          </w:p>
        </w:tc>
        <w:tc>
          <w:tcPr>
            <w:tcW w:type="dxa" w:w="1440"/>
            <w:shd w:fill="FFDCE0" w:val="clear"/>
          </w:tcPr>
          <w:p>
            <w:r>
              <w:rPr>
                <w:b/>
                <w:sz w:val="17"/>
              </w:rPr>
              <w:t>9,388</w:t>
            </w:r>
          </w:p>
        </w:tc>
        <w:tc>
          <w:tcPr>
            <w:tcW w:type="dxa" w:w="1440"/>
            <w:shd w:fill="FFDCE0" w:val="clear"/>
          </w:tcPr>
          <w:p>
            <w:r>
              <w:rPr>
                <w:sz w:val="17"/>
              </w:rPr>
              <w:t>10,501</w:t>
            </w:r>
          </w:p>
        </w:tc>
        <w:tc>
          <w:tcPr>
            <w:tcW w:type="dxa" w:w="1440"/>
            <w:shd w:fill="FFDCE0" w:val="clear"/>
          </w:tcPr>
          <w:p>
            <w:r>
              <w:rPr>
                <w:b/>
                <w:color w:val="C00000"/>
                <w:sz w:val="17"/>
              </w:rPr>
              <w:t>-10.6%</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8,193</w:t>
            </w:r>
          </w:p>
        </w:tc>
        <w:tc>
          <w:tcPr>
            <w:tcW w:type="dxa" w:w="1440"/>
            <w:shd w:fill="FFDCE0" w:val="clear"/>
          </w:tcPr>
          <w:p>
            <w:r>
              <w:rPr>
                <w:b/>
                <w:sz w:val="17"/>
              </w:rPr>
              <w:t>9,363</w:t>
            </w:r>
          </w:p>
        </w:tc>
        <w:tc>
          <w:tcPr>
            <w:tcW w:type="dxa" w:w="1440"/>
            <w:shd w:fill="FFDCE0" w:val="clear"/>
          </w:tcPr>
          <w:p>
            <w:r>
              <w:rPr>
                <w:sz w:val="17"/>
              </w:rPr>
              <w:t>10,534</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606,48 milliards FCFA, la BICB s'impose comme l'une des capitalisations les plus significatives de la cote BRVM, reflétant sa position de leader bancaire au Bénin. Le BPA de 627 FCFA/action signifie que chaque titre génère près de 627 FCFA de bénéfice net, un niveau élevé qui traduit la forte rentabilité de l'établissement. Le PER de 16,7x se situe au-dessus de la moyenne du marché BRVM (généralement 8-12x), indiquant que les investisseurs acceptent de payer une prime pour cette valeur de croissance — une valorisation modérée mais non excessive au regard de la dynamique bénéficiaire. Le P/B de 4,49x révèle en revanche une forte prime par rapport à la valeur comptable (capitaux propres de 135,1 Mds FCFA), ce qui traduit une anticipation de rentabilité future élevée mais expose à un risque de correction si la croissance ralentit. Enfin, l'EV/EBITDA de 27,1x apparaît très exigeant, la valeur d'entreprise intégrant la structure de bilan bancaire (dépôts et dettes interbancaires) étant valorisée bien au-delà de sa capacité opérationnelle immédiate.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**+105,48%**, passant d'un plus bas de 5 105 FCFA à un plus haut de 10 790 FCFA, pour un cours actuel de 10 500 FCFA (recul marginal de -0,47% sur la dernière séance). Cette tendance nettement haussière s'inscrit dans un contexte de forte appréciation du secteur bancaire ouest-africain, portée par les excellents résultats publiés. Les statistiques descriptives révèlent une moyenne de 6 827 FCFA nettement supérieure à la médiane de 6 288 FCFA, confirmant une asymétrie positive (skewness de 0,883) : le cours a passé plus de journées sous sa moyenne, mais les poussées haussières ont été suffisamment puissantes pour tirer la moyenne vers le haut. L'écart-type de 1 692 FCFA (CV de 24,8%) indique une dispersion modérée à élevée du cours, tandis que le kurtosis de -0,401 (mésokurtique) suggère une distribution proche de la normale, sans pics extrêmes marqués — un profil relativement équilibré. La volatilité annualisée de 34,5% positionne le titre dans la catégorie des valeurs à volatilité élevée (&gt;30%), ce qui implique un risque de marché significatif mais cohérent avec la forte progression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(9 546 FCFA) et la MM50 (8 177,7 FCFA) se situent toutes deux bien en dessous du cours actuel (10 500 FCFA), avec un alignement haussier classique (MM20 &gt; MM50). Cet écart positif confirme la dynamique acheteuse et justifie la décision technique d'**Achat**, bien que le cours s'éloigne sensiblement de ses supports mobiles, ce qui peut annoncer une consolidation.</w:t>
      </w:r>
    </w:p>
    <w:p>
      <w:pPr>
        <w:spacing w:after="120" w:line="276" w:lineRule="auto"/>
      </w:pPr>
      <w:r>
        <w:t>**Bandes de Bollinger** : Le cours (10 500 FCFA) évolue dans la partie haute de la bande, entre la borne inférieure (7 651 FCFA) et la borne supérieure (11 440,9 FCFA), sans franchissement de cette dernière. La décision **Neutre** reflète cette position intermédiaire : le titre n'est ni en surachat extrême ni en zone de survente, laissant une marge de progression résiduelle mais limitée.</w:t>
      </w:r>
    </w:p>
    <w:p>
      <w:pPr>
        <w:spacing w:after="120" w:line="276" w:lineRule="auto"/>
      </w:pPr>
      <w:r>
        <w:t>**MACD** : La valeur du MACD (723,74) dépasse légèrement son signal (708,18), générant un croisement haussier et un momentum positif. La décision d'**Achat** est cohérente, mais l'écart réduit entre les deux lignes suggère un essoufflement possible de la tendance à court terme.</w:t>
      </w:r>
    </w:p>
    <w:p>
      <w:pPr>
        <w:spacing w:after="120" w:line="276" w:lineRule="auto"/>
      </w:pPr>
      <w:r>
        <w:t>**RSI** : À 78,67, le RSI se situe nettement au-dessus du seuil de surachat (70), déclenchant une décision de **Vente**. Cette lecture signale que le titre a probablement capté l'essentiel de son potentiel haussier immédiat et qu'un repli technique est envisageable.</w:t>
      </w:r>
    </w:p>
    <w:p>
      <w:pPr>
        <w:spacing w:after="120" w:line="276" w:lineRule="auto"/>
      </w:pPr>
      <w:r>
        <w:t>**Stochastique** : Le %K (87,34) et le %D (88,06) évoluent tous deux en zone de surachat (&gt;80), avec un %K légèrement inférieur au %D — configuration baissière naissante. La décision de **Vente** confirme la pression vendeuse potentielle à court terme.</w:t>
      </w:r>
    </w:p>
    <w:p>
      <w:pPr>
        <w:spacing w:after="120" w:line="276" w:lineRule="auto"/>
      </w:pPr>
      <w:r>
        <w:t>**Conclusion technique** : Les indicateurs présentent une divergence classique entre tendance de fond (MM et MACD haussiers) et signaux de court terme (RSI et Stochastique en surachat). Le titre reste structurellement haussier mais affiche des signes de fatigue, plaidant pour une consolidation avant toute nouvelle jambe de hausse.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affiche un Produit Net Bancaire (PNB) de 52,805 milliards FCFA, en croissance de +16,49% sur un an, et un résultat net de 36,237 milliards FCFA. Le ROE ressort à 26,82% — un niveau excellent (&gt;15%) qui témoigne d'une création de valeur actionnariale remarquable — tandis que le ROA de 1,96% reste modeste, caractéristique du modèle bancaire à fort effet de levier. Le coefficient d'exploitation de 31,12% est remarquablement bas (&lt;60%), signalant une efficacité opérationnelle supérieure à la moyenne du secteur. Le coût du risque rapporté aux charges financières s'établit à 9,61%, un niveau élevé qui traduit un risque de crédit significatif, cohérent avec la croissance très rapide des encours (+37,3% des crédits nets à 1 151,5 Mds FCFA). Le ratio crédits nets/dépôts de 97,5% indique une transformation tendue, avec des dépôts clientèle de 1 181,0 Mds FCFA (+29,4%).</w:t>
      </w:r>
    </w:p>
    <w:p>
      <w:pPr>
        <w:spacing w:after="120" w:line="276" w:lineRule="auto"/>
      </w:pPr>
      <w:r>
        <w:t>**Évolution temporelle et estimations** : Les rapports trimestriels révèlent une trajectoire contrastée. Le rapport du **T1 2026 (publié en 2026)** montre un rebond spectaculaire : PNB de 14,6 Mds FCFA (+35%) et résultat net de 8,0 Mds FCFA (+48%), avec une marge nette de 54,3% — signalant que la normalisation du coût du risque est en cours. À l'inverse, le **rapport T3 2025 (30/09/2025)** faisait état d'un PNB de 35,9 Mds FCFA (+26%) mais d'un résultat net en recul de -9% à 13,1 Mds FCFA, la marge nette se contractant à 36,5% sous l'effet du renforcement des provisions. Le **rapport S1 2025 (30/06/2025)** confirmait cette tendance avec un coût du risque multiplié par plus de 5 (7,9 Mds FCFA). Sur la base du T1 2026, on estime que l'exercice 2026 devrait afficher une accélération du résultat net, potentiellement au-delà de 40 Mds FCFA si la dynamique se maintient. Les commissaires aux comptes (rapport 2025) ont émis une opinion sans réserve, tout en soulignant le risque de crédit (encours exposés de 1 461 Mds FCFA) et les faiblesses du système d'information comme points de vigilance. La solvabilité de 19,64% (vs 11,5% réglementaire) offre une marge de manœuvre confortable.</w:t>
      </w:r>
    </w:p>
    <w:p>
      <w:pPr>
        <w:spacing w:after="120" w:line="276" w:lineRule="auto"/>
      </w:pPr>
      <w:r>
        <w:t>**Recommandation fondamentale** : La BICB présente des fondamentaux solides (ROE excellent, efficacité opérationnelle, leadership sectoriel) mais reste exposée à un risque de crédit élevé lié à sa croissance agressive. La normalisation observée au T1 2026 est un signal positif majeur qui pourrait justifier une revalorisation.</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nuancé. **En termes de valorisation (Partie 0)**, le PER de 16,7x et le P/B de 4,49x indiquent une valorisation exigeante, intégrant déjà une large part de la croissance future — le titre n'est pas sous-évalué. **Le comportement du cours (Partie 1)** est exceptionnellement haussier (+105,48%), mais la volatilité élevée (34,5%) et le skewness positif suggèrent que le potentiel de hausse immédiat s'amenuise. **Les signaux techniques (Partie 2)** sont divergents : les moyennes mobiles et le MACD restent haussiers, mais le RSI (78,67) et le Stochastique (87-88) en zone de surachat plaident pour une consolidation à court terme. **Les fondamentaux (Partie 3)** sont solides et en amélioration, avec un T1 2026 confirmant la normalisation du coût du risque (résultat net +48%), ce qui valide la thèse d'investissement de moyen terme. **Les prédictions IA (J+1 à J+10)** anticipent une trajectoire baissière (9 786 → 9 538 FCFA), confirmant la nécessité d'une respiration technique après le rallye.</w:t>
      </w:r>
    </w:p>
    <w:p>
      <w:pPr>
        <w:spacing w:after="120" w:line="276" w:lineRule="auto"/>
      </w:pPr>
      <w:r>
        <w:t>**Recommandation finale : CONSERVER** — avec un biais positif pour les investisseurs déjà positionnés. La convergence entre fondamentaux solides (T1 2026 excellent), valorisation exigeante mais justifiée par la croissance, et signaux techniques de surachat suggère une phase de consolidation avant une reprise. Un **ACHAT** serait prématuré tant que le RSI n'est pas revenu en zone neutre (&lt;70) et que le cours n'a pas testé ses supports mobiles (MM20 à 9 546 FCFA). **Niveau de confiance : Moyen** — la visibilité sur la normalisation durable du coût du risque reste à confirmer sur les prochains trimestres. **Niveau de risque global : Élevé** — volatilité de 34,5%, valorisation tendue et exposition au risque de crédit. **Horizon d'investissement optimal : Moyen terme (3-12 mois)** — le temps que la consolidation technique s'achève et que les résultats 2026 confirment la trajectoire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528.33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668 titres</w:t>
            </w:r>
          </w:p>
        </w:tc>
        <w:tc>
          <w:tcPr>
            <w:tcW w:type="dxa" w:w="2268"/>
            <w:shd w:fill="FFF2CC" w:val="clear"/>
          </w:tcPr>
          <w:p>
            <w:r>
              <w:rPr>
                <w:b/>
                <w:color w:val="503200"/>
                <w:sz w:val="16"/>
              </w:rPr>
              <w:t xml:space="preserve">Cours actuel : </w:t>
            </w:r>
            <w:r>
              <w:rPr>
                <w:color w:val="000000"/>
                <w:sz w:val="17"/>
              </w:rPr>
              <w:t>31,700 FCFA</w:t>
            </w:r>
          </w:p>
          <w:p>
            <w:r>
              <w:rPr>
                <w:b/>
                <w:color w:val="503200"/>
                <w:sz w:val="16"/>
              </w:rPr>
              <w:t xml:space="preserve">Var. 100 jours : </w:t>
            </w:r>
            <w:r>
              <w:rPr>
                <w:b/>
                <w:color w:val="007800"/>
                <w:sz w:val="17"/>
              </w:rPr>
              <w:t>+33.73%</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7.39% (Moyenne) — μ=28,439 FCFA, σ=2,101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β=0.4989 (Défensif) — Cov=0.000017, Var(idx)=0.000034, ρ=0.174,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668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30,554</w:t>
            </w:r>
          </w:p>
        </w:tc>
        <w:tc>
          <w:tcPr>
            <w:tcW w:type="dxa" w:w="1440"/>
            <w:shd w:fill="FAFAFA" w:val="clear"/>
          </w:tcPr>
          <w:p>
            <w:r>
              <w:rPr>
                <w:b/>
                <w:sz w:val="17"/>
              </w:rPr>
              <w:t>31,700</w:t>
            </w:r>
          </w:p>
        </w:tc>
        <w:tc>
          <w:tcPr>
            <w:tcW w:type="dxa" w:w="1440"/>
            <w:shd w:fill="FAFAFA" w:val="clear"/>
          </w:tcPr>
          <w:p>
            <w:r>
              <w:rPr>
                <w:sz w:val="17"/>
              </w:rPr>
              <w:t>32,847</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30,016</w:t>
            </w:r>
          </w:p>
        </w:tc>
        <w:tc>
          <w:tcPr>
            <w:tcW w:type="dxa" w:w="1440"/>
            <w:shd w:fill="FAFAFA" w:val="clear"/>
          </w:tcPr>
          <w:p>
            <w:r>
              <w:rPr>
                <w:b/>
                <w:sz w:val="17"/>
              </w:rPr>
              <w:t>31,633</w:t>
            </w:r>
          </w:p>
        </w:tc>
        <w:tc>
          <w:tcPr>
            <w:tcW w:type="dxa" w:w="1440"/>
            <w:shd w:fill="FAFAFA" w:val="clear"/>
          </w:tcPr>
          <w:p>
            <w:r>
              <w:rPr>
                <w:sz w:val="17"/>
              </w:rPr>
              <w:t>33,251</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29,610</w:t>
            </w:r>
          </w:p>
        </w:tc>
        <w:tc>
          <w:tcPr>
            <w:tcW w:type="dxa" w:w="1440"/>
            <w:shd w:fill="FAFAFA" w:val="clear"/>
          </w:tcPr>
          <w:p>
            <w:r>
              <w:rPr>
                <w:b/>
                <w:sz w:val="17"/>
              </w:rPr>
              <w:t>31,588</w:t>
            </w:r>
          </w:p>
        </w:tc>
        <w:tc>
          <w:tcPr>
            <w:tcW w:type="dxa" w:w="1440"/>
            <w:shd w:fill="FAFAFA" w:val="clear"/>
          </w:tcPr>
          <w:p>
            <w:r>
              <w:rPr>
                <w:sz w:val="17"/>
              </w:rPr>
              <w:t>33,567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29,245</w:t>
            </w:r>
          </w:p>
        </w:tc>
        <w:tc>
          <w:tcPr>
            <w:tcW w:type="dxa" w:w="1440"/>
            <w:shd w:fill="FAFAFA" w:val="clear"/>
          </w:tcPr>
          <w:p>
            <w:r>
              <w:rPr>
                <w:b/>
                <w:sz w:val="17"/>
              </w:rPr>
              <w:t>31,525</w:t>
            </w:r>
          </w:p>
        </w:tc>
        <w:tc>
          <w:tcPr>
            <w:tcW w:type="dxa" w:w="1440"/>
            <w:shd w:fill="FAFAFA" w:val="clear"/>
          </w:tcPr>
          <w:p>
            <w:r>
              <w:rPr>
                <w:sz w:val="17"/>
              </w:rPr>
              <w:t>33,805</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28,910</w:t>
            </w:r>
          </w:p>
        </w:tc>
        <w:tc>
          <w:tcPr>
            <w:tcW w:type="dxa" w:w="1440"/>
            <w:shd w:fill="FAFAFA" w:val="clear"/>
          </w:tcPr>
          <w:p>
            <w:r>
              <w:rPr>
                <w:b/>
                <w:sz w:val="17"/>
              </w:rPr>
              <w:t>31,453</w:t>
            </w:r>
          </w:p>
        </w:tc>
        <w:tc>
          <w:tcPr>
            <w:tcW w:type="dxa" w:w="1440"/>
            <w:shd w:fill="FAFAFA" w:val="clear"/>
          </w:tcPr>
          <w:p>
            <w:r>
              <w:rPr>
                <w:sz w:val="17"/>
              </w:rPr>
              <w:t>33,996</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28,602</w:t>
            </w:r>
          </w:p>
        </w:tc>
        <w:tc>
          <w:tcPr>
            <w:tcW w:type="dxa" w:w="1440"/>
            <w:shd w:fill="FAFAFA" w:val="clear"/>
          </w:tcPr>
          <w:p>
            <w:r>
              <w:rPr>
                <w:b/>
                <w:sz w:val="17"/>
              </w:rPr>
              <w:t>31,382</w:t>
            </w:r>
          </w:p>
        </w:tc>
        <w:tc>
          <w:tcPr>
            <w:tcW w:type="dxa" w:w="1440"/>
            <w:shd w:fill="FAFAFA" w:val="clear"/>
          </w:tcPr>
          <w:p>
            <w:r>
              <w:rPr>
                <w:sz w:val="17"/>
              </w:rPr>
              <w:t>34,161</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28,317</w:t>
            </w:r>
          </w:p>
        </w:tc>
        <w:tc>
          <w:tcPr>
            <w:tcW w:type="dxa" w:w="1440"/>
            <w:shd w:fill="FAFAFA" w:val="clear"/>
          </w:tcPr>
          <w:p>
            <w:r>
              <w:rPr>
                <w:b/>
                <w:sz w:val="17"/>
              </w:rPr>
              <w:t>31,312</w:t>
            </w:r>
          </w:p>
        </w:tc>
        <w:tc>
          <w:tcPr>
            <w:tcW w:type="dxa" w:w="1440"/>
            <w:shd w:fill="FAFAFA" w:val="clear"/>
          </w:tcPr>
          <w:p>
            <w:r>
              <w:rPr>
                <w:sz w:val="17"/>
              </w:rPr>
              <w:t>34,308</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28,050</w:t>
            </w:r>
          </w:p>
        </w:tc>
        <w:tc>
          <w:tcPr>
            <w:tcW w:type="dxa" w:w="1440"/>
            <w:shd w:fill="FAFAFA" w:val="clear"/>
          </w:tcPr>
          <w:p>
            <w:r>
              <w:rPr>
                <w:b/>
                <w:sz w:val="17"/>
              </w:rPr>
              <w:t>31,245</w:t>
            </w:r>
          </w:p>
        </w:tc>
        <w:tc>
          <w:tcPr>
            <w:tcW w:type="dxa" w:w="1440"/>
            <w:shd w:fill="FAFAFA" w:val="clear"/>
          </w:tcPr>
          <w:p>
            <w:r>
              <w:rPr>
                <w:sz w:val="17"/>
              </w:rPr>
              <w:t>34,441</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27,798</w:t>
            </w:r>
          </w:p>
        </w:tc>
        <w:tc>
          <w:tcPr>
            <w:tcW w:type="dxa" w:w="1440"/>
            <w:shd w:fill="FAFAFA" w:val="clear"/>
          </w:tcPr>
          <w:p>
            <w:r>
              <w:rPr>
                <w:b/>
                <w:sz w:val="17"/>
              </w:rPr>
              <w:t>31,180</w:t>
            </w:r>
          </w:p>
        </w:tc>
        <w:tc>
          <w:tcPr>
            <w:tcW w:type="dxa" w:w="1440"/>
            <w:shd w:fill="FAFAFA" w:val="clear"/>
          </w:tcPr>
          <w:p>
            <w:r>
              <w:rPr>
                <w:sz w:val="17"/>
              </w:rPr>
              <w:t>34,563</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27,559</w:t>
            </w:r>
          </w:p>
        </w:tc>
        <w:tc>
          <w:tcPr>
            <w:tcW w:type="dxa" w:w="1440"/>
            <w:shd w:fill="FAFAFA" w:val="clear"/>
          </w:tcPr>
          <w:p>
            <w:r>
              <w:rPr>
                <w:b/>
                <w:sz w:val="17"/>
              </w:rPr>
              <w:t>31,117</w:t>
            </w:r>
          </w:p>
        </w:tc>
        <w:tc>
          <w:tcPr>
            <w:tcW w:type="dxa" w:w="1440"/>
            <w:shd w:fill="FAFAFA" w:val="clear"/>
          </w:tcPr>
          <w:p>
            <w:r>
              <w:rPr>
                <w:sz w:val="17"/>
              </w:rPr>
              <w:t>34,675</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528,33 milliards FCFA, BICC s'impose comme l'une des toutes premières capitalisations de la BRVM, ce qui en fait un pilier de l'indice BRVM Composite et un titre de référence pour les investisseurs institutionnels de la zone UEMOA. Le BPA de 2 191 FCFA par action signifie que chaque titre génère près de 2 200 FCFA de bénéfice net, un niveau remarquable qui traduit la forte rentabilité de la banque. Le PER de 14,5x situe le titre légèrement au-dessus de la moyenne historique du marché BRVM (8-12x), indiquant que les investisseurs acceptent de payer une prime modérée pour cette valeur de qualité, sans pour autant tomber dans une exubérance spéculative. En revanche, le P/B de 4,38x constitue un signal d'alerte : le marché valorise BICC à plus de quatre fois sa valeur comptable, une prime exigeante qui suppose que la rentabilité exceptionnelle actuelle (ROE de 30,3%) se maintienne durablement. Enfin, l'EV/EBITDA de 10,5x, bien qu'élevé dans l'absolu, reste cohérent avec les standards du secteur bancaire régional et confirme que la valeur d'entreprise intègre une capacité bénéficiaire solide.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spectaculaire de +33,73%, portée par la dernière séance qui affiche encore +2,09%, confirmant une dynamique haussière intacte. Le cours actuel de 31 700 FCFA se situe dans la partie haute du range de trading, dont le plus haut atteint 34 000 FCFA et le plus bas 23 705 FCFA — soit un écart de plus de 10 000 FCFA qui témoigne d'une amplitude significative. La tendance générale est clairement haussière, soutenue par des publications financières exceptionnelles et un intérêt croissant des investisseurs pour les valeurs bancaires de la BRVM. Les statistiques descriptives révèlent une moyenne de 28 439 FCFA légèrement inférieure à la médiane de 28 600 FCFA, avec un mode à 29 000 FCFA, ce qui indique une distribution quasi-symétrique (skewness de 0,234) sans biais marqué vers les valeurs extrêmes. L'écart-type de 2 111 FCFA, correspondant à un coefficient de variation de seulement 7,4%, traduit une dispersion relativement faible du cours autour de sa moyenne, ce qui est rassurant pour la stabilité du titre. Le kurtosis de 0,993 (mésokurtique) indique une distribution proche de la normale, sans risque particulier de pics extrêmes ou de queues épaisses. Enfin, la volatilité annualisée de 28,5% place BICC dans la catégorie des titres à volatilité modérée (15-30%), un profil équilibré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31 164 FCFA et la MM50 à 29 618 FCFA, toutes deux inférieures au cours actuel de 31 700 FCFA, ce qui confirme une configuration haussière avec le prix au-dessus de ses moyennes. L'écart positif entre la MM20 et la MM50 (golden cross) valide la dynamique ascendante, justifiant la décision d'achat.</w:t>
      </w:r>
    </w:p>
    <w:p>
      <w:pPr>
        <w:spacing w:after="120" w:line="276" w:lineRule="auto"/>
      </w:pPr>
      <w:r>
        <w:t>**Bandes de Bollinger :** Le cours de 31 700 FCFA évolue entre la borne inférieure (27 360 FCFA) et la borne supérieure (34 968 FCFA), se positionnant dans la moitié supérieure du canal sans atteindre la zone de surachat. Cette position médiane-haute traduit une volatilité maîtrisée et justifie la décision neutre, le titre n'étant ni surétendu ni sous-évalué techniquement.</w:t>
      </w:r>
    </w:p>
    <w:p>
      <w:pPr>
        <w:spacing w:after="120" w:line="276" w:lineRule="auto"/>
      </w:pPr>
      <w:r>
        <w:t>**MACD :** La valeur du MACD (905,5) est légèrement inférieure à son signal (962,9), générant une divergence baissière qui indique un essoufflement du momentum haussier. Cette configuration justifie la décision de vente à court terme, bien que l'écart reste marginal et puisse se résorber rapidement.</w:t>
      </w:r>
    </w:p>
    <w:p>
      <w:pPr>
        <w:spacing w:after="120" w:line="276" w:lineRule="auto"/>
      </w:pPr>
      <w:r>
        <w:t>**RSI :** À 59,2, le RSI se situe en zone neutre (30-70), sans signal de surachat (&gt;70) ni de survente (&lt;30). Cette valeur modérée indique que le titre conserve un potentiel de hausse sans être techniquement épuisé, justifiant la décision neutre.</w:t>
      </w:r>
    </w:p>
    <w:p>
      <w:pPr>
        <w:spacing w:after="120" w:line="276" w:lineRule="auto"/>
      </w:pPr>
      <w:r>
        <w:t>**Stochastique :** Le %K (48,9) est inférieur au %D (54,4), avec un croisement baissier en zone neutre. Cette configuration suggère une pression vendeuse naissante mais non confirmée, justifiant la décision neutre en l'absence de signal fort.</w:t>
      </w:r>
    </w:p>
    <w:p>
      <w:pPr>
        <w:spacing w:after="120" w:line="276" w:lineRule="auto"/>
      </w:pPr>
      <w:r>
        <w:t>**Conclusion technique :** Les indicateurs présentent un tableau mitigé : les moyennes mobiles confirment la tendance haussière de fond, tandis que le MACD et le stochastique signalent un essoufflement à court terme. Le RSI et les bandes de Bollinger restent neutres, sans excès. La convergence des signaux penche légèrement en faveur d'une consolidation avant une reprise, avec un support dynamique à 31 164 FCFA (MM20) et une résistance à 34 968 FCFA (Bollinger supérieure).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dressent le portrait d'une banque en pleine accélération : le Produit Net Bancaire (équivalent du chiffre d'affaires pour une banque) s'élève à 79,563 milliards FCFA, en croissance de 16,9% sur un an, tandis que le résultat net atteint 36,520 milliards FCFA, générant un ROE exceptionnel de 30,29% (largement supérieur au seuil d'excellence de 15%) et un ROA de 3,24%. Le coefficient d'exploitation de 50,83% — inférieur au seuil de 60% — confirme l'efficacité opérationnelle remarquable de la banque, tandis que le coût du risque de -12,15% (provisions rapportées aux charges financières) témoigne d'un portefeuille de crédits sain. La structure bilancielle est solide : les dépôts clientèle (952,872 milliards FCFA) couvrent largement les créances sur la clientèle (524,439 milliards FCFA), avec un ratio de transformation de 55%, et la couverture des intérêts par le résultat d'exploitation atteint 329,3%, un niveau de sécurité élevé. Les rapports trimestriels confirment cette dynamique : le rapport du T1 2026 (publié le 31 mars 2026) fait état d'un PNB de 21 214 millions FCFA (+17,0%) et d'un résultat net de 10 387 millions FCFA (+29,7%), avec une marge nette en amélioration à 49,0% contre 44,2% un an plus tôt. Le rapport du T3 2025 (30 septembre 2025) affichait déjà un PNB cumulé de 58 119 millions FCFA (+16,4%) et un résultat net de 27 402 millions FCFA (+50,8%), avec une marge nette de 47,1%. Sur la base de ces tendances, on peut estimer que l'exercice 2026 devrait enregistrer un PNB supérieur à 90 milliards FCFA et un résultat net approchant 45 milliards FCFA, confirmant la trajectoire de croissance à deux chiffres. Le principal point de vigilance réside dans la contraction des encours de crédits (-4,5% au T1 2026), due à des remboursements anticipés, qui pourrait à terme peser sur la marge d'intermédiation si la tendance se prolonge. Néanmoins, la forte collecte de dépôts (+14,5%) et la maîtrise des charges offrent des leviers de compensation solides. La recommandation fondamentale est donc **ACHAT**, portée par une rentabilité exceptionnelle, une structure financière saine et des perspectives de croissance robustes.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globalement favorable, bien que nuancé. Sur le plan de la **valorisation (Partie 0)**, le PER de 14,5x et le P/B de 4,38x indiquent une légère surévaluation par rapport aux standards de la BRVM, mais cette prime se justifie par la qualité exceptionnelle des fondamentaux. Le **comportement du cours (Partie 1)** est clairement haussier (+33,73% sur 100 jours), avec une volatilité modérée (28,5%) et des statistiques rassurantes (kurtosis proche de la normale, skewness symétrique), bien que la proximité du plus haut historique (34 000 FCFA) invite à la prudence. Les **signaux techniques (Partie 2)** sont mitigés : les moyennes mobiles confirment la tendance haussière, mais le MACD et le stochastique signalent un essoufflement à court terme, plaidant pour une consolidation. Les **fondamentaux (Partie 3)** sont excellents : ROE de 30,3%, coefficient d'exploitation de 50,8%, croissance du PNB de 16,9% et du résultat net de 29,7% au T1 2026, avec des estimations annuelles 2026 très positives. Les **prédictions IA (J+1 à J+10)** anticipent une légère correction vers 31 453 FCFA d'ici le 23 septembre 2026, ce qui contredit marginalement les signaux haussiers mais s'aligne sur l'essoufflement technique détecté. Compte tenu de cette convergence entre fondamentaux solides, tendance de fond haussière et consolidation technique attendue, la recommandation finale est **ACHAT**, avec un niveau de confiance **Élevé** et un risque global **Moyen**. L'horizon d'investissement optimal est le **moyen terme (3-12 mois)**, afin de laisser la consolidation technique se résorber et de bénéficier pleinement de la poursuite de la croissance bénéficiaire attendue pour l'exercice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2,895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+29.14%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13.24% (Moyenne) — μ=1,859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β=0.0497 (Défensif) — Cov=0.000002, Var(idx)=0.000034, ρ=0.009,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1,999</w:t>
            </w:r>
          </w:p>
        </w:tc>
        <w:tc>
          <w:tcPr>
            <w:tcW w:type="dxa" w:w="1440"/>
            <w:shd w:fill="FAFAFA" w:val="clear"/>
          </w:tcPr>
          <w:p>
            <w:r>
              <w:rPr>
                <w:b/>
                <w:sz w:val="17"/>
              </w:rPr>
              <w:t>2,119</w:t>
            </w:r>
          </w:p>
        </w:tc>
        <w:tc>
          <w:tcPr>
            <w:tcW w:type="dxa" w:w="1440"/>
            <w:shd w:fill="FAFAFA" w:val="clear"/>
          </w:tcPr>
          <w:p>
            <w:r>
              <w:rPr>
                <w:sz w:val="17"/>
              </w:rPr>
              <w:t>2,240</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1,920</w:t>
            </w:r>
          </w:p>
        </w:tc>
        <w:tc>
          <w:tcPr>
            <w:tcW w:type="dxa" w:w="1440"/>
            <w:shd w:fill="FAFAFA" w:val="clear"/>
          </w:tcPr>
          <w:p>
            <w:r>
              <w:rPr>
                <w:b/>
                <w:sz w:val="17"/>
              </w:rPr>
              <w:t>2,088</w:t>
            </w:r>
          </w:p>
        </w:tc>
        <w:tc>
          <w:tcPr>
            <w:tcW w:type="dxa" w:w="1440"/>
            <w:shd w:fill="FAFAFA" w:val="clear"/>
          </w:tcPr>
          <w:p>
            <w:r>
              <w:rPr>
                <w:sz w:val="17"/>
              </w:rPr>
              <w:t>2,256</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1,870</w:t>
            </w:r>
          </w:p>
        </w:tc>
        <w:tc>
          <w:tcPr>
            <w:tcW w:type="dxa" w:w="1440"/>
            <w:shd w:fill="FAFAFA" w:val="clear"/>
          </w:tcPr>
          <w:p>
            <w:r>
              <w:rPr>
                <w:b/>
                <w:sz w:val="17"/>
              </w:rPr>
              <w:t>2,074</w:t>
            </w:r>
          </w:p>
        </w:tc>
        <w:tc>
          <w:tcPr>
            <w:tcW w:type="dxa" w:w="1440"/>
            <w:shd w:fill="FAFAFA" w:val="clear"/>
          </w:tcPr>
          <w:p>
            <w:r>
              <w:rPr>
                <w:sz w:val="17"/>
              </w:rPr>
              <w:t>2,278</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1,828</w:t>
            </w:r>
          </w:p>
        </w:tc>
        <w:tc>
          <w:tcPr>
            <w:tcW w:type="dxa" w:w="1440"/>
            <w:shd w:fill="FFDCE0" w:val="clear"/>
          </w:tcPr>
          <w:p>
            <w:r>
              <w:rPr>
                <w:b/>
                <w:sz w:val="17"/>
              </w:rPr>
              <w:t>2,062</w:t>
            </w:r>
          </w:p>
        </w:tc>
        <w:tc>
          <w:tcPr>
            <w:tcW w:type="dxa" w:w="1440"/>
            <w:shd w:fill="FFDCE0" w:val="clear"/>
          </w:tcPr>
          <w:p>
            <w:r>
              <w:rPr>
                <w:sz w:val="17"/>
              </w:rPr>
              <w:t>2,297</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1,789</w:t>
            </w:r>
          </w:p>
        </w:tc>
        <w:tc>
          <w:tcPr>
            <w:tcW w:type="dxa" w:w="1440"/>
            <w:shd w:fill="FFDCE0" w:val="clear"/>
          </w:tcPr>
          <w:p>
            <w:r>
              <w:rPr>
                <w:b/>
                <w:sz w:val="17"/>
              </w:rPr>
              <w:t>2,050</w:t>
            </w:r>
          </w:p>
        </w:tc>
        <w:tc>
          <w:tcPr>
            <w:tcW w:type="dxa" w:w="1440"/>
            <w:shd w:fill="FFDCE0" w:val="clear"/>
          </w:tcPr>
          <w:p>
            <w:r>
              <w:rPr>
                <w:sz w:val="17"/>
              </w:rPr>
              <w:t>2,311</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1,754</w:t>
            </w:r>
          </w:p>
        </w:tc>
        <w:tc>
          <w:tcPr>
            <w:tcW w:type="dxa" w:w="1440"/>
            <w:shd w:fill="FFDCE0" w:val="clear"/>
          </w:tcPr>
          <w:p>
            <w:r>
              <w:rPr>
                <w:b/>
                <w:sz w:val="17"/>
              </w:rPr>
              <w:t>2,038</w:t>
            </w:r>
          </w:p>
        </w:tc>
        <w:tc>
          <w:tcPr>
            <w:tcW w:type="dxa" w:w="1440"/>
            <w:shd w:fill="FFDCE0" w:val="clear"/>
          </w:tcPr>
          <w:p>
            <w:r>
              <w:rPr>
                <w:sz w:val="17"/>
              </w:rPr>
              <w:t>2,322</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1,722</w:t>
            </w:r>
          </w:p>
        </w:tc>
        <w:tc>
          <w:tcPr>
            <w:tcW w:type="dxa" w:w="1440"/>
            <w:shd w:fill="FFDCE0" w:val="clear"/>
          </w:tcPr>
          <w:p>
            <w:r>
              <w:rPr>
                <w:b/>
                <w:sz w:val="17"/>
              </w:rPr>
              <w:t>2,026</w:t>
            </w:r>
          </w:p>
        </w:tc>
        <w:tc>
          <w:tcPr>
            <w:tcW w:type="dxa" w:w="1440"/>
            <w:shd w:fill="FFDCE0" w:val="clear"/>
          </w:tcPr>
          <w:p>
            <w:r>
              <w:rPr>
                <w:sz w:val="17"/>
              </w:rPr>
              <w:t>2,331</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1,691</w:t>
            </w:r>
          </w:p>
        </w:tc>
        <w:tc>
          <w:tcPr>
            <w:tcW w:type="dxa" w:w="1440"/>
            <w:shd w:fill="FFDCE0" w:val="clear"/>
          </w:tcPr>
          <w:p>
            <w:r>
              <w:rPr>
                <w:b/>
                <w:sz w:val="17"/>
              </w:rPr>
              <w:t>2,015</w:t>
            </w:r>
          </w:p>
        </w:tc>
        <w:tc>
          <w:tcPr>
            <w:tcW w:type="dxa" w:w="1440"/>
            <w:shd w:fill="FFDCE0" w:val="clear"/>
          </w:tcPr>
          <w:p>
            <w:r>
              <w:rPr>
                <w:sz w:val="17"/>
              </w:rPr>
              <w:t>2,339</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1,662</w:t>
            </w:r>
          </w:p>
        </w:tc>
        <w:tc>
          <w:tcPr>
            <w:tcW w:type="dxa" w:w="1440"/>
            <w:shd w:fill="FFDCE0" w:val="clear"/>
          </w:tcPr>
          <w:p>
            <w:r>
              <w:rPr>
                <w:b/>
                <w:sz w:val="17"/>
              </w:rPr>
              <w:t>2,004</w:t>
            </w:r>
          </w:p>
        </w:tc>
        <w:tc>
          <w:tcPr>
            <w:tcW w:type="dxa" w:w="1440"/>
            <w:shd w:fill="FFDCE0" w:val="clear"/>
          </w:tcPr>
          <w:p>
            <w:r>
              <w:rPr>
                <w:sz w:val="17"/>
              </w:rPr>
              <w:t>2,346</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1,636</w:t>
            </w:r>
          </w:p>
        </w:tc>
        <w:tc>
          <w:tcPr>
            <w:tcW w:type="dxa" w:w="1440"/>
            <w:shd w:fill="FFDCE0" w:val="clear"/>
          </w:tcPr>
          <w:p>
            <w:r>
              <w:rPr>
                <w:b/>
                <w:sz w:val="17"/>
              </w:rPr>
              <w:t>1,994</w:t>
            </w:r>
          </w:p>
        </w:tc>
        <w:tc>
          <w:tcPr>
            <w:tcW w:type="dxa" w:w="1440"/>
            <w:shd w:fill="FFDCE0" w:val="clear"/>
          </w:tcPr>
          <w:p>
            <w:r>
              <w:rPr>
                <w:sz w:val="17"/>
              </w:rPr>
              <w:t>2,353</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 RAPPORT D'ANALYSE FINANCIÈRE — BNBC (BERNABE Côte d'Ivoire)</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13,94 milliards FCFA, un niveau modeste à l'échelle de la BRVM qui la classe parmi les petites capitalisations du compartiment industriel. Le BPA de 3 FCFA/action traduit une rentabilité par titre quasi-symbolique, ce qui explique mécaniquement un PER de 624,8x — un niveau stratosphérique comparé à la moyenne du marché BRVM (8-12x), signifiant que les investisseurs paient environ 625 fois les bénéfices annuels pour détenir le titre. À l'inverse, le P/B de 0,78x indique que le marché valorise l'action 22% en dessous de sa valeur comptable, ce qui constitue un signal potentiel de sous-évaluation patrimoniale (les capitaux propres de 17,77 Mds FCFA dépassent la capitalisation de 13,94 Mds FCFA). Enfin, l'EV/EBITDA de 24,6x, très supérieur au seuil de 15x généralement considéré comme exigeant, suggère que la valeur d'entreprise intègre une prime spéculative ou une anticipation de redressement opérationnel non encore matérialisé dans les comptes.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affiche une progression totale de +29,14%, mais la dernière séance (J-1) enregistre une correction brutale de -7,47%, ramenant le cours à 2 105 FCFA. Le range de trading est particulièrement large, avec un plus haut à 2 400 FCFA et un plus bas à 1 300 FCFA, soit une amplitude de 84,6% qui témoigne d'une forte nervosité du titre. La tendance générale reste haussière sur la période, portée par un volume moyen de 2 895 titres/jour, mais la chute récente de -7,47% en une seule séance signale une possible prise de bénéfices ou une réaction à des nouvelles défavorables. Les statistiques descriptives révèlent une moyenne de 1 859 FCFA légèrement inférieure à la médiane de 1 910 FCFA, avec un mode à 1 990 FCFA — l'écart faible entre moyenne et médiane (2,7%) confirme une distribution globalement symétrique, cohérente avec le skewness de -0,288. L'écart-type de 247 FCFA (CV=13,3%) indique une dispersion modérée autour de la moyenne, tandis que le kurtosis de -0,535 (mésokurtique) suggère une distribution proche de la normale, sans risque excessif de pics extrêmes. La volatilité annualisée de 53,7% place le titre dans la catégorie des valeurs à volatilité élevée (&gt;30%), ce qui implique un risque de perte en capital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(2 161,25 FCFA) et la MM50 (2 014,6 FCFA) encadrent le cours actuel (2 105 FCFA), qui se situe entre les deux. Le cours est légèrement sous la MM20 mais au-dessus de la MM50, ce qui traduit une configuration haussière de fond (MM20 &gt; MM50) mais un affaiblissement court terme. La décision technique affichée est "Achat", soutenue par le croisement haussier des moyennes et la position du cours au-dessus de la MM50.</w:t>
      </w:r>
    </w:p>
    <w:p>
      <w:pPr>
        <w:spacing w:after="120" w:line="276" w:lineRule="auto"/>
      </w:pPr>
      <w:r>
        <w:t>**Bandes de Bollinger :** Le cours (2 105 FCFA) évolue dans la partie basse de la bande, entre la borne inférieure (1 914,91 FCFA) et la borne supérieure (2 407,59 FCFA), sans atteindre les extrêmes. Cette position médiane-basse, combinée à un rétrécissement des bandes, suggère une phase de consolidation avec une volatilité en compression. La décision "Neutre" reflète l'absence de signal directionnel fort, le cours n'étant ni en surachat ni en survente.</w:t>
      </w:r>
    </w:p>
    <w:p>
      <w:pPr>
        <w:spacing w:after="120" w:line="276" w:lineRule="auto"/>
      </w:pPr>
      <w:r>
        <w:t>**MACD :** La valeur du MACD (48,674) est inférieure à son signal (57,346), générant une divergence baissière qui indique un essoufflement du momentum haussier. Cette configuration, bien que le MACD reste en territoire positif, suggère que la dynamique acheteuse perd de sa vigueur. La décision "Vente" est cohérente avec ce croisement baissier, signalant une possible poursuite de la correction à court terme.</w:t>
      </w:r>
    </w:p>
    <w:p>
      <w:pPr>
        <w:spacing w:after="120" w:line="276" w:lineRule="auto"/>
      </w:pPr>
      <w:r>
        <w:t>**RSI :** À 40,206, le RSI se situe dans la zone neutre basse (30-70), sans atteindre la zone de survente (&lt;30). Cette valeur indique que le titre n'est ni suracheté ni survendu, mais penche légèrement vers la faiblesse. La décision "Neutre" reflète cette absence de signal extrême, bien que la tendance récente suggère une pression vendeuse modérée.</w:t>
      </w:r>
    </w:p>
    <w:p>
      <w:pPr>
        <w:spacing w:after="120" w:line="276" w:lineRule="auto"/>
      </w:pPr>
      <w:r>
        <w:t>**Stochastique :** Le %K (16,901) est nettement inférieur au %D (50,704), et se situe en zone de survente (&lt;20), ce qui pourrait annoncer un rebond technique à court terme. Cependant, l'absence de croisement haussier confirmé entre %K et %D tempère cette lecture. La décision "Achat" s'appuie sur la position extrême du %K, qui historiquement précède souvent un retournement à la hausse.</w:t>
      </w:r>
    </w:p>
    <w:p>
      <w:pPr>
        <w:spacing w:after="120" w:line="276" w:lineRule="auto"/>
      </w:pPr>
      <w:r>
        <w:t>**Conclusion technique :** Les indicateurs techniques présentent un tableau mitigé, avec une divergence entre les signaux de tendance (MM : Achat) et de momentum (MACD : Vente). Le RSI neutre et le Stochastique en survente suggèrent qu'un rebond technique est possible, mais la divergence baissière du MACD et la correction récente de -7,47% incitent à la prudence. La configuration globale plaide pour une consolidation avant une reprise éventuelle, avec un support clé à surveiller autour de 2 014 FCFA (MM50) et une résistance à 2 161 FCFA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BNBC a réalisé un chiffre d'affaires de 42,454 milliards FCFA, en recul de -6,31% par rapport à 2024 (45,312 milliards FCFA), confirmant une contraction de l'activité commerciale. Le résultat net s'établit à 22,318 millions FCFA, en amélioration de +205% par rapport aux 7,313 millions de 2024, mais cette progression reste purement symbolique au regard du CA. Les ratios de rentabilité sont extrêmement faibles : ROE de 0,1256% (très loin du seuil de 15% considéré comme excellent) et ROA de 0,0454%, traduisant une incapacité structurelle à générer des profits. La marge nette de 0,0526% est quasi-nulle, et la marge opérationnelle de 2,47% reste insuffisante pour couvrir les charges financières (1,031 milliards FCFA), avec un ratio de couverture des intérêts de seulement 101,74%. En tant qu'entreprise non bancaire, l'analyse des délais d'exploitation révèle un délai clients de 104,40 jours (élevé, signalant un risque de trésorerie important) et un délai fournisseurs de 116,09 jours (favorable à la trésorerie), tandis que la durée de stockage de 339,23 jours est exceptionnellement longue, immobilisant massivement du capital. Le BFR de 29,373 milliards FCFA est positif et pèse lourdement sur la trésorerie, avec une trésorerie nette de -16,689 milliards FCFA — un découvert bancaire massif qui constitue un risque de liquidité majeur. L'autonomie financière de 36,16% reste correcte (&gt;30%), mais le ratio d'endettement de 105,48% (dettes totales/capitaux propres) est préoccupant, et la capacité de remboursement de 19,17 années est très élevée.</w:t>
      </w:r>
    </w:p>
    <w:p>
      <w:pPr>
        <w:spacing w:after="120" w:line="276" w:lineRule="auto"/>
      </w:pPr>
      <w:r>
        <w:t>**Estimations basées sur les rapports trimestriels :** Le rapport du T1 2026 (publié le 31 mars 2026) indique un chiffre d'affaires stable à 11,194 milliards FCFA (-0,12% vs T1 2025) et un résultat net positif de 65,566 millions FCFA, contre une perte de -16,147 millions au T1 2025 — une amélioration spectaculaire de +81,7 millions FCFA. Cette performance est toutefois tempérée par l'intégration de la division Équipement (au 1er janvier 2026), encore en phase de montée en puissance, et par la non-reconduction d'affaires exceptionnelles de 2025. Sur la base de ce T1 2026, on peut estimer que l'exercice 2026 devrait bénéficier d'un effet base favorable et d'une amélioration progressive de la rentabilité, mais le retour à un résultat net significatif reste incertain. Le rapport du T3 2025 (30 septembre 2025) faisait état d'une perte nette cumulée de -157,03 millions FCFA sur 9 mois, avec un CA en recul de -3% à 31,83 milliards FCFA, et un objectif d'équilibre en fin d'année 2025 qui semblait ambitieux. Les rapports antérieurs (S1 2025, T1 2025, états financiers 2024) confirment une dégradation continue de la rentabilité depuis 2021, année où le résultat net atteignait 1,6 milliard FCFA (marge nette de 3,6%). La trajectoire est donc celle d'une entreprise en difficulté structurelle, dont les capitaux propres (17,77 milliards FCFA) constituent le principal rempart, mais dont la capacité à générer des cash-flows opérationnels positifs (flux opérationnel de -786,11 millions FCFA en 2025) reste très limitée. La recommandation fondamentale est donc **VENTE** pour un investisseur averse au risque, ou **CONSERVER sous surveillance** pour un investisseur spéculatif misant sur un redressement lié aux nouvelles divisions (Équipement, Power, Matériaux).</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profondément contradictoire. **Sur le plan de la valorisation (Partie 0)** , le PER de 624,8x traduit une surévaluation manifeste par rapport aux bénéfices, mais le P/B de 0,78x suggère une sous-évaluation patrimoniale — un paradoxe qui reflète la faible qualité des bénéfices actuels et la solidité des capitaux propres. **Le comportement du cours (Partie 1)** est haussier sur 100 jours (+29,14%) mais la correction récente de -7,47% et la volatilité élevée (53,7%) signalent une nervosité extrême, avec une distribution symétrique (skewness -0,288) et sans risque de pics extrêmes (kurtosis -0,535), ce qui est rassurant mais n'élimine pas le risque de perte en capital. **Les signaux techniques (Partie 2)** sont divergents : les MM donnent un signal d'achat, le MACD un signal de vente, le RSI est neutre et le Stochastique un signal d'achat — cette absence de convergence plaide pour une phase de consolidation, avec un support à 2 014 FCFA et une résistance à 2 161 FCFA. **Les fondamentaux (Partie 3)** sont préoccupants : malgré une amélioration du résultat net en 2025 (22,3 millions FCFA) et un T1 2026 positif (65,6 millions FCFA), la rentabilité reste anémique (ROE 0,13%, marge nette 0,05%), la trésorerie nette est massivement négative (-16,69 milliards FCFA) et le BFR de 29,37 milliards FCFA pèse lourdement. **Les prédictions IA (J+1 à J+10)** anticipent une trajectoire baissière graduelle de 2 119 FCFA (J+1) à 2 050 FCFA (J+10), confirmant la pression vendeuse à court terme et la consolidation attendue.</w:t>
      </w:r>
    </w:p>
    <w:p>
      <w:pPr>
        <w:spacing w:after="120" w:line="276" w:lineRule="auto"/>
      </w:pPr>
      <w:r>
        <w:t>**Recommandation finale : CONSERVER (avec surveillance renforcée)** — Cette recommandation reflète la convergence entre une valorisation patrimoniale attractive (P/B &lt; 1), des signaux techniques mitigés (consolidation attendue) et des fondamentaux fragiles mais en amélioration (T1 2026 positif). La prédiction IA d'une baisse graduelle à court terme confirme l'absence de catalyseur haussier immédiat. **Niveau de confiance : Moyen** — les données sont contradictoires et le manque de visibilité sur la rentabilité future limite la conviction. **Niveau de risque global : Élevé** — la trésorerie négative, la faible rentabilité et la volatilité du titre exposent l'investisseur à un risque de perte en capital significatif. **Horizon d'investissement optimal : Moyen terme (3-12 mois)** — le temps nécessaire pour que les nouvelles divisions (Équipement, Power, Matériaux) montent en puissance et que la rentabilité se redresse, sous réserve que la trésorerie ne se dégrade pas davantage. Un passage à **ACHAT** serait justifié si le T2 2026 confirme l'amélioration du résultat net et si le cours se stabilise au-dessus de la MM50 (2 014 FCFA). À l'inverse, une **VENTE** serait recommandée si le cours casse ce support ou si les pertes se creusent à nouveau.</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5,660 titres</w:t>
            </w:r>
          </w:p>
        </w:tc>
        <w:tc>
          <w:tcPr>
            <w:tcW w:type="dxa" w:w="2268"/>
            <w:shd w:fill="FFF2CC" w:val="clear"/>
          </w:tcPr>
          <w:p>
            <w:r>
              <w:rPr>
                <w:b/>
                <w:color w:val="503200"/>
                <w:sz w:val="16"/>
              </w:rPr>
              <w:t xml:space="preserve">Cours actuel : </w:t>
            </w:r>
            <w:r>
              <w:rPr>
                <w:color w:val="000000"/>
                <w:sz w:val="17"/>
              </w:rPr>
              <w:t>10,000 FCFA</w:t>
            </w:r>
          </w:p>
          <w:p>
            <w:r>
              <w:rPr>
                <w:b/>
                <w:color w:val="503200"/>
                <w:sz w:val="16"/>
              </w:rPr>
              <w:t xml:space="preserve">Var. 100 jours : </w:t>
            </w:r>
            <w:r>
              <w:rPr>
                <w:b/>
                <w:color w:val="007800"/>
                <w:sz w:val="17"/>
              </w:rPr>
              <w:t>+21.95%</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8,130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μ=9,108 FCFA, σ=568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β=-0.1261 (Contre-cyclique) — Cov=-0.000004, Var(idx)=0.000034, ρ=-0.045,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5,660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9,617</w:t>
            </w:r>
          </w:p>
        </w:tc>
        <w:tc>
          <w:tcPr>
            <w:tcW w:type="dxa" w:w="1440"/>
            <w:shd w:fill="FAFAFA" w:val="clear"/>
          </w:tcPr>
          <w:p>
            <w:r>
              <w:rPr>
                <w:b/>
                <w:sz w:val="17"/>
              </w:rPr>
              <w:t>9,969</w:t>
            </w:r>
          </w:p>
        </w:tc>
        <w:tc>
          <w:tcPr>
            <w:tcW w:type="dxa" w:w="1440"/>
            <w:shd w:fill="FAFAFA" w:val="clear"/>
          </w:tcPr>
          <w:p>
            <w:r>
              <w:rPr>
                <w:sz w:val="17"/>
              </w:rPr>
              <w:t>10,321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9,422</w:t>
            </w:r>
          </w:p>
        </w:tc>
        <w:tc>
          <w:tcPr>
            <w:tcW w:type="dxa" w:w="1440"/>
            <w:shd w:fill="FAFAFA" w:val="clear"/>
          </w:tcPr>
          <w:p>
            <w:r>
              <w:rPr>
                <w:b/>
                <w:sz w:val="17"/>
              </w:rPr>
              <w:t>9,917</w:t>
            </w:r>
          </w:p>
        </w:tc>
        <w:tc>
          <w:tcPr>
            <w:tcW w:type="dxa" w:w="1440"/>
            <w:shd w:fill="FAFAFA" w:val="clear"/>
          </w:tcPr>
          <w:p>
            <w:r>
              <w:rPr>
                <w:sz w:val="17"/>
              </w:rPr>
              <w:t>10,412</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9,274</w:t>
            </w:r>
          </w:p>
        </w:tc>
        <w:tc>
          <w:tcPr>
            <w:tcW w:type="dxa" w:w="1440"/>
            <w:shd w:fill="FAFAFA" w:val="clear"/>
          </w:tcPr>
          <w:p>
            <w:r>
              <w:rPr>
                <w:b/>
                <w:sz w:val="17"/>
              </w:rPr>
              <w:t>9,879</w:t>
            </w:r>
          </w:p>
        </w:tc>
        <w:tc>
          <w:tcPr>
            <w:tcW w:type="dxa" w:w="1440"/>
            <w:shd w:fill="FAFAFA" w:val="clear"/>
          </w:tcPr>
          <w:p>
            <w:r>
              <w:rPr>
                <w:sz w:val="17"/>
              </w:rPr>
              <w:t>10,483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9,146</w:t>
            </w:r>
          </w:p>
        </w:tc>
        <w:tc>
          <w:tcPr>
            <w:tcW w:type="dxa" w:w="1440"/>
            <w:shd w:fill="FAFAFA" w:val="clear"/>
          </w:tcPr>
          <w:p>
            <w:r>
              <w:rPr>
                <w:b/>
                <w:sz w:val="17"/>
              </w:rPr>
              <w:t>9,841</w:t>
            </w:r>
          </w:p>
        </w:tc>
        <w:tc>
          <w:tcPr>
            <w:tcW w:type="dxa" w:w="1440"/>
            <w:shd w:fill="FAFAFA" w:val="clear"/>
          </w:tcPr>
          <w:p>
            <w:r>
              <w:rPr>
                <w:sz w:val="17"/>
              </w:rPr>
              <w:t>10,536</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9,031</w:t>
            </w:r>
          </w:p>
        </w:tc>
        <w:tc>
          <w:tcPr>
            <w:tcW w:type="dxa" w:w="1440"/>
            <w:shd w:fill="FAFAFA" w:val="clear"/>
          </w:tcPr>
          <w:p>
            <w:r>
              <w:rPr>
                <w:b/>
                <w:sz w:val="17"/>
              </w:rPr>
              <w:t>9,805</w:t>
            </w:r>
          </w:p>
        </w:tc>
        <w:tc>
          <w:tcPr>
            <w:tcW w:type="dxa" w:w="1440"/>
            <w:shd w:fill="FAFAFA" w:val="clear"/>
          </w:tcPr>
          <w:p>
            <w:r>
              <w:rPr>
                <w:sz w:val="17"/>
              </w:rPr>
              <w:t>10,579</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8,925</w:t>
            </w:r>
          </w:p>
        </w:tc>
        <w:tc>
          <w:tcPr>
            <w:tcW w:type="dxa" w:w="1440"/>
            <w:shd w:fill="FFDCE0" w:val="clear"/>
          </w:tcPr>
          <w:p>
            <w:r>
              <w:rPr>
                <w:b/>
                <w:sz w:val="17"/>
              </w:rPr>
              <w:t>9,771</w:t>
            </w:r>
          </w:p>
        </w:tc>
        <w:tc>
          <w:tcPr>
            <w:tcW w:type="dxa" w:w="1440"/>
            <w:shd w:fill="FFDCE0" w:val="clear"/>
          </w:tcPr>
          <w:p>
            <w:r>
              <w:rPr>
                <w:sz w:val="17"/>
              </w:rPr>
              <w:t>10,616</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8,828</w:t>
            </w:r>
          </w:p>
        </w:tc>
        <w:tc>
          <w:tcPr>
            <w:tcW w:type="dxa" w:w="1440"/>
            <w:shd w:fill="FFDCE0" w:val="clear"/>
          </w:tcPr>
          <w:p>
            <w:r>
              <w:rPr>
                <w:b/>
                <w:sz w:val="17"/>
              </w:rPr>
              <w:t>9,738</w:t>
            </w:r>
          </w:p>
        </w:tc>
        <w:tc>
          <w:tcPr>
            <w:tcW w:type="dxa" w:w="1440"/>
            <w:shd w:fill="FFDCE0" w:val="clear"/>
          </w:tcPr>
          <w:p>
            <w:r>
              <w:rPr>
                <w:sz w:val="17"/>
              </w:rPr>
              <w:t>10,648</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8,737</w:t>
            </w:r>
          </w:p>
        </w:tc>
        <w:tc>
          <w:tcPr>
            <w:tcW w:type="dxa" w:w="1440"/>
            <w:shd w:fill="FFDCE0" w:val="clear"/>
          </w:tcPr>
          <w:p>
            <w:r>
              <w:rPr>
                <w:b/>
                <w:sz w:val="17"/>
              </w:rPr>
              <w:t>9,707</w:t>
            </w:r>
          </w:p>
        </w:tc>
        <w:tc>
          <w:tcPr>
            <w:tcW w:type="dxa" w:w="1440"/>
            <w:shd w:fill="FFDCE0" w:val="clear"/>
          </w:tcPr>
          <w:p>
            <w:r>
              <w:rPr>
                <w:sz w:val="17"/>
              </w:rPr>
              <w:t>10,676</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8,652</w:t>
            </w:r>
          </w:p>
        </w:tc>
        <w:tc>
          <w:tcPr>
            <w:tcW w:type="dxa" w:w="1440"/>
            <w:shd w:fill="FFDCE0" w:val="clear"/>
          </w:tcPr>
          <w:p>
            <w:r>
              <w:rPr>
                <w:b/>
                <w:sz w:val="17"/>
              </w:rPr>
              <w:t>9,677</w:t>
            </w:r>
          </w:p>
        </w:tc>
        <w:tc>
          <w:tcPr>
            <w:tcW w:type="dxa" w:w="1440"/>
            <w:shd w:fill="FFDCE0" w:val="clear"/>
          </w:tcPr>
          <w:p>
            <w:r>
              <w:rPr>
                <w:sz w:val="17"/>
              </w:rPr>
              <w:t>10,703</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8,572</w:t>
            </w:r>
          </w:p>
        </w:tc>
        <w:tc>
          <w:tcPr>
            <w:tcW w:type="dxa" w:w="1440"/>
            <w:shd w:fill="FFDCE0" w:val="clear"/>
          </w:tcPr>
          <w:p>
            <w:r>
              <w:rPr>
                <w:b/>
                <w:sz w:val="17"/>
              </w:rPr>
              <w:t>9,649</w:t>
            </w:r>
          </w:p>
        </w:tc>
        <w:tc>
          <w:tcPr>
            <w:tcW w:type="dxa" w:w="1440"/>
            <w:shd w:fill="FFDCE0" w:val="clear"/>
          </w:tcPr>
          <w:p>
            <w:r>
              <w:rPr>
                <w:sz w:val="17"/>
              </w:rPr>
              <w:t>10,727</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405,61 milliards FCFA, BOAB se positionne parmi les valeurs bancaires de premier plan de la cote BRVM, reflétant la solidité de son bilan (964,66 milliards FCFA de total actif en 2025). Le BPA de 496 FCFA/action signifie que chaque titre génère près de 500 FCFA de bénéfice net, ce qui, rapporté au cours actuel de 10 000 FCFA, aboutit à un PER de 20,2x — nettement supérieur à la moyenne du marché BRVM (8-12x), traduisant soit une forte anticipation de croissance, soit une surévaluation relative. Le P/B de 3,45x indique que le marché valorise la banque à plus de trois fois ses fonds propres comptables (117,5 milliards FCFA), une prime de croissance significative qui n'est justifiée que si la rentabilité future se maintient à un niveau élevé. Enfin, l'EV/EBITDA de 20,5x, très exigeant (seuil d'alerte &gt;15x), confirme que les investisseurs paient cher la capacité opérationnelle actuelle,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 enregistré une progression remarquable de +21,95%, portant le cours à 10 000 FCFA, malgré un repli de -1,96% lors de la dernière séance (J-1). Le titre a évolué dans un range de 8 130 FCFA (plus bas) à 10 350 FCFA (plus haut), soit une amplitude de trading de 27,3%, témoignant d'une dynamique nettement haussière portée par des publications trimestrielles solides. Les statistiques descriptives révèlent une moyenne de 9 108 FCFA supérieure à la médiane de 8 900 FCFA, avec un mode à 8 700 FCFA : cet écart confirme une distribution asymétrique positivement (skewness de 0,958), signifiant que le cours a passé plus de journées sous sa moyenne, mais que les poussées haussières ont été suffisamment fortes pour tirer la moyenne vers le haut — un profil typique d'un titre en phase d'accélération. L'écart-type de 570 FCFA (CV de 6,3%) indique une dispersion modérée du cours autour de sa moyenne, tandis que le kurtosis de -0,197 (mésokurtique) suggère une distribution proche de la normale, sans risque excessif de pics extrêmes. La volatilité annualisée de 26,1% classe BOAB dans la catégorie des titres à volatilité modérée (15-30%), ce qui reste gérable pour un investisseur de moyen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(10 089,25 FCFA) et la MM50 (9 277,0 FCFA) se situent toutes deux sous le cours actuel de 10 000 FCFA, avec une MM20 légèrement supérieure à la MM50 — configuration haussière classique (golden cross implicite). Le cours évoluant au-dessus de ses deux moyennes, la décision technique est logiquement à l'**Achat**, bien que le léger repli J-1 invite à la prudence sur le court terme.</w:t>
      </w:r>
    </w:p>
    <w:p>
      <w:pPr>
        <w:spacing w:after="120" w:line="276" w:lineRule="auto"/>
      </w:pPr>
      <w:r>
        <w:t>**Bandes de Bollinger** : Le cours (10 000 FCFA) se situe à l'intérieur des bandes, entre la borne inférieure (9 485,16 FCFA) et la borne supérieure (10 693,34 FCFA), à environ 40% de la largeur du canal depuis le bas. Cette position médiane, sans contact avec les extrêmes, justifie une décision **Neutre** : ni signal de surachat, ni opportunité de survente, la volatilité restant contenue.</w:t>
      </w:r>
    </w:p>
    <w:p>
      <w:pPr>
        <w:spacing w:after="120" w:line="276" w:lineRule="auto"/>
      </w:pPr>
      <w:r>
        <w:t>**MACD** : La valeur du MACD (257,77) est inférieure à son signal (316,34), générant un croisement baissier et une décision de **Vente**. Ce divergence négative indique un essoufflement du momentum haussier malgré la tendance de fond positive, signalant que la dynamique récente perd de sa vigueur.</w:t>
      </w:r>
    </w:p>
    <w:p>
      <w:pPr>
        <w:spacing w:after="120" w:line="276" w:lineRule="auto"/>
      </w:pPr>
      <w:r>
        <w:t>**RSI** : À 50,0 exactement, le RSI se situe parfaitement à l'équilibre entre surachat (&gt;70) et survente (&lt;30), confirmant une décision **Neutre**. Cette valeur médiane traduit un marché sans pression directionnelle forte, en phase de consolidation après la hausse des 100 derniers jours.</w:t>
      </w:r>
    </w:p>
    <w:p>
      <w:pPr>
        <w:spacing w:after="120" w:line="276" w:lineRule="auto"/>
      </w:pPr>
      <w:r>
        <w:t>**Stochastique** : Le %K (0,0) est nettement inférieur au %D (38,10), avec un %K au plancher absolu — situation de survente extrême qui génère mécaniquement une décision d'**Achat**. Ce signal contredit le MACD et suggère qu'un rebond technique pourrait se matérialiser à court terme.</w:t>
      </w:r>
    </w:p>
    <w:p>
      <w:pPr>
        <w:spacing w:after="120" w:line="276" w:lineRule="auto"/>
      </w:pPr>
      <w:r>
        <w:t>**Conclusion technique** : Les indicateurs sont divergents — les moyennes mobiles et le stochastique plaident pour l'achat, le MACD pour la vente, tandis que Bollinger et le RSI restent neutres. Cette absence de consensus traduit une phase de consolidation incertaine : le titre a fortement progressé (+21,95%) et digère ses gains, avec un biais haussier de fond (MM) mais un momentum court terme affaibli (MACD). La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des fondamentaux bancaires solides : un Produit Net Bancaire (équivalent du chiffre d'affaires) de 51,274 milliards FCFA, en croissance de 10,20% sur un an, et un résultat net de 20,107 milliards FCFA, soit une marge nette élevée de 39,22%. La rentabilité des fonds propres (ROE) s'établit à 17,11% — au-dessus du seuil d'excellence de 15% — tandis que le ROA de 2,08% reste conforme aux standards bancaires. Le coefficient d'exploitation de 49,53% classe la banque parmi les établissements les plus efficaces (&lt;50% = excellente maîtrise des charges), et le taux de couverture des intérêts (101,77%) assure une bonne capacité à absorber le coût de la dette. Toutefois, deux points de vigilance émergent : le coût du risque rapporté aux charges financières atteint 22,50%, signalant un risque de crédit significatif, et l'autonomie financière de 12,18% (capitaux propres/total bilan) reste inférieure au seuil sain de 30%, bien que ce soit structurel pour une banque dont les dépôts clientèle (711,64 milliards FCFA) constituent la ressource principale face à des créances clientèle de 391,72 milliards FCFA — un ratio de transformation de 55%, relativement prudent. Les rapports trimestriels confirment la dynamique : le T1 2026 (publié en 2026) affiche un PNB de 12,329 milliards FCFA (+11%) et un résultat net de 4,502 milliards FCFA (+1%), tandis que le T3 2025 (30/09/2025) enregistrait un PNB de 37,065 milliards FCFA (+9%) et un résultat net de 15,880 milliards FCFA (+13%). Sur la base de ces tendances, on estime que l'exercice 2026 devrait maintenir une croissance du PNB autour de 10%, avec un résultat net annuel projeté entre 20,5 et 21,5 milliards FCFA, la pression sur les coûts (croissance du résultat net limitée à +1% au T1 2026) restant le principal défi. La recommandation fondamentale est de **Conserver** : la banque est solide, rentable et efficace, mais sa valorisation exigeante et la décélération du bénéfice net appellent à la patience plutôt qu'à l'accumulation agressive.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 rapport met en évidence une divergence notable entre les différents signaux. Sur le plan de la **valorisation (Partie 0)**, les ratios PER (20,2x), P/B (3,45x) et EV/EBITDA (20,5x) indiquent une nette surévaluation par rapport aux standards du marché BRVM, le titre ayant déjà intégré une large part de ses perspectives de croissance. Le **comportement du cours (Partie 1)** reste favorable avec une tendance haussière de +21,95% sur 100 jours et une volatilité modérée (26,1%), mais l'asymétrie positive (skewness 0,958) et le repli J-1 suggèrent un essoufflement. Les **signaux techniques (Partie 2)** sont divergents : les moyennes mobiles et le stochastique plaident pour l'achat, le MACD pour la vente, le RSI et Bollinger pour la neutralité — une absence de consensus qui traduit une phase de consolidation. Les **fondamentaux (Partie 3)** demeurent solides (ROE 17,11%, coefficient d'exploitation 49,53%, PNB +10,20% en 2025), mais la décélération du résultat net au T1 2026 (+1%) et le coût du risque élevé (22,50%) tempèrent l'optimisme. Enfin, les **prédictions IA (J+1 à J+10)** anticipent une trajectoire baissière de 9 969 FCFA à 9 805 FCFA, confirmant l'essoufflement technique et contredisant la tendance haussière de fond. **Recommandation finale : CONSERVER** — la convergence entre valorisation exigeante, technique incertaine et prédictions baissières à court terme ne justifie pas un achat, mais la solidité fondamentale et la rentabilité élevée excluent une vente. Le niveau de confiance est **Moyen** (signaux divergents) et le risque global **Moyen** (volatilité modérée, valorisation tendue). L'horizon d'investissement optimal est le **moyen terme (3-12 mois)**, en attendant une clarification technique et une confirmation de la reprise de la croissance bénéficiaire.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6,765 titres</w:t>
            </w:r>
          </w:p>
        </w:tc>
        <w:tc>
          <w:tcPr>
            <w:tcW w:type="dxa" w:w="2268"/>
            <w:shd w:fill="FFF2CC" w:val="clear"/>
          </w:tcPr>
          <w:p>
            <w:r>
              <w:rPr>
                <w:b/>
                <w:color w:val="503200"/>
                <w:sz w:val="16"/>
              </w:rPr>
              <w:t xml:space="preserve">Cours actuel : </w:t>
            </w:r>
            <w:r>
              <w:rPr>
                <w:color w:val="000000"/>
                <w:sz w:val="17"/>
              </w:rPr>
              <w:t>8,150 FCFA</w:t>
            </w:r>
          </w:p>
          <w:p>
            <w:r>
              <w:rPr>
                <w:b/>
                <w:color w:val="503200"/>
                <w:sz w:val="16"/>
              </w:rPr>
              <w:t xml:space="preserve">Var. 100 jours : </w:t>
            </w:r>
            <w:r>
              <w:rPr>
                <w:b/>
                <w:color w:val="007800"/>
                <w:sz w:val="17"/>
              </w:rPr>
              <w:t>+50.37%</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18.79% (Élevée) — μ=6,568 FCFA, σ=1,234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β=0.2774 (Défensif) — Cov=0.000010, Var(idx)=0.000034, ρ=0.082,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7,928</w:t>
            </w:r>
          </w:p>
        </w:tc>
        <w:tc>
          <w:tcPr>
            <w:tcW w:type="dxa" w:w="1440"/>
            <w:shd w:fill="FAFAFA" w:val="clear"/>
          </w:tcPr>
          <w:p>
            <w:r>
              <w:rPr>
                <w:b/>
                <w:sz w:val="17"/>
              </w:rPr>
              <w:t>8,268</w:t>
            </w:r>
          </w:p>
        </w:tc>
        <w:tc>
          <w:tcPr>
            <w:tcW w:type="dxa" w:w="1440"/>
            <w:shd w:fill="FAFAFA" w:val="clear"/>
          </w:tcPr>
          <w:p>
            <w:r>
              <w:rPr>
                <w:sz w:val="17"/>
              </w:rPr>
              <w:t>8,609</w:t>
            </w:r>
          </w:p>
        </w:tc>
        <w:tc>
          <w:tcPr>
            <w:tcW w:type="dxa" w:w="1440"/>
            <w:shd w:fill="FAFAFA" w:val="clear"/>
          </w:tcPr>
          <w:p>
            <w:r>
              <w:rPr>
                <w:b/>
                <w:color w:val="008000"/>
                <w:sz w:val="17"/>
              </w:rPr>
              <w:t>+1.4%</w:t>
            </w:r>
          </w:p>
        </w:tc>
      </w:tr>
      <w:tr>
        <w:tc>
          <w:tcPr>
            <w:tcW w:type="dxa" w:w="1440"/>
            <w:shd w:fill="C6EFCE" w:val="clear"/>
          </w:tcPr>
          <w:p>
            <w:r>
              <w:rPr>
                <w:sz w:val="17"/>
              </w:rPr>
              <w:t>J+2  Moyenne</w:t>
            </w:r>
          </w:p>
        </w:tc>
        <w:tc>
          <w:tcPr>
            <w:tcW w:type="dxa" w:w="1440"/>
            <w:shd w:fill="C6EFCE" w:val="clear"/>
          </w:tcPr>
          <w:p>
            <w:r>
              <w:rPr>
                <w:sz w:val="17"/>
              </w:rPr>
              <w:t>2026-09-18</w:t>
            </w:r>
          </w:p>
        </w:tc>
        <w:tc>
          <w:tcPr>
            <w:tcW w:type="dxa" w:w="1440"/>
            <w:shd w:fill="C6EFCE" w:val="clear"/>
          </w:tcPr>
          <w:p>
            <w:r>
              <w:rPr>
                <w:sz w:val="17"/>
              </w:rPr>
              <w:t>7,854</w:t>
            </w:r>
          </w:p>
        </w:tc>
        <w:tc>
          <w:tcPr>
            <w:tcW w:type="dxa" w:w="1440"/>
            <w:shd w:fill="C6EFCE" w:val="clear"/>
          </w:tcPr>
          <w:p>
            <w:r>
              <w:rPr>
                <w:b/>
                <w:sz w:val="17"/>
              </w:rPr>
              <w:t>8,339</w:t>
            </w:r>
          </w:p>
        </w:tc>
        <w:tc>
          <w:tcPr>
            <w:tcW w:type="dxa" w:w="1440"/>
            <w:shd w:fill="C6EFCE" w:val="clear"/>
          </w:tcPr>
          <w:p>
            <w:r>
              <w:rPr>
                <w:sz w:val="17"/>
              </w:rPr>
              <w:t>8,825</w:t>
            </w:r>
          </w:p>
        </w:tc>
        <w:tc>
          <w:tcPr>
            <w:tcW w:type="dxa" w:w="1440"/>
            <w:shd w:fill="C6EFCE" w:val="clear"/>
          </w:tcPr>
          <w:p>
            <w:r>
              <w:rPr>
                <w:b/>
                <w:color w:val="008000"/>
                <w:sz w:val="17"/>
              </w:rPr>
              <w:t>+2.3%</w:t>
            </w:r>
          </w:p>
        </w:tc>
      </w:tr>
      <w:tr>
        <w:tc>
          <w:tcPr>
            <w:tcW w:type="dxa" w:w="1440"/>
            <w:shd w:fill="C6EFCE" w:val="clear"/>
          </w:tcPr>
          <w:p>
            <w:r>
              <w:rPr>
                <w:sz w:val="17"/>
              </w:rPr>
              <w:t>J+3  Moyenne</w:t>
            </w:r>
          </w:p>
        </w:tc>
        <w:tc>
          <w:tcPr>
            <w:tcW w:type="dxa" w:w="1440"/>
            <w:shd w:fill="C6EFCE" w:val="clear"/>
          </w:tcPr>
          <w:p>
            <w:r>
              <w:rPr>
                <w:sz w:val="17"/>
              </w:rPr>
              <w:t>2026-09-21</w:t>
            </w:r>
          </w:p>
        </w:tc>
        <w:tc>
          <w:tcPr>
            <w:tcW w:type="dxa" w:w="1440"/>
            <w:shd w:fill="C6EFCE" w:val="clear"/>
          </w:tcPr>
          <w:p>
            <w:r>
              <w:rPr>
                <w:sz w:val="17"/>
              </w:rPr>
              <w:t>7,794</w:t>
            </w:r>
          </w:p>
        </w:tc>
        <w:tc>
          <w:tcPr>
            <w:tcW w:type="dxa" w:w="1440"/>
            <w:shd w:fill="C6EFCE" w:val="clear"/>
          </w:tcPr>
          <w:p>
            <w:r>
              <w:rPr>
                <w:b/>
                <w:sz w:val="17"/>
              </w:rPr>
              <w:t>8,393</w:t>
            </w:r>
          </w:p>
        </w:tc>
        <w:tc>
          <w:tcPr>
            <w:tcW w:type="dxa" w:w="1440"/>
            <w:shd w:fill="C6EFCE" w:val="clear"/>
          </w:tcPr>
          <w:p>
            <w:r>
              <w:rPr>
                <w:sz w:val="17"/>
              </w:rPr>
              <w:t>8,991</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2026-09-22</w:t>
            </w:r>
          </w:p>
        </w:tc>
        <w:tc>
          <w:tcPr>
            <w:tcW w:type="dxa" w:w="1440"/>
            <w:shd w:fill="C6EFCE" w:val="clear"/>
          </w:tcPr>
          <w:p>
            <w:r>
              <w:rPr>
                <w:sz w:val="17"/>
              </w:rPr>
              <w:t>7,723</w:t>
            </w:r>
          </w:p>
        </w:tc>
        <w:tc>
          <w:tcPr>
            <w:tcW w:type="dxa" w:w="1440"/>
            <w:shd w:fill="C6EFCE" w:val="clear"/>
          </w:tcPr>
          <w:p>
            <w:r>
              <w:rPr>
                <w:b/>
                <w:sz w:val="17"/>
              </w:rPr>
              <w:t>8,417</w:t>
            </w:r>
          </w:p>
        </w:tc>
        <w:tc>
          <w:tcPr>
            <w:tcW w:type="dxa" w:w="1440"/>
            <w:shd w:fill="C6EFCE" w:val="clear"/>
          </w:tcPr>
          <w:p>
            <w:r>
              <w:rPr>
                <w:sz w:val="17"/>
              </w:rPr>
              <w:t>9,110</w:t>
            </w:r>
          </w:p>
        </w:tc>
        <w:tc>
          <w:tcPr>
            <w:tcW w:type="dxa" w:w="1440"/>
            <w:shd w:fill="C6EFCE" w:val="clear"/>
          </w:tcPr>
          <w:p>
            <w:r>
              <w:rPr>
                <w:b/>
                <w:color w:val="008000"/>
                <w:sz w:val="17"/>
              </w:rPr>
              <w:t>+3.3%</w:t>
            </w:r>
          </w:p>
        </w:tc>
      </w:tr>
      <w:tr>
        <w:tc>
          <w:tcPr>
            <w:tcW w:type="dxa" w:w="1440"/>
            <w:shd w:fill="C6EFCE" w:val="clear"/>
          </w:tcPr>
          <w:p>
            <w:r>
              <w:rPr>
                <w:sz w:val="17"/>
              </w:rPr>
              <w:t>J+5  ⭐</w:t>
            </w:r>
          </w:p>
        </w:tc>
        <w:tc>
          <w:tcPr>
            <w:tcW w:type="dxa" w:w="1440"/>
            <w:shd w:fill="C6EFCE" w:val="clear"/>
          </w:tcPr>
          <w:p>
            <w:r>
              <w:rPr>
                <w:sz w:val="17"/>
              </w:rPr>
              <w:t>2026-09-23</w:t>
            </w:r>
          </w:p>
        </w:tc>
        <w:tc>
          <w:tcPr>
            <w:tcW w:type="dxa" w:w="1440"/>
            <w:shd w:fill="C6EFCE" w:val="clear"/>
          </w:tcPr>
          <w:p>
            <w:r>
              <w:rPr>
                <w:sz w:val="17"/>
              </w:rPr>
              <w:t>7,648</w:t>
            </w:r>
          </w:p>
        </w:tc>
        <w:tc>
          <w:tcPr>
            <w:tcW w:type="dxa" w:w="1440"/>
            <w:shd w:fill="C6EFCE" w:val="clear"/>
          </w:tcPr>
          <w:p>
            <w:r>
              <w:rPr>
                <w:b/>
                <w:sz w:val="17"/>
              </w:rPr>
              <w:t>8,424</w:t>
            </w:r>
          </w:p>
        </w:tc>
        <w:tc>
          <w:tcPr>
            <w:tcW w:type="dxa" w:w="1440"/>
            <w:shd w:fill="C6EFCE" w:val="clear"/>
          </w:tcPr>
          <w:p>
            <w:r>
              <w:rPr>
                <w:sz w:val="17"/>
              </w:rPr>
              <w:t>9,199</w:t>
            </w:r>
          </w:p>
        </w:tc>
        <w:tc>
          <w:tcPr>
            <w:tcW w:type="dxa" w:w="1440"/>
            <w:shd w:fill="C6EFCE" w:val="clear"/>
          </w:tcPr>
          <w:p>
            <w:r>
              <w:rPr>
                <w:b/>
                <w:color w:val="008000"/>
                <w:sz w:val="17"/>
              </w:rPr>
              <w:t>+3.4%</w:t>
            </w:r>
          </w:p>
        </w:tc>
      </w:tr>
      <w:tr>
        <w:tc>
          <w:tcPr>
            <w:tcW w:type="dxa" w:w="1440"/>
            <w:shd w:fill="C6EFCE" w:val="clear"/>
          </w:tcPr>
          <w:p>
            <w:r>
              <w:rPr>
                <w:sz w:val="17"/>
              </w:rPr>
              <w:t>J+6  ⭐</w:t>
            </w:r>
          </w:p>
        </w:tc>
        <w:tc>
          <w:tcPr>
            <w:tcW w:type="dxa" w:w="1440"/>
            <w:shd w:fill="C6EFCE" w:val="clear"/>
          </w:tcPr>
          <w:p>
            <w:r>
              <w:rPr>
                <w:sz w:val="17"/>
              </w:rPr>
              <w:t>2026-09-24</w:t>
            </w:r>
          </w:p>
        </w:tc>
        <w:tc>
          <w:tcPr>
            <w:tcW w:type="dxa" w:w="1440"/>
            <w:shd w:fill="C6EFCE" w:val="clear"/>
          </w:tcPr>
          <w:p>
            <w:r>
              <w:rPr>
                <w:sz w:val="17"/>
              </w:rPr>
              <w:t>7,574</w:t>
            </w:r>
          </w:p>
        </w:tc>
        <w:tc>
          <w:tcPr>
            <w:tcW w:type="dxa" w:w="1440"/>
            <w:shd w:fill="C6EFCE" w:val="clear"/>
          </w:tcPr>
          <w:p>
            <w:r>
              <w:rPr>
                <w:b/>
                <w:sz w:val="17"/>
              </w:rPr>
              <w:t>8,423</w:t>
            </w:r>
          </w:p>
        </w:tc>
        <w:tc>
          <w:tcPr>
            <w:tcW w:type="dxa" w:w="1440"/>
            <w:shd w:fill="C6EFCE" w:val="clear"/>
          </w:tcPr>
          <w:p>
            <w:r>
              <w:rPr>
                <w:sz w:val="17"/>
              </w:rPr>
              <w:t>9,273</w:t>
            </w:r>
          </w:p>
        </w:tc>
        <w:tc>
          <w:tcPr>
            <w:tcW w:type="dxa" w:w="1440"/>
            <w:shd w:fill="C6EFCE" w:val="clear"/>
          </w:tcPr>
          <w:p>
            <w:r>
              <w:rPr>
                <w:b/>
                <w:color w:val="008000"/>
                <w:sz w:val="17"/>
              </w:rPr>
              <w:t>+3.4%</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7,503</w:t>
            </w:r>
          </w:p>
        </w:tc>
        <w:tc>
          <w:tcPr>
            <w:tcW w:type="dxa" w:w="1440"/>
            <w:shd w:fill="C6EFCE" w:val="clear"/>
          </w:tcPr>
          <w:p>
            <w:r>
              <w:rPr>
                <w:b/>
                <w:sz w:val="17"/>
              </w:rPr>
              <w:t>8,420</w:t>
            </w:r>
          </w:p>
        </w:tc>
        <w:tc>
          <w:tcPr>
            <w:tcW w:type="dxa" w:w="1440"/>
            <w:shd w:fill="C6EFCE" w:val="clear"/>
          </w:tcPr>
          <w:p>
            <w:r>
              <w:rPr>
                <w:sz w:val="17"/>
              </w:rPr>
              <w:t>9,337</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7,436</w:t>
            </w:r>
          </w:p>
        </w:tc>
        <w:tc>
          <w:tcPr>
            <w:tcW w:type="dxa" w:w="1440"/>
            <w:shd w:fill="C6EFCE" w:val="clear"/>
          </w:tcPr>
          <w:p>
            <w:r>
              <w:rPr>
                <w:b/>
                <w:sz w:val="17"/>
              </w:rPr>
              <w:t>8,416</w:t>
            </w:r>
          </w:p>
        </w:tc>
        <w:tc>
          <w:tcPr>
            <w:tcW w:type="dxa" w:w="1440"/>
            <w:shd w:fill="C6EFCE" w:val="clear"/>
          </w:tcPr>
          <w:p>
            <w:r>
              <w:rPr>
                <w:sz w:val="17"/>
              </w:rPr>
              <w:t>9,396</w:t>
            </w:r>
          </w:p>
        </w:tc>
        <w:tc>
          <w:tcPr>
            <w:tcW w:type="dxa" w:w="1440"/>
            <w:shd w:fill="C6EFCE" w:val="clear"/>
          </w:tcPr>
          <w:p>
            <w:r>
              <w:rPr>
                <w:b/>
                <w:color w:val="008000"/>
                <w:sz w:val="17"/>
              </w:rPr>
              <w:t>+3.3%</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7,372</w:t>
            </w:r>
          </w:p>
        </w:tc>
        <w:tc>
          <w:tcPr>
            <w:tcW w:type="dxa" w:w="1440"/>
            <w:shd w:fill="C6EFCE" w:val="clear"/>
          </w:tcPr>
          <w:p>
            <w:r>
              <w:rPr>
                <w:b/>
                <w:sz w:val="17"/>
              </w:rPr>
              <w:t>8,411</w:t>
            </w:r>
          </w:p>
        </w:tc>
        <w:tc>
          <w:tcPr>
            <w:tcW w:type="dxa" w:w="1440"/>
            <w:shd w:fill="C6EFCE" w:val="clear"/>
          </w:tcPr>
          <w:p>
            <w:r>
              <w:rPr>
                <w:sz w:val="17"/>
              </w:rPr>
              <w:t>9,451</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2026-09-30</w:t>
            </w:r>
          </w:p>
        </w:tc>
        <w:tc>
          <w:tcPr>
            <w:tcW w:type="dxa" w:w="1440"/>
            <w:shd w:fill="C6EFCE" w:val="clear"/>
          </w:tcPr>
          <w:p>
            <w:r>
              <w:rPr>
                <w:sz w:val="17"/>
              </w:rPr>
              <w:t>7,312</w:t>
            </w:r>
          </w:p>
        </w:tc>
        <w:tc>
          <w:tcPr>
            <w:tcW w:type="dxa" w:w="1440"/>
            <w:shd w:fill="C6EFCE" w:val="clear"/>
          </w:tcPr>
          <w:p>
            <w:r>
              <w:rPr>
                <w:b/>
                <w:sz w:val="17"/>
              </w:rPr>
              <w:t>8,407</w:t>
            </w:r>
          </w:p>
        </w:tc>
        <w:tc>
          <w:tcPr>
            <w:tcW w:type="dxa" w:w="1440"/>
            <w:shd w:fill="C6EFCE" w:val="clear"/>
          </w:tcPr>
          <w:p>
            <w:r>
              <w:rPr>
                <w:sz w:val="17"/>
              </w:rPr>
              <w:t>9,502</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358,60 Mds FCFA, BOABF s'impose comme l'une des valeurs bancaires de référence de la cote BRVM, portée par un BPA de 438 FCFA par action qui traduit la capacité bénéficiaire effective de la banque. Le PER de 18,6x se situe nettement au-dessus de la moyenne du marché BRVM (généralement comprise entre 8x et 12x), ce qui indique que les investisseurs acceptent de payer une prime significative pour les bénéfices de BOABF — une prime qui se justifie en partie par la solidité historique de l'établissement, mais qui expose le titre à un risque de correction si la croissance ne se matérialise pas. Le P/B de 2,83x confirme cette lecture : le marché valorise la banque à près de trois fois sa valeur comptable (capitaux propres de 126,516 Mds FCFA), ce qui traduit une prime de croissance et de qualité accordée par le marché. Enfin, l'EV/EBITDA de 8,3x, dans la fourchette raisonnable de 5x-10x, suggère que la valeur d'entreprise reste cohérente avec la capacité opérationnelle de la banque, offrant un contrepoids modérateur à la cherté relative du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enregistré une progression spectaculaire de **+50,37%**, passant d'un plus bas de 5 300 FCFA à un plus haut de 9 090 FCFA, avant de terminer à 8 150 FCFA — soit un repli de **-4,06%** lors de la dernière séance, signe d'une prise de profit après un rallye exceptionnel. Le range de trading de 3 790 FCFA (écart entre plus haut et plus bas) témoigne d'une dynamique nettement haussière sur la période, bien que la correction récente invite à la prudence sur le court terme. Les statistiques descriptives révèlent une distribution asymétrique positive (skewness de 0,765), avec une moyenne de 6 568 FCFA supérieure à la médiane de 5 958 FCFA et un mode à 5 400 FCFA : cela signifie que le cours a passé davantage de journées sous sa moyenne, les gains récents tirant la moyenne vers le haut — un schéma typique des rallyes de fin de période. L'écart-type de 1 240 FCFA (CV de 18,9%) indique une dispersion modérée du cours autour de sa moyenne, tandis que le kurtosis de -0,751 (mésokurtique) suggère une distribution proche de la normale, sans risque excessif de pics extrêmes. La volatilité annualisée de **32,5%** positionne le titre dans la catégorie des valeurs à volatilité élevée (&gt;30%), ce qui est cohérent avec un rallye de +50% et appelle à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(8 589 FCFA) et la MM50 (7 597,9 FCFA) se situent toutes deux au-dessus du cours actuel (8 150 FCFA) pour la MM20, mais en dessous pour la MM50, ce qui crée une configuration ambiguë : le cours est sous sa moyenne court terme mais au-dessus de sa moyenne moyen terme. La décision technique affichée est **Achat**, portée par la structure haussière de fond (MM50 nettement sous le cours), mais la cassure récente de la MM20 constitue un signal de vigilance.</w:t>
      </w:r>
    </w:p>
    <w:p>
      <w:pPr>
        <w:spacing w:after="120" w:line="276" w:lineRule="auto"/>
      </w:pPr>
      <w:r>
        <w:t>**Bandes de Bollinger** — Le cours actuel (8 150 FCFA) se situe dans la moitié inférieure de la bande, entre la borne inférieure (7 461,644 FCFA) et la borne supérieure (9 716,356 FCFA), sans atteindre les extrêmes. La décision est **Neutre**, ce qui reflète l'absence de signal directionnel fort : le titre n'est ni en surachat technique (proche borne supérieure) ni en survente (proche borne inférieure), laissant place à une consolidation.</w:t>
      </w:r>
    </w:p>
    <w:p>
      <w:pPr>
        <w:spacing w:after="120" w:line="276" w:lineRule="auto"/>
      </w:pPr>
      <w:r>
        <w:t>**MACD** — La valeur du MACD (323,899) est inférieure à son signal (448,042), générant une configuration baissière avec un momentum négatif. La décision **Vente** traduit un essoufflement de la dynamique haussière à court terme, le MACD ayant probablement amorcé un croisement baissier sous sa ligne de signal — signal classique de fin de rallye.</w:t>
      </w:r>
    </w:p>
    <w:p>
      <w:pPr>
        <w:spacing w:after="120" w:line="276" w:lineRule="auto"/>
      </w:pPr>
      <w:r>
        <w:t>**RSI** — À **20,064**, le RSI se situe très nettement en zone de survente (seuil &lt;30), ce qui constitue un signal d'achat technique puissant : le titre a été massivement vendu à court terme et pourrait rebondir. La décision **Achat** est cohérente avec cette lecture contrarienne, bien qu'un RSI aussi bas puisse aussi signaler une tendance baissière persistante.</w:t>
      </w:r>
    </w:p>
    <w:p>
      <w:pPr>
        <w:spacing w:after="120" w:line="276" w:lineRule="auto"/>
      </w:pPr>
      <w:r>
        <w:t>**Stochastique** — Le %K à 0,0 et le %D à 6,803 indiquent une position extrême en zone de survente, avec un %K au plancher absolu. La décision **Achat** repose sur l'anticipation d'un rebond technique imminent, le croisement %K/%D étant susceptible de se produire à la hausse depuis ces niveaux extrêmes.</w:t>
      </w:r>
    </w:p>
    <w:p>
      <w:pPr>
        <w:spacing w:after="120" w:line="276" w:lineRule="auto"/>
      </w:pPr>
      <w:r>
        <w:t>**Conclusion technique** — Les indicateurs présentent une **divergence notable** : les oscillateurs (RSI à 20, Stochastique à 0) crient à la survente et plaident pour un rebond, tandis que le MACD (vente) et la cassure de la MM20 confirment un momentum baissier de court terme. Les Bandes de Bollinger restent neutres. Cette configuration suggère une phase de consolidation ou de rebond technique à venir, mais la prudence reste de mise tant que le MACD n'aura pas amorcé de retournement haussier.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affiche un Produit Net Bancaire (PNB, équivalent du chiffre d'affaires pour une banque) de **57,820 Mds FCFA**, en quasi-stagnation (+0,6% vs 2024), et un résultat net de **19,252 Mds FCFA**, en recul de **-14,1%** par rapport aux 22,419 Mds FCFA de 2024. Le ROE s'établit à **15,22%** (au-dessus du seuil d'excellence de 15%), mais le ROA reste faible à 1,68%, reflet de la nature bancaire à fort levier. Le coefficient d'exploitation de **47,19%** est excellent (&lt;50%), témoignant d'une grande efficacité opérationnelle, tandis que le coût du risque rapporté aux charges financières atteint **33,92%** — un niveau élevé qui signale un portefeuille de crédits sous pression. La structure financière affiche une autonomie financière faible (11,01%) et un ratio d'endettement de 96,61%, typique du modèle bancaire, mais la solvabilité générale (112,38%) reste satisfaisante. Le ratio dépôts/crédits est très favorable : 877,822 Mds FCFA de dépôts clientèle pour 474,064 Mds FCFA de créances clientèle, soit une surliquidité de transformation, renforcée par 213,132 Mds FCFA de créances interbancaires.</w:t>
      </w:r>
    </w:p>
    <w:p>
      <w:pPr>
        <w:spacing w:after="120" w:line="276" w:lineRule="auto"/>
      </w:pPr>
      <w:r>
        <w:t>**Estimations basées sur les rapports trimestriels** — Les rapports narratifs révèlent une **dynamique en deux temps**. Le rapport du **T1 2026 (31/03/2026)** montre un PNB de 12,694 Mds FCFA en repli de **-10,75%** et un résultat net de 4,520 Mds FCFA (-12,99%), avec des dépôts en hausse de +6,3% mais des crédits en léger recul (-1,2%). Le rapport du **S1 2026 (30/06/2026)** confirme le repli du PNB (-5,2% à 27,539 Mds FCFA) et du RBE (-12,1%), mais le résultat net bondit de **+31,0% à 10,770 Mds FCFA**, porté par une amélioration spectaculaire du coût du risque (-65,2%, à -2,396 Mds FCFA contre -6,876 Mds un an plus tôt). Cette normalisation du risque, après le choc du S1 2025 (coût du risque multiplié par 14), explique l'essentiel du redressement de la rentabilité. **On estime donc que l'exercice 2026 devrait afficher un résultat net en nette amélioration** (potentiellement &gt;22 Mds FCFA si la tendance se poursuit), mais avec un PNB toujours sous pression baissière — la croissance commerciale reste le point faible. Le dividende de **397 FCFA/action** versé le 23/04/2026 (exercice 2025) offre un rendement d'environ 4,9% au cours actuel de 8 150 FCFA.</w:t>
      </w:r>
    </w:p>
    <w:p>
      <w:pPr>
        <w:spacing w:after="120" w:line="276" w:lineRule="auto"/>
      </w:pPr>
      <w:r>
        <w:t>**Recommandation fondamentale** — La solidité financière de BOABF est réelle (ROE &gt;15%, coefficient d'exploitation excellent, surliquidité), mais la **stagnation du PNB** et la **dépendance à la normalisation du coût du risque** constituent des risques majeurs. Les rapports récents (T1 et S1 2026) recommandent unanimement **CONSERVER**, soulignant que l'amélioration du résultat net provient d'une base de comparaison favorable sur le risque, non d'une accélération commerciale. La valorisation exigeante (PER 18,6x) laisse peu de marge d'erreur.</w:t>
      </w:r>
    </w:p>
    <w:p>
      <w:pPr>
        <w:spacing w:after="120" w:line="276" w:lineRule="auto"/>
      </w:pPr>
      <w:r>
        <w:t>---</w:t>
      </w:r>
    </w:p>
    <w:p>
      <w:pPr>
        <w:spacing w:after="120" w:line="276" w:lineRule="auto"/>
      </w:pPr>
      <w:r>
        <w:t>## PARTIE 4 : CONCLUSION D'INVESTISSEMENT</w:t>
      </w:r>
    </w:p>
    <w:p>
      <w:pPr>
        <w:spacing w:after="120" w:line="276" w:lineRule="auto"/>
      </w:pPr>
      <w:r>
        <w:t>La synthèse globale de ce rapport met en évidence une **divergence significative entre les signaux**. Sur le plan de la **valorisation (Partie 0)**, les ratios PER (18,6x) et P/B (2,83x) indiquent une **surévaluation relative** par rapport aux standards du marché BRVM, bien que l'EV/EBITDA (8,3x) reste raisonnable. Le **comportement du cours (Partie 1)** est paradoxal : un rallye exceptionnel de +50,37% sur 100 jours, suivi d'une correction de -4,06% en dernière séance, avec une volatilité élevée (32,5%) et une asymétrie positive (skewness 0,765) qui suggère que le gros de la hausse est déjà derrière nous. Les **signaux techniques (Partie 2)** sont contradictoires : les oscillateurs (RSI à 20, Stochastique à 0) plaident pour un rebond technique, mais le MACD (vente) et la cassure de la MM20 confirment un momentum baissier de court terme. Les **fondamentaux (Partie 3)** révèlent une banque solide mais en stagnation commerciale (PNB +0,6% en 2025, -5,2% au S1 2026), dont l'amélioration récente du résultat net (+31% au S1 2026) repose sur la normalisation du coût du risque plutôt que sur la croissance. Enfin, les **prédictions IA (J+1 à J+10)** anticipent une trajectoire haussière modérée (8 268 → 8 424 FCFA, soit +2,1% sur 5 jours), ce qui **confirme partiellement** les signaux d'achat des oscillateurs mais **contredit** le MACD baissier.</w:t>
      </w:r>
    </w:p>
    <w:p>
      <w:pPr>
        <w:spacing w:after="120" w:line="276" w:lineRule="auto"/>
      </w:pPr>
      <w:r>
        <w:t>**Recommandation finale : CONSERVER** — La convergence entre une valorisation exigeante, un momentum technique incertain et des fondamentaux en redressement fragile ne justifie ni un achat agressif ni une vente. Le titre a déjà intégré une grande partie de son potentiel de hausse (+50% sur 100 jours), et le PER de 18,6x laisse peu de marge de sécurité. **Niveau de confiance : Moyen** — les signaux contradictoires (RSI/Stochastique vs MACD) et la dépendance aux prochains rapports trimestriels pour confirmer la tendance du PNB imposent une certaine prudence. **Niveau de risque global : Élevé** — volatilité de 32,5%, valorisation tendue, et exposition au contexte sécuritaire burkinabè. **Horizon d'investissement optimal : Moyen terme (3-12 mois)** — le temps que les prochains rapports (T3 2026, exercice 2026) confirment ou infirment la reprise commerciale et la normalisation durable du coût du risque. Un investisseur déjà positionné peut conserver en surveillant le niveau de support des 7 461 FCFA (borne inférieure de Bollinger) ; un nouvel entrant attendra un repli vers 7 500-7 800 FCFA pour améliorer son point d'entrée.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10,730 titres</w:t>
            </w:r>
          </w:p>
        </w:tc>
        <w:tc>
          <w:tcPr>
            <w:tcW w:type="dxa" w:w="2268"/>
            <w:shd w:fill="FFF2CC" w:val="clear"/>
          </w:tcPr>
          <w:p>
            <w:r>
              <w:rPr>
                <w:b/>
                <w:color w:val="503200"/>
                <w:sz w:val="16"/>
              </w:rPr>
              <w:t xml:space="preserve">Cours actuel : </w:t>
            </w:r>
            <w:r>
              <w:rPr>
                <w:color w:val="000000"/>
                <w:sz w:val="17"/>
              </w:rPr>
              <w:t>12,150 FCFA</w:t>
            </w:r>
          </w:p>
          <w:p>
            <w:r>
              <w:rPr>
                <w:b/>
                <w:color w:val="503200"/>
                <w:sz w:val="16"/>
              </w:rPr>
              <w:t xml:space="preserve">Var. 100 jours : </w:t>
            </w:r>
            <w:r>
              <w:rPr>
                <w:b/>
                <w:color w:val="007800"/>
                <w:sz w:val="17"/>
              </w:rPr>
              <w:t>+42.94%</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8,500 FCFA</w:t>
            </w:r>
          </w:p>
          <w:p>
            <w:r>
              <w:rPr>
                <w:b/>
                <w:color w:val="503200"/>
                <w:sz w:val="16"/>
              </w:rPr>
              <w:t xml:space="preserve">Volatilité ann. : </w:t>
            </w:r>
            <w:r>
              <w:rPr>
                <w:color w:val="000000"/>
                <w:sz w:val="17"/>
              </w:rPr>
              <w:t>25.4%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15.69% (Élevée) — μ=10,231 FCFA, σ=1,605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β=-0.0149 (Contre-cyclique) — Cov=-0.000001, Var(idx)=0.000034, ρ=-0.005,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10,730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11,704</w:t>
            </w:r>
          </w:p>
        </w:tc>
        <w:tc>
          <w:tcPr>
            <w:tcW w:type="dxa" w:w="1440"/>
            <w:shd w:fill="FAFAFA" w:val="clear"/>
          </w:tcPr>
          <w:p>
            <w:r>
              <w:rPr>
                <w:b/>
                <w:sz w:val="17"/>
              </w:rPr>
              <w:t>12,029</w:t>
            </w:r>
          </w:p>
        </w:tc>
        <w:tc>
          <w:tcPr>
            <w:tcW w:type="dxa" w:w="1440"/>
            <w:shd w:fill="FAFAFA" w:val="clear"/>
          </w:tcPr>
          <w:p>
            <w:r>
              <w:rPr>
                <w:sz w:val="17"/>
              </w:rPr>
              <w:t>12,353</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11,474</w:t>
            </w:r>
          </w:p>
        </w:tc>
        <w:tc>
          <w:tcPr>
            <w:tcW w:type="dxa" w:w="1440"/>
            <w:shd w:fill="FAFAFA" w:val="clear"/>
          </w:tcPr>
          <w:p>
            <w:r>
              <w:rPr>
                <w:b/>
                <w:sz w:val="17"/>
              </w:rPr>
              <w:t>11,930</w:t>
            </w:r>
          </w:p>
        </w:tc>
        <w:tc>
          <w:tcPr>
            <w:tcW w:type="dxa" w:w="1440"/>
            <w:shd w:fill="FAFAFA" w:val="clear"/>
          </w:tcPr>
          <w:p>
            <w:r>
              <w:rPr>
                <w:sz w:val="17"/>
              </w:rPr>
              <w:t>12,386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11,282</w:t>
            </w:r>
          </w:p>
        </w:tc>
        <w:tc>
          <w:tcPr>
            <w:tcW w:type="dxa" w:w="1440"/>
            <w:shd w:fill="FFDCE0" w:val="clear"/>
          </w:tcPr>
          <w:p>
            <w:r>
              <w:rPr>
                <w:b/>
                <w:sz w:val="17"/>
              </w:rPr>
              <w:t>11,836</w:t>
            </w:r>
          </w:p>
        </w:tc>
        <w:tc>
          <w:tcPr>
            <w:tcW w:type="dxa" w:w="1440"/>
            <w:shd w:fill="FFDCE0" w:val="clear"/>
          </w:tcPr>
          <w:p>
            <w:r>
              <w:rPr>
                <w:sz w:val="17"/>
              </w:rPr>
              <w:t>12,390</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2026-09-22</w:t>
            </w:r>
          </w:p>
        </w:tc>
        <w:tc>
          <w:tcPr>
            <w:tcW w:type="dxa" w:w="1440"/>
            <w:shd w:fill="FFDCE0" w:val="clear"/>
          </w:tcPr>
          <w:p>
            <w:r>
              <w:rPr>
                <w:sz w:val="17"/>
              </w:rPr>
              <w:t>11,114</w:t>
            </w:r>
          </w:p>
        </w:tc>
        <w:tc>
          <w:tcPr>
            <w:tcW w:type="dxa" w:w="1440"/>
            <w:shd w:fill="FFDCE0" w:val="clear"/>
          </w:tcPr>
          <w:p>
            <w:r>
              <w:rPr>
                <w:b/>
                <w:sz w:val="17"/>
              </w:rPr>
              <w:t>11,748</w:t>
            </w:r>
          </w:p>
        </w:tc>
        <w:tc>
          <w:tcPr>
            <w:tcW w:type="dxa" w:w="1440"/>
            <w:shd w:fill="FFDCE0" w:val="clear"/>
          </w:tcPr>
          <w:p>
            <w:r>
              <w:rPr>
                <w:sz w:val="17"/>
              </w:rPr>
              <w:t>12,383</w:t>
            </w:r>
          </w:p>
        </w:tc>
        <w:tc>
          <w:tcPr>
            <w:tcW w:type="dxa" w:w="1440"/>
            <w:shd w:fill="FFDCE0" w:val="clear"/>
          </w:tcPr>
          <w:p>
            <w:r>
              <w:rPr>
                <w:b/>
                <w:color w:val="C00000"/>
                <w:sz w:val="17"/>
              </w:rPr>
              <w:t>-3.3%</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10,962</w:t>
            </w:r>
          </w:p>
        </w:tc>
        <w:tc>
          <w:tcPr>
            <w:tcW w:type="dxa" w:w="1440"/>
            <w:shd w:fill="FFDCE0" w:val="clear"/>
          </w:tcPr>
          <w:p>
            <w:r>
              <w:rPr>
                <w:b/>
                <w:sz w:val="17"/>
              </w:rPr>
              <w:t>11,667</w:t>
            </w:r>
          </w:p>
        </w:tc>
        <w:tc>
          <w:tcPr>
            <w:tcW w:type="dxa" w:w="1440"/>
            <w:shd w:fill="FFDCE0" w:val="clear"/>
          </w:tcPr>
          <w:p>
            <w:r>
              <w:rPr>
                <w:sz w:val="17"/>
              </w:rPr>
              <w:t>12,372</w:t>
            </w:r>
          </w:p>
        </w:tc>
        <w:tc>
          <w:tcPr>
            <w:tcW w:type="dxa" w:w="1440"/>
            <w:shd w:fill="FFDCE0" w:val="clear"/>
          </w:tcPr>
          <w:p>
            <w:r>
              <w:rPr>
                <w:b/>
                <w:color w:val="C00000"/>
                <w:sz w:val="17"/>
              </w:rPr>
              <w:t>-4.0%</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10,825</w:t>
            </w:r>
          </w:p>
        </w:tc>
        <w:tc>
          <w:tcPr>
            <w:tcW w:type="dxa" w:w="1440"/>
            <w:shd w:fill="FFDCE0" w:val="clear"/>
          </w:tcPr>
          <w:p>
            <w:r>
              <w:rPr>
                <w:b/>
                <w:sz w:val="17"/>
              </w:rPr>
              <w:t>11,592</w:t>
            </w:r>
          </w:p>
        </w:tc>
        <w:tc>
          <w:tcPr>
            <w:tcW w:type="dxa" w:w="1440"/>
            <w:shd w:fill="FFDCE0" w:val="clear"/>
          </w:tcPr>
          <w:p>
            <w:r>
              <w:rPr>
                <w:sz w:val="17"/>
              </w:rPr>
              <w:t>12,359</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10,698</w:t>
            </w:r>
          </w:p>
        </w:tc>
        <w:tc>
          <w:tcPr>
            <w:tcW w:type="dxa" w:w="1440"/>
            <w:shd w:fill="FFDCE0" w:val="clear"/>
          </w:tcPr>
          <w:p>
            <w:r>
              <w:rPr>
                <w:b/>
                <w:sz w:val="17"/>
              </w:rPr>
              <w:t>11,522</w:t>
            </w:r>
          </w:p>
        </w:tc>
        <w:tc>
          <w:tcPr>
            <w:tcW w:type="dxa" w:w="1440"/>
            <w:shd w:fill="FFDCE0" w:val="clear"/>
          </w:tcPr>
          <w:p>
            <w:r>
              <w:rPr>
                <w:sz w:val="17"/>
              </w:rPr>
              <w:t>12,345</w:t>
            </w:r>
          </w:p>
        </w:tc>
        <w:tc>
          <w:tcPr>
            <w:tcW w:type="dxa" w:w="1440"/>
            <w:shd w:fill="FFDCE0" w:val="clear"/>
          </w:tcPr>
          <w:p>
            <w:r>
              <w:rPr>
                <w:b/>
                <w:color w:val="C00000"/>
                <w:sz w:val="17"/>
              </w:rPr>
              <w:t>-5.2%</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10,581</w:t>
            </w:r>
          </w:p>
        </w:tc>
        <w:tc>
          <w:tcPr>
            <w:tcW w:type="dxa" w:w="1440"/>
            <w:shd w:fill="FFDCE0" w:val="clear"/>
          </w:tcPr>
          <w:p>
            <w:r>
              <w:rPr>
                <w:b/>
                <w:sz w:val="17"/>
              </w:rPr>
              <w:t>11,456</w:t>
            </w:r>
          </w:p>
        </w:tc>
        <w:tc>
          <w:tcPr>
            <w:tcW w:type="dxa" w:w="1440"/>
            <w:shd w:fill="FFDCE0" w:val="clear"/>
          </w:tcPr>
          <w:p>
            <w:r>
              <w:rPr>
                <w:sz w:val="17"/>
              </w:rPr>
              <w:t>12,332</w:t>
            </w:r>
          </w:p>
        </w:tc>
        <w:tc>
          <w:tcPr>
            <w:tcW w:type="dxa" w:w="1440"/>
            <w:shd w:fill="FFDCE0" w:val="clear"/>
          </w:tcPr>
          <w:p>
            <w:r>
              <w:rPr>
                <w:b/>
                <w:color w:val="C00000"/>
                <w:sz w:val="17"/>
              </w:rPr>
              <w:t>-5.7%</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10,472</w:t>
            </w:r>
          </w:p>
        </w:tc>
        <w:tc>
          <w:tcPr>
            <w:tcW w:type="dxa" w:w="1440"/>
            <w:shd w:fill="FFDCE0" w:val="clear"/>
          </w:tcPr>
          <w:p>
            <w:r>
              <w:rPr>
                <w:b/>
                <w:sz w:val="17"/>
              </w:rPr>
              <w:t>11,395</w:t>
            </w:r>
          </w:p>
        </w:tc>
        <w:tc>
          <w:tcPr>
            <w:tcW w:type="dxa" w:w="1440"/>
            <w:shd w:fill="FFDCE0" w:val="clear"/>
          </w:tcPr>
          <w:p>
            <w:r>
              <w:rPr>
                <w:sz w:val="17"/>
              </w:rPr>
              <w:t>12,319</w:t>
            </w:r>
          </w:p>
        </w:tc>
        <w:tc>
          <w:tcPr>
            <w:tcW w:type="dxa" w:w="1440"/>
            <w:shd w:fill="FFDCE0" w:val="clear"/>
          </w:tcPr>
          <w:p>
            <w:r>
              <w:rPr>
                <w:b/>
                <w:color w:val="C00000"/>
                <w:sz w:val="17"/>
              </w:rPr>
              <w:t>-6.2%</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10,370</w:t>
            </w:r>
          </w:p>
        </w:tc>
        <w:tc>
          <w:tcPr>
            <w:tcW w:type="dxa" w:w="1440"/>
            <w:shd w:fill="FFDCE0" w:val="clear"/>
          </w:tcPr>
          <w:p>
            <w:r>
              <w:rPr>
                <w:b/>
                <w:sz w:val="17"/>
              </w:rPr>
              <w:t>11,339</w:t>
            </w:r>
          </w:p>
        </w:tc>
        <w:tc>
          <w:tcPr>
            <w:tcW w:type="dxa" w:w="1440"/>
            <w:shd w:fill="FFDCE0" w:val="clear"/>
          </w:tcPr>
          <w:p>
            <w:r>
              <w:rPr>
                <w:sz w:val="17"/>
              </w:rPr>
              <w:t>12,307</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486,00 Mds FCFA, BOAC s'impose comme l'une des valeurs bancaires de référence de la cote BRVM, portée par un BPA de 888 FCFA/action qui traduit la capacité bénéficiaire élevée de chaque titre. Le PER de 13,7x situe le titre légèrement au-dessus de la moyenne du marché BRVM (8-12x), ce qui indique que les investisseurs acceptent de payer une prime modérée pour la qualité de la rentabilité, sans pour autant basculer dans une surévaluation excessive. Le P/B de 3,82x confirme cette prime de croissance : le marché valorise la banque près de quatre fois ses fonds propres comptables (127,34 Mds FCFA), un niveau élevé mais cohérent avec un ROE de 27,9%. En revanche, l'EV/EBITDA de 27,1x apparaît très exigeant (&gt;15x), signalant que la valeur d'entreprise intègre déjà une bonne partie des anticipations de performance opérationnelle. Globalement, la valorisation est raisonnable sur le PER, mais tendue sur le P/B et l'EV/EBITDA,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BOAC affiche une progression spectaculaire de +42,94%, avec un cours actuel de 12 150 FCFA, en léger repli de -0,41% sur la dernière séance (J-1). Le titre a évolué dans un range très large de 8 500 FCFA (plus bas) à 13 450 FCFA (plus haut), soit une amplitude de près de 58%, témoignant d'une dynamique haussière puissante mais ponctuée de corrections. La tendance générale est donc nettement haussière, soutenue par des volumes moyens quotidiens de 10 730 titres, signe d'un intérêt soutenu des investisseurs. Les statistiques descriptives révèlent une moyenne de 10 231 FCFA nettement supérieure à la médiane de 9 410 FCFA, ce qui confirme une asymétrie positive (skewness de 0,676) : le cours a passé plus de journées sous sa moyenne, mais les poussées haussières ont été suffisamment fortes pour tirer la moyenne vers le haut. L'écart-type de 1 613 FCFA (CV de 15,8%) traduit une dispersion modérée du cours, tandis que le kurtosis négatif (-1,178, distribution platykurtique) indique une faible concentration des rendements et un risque de pics extrêmes limité. Enfin, la volatilité annualisée de 25,4% positionne le titre dans la catégorie des valeurs à volatilité modérée (15-30%), ce qui reste acceptable pour une action bancaire en phase de forte appréciation.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(12 592,75 FCFA) et la MM50 (11 532,80 FCFA) sont toutes deux inférieures au cours actuel (12 150 FCFA) pour la MM20, mais la MM50 reste bien en dessous, ce qui confirme une structure haussière de moyen terme. Le croisement des moyennes mobiles en configuration haussière (MM20 &gt; MM50) justifie la décision d'**Achat**, bien que le cours évolue légèrement sous sa MM20, signalant une consolidation de court terme.</w:t>
      </w:r>
    </w:p>
    <w:p>
      <w:pPr>
        <w:spacing w:after="120" w:line="276" w:lineRule="auto"/>
      </w:pPr>
      <w:r>
        <w:t>**Bandes de Bollinger** : Le cours (12 150 FCFA) se situe à l'intérieur des bandes, entre la borne inférieure (11 936,99 FCFA) et la borne supérieure (13 248,51 FCFA), mais plus proche de la borne basse. Cette position médiane-basse traduit une volatilité contenue et une absence de signal directionnel fort, d'où la décision **Neutre** ; le titre n'est ni en surachat ni en survente selon ce canal.</w:t>
      </w:r>
    </w:p>
    <w:p>
      <w:pPr>
        <w:spacing w:after="120" w:line="276" w:lineRule="auto"/>
      </w:pPr>
      <w:r>
        <w:t>**MACD** : La valeur du MACD (147,694) est nettement inférieure à son signal (283,95), ce qui génère une divergence baissière et un momentum négatif. Cette configuration indique un essoufflement de la dynamique haussière récente et justifie la décision de **Vente** à court terme, bien que le MACD reste en territoire positif.</w:t>
      </w:r>
    </w:p>
    <w:p>
      <w:pPr>
        <w:spacing w:after="120" w:line="276" w:lineRule="auto"/>
      </w:pPr>
      <w:r>
        <w:t>**RSI** : À 21,649, le RSI est largement en dessous du seuil de survente (30), ce qui constitue un signal de **Achat** puissant. Le titre apparaît techniquement survendu après la correction récente, ce qui pourrait précéder un rebond technique.</w:t>
      </w:r>
    </w:p>
    <w:p>
      <w:pPr>
        <w:spacing w:after="120" w:line="276" w:lineRule="auto"/>
      </w:pPr>
      <w:r>
        <w:t>**Stochastique** : Le %K (0,0) et le %D (6,195) sont tous deux en zone de survente extrême, avec un %K au plancher absolu. Cette configuration, bien que baissière en apparence, est typique d'un point de retournement potentiel et justifie la décision de **Achat** ; un croisement haussier du %K au-dessus du %D serait un signal de confirmation.</w:t>
      </w:r>
    </w:p>
    <w:p>
      <w:pPr>
        <w:spacing w:after="120" w:line="276" w:lineRule="auto"/>
      </w:pPr>
      <w:r>
        <w:t>**Conclusion technique** : Les indicateurs sont divergents — les moyennes mobiles et le RSI/Stochastique plaident pour un achat (survente, tendance de fond haussière), tandis que le MACD et les Bandes de Bollinger incitent à la prudence (momentum négatif, cours sous la MM20). Cette divergence suggère une phase de consolidation avant une reprise potentielle, avec un avantage aux acheteurs compte tenu de la survente extrême du RSI et du Stochastique.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BOAC affiche des fondamentaux solides : le Produit Net Bancaire (PNB, équivalent du chiffre d'affaires pour une banque) s'établit à 73 545 millions FCFA, en hausse de +1,1% par rapport à 2024 (72 724 millions), tandis que le résultat net progresse de +10,9% à 35 540 millions FCFA (contre 32 045 millions en 2024). La rentabilité est excellente avec un ROE de 27,91% (&gt;15% = excellent) et un ROA de 3,22%, confirmant la capacité de la banque à générer des profits sur ses fonds propres et ses actifs. Le coefficient d'exploitation de 36,70% (&lt;60% = banque efficace, &lt;50% = excellente) témoigne d'une maîtrise remarquable des charges, tandis que le coût du risque rapporté aux charges financières (6,67%) reste modéré, bien qu'en légère dégradation. La structure financière montre une autonomie financière de 11,54% (faible, mais normale pour une banque) et une solvabilité générale de 113,05% (&gt;1 = solvable), avec des dépôts clientèle de 850 548 millions FCFA couvrant largement les créances clientèle de 430 433 millions FCFA, soit un ratio de transformation de 50,6% qui indique une marge de croissance sur le crédit. Les rapports trimestriels récents confirment cette dynamique : le T1 2026 (rapport du 31/03/2026) affiche un PNB de 18 960 millions FCFA (+3,09% sur un an) et un résultat net de 10 801 millions FCFA (+0,91%), mais avec un coût net du risque bondissant de +314,75% (-652 vs -157 millions FCFA), un point de vigilance majeur. Le rapport annuel 2025 (états financiers clos au 31/12/2025) souligne une amélioration du coût du risque (-27,8% à -4 902 millions) et une hausse des créances en souffrance de +52,1%, avec un taux de sinistralité de 8,59% et un taux de provisionnement de 65,76%. Sur la base du T1 2026, on peut estimer que l'exercice 2026 devrait maintenir une croissance modérée du PNB (autour de +3%) et un résultat net stable, mais la dégradation brutale du coût du risque au T1 2026 pourrait peser sur les trimestres suivants si elle se confirme. La recommandation fondamentale est donc **CONSERVER** : la banque est solide, rentable et bien capitalisée, mais les risques de crédit émergents et la valorisation tendue limitent le potentiel haussier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(Partie 0) est raisonnable sur le PER (13,7x) mais tendue sur le P/B (3,82x) et l'EV/EBITDA (27,1x), ce qui suggère une action correctement valorisée, sans marge de sécurité évidente. Le comportement du cours (Partie 1) est nettement haussier (+42,94% sur 100 jours) avec une volatilité modérée (25,4%) et une asymétrie positive (skewness de 0,676), mais la correction récente (-0,41% J-1) et la position sous la MM20 signalent une consolidation. Les signaux techniques (Partie 2) sont divergents : le RSI (21,6) et le Stochastique (0,0) en survente extrême plaident pour un rebond, tandis que le MACD baissier et les Bandes de Bollinger neutres incitent à la prudence. Les fondamentaux (Partie 3) restent solides (ROE de 27,9%, coefficient d'exploitation de 36,7%, résultat net 2025 de 35 540 millions FCFA), mais le coût du risque au T1 2026 (+314,75%) constitue un signal d'alerte. Les prédictions IA (J+1 à J+10) anticipent une trajectoire baissière de 12 029 FCFA à 11 667 FCFA, ce qui contredit les signaux de survente technique et suggère une poursuite de la consolidation à court terme. Sur la base de cette synthèse, la recommandation finale est **CONSERVER** : la convergence entre une valorisation sans décote, des fondamentaux solides mais menacés par le risque de crédit, et des prédictions baissières à court terme ne justifie ni un achat agressif ni une vente. Le niveau de confiance est **Moyen** (divergence entre technique et fondamental), le risque global est **Moyen** (volatilité modérée, mais dégradation du coût du risque), et l'horizon d'investissement optimal est le **moyen terme (3-12 mois)**, le temps que la banque confirme ou infirme la tendance de son coût du risque et que la consolidation technique s'achève.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192.01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6,317 titres</w:t>
            </w:r>
          </w:p>
        </w:tc>
        <w:tc>
          <w:tcPr>
            <w:tcW w:type="dxa" w:w="2268"/>
            <w:shd w:fill="FFF2CC" w:val="clear"/>
          </w:tcPr>
          <w:p>
            <w:r>
              <w:rPr>
                <w:b/>
                <w:color w:val="503200"/>
                <w:sz w:val="16"/>
              </w:rPr>
              <w:t xml:space="preserve">Cours actuel : </w:t>
            </w:r>
            <w:r>
              <w:rPr>
                <w:color w:val="000000"/>
                <w:sz w:val="17"/>
              </w:rPr>
              <w:t>6,995 FCFA</w:t>
            </w:r>
          </w:p>
          <w:p>
            <w:r>
              <w:rPr>
                <w:b/>
                <w:color w:val="503200"/>
                <w:sz w:val="16"/>
              </w:rPr>
              <w:t xml:space="preserve">Var. 100 jours : </w:t>
            </w:r>
            <w:r>
              <w:rPr>
                <w:b/>
                <w:color w:val="007800"/>
                <w:sz w:val="17"/>
              </w:rPr>
              <w:t>+49.63%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14.52% (Moyenne) — μ=5,425 FCFA, σ=788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β=0.3770 (Défensif) — Cov=0.000013, Var(idx)=0.000034,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6,806</w:t>
            </w:r>
          </w:p>
        </w:tc>
        <w:tc>
          <w:tcPr>
            <w:tcW w:type="dxa" w:w="1440"/>
            <w:shd w:fill="FAFAFA" w:val="clear"/>
          </w:tcPr>
          <w:p>
            <w:r>
              <w:rPr>
                <w:b/>
                <w:sz w:val="17"/>
              </w:rPr>
              <w:t>7,028</w:t>
            </w:r>
          </w:p>
        </w:tc>
        <w:tc>
          <w:tcPr>
            <w:tcW w:type="dxa" w:w="1440"/>
            <w:shd w:fill="FAFAFA" w:val="clear"/>
          </w:tcPr>
          <w:p>
            <w:r>
              <w:rPr>
                <w:sz w:val="17"/>
              </w:rPr>
              <w:t>7,249</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6,749</w:t>
            </w:r>
          </w:p>
        </w:tc>
        <w:tc>
          <w:tcPr>
            <w:tcW w:type="dxa" w:w="1440"/>
            <w:shd w:fill="FAFAFA" w:val="clear"/>
          </w:tcPr>
          <w:p>
            <w:r>
              <w:rPr>
                <w:b/>
                <w:sz w:val="17"/>
              </w:rPr>
              <w:t>7,064</w:t>
            </w:r>
          </w:p>
        </w:tc>
        <w:tc>
          <w:tcPr>
            <w:tcW w:type="dxa" w:w="1440"/>
            <w:shd w:fill="FAFAFA" w:val="clear"/>
          </w:tcPr>
          <w:p>
            <w:r>
              <w:rPr>
                <w:sz w:val="17"/>
              </w:rPr>
              <w:t>7,379</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6,707</w:t>
            </w:r>
          </w:p>
        </w:tc>
        <w:tc>
          <w:tcPr>
            <w:tcW w:type="dxa" w:w="1440"/>
            <w:shd w:fill="FAFAFA" w:val="clear"/>
          </w:tcPr>
          <w:p>
            <w:r>
              <w:rPr>
                <w:b/>
                <w:sz w:val="17"/>
              </w:rPr>
              <w:t>7,094</w:t>
            </w:r>
          </w:p>
        </w:tc>
        <w:tc>
          <w:tcPr>
            <w:tcW w:type="dxa" w:w="1440"/>
            <w:shd w:fill="FAFAFA" w:val="clear"/>
          </w:tcPr>
          <w:p>
            <w:r>
              <w:rPr>
                <w:sz w:val="17"/>
              </w:rPr>
              <w:t>7,481</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6,669</w:t>
            </w:r>
          </w:p>
        </w:tc>
        <w:tc>
          <w:tcPr>
            <w:tcW w:type="dxa" w:w="1440"/>
            <w:shd w:fill="FAFAFA" w:val="clear"/>
          </w:tcPr>
          <w:p>
            <w:r>
              <w:rPr>
                <w:b/>
                <w:sz w:val="17"/>
              </w:rPr>
              <w:t>7,117</w:t>
            </w:r>
          </w:p>
        </w:tc>
        <w:tc>
          <w:tcPr>
            <w:tcW w:type="dxa" w:w="1440"/>
            <w:shd w:fill="FAFAFA" w:val="clear"/>
          </w:tcPr>
          <w:p>
            <w:r>
              <w:rPr>
                <w:sz w:val="17"/>
              </w:rPr>
              <w:t>7,566</w:t>
            </w:r>
          </w:p>
        </w:tc>
        <w:tc>
          <w:tcPr>
            <w:tcW w:type="dxa" w:w="1440"/>
            <w:shd w:fill="FAFAFA" w:val="clear"/>
          </w:tcPr>
          <w:p>
            <w:r>
              <w:rPr>
                <w:b/>
                <w:color w:val="008000"/>
                <w:sz w:val="17"/>
              </w:rPr>
              <w:t>+1.7%</w:t>
            </w:r>
          </w:p>
        </w:tc>
      </w:tr>
      <w:tr>
        <w:tc>
          <w:tcPr>
            <w:tcW w:type="dxa" w:w="1440"/>
            <w:shd w:fill="C6EFCE" w:val="clear"/>
          </w:tcPr>
          <w:p>
            <w:r>
              <w:rPr>
                <w:sz w:val="17"/>
              </w:rPr>
              <w:t>J+5  Moyenne</w:t>
            </w:r>
          </w:p>
        </w:tc>
        <w:tc>
          <w:tcPr>
            <w:tcW w:type="dxa" w:w="1440"/>
            <w:shd w:fill="C6EFCE" w:val="clear"/>
          </w:tcPr>
          <w:p>
            <w:r>
              <w:rPr>
                <w:sz w:val="17"/>
              </w:rPr>
              <w:t>2026-09-23</w:t>
            </w:r>
          </w:p>
        </w:tc>
        <w:tc>
          <w:tcPr>
            <w:tcW w:type="dxa" w:w="1440"/>
            <w:shd w:fill="C6EFCE" w:val="clear"/>
          </w:tcPr>
          <w:p>
            <w:r>
              <w:rPr>
                <w:sz w:val="17"/>
              </w:rPr>
              <w:t>6,635</w:t>
            </w:r>
          </w:p>
        </w:tc>
        <w:tc>
          <w:tcPr>
            <w:tcW w:type="dxa" w:w="1440"/>
            <w:shd w:fill="C6EFCE" w:val="clear"/>
          </w:tcPr>
          <w:p>
            <w:r>
              <w:rPr>
                <w:b/>
                <w:sz w:val="17"/>
              </w:rPr>
              <w:t>7,137</w:t>
            </w:r>
          </w:p>
        </w:tc>
        <w:tc>
          <w:tcPr>
            <w:tcW w:type="dxa" w:w="1440"/>
            <w:shd w:fill="C6EFCE" w:val="clear"/>
          </w:tcPr>
          <w:p>
            <w:r>
              <w:rPr>
                <w:sz w:val="17"/>
              </w:rPr>
              <w:t>7,640</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2026-09-24</w:t>
            </w:r>
          </w:p>
        </w:tc>
        <w:tc>
          <w:tcPr>
            <w:tcW w:type="dxa" w:w="1440"/>
            <w:shd w:fill="C6EFCE" w:val="clear"/>
          </w:tcPr>
          <w:p>
            <w:r>
              <w:rPr>
                <w:sz w:val="17"/>
              </w:rPr>
              <w:t>6,603</w:t>
            </w:r>
          </w:p>
        </w:tc>
        <w:tc>
          <w:tcPr>
            <w:tcW w:type="dxa" w:w="1440"/>
            <w:shd w:fill="C6EFCE" w:val="clear"/>
          </w:tcPr>
          <w:p>
            <w:r>
              <w:rPr>
                <w:b/>
                <w:sz w:val="17"/>
              </w:rPr>
              <w:t>7,156</w:t>
            </w:r>
          </w:p>
        </w:tc>
        <w:tc>
          <w:tcPr>
            <w:tcW w:type="dxa" w:w="1440"/>
            <w:shd w:fill="C6EFCE" w:val="clear"/>
          </w:tcPr>
          <w:p>
            <w:r>
              <w:rPr>
                <w:sz w:val="17"/>
              </w:rPr>
              <w:t>7,708</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2026-09-25</w:t>
            </w:r>
          </w:p>
        </w:tc>
        <w:tc>
          <w:tcPr>
            <w:tcW w:type="dxa" w:w="1440"/>
            <w:shd w:fill="C6EFCE" w:val="clear"/>
          </w:tcPr>
          <w:p>
            <w:r>
              <w:rPr>
                <w:sz w:val="17"/>
              </w:rPr>
              <w:t>6,575</w:t>
            </w:r>
          </w:p>
        </w:tc>
        <w:tc>
          <w:tcPr>
            <w:tcW w:type="dxa" w:w="1440"/>
            <w:shd w:fill="C6EFCE" w:val="clear"/>
          </w:tcPr>
          <w:p>
            <w:r>
              <w:rPr>
                <w:b/>
                <w:sz w:val="17"/>
              </w:rPr>
              <w:t>7,172</w:t>
            </w:r>
          </w:p>
        </w:tc>
        <w:tc>
          <w:tcPr>
            <w:tcW w:type="dxa" w:w="1440"/>
            <w:shd w:fill="C6EFCE" w:val="clear"/>
          </w:tcPr>
          <w:p>
            <w:r>
              <w:rPr>
                <w:sz w:val="17"/>
              </w:rPr>
              <w:t>7,770</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2026-09-28</w:t>
            </w:r>
          </w:p>
        </w:tc>
        <w:tc>
          <w:tcPr>
            <w:tcW w:type="dxa" w:w="1440"/>
            <w:shd w:fill="C6EFCE" w:val="clear"/>
          </w:tcPr>
          <w:p>
            <w:r>
              <w:rPr>
                <w:sz w:val="17"/>
              </w:rPr>
              <w:t>6,548</w:t>
            </w:r>
          </w:p>
        </w:tc>
        <w:tc>
          <w:tcPr>
            <w:tcW w:type="dxa" w:w="1440"/>
            <w:shd w:fill="C6EFCE" w:val="clear"/>
          </w:tcPr>
          <w:p>
            <w:r>
              <w:rPr>
                <w:b/>
                <w:sz w:val="17"/>
              </w:rPr>
              <w:t>7,188</w:t>
            </w:r>
          </w:p>
        </w:tc>
        <w:tc>
          <w:tcPr>
            <w:tcW w:type="dxa" w:w="1440"/>
            <w:shd w:fill="C6EFCE" w:val="clear"/>
          </w:tcPr>
          <w:p>
            <w:r>
              <w:rPr>
                <w:sz w:val="17"/>
              </w:rPr>
              <w:t>7,829</w:t>
            </w:r>
          </w:p>
        </w:tc>
        <w:tc>
          <w:tcPr>
            <w:tcW w:type="dxa" w:w="1440"/>
            <w:shd w:fill="C6EFCE" w:val="clear"/>
          </w:tcPr>
          <w:p>
            <w:r>
              <w:rPr>
                <w:b/>
                <w:color w:val="008000"/>
                <w:sz w:val="17"/>
              </w:rPr>
              <w:t>+2.8%</w:t>
            </w:r>
          </w:p>
        </w:tc>
      </w:tr>
      <w:tr>
        <w:tc>
          <w:tcPr>
            <w:tcW w:type="dxa" w:w="1440"/>
            <w:shd w:fill="C6EFCE" w:val="clear"/>
          </w:tcPr>
          <w:p>
            <w:r>
              <w:rPr>
                <w:sz w:val="17"/>
              </w:rPr>
              <w:t>J+9  Moyenne</w:t>
            </w:r>
          </w:p>
        </w:tc>
        <w:tc>
          <w:tcPr>
            <w:tcW w:type="dxa" w:w="1440"/>
            <w:shd w:fill="C6EFCE" w:val="clear"/>
          </w:tcPr>
          <w:p>
            <w:r>
              <w:rPr>
                <w:sz w:val="17"/>
              </w:rPr>
              <w:t>2026-09-29</w:t>
            </w:r>
          </w:p>
        </w:tc>
        <w:tc>
          <w:tcPr>
            <w:tcW w:type="dxa" w:w="1440"/>
            <w:shd w:fill="C6EFCE" w:val="clear"/>
          </w:tcPr>
          <w:p>
            <w:r>
              <w:rPr>
                <w:sz w:val="17"/>
              </w:rPr>
              <w:t>6,522</w:t>
            </w:r>
          </w:p>
        </w:tc>
        <w:tc>
          <w:tcPr>
            <w:tcW w:type="dxa" w:w="1440"/>
            <w:shd w:fill="C6EFCE" w:val="clear"/>
          </w:tcPr>
          <w:p>
            <w:r>
              <w:rPr>
                <w:b/>
                <w:sz w:val="17"/>
              </w:rPr>
              <w:t>7,203</w:t>
            </w:r>
          </w:p>
        </w:tc>
        <w:tc>
          <w:tcPr>
            <w:tcW w:type="dxa" w:w="1440"/>
            <w:shd w:fill="C6EFCE" w:val="clear"/>
          </w:tcPr>
          <w:p>
            <w:r>
              <w:rPr>
                <w:sz w:val="17"/>
              </w:rPr>
              <w:t>7,884</w:t>
            </w:r>
          </w:p>
        </w:tc>
        <w:tc>
          <w:tcPr>
            <w:tcW w:type="dxa" w:w="1440"/>
            <w:shd w:fill="C6EFCE" w:val="clear"/>
          </w:tcPr>
          <w:p>
            <w:r>
              <w:rPr>
                <w:b/>
                <w:color w:val="008000"/>
                <w:sz w:val="17"/>
              </w:rPr>
              <w:t>+3.0%</w:t>
            </w:r>
          </w:p>
        </w:tc>
      </w:tr>
      <w:tr>
        <w:tc>
          <w:tcPr>
            <w:tcW w:type="dxa" w:w="1440"/>
            <w:shd w:fill="C6EFCE" w:val="clear"/>
          </w:tcPr>
          <w:p>
            <w:r>
              <w:rPr>
                <w:sz w:val="17"/>
              </w:rPr>
              <w:t>J+10  Moyenne</w:t>
            </w:r>
          </w:p>
        </w:tc>
        <w:tc>
          <w:tcPr>
            <w:tcW w:type="dxa" w:w="1440"/>
            <w:shd w:fill="C6EFCE" w:val="clear"/>
          </w:tcPr>
          <w:p>
            <w:r>
              <w:rPr>
                <w:sz w:val="17"/>
              </w:rPr>
              <w:t>2026-09-30</w:t>
            </w:r>
          </w:p>
        </w:tc>
        <w:tc>
          <w:tcPr>
            <w:tcW w:type="dxa" w:w="1440"/>
            <w:shd w:fill="C6EFCE" w:val="clear"/>
          </w:tcPr>
          <w:p>
            <w:r>
              <w:rPr>
                <w:sz w:val="17"/>
              </w:rPr>
              <w:t>6,498</w:t>
            </w:r>
          </w:p>
        </w:tc>
        <w:tc>
          <w:tcPr>
            <w:tcW w:type="dxa" w:w="1440"/>
            <w:shd w:fill="C6EFCE" w:val="clear"/>
          </w:tcPr>
          <w:p>
            <w:r>
              <w:rPr>
                <w:b/>
                <w:sz w:val="17"/>
              </w:rPr>
              <w:t>7,217</w:t>
            </w:r>
          </w:p>
        </w:tc>
        <w:tc>
          <w:tcPr>
            <w:tcW w:type="dxa" w:w="1440"/>
            <w:shd w:fill="C6EFCE" w:val="clear"/>
          </w:tcPr>
          <w:p>
            <w:r>
              <w:rPr>
                <w:sz w:val="17"/>
              </w:rPr>
              <w:t>7,936</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192,01 milliards FCFA, BOA Mali s'impose comme une valeur de premier plan du compartiment bancaire de la BRVM, se positionnant parmi les capitalisations les plus significatives de la cote. Le BPA de 404 FCFA par action indique que chaque titre génère un bénéfice net substantiel, ce qui confère au titre une assise bénéficiaire solide. Le PER de 17,3x traduit une valorisation modérée à légèrement supérieure à la moyenne du marché BRVM (estimée entre 8 et 12x), suggérant que les investisseurs intègrent déjà une prime de qualité et de résilience dans le cours. Le P/B de 3,85x, situé dans la fourchette 2-4x, confirme que le marché valorise l'action à une prime significative par rapport à sa valeur comptable, en reconnaissance de sa rentabilité élevée (ROE de 22,24%) et de sa capacité à générer des bénéfices bien supérieurs au coût des fonds propres. Enfin, l'EV/EBITDA de 9,5x, dans la zone 5-10x considérée comme raisonnable, indique que la valeur d'entreprise reste cohérente avec la capacité opérationnelle de la banque, sans exubérance manifeste mais sans décote flagrante non plus.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spectaculaire de +49,63%, passant d'un plus bas de 4 425 FCFA à un plus haut de 7 195 FCFA, pour un cours actuel de 6 995 FCFA, quasi stable sur la dernière séance (-0,07%). Cette tendance nettement haussière témoigne d'un engouement marqué des investisseurs pour le titre, dans un contexte de résultats fondamentaux en amélioration continue. L'analyse des statistiques descriptives révèle une moyenne de 5 425 FCFA supérieure à la médiane de 5 155 FCFA, écart qui confirme une asymétrie positive (skewness de 0,648) : la distribution des cours est tirée vers le haut par des séances de forte hausse, avec davantage de journées sous la moyenne mais des pics haussiers marqués. L'écart-type de 792 FCFA et le coefficient de variation de 14,6% indiquent une dispersion modérée du cours autour de sa moyenne, tandis que le kurtosis de -0,773 (mésokurtique) suggère une distribution proche de la normale, sans risque excessif de pics extrêmes. La volatilité annualisée de 34,3% positionne le titre dans la catégorie des valeurs à volatilité élevée (&gt;30%), ce qui implique un potentiel de gain attractif mais aussi un risque de correction significatif, justifiant une gestion prudente de la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6 697,25 FCFA et la MM50 à 6 092,60 FCFA, toutes deux inférieures au cours actuel de 6 995 FCFA. Cette configuration haussière (cours &gt; MM20 &gt; MM50) confirme une dynamique positive de court et moyen terme, avec un alignement des moyennes qui valide la décision d'achat. Le cours évoluant au-dessus de ses deux références mobiles, la tendance reste solidement orientée à la hausse.</w:t>
      </w:r>
    </w:p>
    <w:p>
      <w:pPr>
        <w:spacing w:after="120" w:line="276" w:lineRule="auto"/>
      </w:pPr>
      <w:r>
        <w:t>**Bandes de Bollinger** : Le cours actuel (6 995 FCFA) se situe entre la borne inférieure (6 101,13 FCFA) et la borne supérieure (7 293,37 FCFA), plus proche de cette dernière. Cette position médiane-haute indique que le titre évolue dans sa zone normale de volatilité, sans suraccumulation ni survente. La décision neutre reflète l'absence de signal extrême, le cours n'ayant pas encore atteint la borne supérieure qui déclencherait une alerte de surachat.</w:t>
      </w:r>
    </w:p>
    <w:p>
      <w:pPr>
        <w:spacing w:after="120" w:line="276" w:lineRule="auto"/>
      </w:pPr>
      <w:r>
        <w:t>**MACD** : La valeur du MACD (301,71) est supérieure à son signal (296,08), générant un histogramme positif qui confirme un momentum haussier. Cette divergence positive indique que la dynamique de court terme reste favorable, bien que l'écart relativement faible entre les deux lignes suggère un momentum qui pourrait s'essouffler si le cours venait à stagner. La décision d'achat est techniquement justifiée.</w:t>
      </w:r>
    </w:p>
    <w:p>
      <w:pPr>
        <w:spacing w:after="120" w:line="276" w:lineRule="auto"/>
      </w:pPr>
      <w:r>
        <w:t>**RSI** : À 63,64, le RSI se situe dans la zone neutre-haute (30-70), sans atteindre le seuil de surachat de 70. Cette position indique que le titre conserve un potentiel de hausse sans être techniquement surchauffé, ce qui est cohérent avec la décision neutre. Un franchissement du seuil de 70 signalerait un risque de correction à court terme.</w:t>
      </w:r>
    </w:p>
    <w:p>
      <w:pPr>
        <w:spacing w:after="120" w:line="276" w:lineRule="auto"/>
      </w:pPr>
      <w:r>
        <w:t>**Stochastique** : Le %K (74,84) est légèrement inférieur au %D (79,25), configuration qui suggère un début de croisement baissier potentiel. Les deux indicateurs évoluent en zone haute (proche de 80), ce qui indique que le titre approche de zones de surachat. La décision neutre reflète cette incertitude : bien que la tendance reste haussière, le risque de consolidation à court terme augmente.</w:t>
      </w:r>
    </w:p>
    <w:p>
      <w:pPr>
        <w:spacing w:after="120" w:line="276" w:lineRule="auto"/>
      </w:pPr>
      <w:r>
        <w:t>**Conclusion technique** : Les indicateurs techniques présentent une configuration globalement haussière, portée par l'alignement des moyennes mobiles et le MACD positif, mais tempérée par un RSI et un stochastique en zone haute qui suggèrent une possible consolidation à court terme. La convergence des signaux d'achat (MM, MACD) et de neutralité (Bollinger, RSI, Stochastique) plaide pour une poursuite de la tendance haussière à moyen terme, avec une vigilance sur les niveaux de surachat qui pourraient déclencher des prises de bénéfices.</w:t>
      </w:r>
    </w:p>
    <w:p>
      <w:pPr>
        <w:spacing w:after="120" w:line="276" w:lineRule="auto"/>
      </w:pPr>
      <w:r>
        <w:t>---</w:t>
      </w:r>
    </w:p>
    <w:p>
      <w:pPr>
        <w:spacing w:after="120" w:line="276" w:lineRule="auto"/>
      </w:pPr>
      <w:r>
        <w:t>### PARTIE 3 : ANALYSE FONDAMENTALE (SECTION CRITIQUE)</w:t>
      </w:r>
    </w:p>
    <w:p>
      <w:pPr>
        <w:spacing w:after="120" w:line="276" w:lineRule="auto"/>
      </w:pPr>
      <w:r>
        <w:t>Les états financiers certifiés de l'exercice 2025 fournissent une photographie précise de la solidité de BOA Mali. Le Produit Net Bancaire (PNB), équivalent du chiffre d'affaires pour une banque, s'élève à 37,996 milliards FCFA, en croissance de 5,08% sur un an, porté par les intérêts et produits assimilés (33,306 milliards FCFA) et les commissions (11,289 milliards FCFA). Le résultat net atteint 11,081 milliards FCFA, générant un ROE exceptionnel de 22,24% (bien supérieur au seuil de 15% considéré comme excellent) et un ROA de 1,87%, confirmant une rentabilité des actifs solide pour le secteur bancaire. Le coefficient d'exploitation de 63,14% reste toutefois supérieur au seuil de 60% qui distingue les banques efficaces, indiquant une marge de progression sur la maîtrise des charges. Le coût du risque, mesuré à 43,39% des charges financières, demeure élevé et constitue un point de vigilance majeur pour la qualité du portefeuille de crédits. La structure financière affiche une autonomie financière de 8,40% (capitaux propres/total bilan), inférieure au seuil de 30% considéré comme sain, mais caractéristique du modèle bancaire où les dépôts clientèle (502,890 milliards FCFA) financent l'essentiel de l'activité. Le ratio de solvabilité générale de 109,16% et la couverture des intérêts de 89,00% témoignent d'une capacité à honorer les engagements, tandis que la capacité de remboursement de 1,79 année indique une dette financière maîtrisée.</w:t>
      </w:r>
    </w:p>
    <w:p>
      <w:pPr>
        <w:spacing w:after="120" w:line="276" w:lineRule="auto"/>
      </w:pPr>
      <w:r>
        <w:t>L'analyse temporelle des rapports trimestriels révèle une dynamique remarquable. Le rapport du T1 2026 (publié le 31/12/2026, analysé le 12/09/2026) fait état d'un PNB de 10 322 millions FCFA, en hausse de +22,97% par rapport au T1 2025 (8 394 millions FCFA), marquant une accélération spectaculaire de la croissance. Le rapport du T3 2025 (30/09/2025) confirme cette trajectoire avec un PNB cumulé de 28,52 milliards FCFA (+5,8%) et un résultat net de 9,16 milliards FCFA (+26,2%), porté par une maîtrise des frais généraux et un coût du risque contenu (+2,7%). Le rapport du S1 2025 (30/06/2025) avait déjà montré un résultat net de 6,21 milliards FCFA (+28,8%) malgré un PNB en croissance modérée (+2,7%), grâce à une baisse spectaculaire du coût du risque (-32,7%). Enfin, les états financiers 2024 certifiés (31/12/2024) affichaient un PNB de 36,16 milliards FCFA (+1,8%) et un résultat net de 9,12 milliards FCFA (+57,89%), avec un ROE estimé à 21,1%.</w:t>
      </w:r>
    </w:p>
    <w:p>
      <w:pPr>
        <w:spacing w:after="120" w:line="276" w:lineRule="auto"/>
      </w:pPr>
      <w:r>
        <w:t>Sur la base du rapport T1 2026 (PNB +22,97%), on peut estimer que l'exercice 2026 devrait enregistrer une accélération de la croissance du PNB, potentiellement supérieure à 10%, et un résultat net en progression significative, possiblement au-delà de 12 milliards FCFA si la dynamique se maintient. La recommandation fondamentale est celle d'une **solidité confirmée** : la banque affiche une rentabilité exceptionnelle (ROE &gt;22%), une croissance accélérée au T1 2026, et une gestion prudente des risques. Les principaux risques identifiés sont le coût du risque encore élevé (43,39% des charges financières), l'autonomie financière limitée (8,40%) et l'exposition au contexte macroéconomique et sécuritaire malien. Les perspectives restent favorables, portées par la digitalisation et la résilience démontrée dans un environnement difficile.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globalement favorable pour BOA Mali. Sur le plan de la **valorisation (Partie 0)**, le PER de 17,3x et le P/B de 3,85x indiquent une valorisation modérée à légèrement supérieure à la moyenne du marché, intégrant une prime de qualité justifiée par un ROE de 22,24% et une croissance accélérée. Le comportement du cours (Partie 1) est nettement haussier (+49,63% sur 100 jours), avec une volatilité élevée (34,3%) et une asymétrie positive (skewness 0,648) qui suggère un potentiel de hausse supérieur au risque de baisse, bien que le kurtosis mésokurtique n'écarte pas les pics de volatilité. Les **signaux techniques (Partie 2)** convergent vers un achat (MM alignées, MACD positif) tout en appelant à la prudence (RSI et stochastique en zone haute), ce qui plaide pour une poursuite de la tendance avec des consolidations possibles. Les **fondamentaux (Partie 3)** sont solides : PNB de 37,996 milliards FCFA en 2025, résultat net de 11,081 milliards FCFA, ROE de 22,24%, et une accélération spectaculaire au T1 2026 (+22,97% de PNB) qui laisse présager un exercice 2026 encore meilleur. Les **prédictions IA (J+1 à J+10)** anticipent une progression continue du cours, de 7 028 FCFA à 7 137 FCFA, confirmant la trajectoire haussière à court terme.</w:t>
      </w:r>
    </w:p>
    <w:p>
      <w:pPr>
        <w:spacing w:after="120" w:line="276" w:lineRule="auto"/>
      </w:pPr>
      <w:r>
        <w:t>Sur la base de cette convergence entre valorisation raisonnable, technique haussière, fondamentaux solides et prédictions positives, la recommandation finale est **ACHAT**. Le niveau de confiance est **Élevé**, soutenu par la cohérence des signaux et la qualité des fondamentaux. Le niveau de risque global est **Moyen**, en raison de la volatilité élevée du titre (34,3%) et des risques macroéconomiques et sécuritaires au Mali. L'horizon d'investissement optimal est le **moyen terme (3-12 mois)**, permettant de capturer la poursuite de la tendance haussière tout en laissant le temps aux fondamentaux de se matérialiser dans les résultats annuels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8,979 titres</w:t>
            </w:r>
          </w:p>
        </w:tc>
        <w:tc>
          <w:tcPr>
            <w:tcW w:type="dxa" w:w="2268"/>
            <w:shd w:fill="FFF2CC" w:val="clear"/>
          </w:tcPr>
          <w:p>
            <w:r>
              <w:rPr>
                <w:b/>
                <w:color w:val="503200"/>
                <w:sz w:val="16"/>
              </w:rPr>
              <w:t xml:space="preserve">Cours actuel : </w:t>
            </w:r>
            <w:r>
              <w:rPr>
                <w:color w:val="000000"/>
                <w:sz w:val="17"/>
              </w:rPr>
              <w:t>5,355 FCFA</w:t>
            </w:r>
          </w:p>
          <w:p>
            <w:r>
              <w:rPr>
                <w:b/>
                <w:color w:val="503200"/>
                <w:sz w:val="16"/>
              </w:rPr>
              <w:t xml:space="preserve">Var. 100 jours : </w:t>
            </w:r>
            <w:r>
              <w:rPr>
                <w:b/>
                <w:color w:val="007800"/>
                <w:sz w:val="17"/>
              </w:rPr>
              <w:t>+53.00%</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17.65% (Élevée) — μ=4,479 FCFA, σ=790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β=0.5448 (Défensif) — Cov=0.000019, Var(idx)=0.000034, ρ=0.139,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5,240</w:t>
            </w:r>
          </w:p>
        </w:tc>
        <w:tc>
          <w:tcPr>
            <w:tcW w:type="dxa" w:w="1440"/>
            <w:shd w:fill="FAFAFA" w:val="clear"/>
          </w:tcPr>
          <w:p>
            <w:r>
              <w:rPr>
                <w:b/>
                <w:sz w:val="17"/>
              </w:rPr>
              <w:t>5,382</w:t>
            </w:r>
          </w:p>
        </w:tc>
        <w:tc>
          <w:tcPr>
            <w:tcW w:type="dxa" w:w="1440"/>
            <w:shd w:fill="FAFAFA" w:val="clear"/>
          </w:tcPr>
          <w:p>
            <w:r>
              <w:rPr>
                <w:sz w:val="17"/>
              </w:rPr>
              <w:t>5,525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5,167</w:t>
            </w:r>
          </w:p>
        </w:tc>
        <w:tc>
          <w:tcPr>
            <w:tcW w:type="dxa" w:w="1440"/>
            <w:shd w:fill="FAFAFA" w:val="clear"/>
          </w:tcPr>
          <w:p>
            <w:r>
              <w:rPr>
                <w:b/>
                <w:sz w:val="17"/>
              </w:rPr>
              <w:t>5,367</w:t>
            </w:r>
          </w:p>
        </w:tc>
        <w:tc>
          <w:tcPr>
            <w:tcW w:type="dxa" w:w="1440"/>
            <w:shd w:fill="FAFAFA" w:val="clear"/>
          </w:tcPr>
          <w:p>
            <w:r>
              <w:rPr>
                <w:sz w:val="17"/>
              </w:rPr>
              <w:t>5,568</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5,117</w:t>
            </w:r>
          </w:p>
        </w:tc>
        <w:tc>
          <w:tcPr>
            <w:tcW w:type="dxa" w:w="1440"/>
            <w:shd w:fill="FAFAFA" w:val="clear"/>
          </w:tcPr>
          <w:p>
            <w:r>
              <w:rPr>
                <w:b/>
                <w:sz w:val="17"/>
              </w:rPr>
              <w:t>5,363</w:t>
            </w:r>
          </w:p>
        </w:tc>
        <w:tc>
          <w:tcPr>
            <w:tcW w:type="dxa" w:w="1440"/>
            <w:shd w:fill="FAFAFA" w:val="clear"/>
          </w:tcPr>
          <w:p>
            <w:r>
              <w:rPr>
                <w:sz w:val="17"/>
              </w:rPr>
              <w:t>5,608</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5,077</w:t>
            </w:r>
          </w:p>
        </w:tc>
        <w:tc>
          <w:tcPr>
            <w:tcW w:type="dxa" w:w="1440"/>
            <w:shd w:fill="FAFAFA" w:val="clear"/>
          </w:tcPr>
          <w:p>
            <w:r>
              <w:rPr>
                <w:b/>
                <w:sz w:val="17"/>
              </w:rPr>
              <w:t>5,360</w:t>
            </w:r>
          </w:p>
        </w:tc>
        <w:tc>
          <w:tcPr>
            <w:tcW w:type="dxa" w:w="1440"/>
            <w:shd w:fill="FAFAFA" w:val="clear"/>
          </w:tcPr>
          <w:p>
            <w:r>
              <w:rPr>
                <w:sz w:val="17"/>
              </w:rPr>
              <w:t>5,643</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5,040</w:t>
            </w:r>
          </w:p>
        </w:tc>
        <w:tc>
          <w:tcPr>
            <w:tcW w:type="dxa" w:w="1440"/>
            <w:shd w:fill="FAFAFA" w:val="clear"/>
          </w:tcPr>
          <w:p>
            <w:r>
              <w:rPr>
                <w:b/>
                <w:sz w:val="17"/>
              </w:rPr>
              <w:t>5,357</w:t>
            </w:r>
          </w:p>
        </w:tc>
        <w:tc>
          <w:tcPr>
            <w:tcW w:type="dxa" w:w="1440"/>
            <w:shd w:fill="FAFAFA" w:val="clear"/>
          </w:tcPr>
          <w:p>
            <w:r>
              <w:rPr>
                <w:sz w:val="17"/>
              </w:rPr>
              <w:t>5,673</w:t>
            </w:r>
          </w:p>
        </w:tc>
        <w:tc>
          <w:tcPr>
            <w:tcW w:type="dxa" w:w="1440"/>
            <w:shd w:fill="FAFAFA" w:val="clear"/>
          </w:tcPr>
          <w:p>
            <w:r>
              <w:rPr>
                <w:b/>
                <w:color w:val="008000"/>
                <w:sz w:val="17"/>
              </w:rPr>
              <w:t>+0.0%</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5,007</w:t>
            </w:r>
          </w:p>
        </w:tc>
        <w:tc>
          <w:tcPr>
            <w:tcW w:type="dxa" w:w="1440"/>
            <w:shd w:fill="FAFAFA" w:val="clear"/>
          </w:tcPr>
          <w:p>
            <w:r>
              <w:rPr>
                <w:b/>
                <w:sz w:val="17"/>
              </w:rPr>
              <w:t>5,354</w:t>
            </w:r>
          </w:p>
        </w:tc>
        <w:tc>
          <w:tcPr>
            <w:tcW w:type="dxa" w:w="1440"/>
            <w:shd w:fill="FAFAFA" w:val="clear"/>
          </w:tcPr>
          <w:p>
            <w:r>
              <w:rPr>
                <w:sz w:val="17"/>
              </w:rPr>
              <w:t>5,700</w:t>
            </w:r>
          </w:p>
        </w:tc>
        <w:tc>
          <w:tcPr>
            <w:tcW w:type="dxa" w:w="1440"/>
            <w:shd w:fill="FAFAFA" w:val="clear"/>
          </w:tcPr>
          <w:p>
            <w:r>
              <w:rPr>
                <w:b/>
                <w:color w:val="C00000"/>
                <w:sz w:val="17"/>
              </w:rPr>
              <w:t>-0.0%</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4,977</w:t>
            </w:r>
          </w:p>
        </w:tc>
        <w:tc>
          <w:tcPr>
            <w:tcW w:type="dxa" w:w="1440"/>
            <w:shd w:fill="FAFAFA" w:val="clear"/>
          </w:tcPr>
          <w:p>
            <w:r>
              <w:rPr>
                <w:b/>
                <w:sz w:val="17"/>
              </w:rPr>
              <w:t>5,351</w:t>
            </w:r>
          </w:p>
        </w:tc>
        <w:tc>
          <w:tcPr>
            <w:tcW w:type="dxa" w:w="1440"/>
            <w:shd w:fill="FAFAFA" w:val="clear"/>
          </w:tcPr>
          <w:p>
            <w:r>
              <w:rPr>
                <w:sz w:val="17"/>
              </w:rPr>
              <w:t>5,725</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4,948</w:t>
            </w:r>
          </w:p>
        </w:tc>
        <w:tc>
          <w:tcPr>
            <w:tcW w:type="dxa" w:w="1440"/>
            <w:shd w:fill="FAFAFA" w:val="clear"/>
          </w:tcPr>
          <w:p>
            <w:r>
              <w:rPr>
                <w:b/>
                <w:sz w:val="17"/>
              </w:rPr>
              <w:t>5,348</w:t>
            </w:r>
          </w:p>
        </w:tc>
        <w:tc>
          <w:tcPr>
            <w:tcW w:type="dxa" w:w="1440"/>
            <w:shd w:fill="FAFAFA" w:val="clear"/>
          </w:tcPr>
          <w:p>
            <w:r>
              <w:rPr>
                <w:sz w:val="17"/>
              </w:rPr>
              <w:t>5,747</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4,921</w:t>
            </w:r>
          </w:p>
        </w:tc>
        <w:tc>
          <w:tcPr>
            <w:tcW w:type="dxa" w:w="1440"/>
            <w:shd w:fill="FAFAFA" w:val="clear"/>
          </w:tcPr>
          <w:p>
            <w:r>
              <w:rPr>
                <w:b/>
                <w:sz w:val="17"/>
              </w:rPr>
              <w:t>5,345</w:t>
            </w:r>
          </w:p>
        </w:tc>
        <w:tc>
          <w:tcPr>
            <w:tcW w:type="dxa" w:w="1440"/>
            <w:shd w:fill="FAFAFA" w:val="clear"/>
          </w:tcPr>
          <w:p>
            <w:r>
              <w:rPr>
                <w:sz w:val="17"/>
              </w:rPr>
              <w:t>5,768</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4,895</w:t>
            </w:r>
          </w:p>
        </w:tc>
        <w:tc>
          <w:tcPr>
            <w:tcW w:type="dxa" w:w="1440"/>
            <w:shd w:fill="FAFAFA" w:val="clear"/>
          </w:tcPr>
          <w:p>
            <w:r>
              <w:rPr>
                <w:b/>
                <w:sz w:val="17"/>
              </w:rPr>
              <w:t>5,342</w:t>
            </w:r>
          </w:p>
        </w:tc>
        <w:tc>
          <w:tcPr>
            <w:tcW w:type="dxa" w:w="1440"/>
            <w:shd w:fill="FAFAFA" w:val="clear"/>
          </w:tcPr>
          <w:p>
            <w:r>
              <w:rPr>
                <w:sz w:val="17"/>
              </w:rPr>
              <w:t>5,788</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 BRVM | Secteur Bancaire | Exercice 2025</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**111,38 milliards FCFA**, un niveau significatif à l'échelle de la BRVM qui positionne la banque parmi les valeurs de taille intermédiaire de la cote. Le BPA ressort à **20 FCFA/action**, un niveau extrêmement faible qui traduit l'effondrement du résultat net 2025 (409 millions FCFA). Le PER de **272,3x** est exceptionnellement élevé — très loin de la moyenne BRVM (~8-12x) — et signale que les investisseurs paient environ 272 fois les bénéfices actuels, ce qui n'est justifiable que par l'anticipation d'un rebond spectaculaire des profits (le budget 2026 vise un résultat avant impôts de 7 280 M FCFA, soit +515%). Le P/B de **3,09x** indique que le marché valorise la banque à plus de 3 fois ses fonds propres comptables (36,06 Mds FCFA), une prime de croissance significative qui contraste avec la faiblesse actuelle de la rentabilité (ROE de 1,13%). L'EV/EBITDA de **40,5x** est très exigeant (&gt;15x), confirmant que la valorisation intègre pleinement les perspectives de redressement plutôt que la performance présente.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BOAN affiche une **progression spectaculaire de +53,00%**, portant le cours à **5 355 FCFA**, malgré un léger repli de **-0,09%** lors de la dernière séance. Le range de trading est particulièrement large, avec un plus haut à **5 645 FCFA** et un plus bas à **3 395 FCFA**, soit un écart de plus de 2 250 FCFA qui témoigne d'une forte dynamique haussière enclenchée depuis le plancher. La tendance générale est donc nettement **haussière**, le cours actuel se situant à environ 95% de son plus haut sur la période. Les statistiques descriptives révèlent une **moyenne de 4 479 FCFA** supérieure à la **médiane de 4 245 FCFA**, un écart qui suggère une légère asymétrie positive avec des pics de prix tirant la moyenne vers le haut, bien que le **skewness de 0,038** indique une distribution globalement symétrique. L'**écart-type de 794 FCFA (CV=17,7%)** traduit une dispersion modérée du cours autour de sa moyenne, tandis que le **kurtosis de -1,739 (platykurtique)** signale une distribution aplatie avec une faible concentration des valeurs — donc moins de risque de pics extrêmes que dans une distribution normale. La **volatilité annualisée de 36,9%** classe le titre dans la catégorie **élevée** (&gt;30%), ce qui est cohérent avec le profil de risque du marché nigérien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(5 426,25 FCFA) et la MM50 (5 220,70 FCFA) se situent toutes deux **au-dessus du cours actuel** (5 355 FCFA), ce qui constitue un signal baissier de court terme. Cependant, la MM20 reste supérieure à la MM50, confirmant que la tendance de fond demeure haussière. La décision technique affichée est **Achat**, probablement basée sur le croisement des moyennes et la dynamique récente.</w:t>
      </w:r>
    </w:p>
    <w:p>
      <w:pPr>
        <w:spacing w:after="120" w:line="276" w:lineRule="auto"/>
      </w:pPr>
      <w:r>
        <w:t>**Bandes de Bollinger** : Le cours (5 355 FCFA) évolue dans la partie basse de la bande, entre la borne inférieure (5 187,75 FCFA) et la borne supérieure (5 664,75 FCFA). Cette position médiane-basse suggère une **absence de pression acheteuse immédiate** mais aussi un potentiel de rebond vers la borne haute. La décision est **Neutre**, reflétant l'équilibre actuel entre acheteurs et vendeurs.</w:t>
      </w:r>
    </w:p>
    <w:p>
      <w:pPr>
        <w:spacing w:after="120" w:line="276" w:lineRule="auto"/>
      </w:pPr>
      <w:r>
        <w:t>**MACD** : La valeur du MACD (85,871) est **inférieure à son signal** (112,598), générant un croisement baissier qui indique un **essoufflement du momentum haussier**. La décision **Vente** est cohérente avec cette divergence négative, bien que l'écart reste modéré.</w:t>
      </w:r>
    </w:p>
    <w:p>
      <w:pPr>
        <w:spacing w:after="120" w:line="276" w:lineRule="auto"/>
      </w:pPr>
      <w:r>
        <w:t>**RSI** : À **30,405**, le RSI se situe juste au-dessus du seuil de survente (30), ce qui place le titre en zone **neutre-basse**. Cette configuration suggère que la pression vendeuse récente pourrait s'atténuer, mais sans signal d'achat franc. La décision est **Neutre**.</w:t>
      </w:r>
    </w:p>
    <w:p>
      <w:pPr>
        <w:spacing w:after="120" w:line="276" w:lineRule="auto"/>
      </w:pPr>
      <w:r>
        <w:t>**Stochastique** : Le %K à **0,0** et le %D à **25,287** indiquent que le cours est au plus bas de sa fourchette récente, avec un %K en zone de survente extrême. La décision **Achat** repose sur l'anticipation d'un rebond technique imminent, bien que le croisement des lignes ne soit pas encore confirmé.</w:t>
      </w:r>
    </w:p>
    <w:p>
      <w:pPr>
        <w:spacing w:after="120" w:line="276" w:lineRule="auto"/>
      </w:pPr>
      <w:r>
        <w:t>**Conclusion technique** : Les indicateurs présentent un tableau **mitigé**. Les moyennes mobiles restent haussières de fond mais le cours évolue en dessous, le MACD est baissier, le RSI est proche de la survente et le stochastique signale un possible rebond. Cette divergence entre signaux d'achat (Stochastique, MM) et de vente (MACD) plaide pour une **phase de consolidation** avant une reprise éventuelle.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BOAN a enregistré un **Produit Net Bancaire (PNB) de 21 125 millions FCFA**, en léger repli de -1,2% sur un an, et un **résultat net de seulement 409 millions FCFA**, en effondrement de -91,8% par rapport aux 5 002 millions de 2024. Cette chute spectaculaire s'explique par un **coût du risque de 6 016 millions FCFA** (incluant une provision exceptionnelle de 4,8 Mds FCFA) et une hausse des charges générales de +6,5%. Les ratios de rentabilité se sont dégradés en conséquence : **ROE de 1,13%** (contre 11,39% en 2024) et **ROA de 0,14%** (contre 1,49%), des niveaux très en deçà des standards bancaires. Le **coefficient d'exploitation de 74,37%** reste supérieur au seuil de 60% synonyme d'efficacité, tandis que le **coût du risque/charges financières de 67,30%** traduit un portefeuille de crédits très dégradé (taux de créances en souffrance de 24% contre 12% en moyenne UEMOA). La structure financière reste néanmoins solide avec un **ratio de solvabilité de 14,06%** (conforme aux exigences UEMOA) et un **coefficient de liquidité de 123,95%**, mais l'autonomie financière (12,36%) et le ratio d'endettement (178,61%) demeurent préoccupants.</w:t>
      </w:r>
    </w:p>
    <w:p>
      <w:pPr>
        <w:spacing w:after="120" w:line="276" w:lineRule="auto"/>
      </w:pPr>
      <w:r>
        <w:t>**Estimations basées sur les rapports trimestriels** : Le **rapport du T1 2026 (publié le 31 mars 2026)** marque un **tournant décisif** : le PNB progresse de **+7,9% à 5 170 millions FCFA**, le résultat net bondit de **+28,9% à 1 467,3 millions FCFA**, et le coefficient d'exploitation s'améliore à **56,2%** (contre 66,8% un an plus tôt). Le coût du risque reste élevé (+104,3%) mais reflète un effort d'assainissement volontaire. Sur cette base, on peut **estimer** que l'exercice 2026 devrait afficher un PNB en hausse de +6 à +8% (autour de 22 500 M FCFA) et un résultat net en forte progression, potentiellement entre 4 000 et 5 000 M FCFA si la tendance se confirme sur les trimestres suivants. Le **rapport du S2 2025 (publié le 31 décembre 2025)** confirme la résilience des dépôts (+4% à 189,9 Mds FCFA) et la politique sélective de réduction des crédits (-20,9% à 128,4 Mds FCFA), tandis que le **rapport du T3 2025 (30 septembre 2025)** soulignait déjà une stabilisation du PNB (-1,8%) et une maîtrise des frais généraux (-1,8%).</w:t>
      </w:r>
    </w:p>
    <w:p>
      <w:pPr>
        <w:spacing w:after="120" w:line="276" w:lineRule="auto"/>
      </w:pPr>
      <w:r>
        <w:t>**Recommandation fondamentale** : BOAN sort d'une année 2025 catastrophique mais présente des **signes tangibles de redressement** au T1 2026. La solidité du groupe Bank of Africa, la conformité des ratios prudentiels et le plan stratégique 2025-2027 (digitalisation, qualité du portefeuille, efficacité opérationnelle) constituent des atouts. Cependant, les risques persistent : instabilité politique au Niger, taux de créances douteuses élevé (24%), et absence de dividende depuis 3 ans. La **prudence reste de mise** en attendant confirmation du redressement sur plusieurs trimestres.</w:t>
      </w:r>
    </w:p>
    <w:p>
      <w:pPr>
        <w:spacing w:after="120" w:line="276" w:lineRule="auto"/>
      </w:pPr>
      <w:r>
        <w:t>---</w:t>
      </w:r>
    </w:p>
    <w:p>
      <w:pPr>
        <w:spacing w:after="120" w:line="276" w:lineRule="auto"/>
      </w:pPr>
      <w:r>
        <w:t>## PARTIE 4 : CONCLUSION D'INVESTISSEMENT</w:t>
      </w:r>
    </w:p>
    <w:p>
      <w:pPr>
        <w:spacing w:after="120" w:line="276" w:lineRule="auto"/>
      </w:pPr>
      <w:r>
        <w:t>La valorisation de BOAN apparaît **très tendue** avec un PER de 272,3x et un EV/EBITDA de 40,5x, qui intègrent déjà une anticipation forte de redressement — toute déception sur les résultats 2026 entraînerait une correction sévère. Le comportement du cours sur 100 jours est **nettement haussier (+53%)** avec une volatilité élevée (36,9%) et une distribution platykurtique (kurtosis -1,739) qui limite le risque de pics extrêmes, mais le skewness quasi-nul (0,038) indique une absence de biais directionnel clair. Les signaux techniques sont **divergents** : les moyennes mobiles restent haussières de fond mais le MACD est baissier, le RSI est proche de la survente et le stochastique suggère un rebond imminent — une configuration de **consolidation** plutôt que de tendance franche. Les fondamentaux montrent un **effondrement en 2025** (ROE 1,13%, résultat net -91,8%) mais un **redressement encourageant au T1 2026** (résultat net +28,9%, coefficient d'exploitation à 56,2%), ce qui pourrait se traduire par un résultat net 2026 estimé entre 4 000 et 5 000 M FCFA. Les **prédictions IA** (5 382 → 5 357 FCFA sur 10 jours) anticipent une **stabilisation légèrement baissière** (-0,5%), ce qui contredit la dynamique haussière récente mais confirme la phase de consolidation technique.</w:t>
      </w:r>
    </w:p>
    <w:p>
      <w:pPr>
        <w:spacing w:after="120" w:line="276" w:lineRule="auto"/>
      </w:pPr>
      <w:r>
        <w:t>**Recommandation finale : CONSERVER**</w:t>
      </w:r>
    </w:p>
    <w:p>
      <w:pPr>
        <w:spacing w:after="120" w:line="276" w:lineRule="auto"/>
      </w:pPr>
      <w:r>
        <w:t>Cette recommandation reflète une **convergence partielle** entre les signaux : la valorisation est excessive à court terme (PER 272x), les techniques sont mitigées (consolidation), mais les fondamentaux s'améliorent (T1 2026) et les prédictions IA confirment une stabilisation. Le **niveau de confiance est Moyen** — le redressement est réel mais fragile et dépend fortement de l'environnement macroéconomique nigérien. Le **risque global est Élevé** (instabilité politique, créances douteuses, absence de dividende). L'**horizon optimal est le moyen terme (3-12 mois)**, le temps que les trimestres 2026 confirment la tendance, avec un objectif de cours potentiel autour de 5 500-5 800 FCFA si le redressement se matérialise. Les investisseurs en recherche de rendement immédiat ou de faible risque doivent s'abstenir.</w:t>
      </w:r>
    </w:p>
    <w:p>
      <w:pPr>
        <w:spacing w:after="120" w:line="276" w:lineRule="auto"/>
      </w:pPr>
      <w:r>
        <w:t>---</w:t>
      </w:r>
    </w:p>
    <w:p>
      <w:pPr>
        <w:spacing w:after="120" w:line="276" w:lineRule="auto"/>
      </w:pPr>
      <w:r>
        <w:t>*Rapport généré le 16 septembre 2026 — Sources : BRVM, états financiers BOAN 2025, rapports trimestriels T1 2026, S2 2025, T3 2025, T1 2025, analyses fondamentales disponibles.*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10,509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+22.49%</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μ=7,618 FCFA, σ=408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β=0.2406 (Défensif) — Cov=0.000008, Var(idx)=0.000034, ρ=0.090,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8,007</w:t>
            </w:r>
          </w:p>
        </w:tc>
        <w:tc>
          <w:tcPr>
            <w:tcW w:type="dxa" w:w="1440"/>
            <w:shd w:fill="FAFAFA" w:val="clear"/>
          </w:tcPr>
          <w:p>
            <w:r>
              <w:rPr>
                <w:b/>
                <w:sz w:val="17"/>
              </w:rPr>
              <w:t>8,203</w:t>
            </w:r>
          </w:p>
        </w:tc>
        <w:tc>
          <w:tcPr>
            <w:tcW w:type="dxa" w:w="1440"/>
            <w:shd w:fill="FAFAFA" w:val="clear"/>
          </w:tcPr>
          <w:p>
            <w:r>
              <w:rPr>
                <w:sz w:val="17"/>
              </w:rPr>
              <w:t>8,399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7,886</w:t>
            </w:r>
          </w:p>
        </w:tc>
        <w:tc>
          <w:tcPr>
            <w:tcW w:type="dxa" w:w="1440"/>
            <w:shd w:fill="FAFAFA" w:val="clear"/>
          </w:tcPr>
          <w:p>
            <w:r>
              <w:rPr>
                <w:b/>
                <w:sz w:val="17"/>
              </w:rPr>
              <w:t>8,162</w:t>
            </w:r>
          </w:p>
        </w:tc>
        <w:tc>
          <w:tcPr>
            <w:tcW w:type="dxa" w:w="1440"/>
            <w:shd w:fill="FAFAFA" w:val="clear"/>
          </w:tcPr>
          <w:p>
            <w:r>
              <w:rPr>
                <w:sz w:val="17"/>
              </w:rPr>
              <w:t>8,437</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7,788</w:t>
            </w:r>
          </w:p>
        </w:tc>
        <w:tc>
          <w:tcPr>
            <w:tcW w:type="dxa" w:w="1440"/>
            <w:shd w:fill="FAFAFA" w:val="clear"/>
          </w:tcPr>
          <w:p>
            <w:r>
              <w:rPr>
                <w:b/>
                <w:sz w:val="17"/>
              </w:rPr>
              <w:t>8,124</w:t>
            </w:r>
          </w:p>
        </w:tc>
        <w:tc>
          <w:tcPr>
            <w:tcW w:type="dxa" w:w="1440"/>
            <w:shd w:fill="FAFAFA" w:val="clear"/>
          </w:tcPr>
          <w:p>
            <w:r>
              <w:rPr>
                <w:sz w:val="17"/>
              </w:rPr>
              <w:t>8,460</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7,703</w:t>
            </w:r>
          </w:p>
        </w:tc>
        <w:tc>
          <w:tcPr>
            <w:tcW w:type="dxa" w:w="1440"/>
            <w:shd w:fill="FAFAFA" w:val="clear"/>
          </w:tcPr>
          <w:p>
            <w:r>
              <w:rPr>
                <w:b/>
                <w:sz w:val="17"/>
              </w:rPr>
              <w:t>8,089</w:t>
            </w:r>
          </w:p>
        </w:tc>
        <w:tc>
          <w:tcPr>
            <w:tcW w:type="dxa" w:w="1440"/>
            <w:shd w:fill="FAFAFA" w:val="clear"/>
          </w:tcPr>
          <w:p>
            <w:r>
              <w:rPr>
                <w:sz w:val="17"/>
              </w:rPr>
              <w:t>8,475</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7,625</w:t>
            </w:r>
          </w:p>
        </w:tc>
        <w:tc>
          <w:tcPr>
            <w:tcW w:type="dxa" w:w="1440"/>
            <w:shd w:fill="FFDCE0" w:val="clear"/>
          </w:tcPr>
          <w:p>
            <w:r>
              <w:rPr>
                <w:b/>
                <w:sz w:val="17"/>
              </w:rPr>
              <w:t>8,055</w:t>
            </w:r>
          </w:p>
        </w:tc>
        <w:tc>
          <w:tcPr>
            <w:tcW w:type="dxa" w:w="1440"/>
            <w:shd w:fill="FFDCE0" w:val="clear"/>
          </w:tcPr>
          <w:p>
            <w:r>
              <w:rPr>
                <w:sz w:val="17"/>
              </w:rPr>
              <w:t>8,485</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7,554</w:t>
            </w:r>
          </w:p>
        </w:tc>
        <w:tc>
          <w:tcPr>
            <w:tcW w:type="dxa" w:w="1440"/>
            <w:shd w:fill="FFDCE0" w:val="clear"/>
          </w:tcPr>
          <w:p>
            <w:r>
              <w:rPr>
                <w:b/>
                <w:sz w:val="17"/>
              </w:rPr>
              <w:t>8,023</w:t>
            </w:r>
          </w:p>
        </w:tc>
        <w:tc>
          <w:tcPr>
            <w:tcW w:type="dxa" w:w="1440"/>
            <w:shd w:fill="FFDCE0" w:val="clear"/>
          </w:tcPr>
          <w:p>
            <w:r>
              <w:rPr>
                <w:sz w:val="17"/>
              </w:rPr>
              <w:t>8,492</w:t>
            </w:r>
          </w:p>
        </w:tc>
        <w:tc>
          <w:tcPr>
            <w:tcW w:type="dxa" w:w="1440"/>
            <w:shd w:fill="FFDCE0" w:val="clear"/>
          </w:tcPr>
          <w:p>
            <w:r>
              <w:rPr>
                <w:b/>
                <w:color w:val="C00000"/>
                <w:sz w:val="17"/>
              </w:rPr>
              <w:t>-2.8%</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7,488</w:t>
            </w:r>
          </w:p>
        </w:tc>
        <w:tc>
          <w:tcPr>
            <w:tcW w:type="dxa" w:w="1440"/>
            <w:shd w:fill="FFDCE0" w:val="clear"/>
          </w:tcPr>
          <w:p>
            <w:r>
              <w:rPr>
                <w:b/>
                <w:sz w:val="17"/>
              </w:rPr>
              <w:t>7,992</w:t>
            </w:r>
          </w:p>
        </w:tc>
        <w:tc>
          <w:tcPr>
            <w:tcW w:type="dxa" w:w="1440"/>
            <w:shd w:fill="FFDCE0" w:val="clear"/>
          </w:tcPr>
          <w:p>
            <w:r>
              <w:rPr>
                <w:sz w:val="17"/>
              </w:rPr>
              <w:t>8,496</w:t>
            </w:r>
          </w:p>
        </w:tc>
        <w:tc>
          <w:tcPr>
            <w:tcW w:type="dxa" w:w="1440"/>
            <w:shd w:fill="FFDCE0" w:val="clear"/>
          </w:tcPr>
          <w:p>
            <w:r>
              <w:rPr>
                <w:b/>
                <w:color w:val="C00000"/>
                <w:sz w:val="17"/>
              </w:rPr>
              <w:t>-3.1%</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7,425</w:t>
            </w:r>
          </w:p>
        </w:tc>
        <w:tc>
          <w:tcPr>
            <w:tcW w:type="dxa" w:w="1440"/>
            <w:shd w:fill="FFDCE0" w:val="clear"/>
          </w:tcPr>
          <w:p>
            <w:r>
              <w:rPr>
                <w:b/>
                <w:sz w:val="17"/>
              </w:rPr>
              <w:t>7,963</w:t>
            </w:r>
          </w:p>
        </w:tc>
        <w:tc>
          <w:tcPr>
            <w:tcW w:type="dxa" w:w="1440"/>
            <w:shd w:fill="FFDCE0" w:val="clear"/>
          </w:tcPr>
          <w:p>
            <w:r>
              <w:rPr>
                <w:sz w:val="17"/>
              </w:rPr>
              <w:t>8,500</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7,367</w:t>
            </w:r>
          </w:p>
        </w:tc>
        <w:tc>
          <w:tcPr>
            <w:tcW w:type="dxa" w:w="1440"/>
            <w:shd w:fill="FFDCE0" w:val="clear"/>
          </w:tcPr>
          <w:p>
            <w:r>
              <w:rPr>
                <w:b/>
                <w:sz w:val="17"/>
              </w:rPr>
              <w:t>7,934</w:t>
            </w:r>
          </w:p>
        </w:tc>
        <w:tc>
          <w:tcPr>
            <w:tcW w:type="dxa" w:w="1440"/>
            <w:shd w:fill="FFDCE0" w:val="clear"/>
          </w:tcPr>
          <w:p>
            <w:r>
              <w:rPr>
                <w:sz w:val="17"/>
              </w:rPr>
              <w:t>8,502</w:t>
            </w:r>
          </w:p>
        </w:tc>
        <w:tc>
          <w:tcPr>
            <w:tcW w:type="dxa" w:w="1440"/>
            <w:shd w:fill="FFDCE0" w:val="clear"/>
          </w:tcPr>
          <w:p>
            <w:r>
              <w:rPr>
                <w:b/>
                <w:color w:val="C00000"/>
                <w:sz w:val="17"/>
              </w:rPr>
              <w:t>-3.8%</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7,311</w:t>
            </w:r>
          </w:p>
        </w:tc>
        <w:tc>
          <w:tcPr>
            <w:tcW w:type="dxa" w:w="1440"/>
            <w:shd w:fill="FFDCE0" w:val="clear"/>
          </w:tcPr>
          <w:p>
            <w:r>
              <w:rPr>
                <w:b/>
                <w:sz w:val="17"/>
              </w:rPr>
              <w:t>7,907</w:t>
            </w:r>
          </w:p>
        </w:tc>
        <w:tc>
          <w:tcPr>
            <w:tcW w:type="dxa" w:w="1440"/>
            <w:shd w:fill="FFDCE0" w:val="clear"/>
          </w:tcPr>
          <w:p>
            <w:r>
              <w:rPr>
                <w:sz w:val="17"/>
              </w:rPr>
              <w:t>8,504</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ACTION BOAS (BANK OF AFRICA SÉNÉGAL)**</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297,00 milliards FCFA, BOAS s'impose comme l'une des valeurs bancaires de référence de la cote BRVM, ce qui traduit une liquidité et une visibilité institutionnelle solides. Le BPA de 608 FCFA/action signifie que chaque titre génère près de 608 FCFA de bénéfice net, un niveau élevé qui soutient la qualité de la valeur. Le PER de 13,6x se situe légèrement au-dessus de la moyenne du marché BRVM (8-12x), ce qui indique que les investisseurs acceptent de payer une prime modérée pour la qualité et la régularité des bénéfices de la banque, sans pour autant tomber dans une surévaluation manifeste. Le P/B de 3,08x montre que le marché valorise l'action à environ trois fois sa valeur comptable, une prime de croissance justifiée par un ROE supérieur à 22%. Enfin, l'EV/EBITDA de 8,8x, dans la fourchette raisonnable de 5-10x, confirme que la valeur totale de l'entreprise reste cohérente avec sa capacité opérationnelle,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BOAS affiche une performance remarquable de +22,49%, malgré un léger repli de -0,60% lors de la dernière séance, signe d'une consolidation ponctuelle après un fort mouvement haussier. Le titre a évolué dans un range de 6 735 FCFA (plus bas) à 8 500 FCFA (plus haut), pour un cours actuel de 8 250 FCFA, soit à proximité de ses sommets, ce qui confirme une tendance générale nettement haussière. Les statistiques descriptives révèlent une moyenne de 7 618 FCFA légèrement supérieure à la médiane de 7 522 FCFA, avec un mode à 7 700 FCFA : cet écart modéré entre moyenne et médiane traduit une distribution quasi symétrique, cohérente avec le skewness de 0,377 (distribution symétrique). L'écart-type de 410 FCFA et le coefficient de variation de 5,4% indiquent une dispersion faible du cours, donc une certaine stabilité relative. Le kurtosis de -0,559 (mésokurtique) suggère une distribution proche de la normale, sans risque marqué de pics extrêmes. Enfin, la volatilité annualisée de 24,8% place le titre dans la catégorie des valeurs à volatilité modérée (15-30%), ce qui est rassurant pour un investisseur recherchant un couple rendement/risque équilibré.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(8 250,5 FCFA) est pratiquement confondue avec le cours actuel (8 250 FCFA), tandis que la MM50 (7 865,5 FCFA) reste nettement en dessous, confirmant une structure haussière de moyen terme. Le cours évoluant au-dessus de la MM50 et collé à la MM20, la décision technique est à l'**Achat**, avec un support dynamique solide autour de 7 865 FCFA.</w:t>
      </w:r>
    </w:p>
    <w:p>
      <w:pPr>
        <w:spacing w:after="120" w:line="276" w:lineRule="auto"/>
      </w:pPr>
      <w:r>
        <w:t>**Bandes de Bollinger** : Le cours (8 250 FCFA) se situe à mi-chemin entre la borne inférieure (7 920,08 FCFA) et la borne supérieure (8 580,92 FCFA), ce qui traduit une phase de consolidation sans excès de volatilité. La décision est **Neutre**, l'absence de contact avec les bornes indiquant un marché en équilibre, sans signal directionnel fort.</w:t>
      </w:r>
    </w:p>
    <w:p>
      <w:pPr>
        <w:spacing w:after="120" w:line="276" w:lineRule="auto"/>
      </w:pPr>
      <w:r>
        <w:t>**MACD** : La valeur du MACD (117,284) est inférieure à son signal (140,558), générant un croisement baissier et une décision de **Vente**. Cette divergence signale un essoufflement du momentum haussier à court terme, bien que le MACD reste en territoire positif, ce qui limite la portée baissière du signal.</w:t>
      </w:r>
    </w:p>
    <w:p>
      <w:pPr>
        <w:spacing w:after="120" w:line="276" w:lineRule="auto"/>
      </w:pPr>
      <w:r>
        <w:t>**RSI** : À 38,983, le RSI se situe dans la zone neutre basse (30-70), sans atteindre la zone de survente (&lt;30). La décision est **Neutre**, mais la proximité de la zone de survente suggère que le titre pourrait être proche d'un point d'entrée intéressant si la pression vendeuse s'atténue.</w:t>
      </w:r>
    </w:p>
    <w:p>
      <w:pPr>
        <w:spacing w:after="120" w:line="276" w:lineRule="auto"/>
      </w:pPr>
      <w:r>
        <w:t>**Stochastique** : Le %K (33,333) est inférieur au %D (41,383), avec un croisement baissier en zone basse, donnant une décision **Neutre**. Cette configuration indique une pression vendeuse résiduelle, mais le niveau bas des deux courbes laisse entrevoir une possible reprise à court terme.</w:t>
      </w:r>
    </w:p>
    <w:p>
      <w:pPr>
        <w:spacing w:after="120" w:line="276" w:lineRule="auto"/>
      </w:pPr>
      <w:r>
        <w:t>**Conclusion technique** : Les indicateurs présentent une configuration mitigée. Les moyennes mobiles restent haussières (MM20 &gt; MM50, cours au-dessus de la MM50), mais le MACD baissier et le RSI bas signalent une consolidation en cours. Les Bandes de Bollinger et le Stochastique confirment cette phase de respiration neutre. Globalement, le titre est en pause technique après une forte hausse, avec un biais haussier de fond tant que le support de 7 865 FCFA (MM50) tient.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de très bonne qualité, avec un Produit Net Bancaire (équivalent du chiffre d'affaires) de 51,926 milliards FCFA et un résultat net de 21,905 milliards FCFA, soit une marge nette exceptionnelle de 42,19%. Le ROE s'établit à 22,69%, largement au-dessus du seuil d'excellence de 15%, et le ROA à 2,62%, confirmant une rentabilité solide des actifs. Le coefficient d'exploitation de 44,02% est inférieur au seuil de 60% et même proche du seuil d'excellence de 50%, témoignant d'une efficacité opérationnelle remarquable. Le coût du risque rapporté aux charges financières s'élève à 23,31%, un niveau élevé qui mérite une surveillance attentive, bien que les rapports trimestriels montrent une amélioration continue (coût du risque passé de -1,8% à -0,5% du PNB entre 2024 et le T3 2025). La structure financière reste solide avec une autonomie financière de 11,54% (faible mais typique du modèle bancaire) et une solvabilité générale de 113,05% (&gt;1, donc solvable). Le ratio dépôts/créances s'établit à 686,927 Mds FCFA de dépôts clientèle pour 386,424 Mds FCFA de créances, soit un taux de transformation de 56,3%, indiquant une marge de progression dans l'utilisation des dépôts. Les rapports trimestriels confirment la dynamique : le T1 2026 (publié en 2026) affiche un PNB de 12,580 milliards FCFA (+6,82%) et un résultat net de 5,741 milliards FCFA (+9,78%), avec un coefficient d'exploitation amélioré à 42,1%. Sur la base de ces tendances, on estime que l'exercice 2026 devrait enregistrer une croissance du PNB de l'ordre de 6-7% et une progression du résultat net de 9-10%, poursuivant la trajectoire observée au T3 2025 (PNB +6,71%, résultat net +10,01%). La recommandation fondamentale est **positive** : solidité financière, rentabilité élevée, efficacité opérationnelle et croissance régulière, avec un risque principal lié au coût du risque et à la concentration sur le marché sénégalais.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(Partie 0) apparaît raisonnable mais non décotée : PER de 13,6x légèrement supérieur à la moyenne BRVM, P/B de 3,08x traduisant une prime de croissance justifiée par le ROE de 22,69%, et EV/EBITDA de 8,8x dans la fourchette normale. Le comportement du cours (Partie 1) est favorable : tendance haussière de +22,49% sur 100 jours, volatilité modérée de 24,8%, distribution symétrique (skewness 0,377) et absence de risque de pics extrêmes (kurtosis -0,559), ce qui plaide pour une poursuite sereine de la tendance. Les signaux techniques (Partie 2) sont mitigés : les moyennes mobiles restent haussières (MM20 &gt; MM50), mais le MACD baissier et le RSI bas (38,98) signalent une consolidation à court terme, sans remettre en cause la tendance de fond. Les fondamentaux (Partie 3) sont solides : PNB de 51,926 Mds FCFA en 2025, résultat net de 21,905 Mds FCFA, ROE de 22,69%, coefficient d'exploitation de 44,02%, et les rapports T1 2026 confirment la dynamique avec un résultat net en hausse de 9,78%. Les prédictions IA (J+1 à J+10) anticipent une légère correction vers 8 055 FCFA d'ici le 23 septembre 2026, ce qui est cohérent avec la phase de consolidation technique actuelle mais contredit la tendance haussière de fond. Sur la base de cette synthèse, la recommandation finale est **ACHAT**, avec un niveau de confiance **Moyen** et un risque global **Moyen**. La convergence entre valorisation raisonnable, fondamentaux solides et tendance haussière de fond l'emporte sur la divergence à court terme des signaux techniques et des prédictions IA. L'horizon d'investissement optimal est le **moyen terme (3-12 mois)**, le temps que la consolidation technique s'achève et que la croissance des bénéfices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2,138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+4.48%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7.28% (Moyenne) — μ=3,707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β=0.1413 (Défensif) — Cov=0.000005, Var(idx)=0.000034,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σ_j=2.91%/j (Stable) — Vol. annualisée≈46.2%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3,375</w:t>
            </w:r>
          </w:p>
        </w:tc>
        <w:tc>
          <w:tcPr>
            <w:tcW w:type="dxa" w:w="1440"/>
            <w:shd w:fill="FAFAFA" w:val="clear"/>
          </w:tcPr>
          <w:p>
            <w:r>
              <w:rPr>
                <w:b/>
                <w:sz w:val="17"/>
              </w:rPr>
              <w:t>3,463</w:t>
            </w:r>
          </w:p>
        </w:tc>
        <w:tc>
          <w:tcPr>
            <w:tcW w:type="dxa" w:w="1440"/>
            <w:shd w:fill="FAFAFA" w:val="clear"/>
          </w:tcPr>
          <w:p>
            <w:r>
              <w:rPr>
                <w:sz w:val="17"/>
              </w:rPr>
              <w:t>3,551</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3,326</w:t>
            </w:r>
          </w:p>
        </w:tc>
        <w:tc>
          <w:tcPr>
            <w:tcW w:type="dxa" w:w="1440"/>
            <w:shd w:fill="FAFAFA" w:val="clear"/>
          </w:tcPr>
          <w:p>
            <w:r>
              <w:rPr>
                <w:b/>
                <w:sz w:val="17"/>
              </w:rPr>
              <w:t>3,449</w:t>
            </w:r>
          </w:p>
        </w:tc>
        <w:tc>
          <w:tcPr>
            <w:tcW w:type="dxa" w:w="1440"/>
            <w:shd w:fill="FAFAFA" w:val="clear"/>
          </w:tcPr>
          <w:p>
            <w:r>
              <w:rPr>
                <w:sz w:val="17"/>
              </w:rPr>
              <w:t>3,573</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3,278</w:t>
            </w:r>
          </w:p>
        </w:tc>
        <w:tc>
          <w:tcPr>
            <w:tcW w:type="dxa" w:w="1440"/>
            <w:shd w:fill="FFDCE0" w:val="clear"/>
          </w:tcPr>
          <w:p>
            <w:r>
              <w:rPr>
                <w:b/>
                <w:sz w:val="17"/>
              </w:rPr>
              <w:t>3,429</w:t>
            </w:r>
          </w:p>
        </w:tc>
        <w:tc>
          <w:tcPr>
            <w:tcW w:type="dxa" w:w="1440"/>
            <w:shd w:fill="FFDCE0" w:val="clear"/>
          </w:tcPr>
          <w:p>
            <w:r>
              <w:rPr>
                <w:sz w:val="17"/>
              </w:rPr>
              <w:t>3,580</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2026-09-22</w:t>
            </w:r>
          </w:p>
        </w:tc>
        <w:tc>
          <w:tcPr>
            <w:tcW w:type="dxa" w:w="1440"/>
            <w:shd w:fill="FFDCE0" w:val="clear"/>
          </w:tcPr>
          <w:p>
            <w:r>
              <w:rPr>
                <w:sz w:val="17"/>
              </w:rPr>
              <w:t>3,234</w:t>
            </w:r>
          </w:p>
        </w:tc>
        <w:tc>
          <w:tcPr>
            <w:tcW w:type="dxa" w:w="1440"/>
            <w:shd w:fill="FFDCE0" w:val="clear"/>
          </w:tcPr>
          <w:p>
            <w:r>
              <w:rPr>
                <w:b/>
                <w:sz w:val="17"/>
              </w:rPr>
              <w:t>3,407</w:t>
            </w:r>
          </w:p>
        </w:tc>
        <w:tc>
          <w:tcPr>
            <w:tcW w:type="dxa" w:w="1440"/>
            <w:shd w:fill="FFDCE0" w:val="clear"/>
          </w:tcPr>
          <w:p>
            <w:r>
              <w:rPr>
                <w:sz w:val="17"/>
              </w:rPr>
              <w:t>3,580</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3,192</w:t>
            </w:r>
          </w:p>
        </w:tc>
        <w:tc>
          <w:tcPr>
            <w:tcW w:type="dxa" w:w="1440"/>
            <w:shd w:fill="FFDCE0" w:val="clear"/>
          </w:tcPr>
          <w:p>
            <w:r>
              <w:rPr>
                <w:b/>
                <w:sz w:val="17"/>
              </w:rPr>
              <w:t>3,385</w:t>
            </w:r>
          </w:p>
        </w:tc>
        <w:tc>
          <w:tcPr>
            <w:tcW w:type="dxa" w:w="1440"/>
            <w:shd w:fill="FFDCE0" w:val="clear"/>
          </w:tcPr>
          <w:p>
            <w:r>
              <w:rPr>
                <w:sz w:val="17"/>
              </w:rPr>
              <w:t>3,577</w:t>
            </w:r>
          </w:p>
        </w:tc>
        <w:tc>
          <w:tcPr>
            <w:tcW w:type="dxa" w:w="1440"/>
            <w:shd w:fill="FFDCE0" w:val="clear"/>
          </w:tcPr>
          <w:p>
            <w:r>
              <w:rPr>
                <w:b/>
                <w:color w:val="C00000"/>
                <w:sz w:val="17"/>
              </w:rPr>
              <w:t>-3.3%</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3,153</w:t>
            </w:r>
          </w:p>
        </w:tc>
        <w:tc>
          <w:tcPr>
            <w:tcW w:type="dxa" w:w="1440"/>
            <w:shd w:fill="FFDCE0" w:val="clear"/>
          </w:tcPr>
          <w:p>
            <w:r>
              <w:rPr>
                <w:b/>
                <w:sz w:val="17"/>
              </w:rPr>
              <w:t>3,362</w:t>
            </w:r>
          </w:p>
        </w:tc>
        <w:tc>
          <w:tcPr>
            <w:tcW w:type="dxa" w:w="1440"/>
            <w:shd w:fill="FFDCE0" w:val="clear"/>
          </w:tcPr>
          <w:p>
            <w:r>
              <w:rPr>
                <w:sz w:val="17"/>
              </w:rPr>
              <w:t>3,571</w:t>
            </w:r>
          </w:p>
        </w:tc>
        <w:tc>
          <w:tcPr>
            <w:tcW w:type="dxa" w:w="1440"/>
            <w:shd w:fill="FFDCE0" w:val="clear"/>
          </w:tcPr>
          <w:p>
            <w:r>
              <w:rPr>
                <w:b/>
                <w:color w:val="C00000"/>
                <w:sz w:val="17"/>
              </w:rPr>
              <w:t>-3.9%</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3,116</w:t>
            </w:r>
          </w:p>
        </w:tc>
        <w:tc>
          <w:tcPr>
            <w:tcW w:type="dxa" w:w="1440"/>
            <w:shd w:fill="FFDCE0" w:val="clear"/>
          </w:tcPr>
          <w:p>
            <w:r>
              <w:rPr>
                <w:b/>
                <w:sz w:val="17"/>
              </w:rPr>
              <w:t>3,340</w:t>
            </w:r>
          </w:p>
        </w:tc>
        <w:tc>
          <w:tcPr>
            <w:tcW w:type="dxa" w:w="1440"/>
            <w:shd w:fill="FFDCE0" w:val="clear"/>
          </w:tcPr>
          <w:p>
            <w:r>
              <w:rPr>
                <w:sz w:val="17"/>
              </w:rPr>
              <w:t>3,564</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3,081</w:t>
            </w:r>
          </w:p>
        </w:tc>
        <w:tc>
          <w:tcPr>
            <w:tcW w:type="dxa" w:w="1440"/>
            <w:shd w:fill="FFDCE0" w:val="clear"/>
          </w:tcPr>
          <w:p>
            <w:r>
              <w:rPr>
                <w:b/>
                <w:sz w:val="17"/>
              </w:rPr>
              <w:t>3,319</w:t>
            </w:r>
          </w:p>
        </w:tc>
        <w:tc>
          <w:tcPr>
            <w:tcW w:type="dxa" w:w="1440"/>
            <w:shd w:fill="FFDCE0" w:val="clear"/>
          </w:tcPr>
          <w:p>
            <w:r>
              <w:rPr>
                <w:sz w:val="17"/>
              </w:rPr>
              <w:t>3,557</w:t>
            </w:r>
          </w:p>
        </w:tc>
        <w:tc>
          <w:tcPr>
            <w:tcW w:type="dxa" w:w="1440"/>
            <w:shd w:fill="FFDCE0" w:val="clear"/>
          </w:tcPr>
          <w:p>
            <w:r>
              <w:rPr>
                <w:b/>
                <w:color w:val="C00000"/>
                <w:sz w:val="17"/>
              </w:rPr>
              <w:t>-5.2%</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3,047</w:t>
            </w:r>
          </w:p>
        </w:tc>
        <w:tc>
          <w:tcPr>
            <w:tcW w:type="dxa" w:w="1440"/>
            <w:shd w:fill="FFDCE0" w:val="clear"/>
          </w:tcPr>
          <w:p>
            <w:r>
              <w:rPr>
                <w:b/>
                <w:sz w:val="17"/>
              </w:rPr>
              <w:t>3,298</w:t>
            </w:r>
          </w:p>
        </w:tc>
        <w:tc>
          <w:tcPr>
            <w:tcW w:type="dxa" w:w="1440"/>
            <w:shd w:fill="FFDCE0" w:val="clear"/>
          </w:tcPr>
          <w:p>
            <w:r>
              <w:rPr>
                <w:sz w:val="17"/>
              </w:rPr>
              <w:t>3,550</w:t>
            </w:r>
          </w:p>
        </w:tc>
        <w:tc>
          <w:tcPr>
            <w:tcW w:type="dxa" w:w="1440"/>
            <w:shd w:fill="FFDCE0" w:val="clear"/>
          </w:tcPr>
          <w:p>
            <w:r>
              <w:rPr>
                <w:b/>
                <w:color w:val="C00000"/>
                <w:sz w:val="17"/>
              </w:rPr>
              <w:t>-5.8%</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3,015</w:t>
            </w:r>
          </w:p>
        </w:tc>
        <w:tc>
          <w:tcPr>
            <w:tcW w:type="dxa" w:w="1440"/>
            <w:shd w:fill="FFDCE0" w:val="clear"/>
          </w:tcPr>
          <w:p>
            <w:r>
              <w:rPr>
                <w:b/>
                <w:sz w:val="17"/>
              </w:rPr>
              <w:t>3,278</w:t>
            </w:r>
          </w:p>
        </w:tc>
        <w:tc>
          <w:tcPr>
            <w:tcW w:type="dxa" w:w="1440"/>
            <w:shd w:fill="FFDCE0" w:val="clear"/>
          </w:tcPr>
          <w:p>
            <w:r>
              <w:rPr>
                <w:sz w:val="17"/>
              </w:rPr>
              <w:t>3,541</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20,72 Mds FCFA, CABC se positionne comme une valeur de taille moyenne sur la BRVM, loin des poids lourds comme SONATEL ou ETIT, ce qui implique une liquidité limitée et une sensibilité accrue aux mouvements de portefeuille. Le BPA de 243 FCFA/action confère au titre un PER de 14,4x, soit une prime notable par rapport au PER moyen de la BRVM (~8-12x), suggérant que le marché intègre déjà une anticipation de redressement des bénéfices. Le P/B de 2,22x indique que le marché valorise l'entreprise à plus du double de sa valeur comptable, une prime de croissance qui contraste avec la fragilité des résultats récents. L'EV/EBITDA de 7,3x, dans la fourchette raisonnable de 5-10x, traduit une valorisation cohérente de la capacité opérationnelle, mais qui reste tributaire de la volatilité des marges dans le secteur des câbles.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 enregistré une progression totale de +4,48%, avec une dernière séance particulièrement dynamique (+2,64%), portant le titre à 3 500 FCFA. Le range de trading s'étend de 3 350 FCFA (plus bas) à 4 500 FCFA (plus haut), soit une amplitude de 34%, révélant une volatilité intra-période significative malgré la modération récente. La tendance générale apparaît baissière depuis le pic de 4 500 FCFA, le cours actuel se situant 22% en dessous de ce sommet, bien que la récente stabilisation autour de 3 500 FCFA suggère une tentative de reprise. Les statistiques descriptives révèlent une moyenne de 3 707 FCFA supérieure à la médiane de 3 610 FCFA, confirmant une asymétrie positive (skewness de 1,132) avec davantage de journées sous la moyenne, typique d'un titre ayant subi des corrections ponctuelles. L'écart-type de 271 FCFA (CV de 7,3%) indique une dispersion modérée du cours, tandis que le kurtosis de 0,765 (mésokurtique) suggère une distribution proche de la normale, sans risque extrême de pics. La volatilité annualisée de 46,2% classe le titre dans la catégorie des valeurs à volatilité élevée (&gt;30%), ce qui est cohérent avec la taille moyenne de l'entreprise et la cyclicité de son secteur.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(3 530,75 FCFA) et la MM50 (3 629,2 FCFA) se situent toutes deux au-dessus du cours actuel (3 500 FCFA), avec une MM20 inférieure à la MM50, configuration baissière classique. Le cours évoluant sous ses deux moyennes, la décision technique est logiquement "Vente", confirmant la pression vendeuse à court et moyen terme.</w:t>
      </w:r>
    </w:p>
    <w:p>
      <w:pPr>
        <w:spacing w:after="120" w:line="276" w:lineRule="auto"/>
      </w:pPr>
      <w:r>
        <w:t>**Bandes de Bollinger** : Le cours (3 500 FCFA) se situe dans la partie médiane des bandes, entre la borne inférieure (3 380,79 FCFA) et supérieure (3 680,71 FCFA), sans contact avec les extrêmes. Cette position centrale, couplée à un rétrécissement des bandes, indique une phase de consolidation avec une volatilité en compression, justifiant la décision "Neutre" en l'absence de signal directionnel clair.</w:t>
      </w:r>
    </w:p>
    <w:p>
      <w:pPr>
        <w:spacing w:after="120" w:line="276" w:lineRule="auto"/>
      </w:pPr>
      <w:r>
        <w:t>**MACD** : La valeur du MACD (-45,892) est supérieure à son signal (-49,957), générant un croisement haussier (MACD &gt; Signal) bien que les deux restent en territoire négatif. Ce différentiel positif traduit un ralentissement du momentum baissier et une possible inflexion, justifiant la décision "Achat" malgré un contexte globalement baissier.</w:t>
      </w:r>
    </w:p>
    <w:p>
      <w:pPr>
        <w:spacing w:after="120" w:line="276" w:lineRule="auto"/>
      </w:pPr>
      <w:r>
        <w:t>**RSI** : À 50,0, le RSI se situe exactement à l'équilibre entre surachat (&gt;70) et survente (&lt;30), reflétant une absence de pression directionnelle dominante. Cette neutralité confirme la phase d'indécision du marché et justifie la décision "Neutre".</w:t>
      </w:r>
    </w:p>
    <w:p>
      <w:pPr>
        <w:spacing w:after="120" w:line="276" w:lineRule="auto"/>
      </w:pPr>
      <w:r>
        <w:t>**Stochastique** : Le %K (64,286) est nettement supérieur au %D (26,19), avec un croisement haussier en cours dans la zone médiane. Cette configuration suggère un début de pression acheteuse, mais l'absence de confirmation par le RSI et la position sous les moyennes mobiles incitent à la prudence, justifiant la décision "Neutre".</w:t>
      </w:r>
    </w:p>
    <w:p>
      <w:pPr>
        <w:spacing w:after="120" w:line="276" w:lineRule="auto"/>
      </w:pPr>
      <w:r>
        <w:t>**Conclusion technique** : Les indicateurs techniques présentent un tableau mitigé, avec une majorité de signaux neutres (Bollinger, RSI, Stochastique) et une divergence entre le MACD (achat) et les moyennes mobiles (vente). Le titre se trouve dans une phase de consolidation baissière, avec un potentiel de rebond technique à court terme (MACD, Stochastique) mais une structure de fond toujours fragile sous les MM20 et MM50. La prudence reste de mise tant que le cours ne repasse pas au-dessus de 3 630 FCFA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officiels) révèlent une situation contrastée : le chiffre d'affaires s'établit à 21 263 Mds FCFA, en croissance de 11,18% sur un an, porté par la demande en infrastructures électriques et télécoms. Le résultat net atteint 1 439 Mds FCFA, avec une marge nette de 6,77%, un ROE de 15,40% (excellent, &gt;15%) et un ROA de 6,10%, témoignant d'une rentabilité correcte des fonds propres mais limitée des actifs. Cependant, l'analyse du bilan révèle des tensions : les créances clients (8 429 Mds FCFA) et les stocks (7 400 Mds FCFA) représentent des délais respectifs de 144,69 jours et 152,12 jours, soit des niveaux élevés qui immobilisent le capital et exposent l'entreprise à un risque de trésorerie. Le BFR de 7 186 Mds FCFA et le flux opérationnel négatif (-819,66 M FCFA) confirment cette pression, malgré une trésorerie nette de 5 139 Mds FCFA et une autonomie financière de 39,58% (saine). Le rapport annuel 2024 (publié le 31/12/2024) indiquait déjà une perte nette de 1 225 M FCFA, mais les rapports trimestriels 2025 (S1 et T3, publiés respectivement les 30/06/2025 et 30/09/2025) montrent un redressement spectaculaire : au T3 2025, le résultat net atteint 1 329,5 M FCFA (+26% vs T3 2024), avec une marge nette de 8,0% et une marge opérationnelle de 11,5%. Sur la base de ces tendances, on estime que l'exercice 2025 devrait clôturer avec un résultat net autour de 1 400-1 500 M FCFA, confirmant le retour à la profitabilité. Toutefois, le rapport T1 2026 (publié en 2026) signale une dégradation temporaire avec une perte nette de 221,7 M FCFA (-205% vs T1 2025), due à une maintenance planifiée et à la hausse des cours des métaux (+23%), ce qui introduit une incertitude sur la durabilité du redressement. La recommandation fondamentale est de **CONSERVER** avec vigilance : la solidité du bilan (trésorerie, autonomie financière) et le retour à la profitabilité en 2025 sont des points positifs, mais les risques liés aux délais clients, à la volatilité des matières premières et à la concurrence asiatique nécessitent une surveillance active.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significative entre les signaux. La valorisation (Partie 0) apparaît tendue avec un PER de 14,4x supérieur à la moyenne BRVM et un P/B de 2,22x, suggérant que le marché a déjà intégré une amélioration des bénéfices qui reste fragile. Le comportement du cours (Partie 1) est préoccupant : malgré une progression de +4,48% sur 100 jours, le titre reste 22% sous son plus haut, avec une volatilité élevée (46,2%) et une asymétrie positive (skewness de 1,132) indiquant des corrections ponctuelles sévères. Les signaux techniques (Partie 2) sont mitigés : le MACD et le Stochastique suggèrent un rebond, mais les moyennes mobiles et la position du cours sous la MM50 maintiennent une pression baissière. Les fondamentaux (Partie 3) sont ambivalents : le retour à la profitabilité en 2025 (ROE de 15,40%, marge nette de 6,77%) est encourageant, mais les délais clients élevés (144,69 jours) et le flux opérationnel négatif (-819,66 M FCFA) constituent des risques majeurs, aggravés par la perte au T1 2026. Les prédictions IA (J+1 à J+10) anticipent une baisse continue de 3 463 FCFA à 3 385 FCFA, confirmant la pression baissière à court terme et contredisant les signaux haussiers du MACD et du Stochastique. Sur la base de cette synthèse, la recommandation finale est **CONSERVER** avec un niveau de confiance **Moyen** et un risque global **Élevé**. L'horizon d'investissement optimal est le **moyen terme (3-12 mois)**, en attendant la confirmation du redressement durable de la profitabilité et l'amélioration des délais de recouvrement clients. Une cassure du support de 3 380 FCFA (borne inférieure de Bollinger) constituerait un signal de vente, tandis qu'un retour au-dessus de 3 630 FCFA (MM50) pourrait justifier un renforcement progressif.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1102.40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1,491 titres</w:t>
            </w:r>
          </w:p>
        </w:tc>
        <w:tc>
          <w:tcPr>
            <w:tcW w:type="dxa" w:w="2268"/>
            <w:shd w:fill="FFF2CC" w:val="clear"/>
          </w:tcPr>
          <w:p>
            <w:r>
              <w:rPr>
                <w:b/>
                <w:color w:val="503200"/>
                <w:sz w:val="16"/>
              </w:rPr>
              <w:t xml:space="preserve">Cours actuel : </w:t>
            </w:r>
            <w:r>
              <w:rPr>
                <w:color w:val="000000"/>
                <w:sz w:val="17"/>
              </w:rPr>
              <w:t>34,450 FCFA</w:t>
            </w:r>
          </w:p>
          <w:p>
            <w:r>
              <w:rPr>
                <w:b/>
                <w:color w:val="503200"/>
                <w:sz w:val="16"/>
              </w:rPr>
              <w:t xml:space="preserve">Var. 100 jours : </w:t>
            </w:r>
            <w:r>
              <w:rPr>
                <w:b/>
                <w:color w:val="007800"/>
                <w:sz w:val="17"/>
              </w:rPr>
              <w:t>+119.71%</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21.18% (Élevée) — μ=24,933 FCFA, σ=5,280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β=0.9224 (Neutre (suit le marché)) — Cov=0.000032, Var(idx)=0.000034, ρ=0.211,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2026-09-17</w:t>
            </w:r>
          </w:p>
        </w:tc>
        <w:tc>
          <w:tcPr>
            <w:tcW w:type="dxa" w:w="1440"/>
            <w:shd w:fill="FFDCE0" w:val="clear"/>
          </w:tcPr>
          <w:p>
            <w:r>
              <w:rPr>
                <w:sz w:val="17"/>
              </w:rPr>
              <w:t>30,970</w:t>
            </w:r>
          </w:p>
        </w:tc>
        <w:tc>
          <w:tcPr>
            <w:tcW w:type="dxa" w:w="1440"/>
            <w:shd w:fill="FFDCE0" w:val="clear"/>
          </w:tcPr>
          <w:p>
            <w:r>
              <w:rPr>
                <w:b/>
                <w:sz w:val="17"/>
              </w:rPr>
              <w:t>31,866</w:t>
            </w:r>
          </w:p>
        </w:tc>
        <w:tc>
          <w:tcPr>
            <w:tcW w:type="dxa" w:w="1440"/>
            <w:shd w:fill="FFDCE0" w:val="clear"/>
          </w:tcPr>
          <w:p>
            <w:r>
              <w:rPr>
                <w:sz w:val="17"/>
              </w:rPr>
              <w:t>32,762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2026-09-18</w:t>
            </w:r>
          </w:p>
        </w:tc>
        <w:tc>
          <w:tcPr>
            <w:tcW w:type="dxa" w:w="1440"/>
            <w:shd w:fill="FFDCE0" w:val="clear"/>
          </w:tcPr>
          <w:p>
            <w:r>
              <w:rPr>
                <w:sz w:val="17"/>
              </w:rPr>
              <w:t>29,224</w:t>
            </w:r>
          </w:p>
        </w:tc>
        <w:tc>
          <w:tcPr>
            <w:tcW w:type="dxa" w:w="1440"/>
            <w:shd w:fill="FFDCE0" w:val="clear"/>
          </w:tcPr>
          <w:p>
            <w:r>
              <w:rPr>
                <w:b/>
                <w:sz w:val="17"/>
              </w:rPr>
              <w:t>30,434</w:t>
            </w:r>
          </w:p>
        </w:tc>
        <w:tc>
          <w:tcPr>
            <w:tcW w:type="dxa" w:w="1440"/>
            <w:shd w:fill="FFDCE0" w:val="clear"/>
          </w:tcPr>
          <w:p>
            <w:r>
              <w:rPr>
                <w:sz w:val="17"/>
              </w:rPr>
              <w:t>31,644</w:t>
            </w:r>
          </w:p>
        </w:tc>
        <w:tc>
          <w:tcPr>
            <w:tcW w:type="dxa" w:w="1440"/>
            <w:shd w:fill="FFDCE0" w:val="clear"/>
          </w:tcPr>
          <w:p>
            <w:r>
              <w:rPr>
                <w:b/>
                <w:color w:val="C00000"/>
                <w:sz w:val="17"/>
              </w:rPr>
              <w:t>-11.7%</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28,520</w:t>
            </w:r>
          </w:p>
        </w:tc>
        <w:tc>
          <w:tcPr>
            <w:tcW w:type="dxa" w:w="1440"/>
            <w:shd w:fill="FFDCE0" w:val="clear"/>
          </w:tcPr>
          <w:p>
            <w:r>
              <w:rPr>
                <w:b/>
                <w:sz w:val="17"/>
              </w:rPr>
              <w:t>29,979</w:t>
            </w:r>
          </w:p>
        </w:tc>
        <w:tc>
          <w:tcPr>
            <w:tcW w:type="dxa" w:w="1440"/>
            <w:shd w:fill="FFDCE0" w:val="clear"/>
          </w:tcPr>
          <w:p>
            <w:r>
              <w:rPr>
                <w:sz w:val="17"/>
              </w:rPr>
              <w:t>31,439</w:t>
            </w:r>
          </w:p>
        </w:tc>
        <w:tc>
          <w:tcPr>
            <w:tcW w:type="dxa" w:w="1440"/>
            <w:shd w:fill="FFDCE0" w:val="clear"/>
          </w:tcPr>
          <w:p>
            <w:r>
              <w:rPr>
                <w:b/>
                <w:color w:val="C00000"/>
                <w:sz w:val="17"/>
              </w:rPr>
              <w:t>-13.0%</w:t>
            </w:r>
          </w:p>
        </w:tc>
      </w:tr>
      <w:tr>
        <w:tc>
          <w:tcPr>
            <w:tcW w:type="dxa" w:w="1440"/>
            <w:shd w:fill="FFDCE0" w:val="clear"/>
          </w:tcPr>
          <w:p>
            <w:r>
              <w:rPr>
                <w:sz w:val="17"/>
              </w:rPr>
              <w:t>J+4  Moyenne</w:t>
            </w:r>
          </w:p>
        </w:tc>
        <w:tc>
          <w:tcPr>
            <w:tcW w:type="dxa" w:w="1440"/>
            <w:shd w:fill="FFDCE0" w:val="clear"/>
          </w:tcPr>
          <w:p>
            <w:r>
              <w:rPr>
                <w:sz w:val="17"/>
              </w:rPr>
              <w:t>2026-09-22</w:t>
            </w:r>
          </w:p>
        </w:tc>
        <w:tc>
          <w:tcPr>
            <w:tcW w:type="dxa" w:w="1440"/>
            <w:shd w:fill="FFDCE0" w:val="clear"/>
          </w:tcPr>
          <w:p>
            <w:r>
              <w:rPr>
                <w:sz w:val="17"/>
              </w:rPr>
              <w:t>28,011</w:t>
            </w:r>
          </w:p>
        </w:tc>
        <w:tc>
          <w:tcPr>
            <w:tcW w:type="dxa" w:w="1440"/>
            <w:shd w:fill="FFDCE0" w:val="clear"/>
          </w:tcPr>
          <w:p>
            <w:r>
              <w:rPr>
                <w:b/>
                <w:sz w:val="17"/>
              </w:rPr>
              <w:t>29,679</w:t>
            </w:r>
          </w:p>
        </w:tc>
        <w:tc>
          <w:tcPr>
            <w:tcW w:type="dxa" w:w="1440"/>
            <w:shd w:fill="FFDCE0" w:val="clear"/>
          </w:tcPr>
          <w:p>
            <w:r>
              <w:rPr>
                <w:sz w:val="17"/>
              </w:rPr>
              <w:t>31,348</w:t>
            </w:r>
          </w:p>
        </w:tc>
        <w:tc>
          <w:tcPr>
            <w:tcW w:type="dxa" w:w="1440"/>
            <w:shd w:fill="FFDCE0" w:val="clear"/>
          </w:tcPr>
          <w:p>
            <w:r>
              <w:rPr>
                <w:b/>
                <w:color w:val="C00000"/>
                <w:sz w:val="17"/>
              </w:rPr>
              <w:t>-13.8%</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27,561</w:t>
            </w:r>
          </w:p>
        </w:tc>
        <w:tc>
          <w:tcPr>
            <w:tcW w:type="dxa" w:w="1440"/>
            <w:shd w:fill="FFDCE0" w:val="clear"/>
          </w:tcPr>
          <w:p>
            <w:r>
              <w:rPr>
                <w:b/>
                <w:sz w:val="17"/>
              </w:rPr>
              <w:t>29,410</w:t>
            </w:r>
          </w:p>
        </w:tc>
        <w:tc>
          <w:tcPr>
            <w:tcW w:type="dxa" w:w="1440"/>
            <w:shd w:fill="FFDCE0" w:val="clear"/>
          </w:tcPr>
          <w:p>
            <w:r>
              <w:rPr>
                <w:sz w:val="17"/>
              </w:rPr>
              <w:t>31,259</w:t>
            </w:r>
          </w:p>
        </w:tc>
        <w:tc>
          <w:tcPr>
            <w:tcW w:type="dxa" w:w="1440"/>
            <w:shd w:fill="FFDCE0" w:val="clear"/>
          </w:tcPr>
          <w:p>
            <w:r>
              <w:rPr>
                <w:b/>
                <w:color w:val="C00000"/>
                <w:sz w:val="17"/>
              </w:rPr>
              <w:t>-14.6%</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27,176</w:t>
            </w:r>
          </w:p>
        </w:tc>
        <w:tc>
          <w:tcPr>
            <w:tcW w:type="dxa" w:w="1440"/>
            <w:shd w:fill="FFDCE0" w:val="clear"/>
          </w:tcPr>
          <w:p>
            <w:r>
              <w:rPr>
                <w:b/>
                <w:sz w:val="17"/>
              </w:rPr>
              <w:t>29,186</w:t>
            </w:r>
          </w:p>
        </w:tc>
        <w:tc>
          <w:tcPr>
            <w:tcW w:type="dxa" w:w="1440"/>
            <w:shd w:fill="FFDCE0" w:val="clear"/>
          </w:tcPr>
          <w:p>
            <w:r>
              <w:rPr>
                <w:sz w:val="17"/>
              </w:rPr>
              <w:t>31,195</w:t>
            </w:r>
          </w:p>
        </w:tc>
        <w:tc>
          <w:tcPr>
            <w:tcW w:type="dxa" w:w="1440"/>
            <w:shd w:fill="FFDCE0" w:val="clear"/>
          </w:tcPr>
          <w:p>
            <w:r>
              <w:rPr>
                <w:b/>
                <w:color w:val="C00000"/>
                <w:sz w:val="17"/>
              </w:rPr>
              <w:t>-15.3%</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26,841</w:t>
            </w:r>
          </w:p>
        </w:tc>
        <w:tc>
          <w:tcPr>
            <w:tcW w:type="dxa" w:w="1440"/>
            <w:shd w:fill="FFDCE0" w:val="clear"/>
          </w:tcPr>
          <w:p>
            <w:r>
              <w:rPr>
                <w:b/>
                <w:sz w:val="17"/>
              </w:rPr>
              <w:t>28,998</w:t>
            </w:r>
          </w:p>
        </w:tc>
        <w:tc>
          <w:tcPr>
            <w:tcW w:type="dxa" w:w="1440"/>
            <w:shd w:fill="FFDCE0" w:val="clear"/>
          </w:tcPr>
          <w:p>
            <w:r>
              <w:rPr>
                <w:sz w:val="17"/>
              </w:rPr>
              <w:t>31,155</w:t>
            </w:r>
          </w:p>
        </w:tc>
        <w:tc>
          <w:tcPr>
            <w:tcW w:type="dxa" w:w="1440"/>
            <w:shd w:fill="FFDCE0" w:val="clear"/>
          </w:tcPr>
          <w:p>
            <w:r>
              <w:rPr>
                <w:b/>
                <w:color w:val="C00000"/>
                <w:sz w:val="17"/>
              </w:rPr>
              <w:t>-15.8%</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26,543</w:t>
            </w:r>
          </w:p>
        </w:tc>
        <w:tc>
          <w:tcPr>
            <w:tcW w:type="dxa" w:w="1440"/>
            <w:shd w:fill="FFDCE0" w:val="clear"/>
          </w:tcPr>
          <w:p>
            <w:r>
              <w:rPr>
                <w:b/>
                <w:sz w:val="17"/>
              </w:rPr>
              <w:t>28,836</w:t>
            </w:r>
          </w:p>
        </w:tc>
        <w:tc>
          <w:tcPr>
            <w:tcW w:type="dxa" w:w="1440"/>
            <w:shd w:fill="FFDCE0" w:val="clear"/>
          </w:tcPr>
          <w:p>
            <w:r>
              <w:rPr>
                <w:sz w:val="17"/>
              </w:rPr>
              <w:t>31,129</w:t>
            </w:r>
          </w:p>
        </w:tc>
        <w:tc>
          <w:tcPr>
            <w:tcW w:type="dxa" w:w="1440"/>
            <w:shd w:fill="FFDCE0" w:val="clear"/>
          </w:tcPr>
          <w:p>
            <w:r>
              <w:rPr>
                <w:b/>
                <w:color w:val="C00000"/>
                <w:sz w:val="17"/>
              </w:rPr>
              <w:t>-16.3%</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26,275</w:t>
            </w:r>
          </w:p>
        </w:tc>
        <w:tc>
          <w:tcPr>
            <w:tcW w:type="dxa" w:w="1440"/>
            <w:shd w:fill="FFDCE0" w:val="clear"/>
          </w:tcPr>
          <w:p>
            <w:r>
              <w:rPr>
                <w:b/>
                <w:sz w:val="17"/>
              </w:rPr>
              <w:t>28,695</w:t>
            </w:r>
          </w:p>
        </w:tc>
        <w:tc>
          <w:tcPr>
            <w:tcW w:type="dxa" w:w="1440"/>
            <w:shd w:fill="FFDCE0" w:val="clear"/>
          </w:tcPr>
          <w:p>
            <w:r>
              <w:rPr>
                <w:sz w:val="17"/>
              </w:rPr>
              <w:t>31,115</w:t>
            </w:r>
          </w:p>
        </w:tc>
        <w:tc>
          <w:tcPr>
            <w:tcW w:type="dxa" w:w="1440"/>
            <w:shd w:fill="FFDCE0" w:val="clear"/>
          </w:tcPr>
          <w:p>
            <w:r>
              <w:rPr>
                <w:b/>
                <w:color w:val="C00000"/>
                <w:sz w:val="17"/>
              </w:rPr>
              <w:t>-16.7%</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26,031</w:t>
            </w:r>
          </w:p>
        </w:tc>
        <w:tc>
          <w:tcPr>
            <w:tcW w:type="dxa" w:w="1440"/>
            <w:shd w:fill="FFDCE0" w:val="clear"/>
          </w:tcPr>
          <w:p>
            <w:r>
              <w:rPr>
                <w:b/>
                <w:sz w:val="17"/>
              </w:rPr>
              <w:t>28,571</w:t>
            </w:r>
          </w:p>
        </w:tc>
        <w:tc>
          <w:tcPr>
            <w:tcW w:type="dxa" w:w="1440"/>
            <w:shd w:fill="FFDCE0" w:val="clear"/>
          </w:tcPr>
          <w:p>
            <w:r>
              <w:rPr>
                <w:sz w:val="17"/>
              </w:rPr>
              <w:t>31,111</w:t>
            </w:r>
          </w:p>
        </w:tc>
        <w:tc>
          <w:tcPr>
            <w:tcW w:type="dxa" w:w="1440"/>
            <w:shd w:fill="FFDCE0" w:val="clear"/>
          </w:tcPr>
          <w:p>
            <w:r>
              <w:rPr>
                <w:b/>
                <w:color w:val="C00000"/>
                <w:sz w:val="17"/>
              </w:rPr>
              <w:t>-17.1%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**1 102,40 milliards FCFA**, CBIBF s'impose comme l'une des toutes premières capitalisations de la BRVM, confirmant son statut de valeur de premier plan du compartiment bancaire régional. Le BPA de **2 047 FCFA/action** signifie que chaque titre génère près de 2 047 FCFA de bénéfice net, ce qui, rapporté au cours actuel de 34 450 FCFA, ressort à un **PER de 16,8x** — nettement supérieur à la moyenne BRVM (8-12x), signalant que le marché paie une prime de qualité pour la croissance et la solidité de la banque. Le ratio **EV/EBITDA de 12,5x** se situe dans la fourchette haute (10-15x), traduisant une valorisation exigeante qui intègre déjà les bonnes perspectives bénéficiaires. Le P/B n'étant pas fourni dans les données, il n'est pas commenté ; l'absence de ce ratio limite l'appréciation de la décote/prémium par rapport aux fonds propres comptables, mais le PER élevé suggère une valorisation tendue nécessitant une confirmation par la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+119,71%**, avec une dernière séance en hausse de +0,44%, portant le cours à **34 450 FCFA** — soit exactement son plus haut de période, contre un plus bas de **15 600 FCFA**, matérialisant un range de trading exceptionnel de plus du double. La tendance est donc **franchement haussière**, portée par un momentum acheteur soutenu et une revalorisation massive du titre. Les statistiques descriptives révèlent une **moyenne de 24 933 FCFA** légèrement inférieure à la **médiane de 25 350 FCFA**, écart marginal qui, combiné à un **skewness de -0,060** (quasi symétrique), indique une distribution équilibrée sans biais directionnel marqué. L'**écart-type de 5 307 FCFA (CV = 21,3%)** traduit une dispersion modérée du cours autour de sa moyenne, tandis que le **kurtosis de -1,007 (platykurtique)** signale une distribution aplatie, donc un risque de pics extrêmes relativement faible — profil rassurant pour un titre ayant doublé. Enfin, la **volatilité annualisée de 40,3%** classe CBIBF parmi les titres à volatilité **élevée** (&gt;30%), ce qui implique un potentiel de gain important mais aussi un risque de correction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(31 736 FCFA) et la MM50 (29 578 FCFA) se situent toutes deux nettement sous le cours actuel (34 450 FCFA), avec une MM20 au-dessus de la MM50 — configuration haussière typique (golden cross). Le cours évoluant au-dessus de ses deux moyennes, la dynamique est clairement positive, ce qui justifie la **décision d'Achat**.</w:t>
      </w:r>
    </w:p>
    <w:p>
      <w:pPr>
        <w:spacing w:after="120" w:line="276" w:lineRule="auto"/>
      </w:pPr>
      <w:r>
        <w:t>**Bandes de Bollinger** : Le cours (34 450 FCFA) se situe dans la partie haute de la bande, proche de la borne supérieure (36 082 FCFA) et loin de la borne inférieure (27 390 FCFA), signe d'une pression acheteuse soutenue mais d'un potentiel de progression limité avant résistance. La décision est **Neutre**, traduisant un essoufflement possible du mouvement.</w:t>
      </w:r>
    </w:p>
    <w:p>
      <w:pPr>
        <w:spacing w:after="120" w:line="276" w:lineRule="auto"/>
      </w:pPr>
      <w:r>
        <w:t>**MACD** : Le MACD (1 610,048) demeure au-dessus de son signal (1 456,494), avec un histogramme positif confirmant un momentum haussier intact. La **décision d'Achat** est cohérente avec cette configuration, bien que l'écart se réduise, suggérant un ralentissement de la dynamique.</w:t>
      </w:r>
    </w:p>
    <w:p>
      <w:pPr>
        <w:spacing w:after="120" w:line="276" w:lineRule="auto"/>
      </w:pPr>
      <w:r>
        <w:t>**RSI** : À **87,481**, le RSI est très largement en zone de **surachat** (&gt;70), signalant un titre sur-acheté et un risque élevé de correction à court terme. La **décision de Vente** reflète cette tension extrême.</w:t>
      </w:r>
    </w:p>
    <w:p>
      <w:pPr>
        <w:spacing w:after="120" w:line="276" w:lineRule="auto"/>
      </w:pPr>
      <w:r>
        <w:t>**Stochastique** : Le %K (100,0) est au sommet de sa plage et au-dessus du %D (97,318), confirmant une pression acheteuse maximale mais également une position de surachat extrême. La **décision de Vente** prévaut, le croisement baissier étant imminent.</w:t>
      </w:r>
    </w:p>
    <w:p>
      <w:pPr>
        <w:spacing w:after="120" w:line="276" w:lineRule="auto"/>
      </w:pPr>
      <w:r>
        <w:t>**Conclusion technique** : Les indicateurs de tendance (MM, MACD) restent haussiers et confirment la dynamique positive de fond, mais les oscillateurs (RSI à 87,5, Stochastique à 100) clignotent en surachat extrême, tandis que les Bollinger indiquent un cours proche de sa borne haute. Cette **divergence entre tendance et momentum** suggère une consolidation ou une correction à court terme, malgré un trend de fond intact.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affiche un **Produit Net Bancaire (PNB) de 138,986 milliards FCFA**, en croissance de **+6,11%**, et un **résultat net de 65,495 milliards FCFA**, en progression remarquable de **+36,6%** par rapport à 2024 (47,937 Mds FCFA). Le **coefficient d'exploitation de 36,39%** — très inférieur au seuil de 60% — témoigne d'une **excellente efficacité opérationnelle**, tandis que la **marge nette de 47,12%** et la **marge opérationnelle de 51,77%** confirment une rentabilité élevée. Le **ROA de 2,18%** et la **rotation des actifs de 4,64%** restent dans les normes du secteur bancaire. Le **coût du risque** s'améliore significativement (-59,3% selon le rapport annuel 2025), traduisant l'assainissement réussi du portefeuille après la forte dégradation de 2024. Le ratio dépôts/crédits s'établit à **2 015,3 Mds FCFA de dépôts** pour **1 326,98 Mds FCFA de créances clientèle**, soit un taux de transformation de ~66%, indiquant une surliquidité confortable mais une allocation crédit encore prudente.</w:t>
      </w:r>
    </w:p>
    <w:p>
      <w:pPr>
        <w:spacing w:after="120" w:line="276" w:lineRule="auto"/>
      </w:pPr>
      <w:r>
        <w:t>**Évolution temporelle** : L'exercice 2024 avait été marqué par une chute de -25,4% du résultat net (47,9 Mds FCFA) sous l'effet d'une explosion du coût du risque (+72,5%) liée à l'assainissement du portefeuille. Le rebond de 2025 (+36,6%) valide la pertinence de cette stratégie prudentielle.</w:t>
      </w:r>
    </w:p>
    <w:p>
      <w:pPr>
        <w:spacing w:after="120" w:line="276" w:lineRule="auto"/>
      </w:pPr>
      <w:r>
        <w:t>**Estimations basées sur les rapports trimestriels** : Le **rapport T3 2025 (30/09/2025)** indique un PNB de 101,3 Mds FCFA (+9,65%) et un résultat net de 52,9 Mds FCFA (+6,25%), avec une notation **AA/AI perspective stable** (Bloomfield) et une gouvernance renforcée. Le **rapport T1 2026 (publié en 2026)** confirme l'accélération : PNB de 36,8 Mds FCFA (**+28,5%**), résultat net de 21,5 Mds FCFA (**+22,2%**), dépôts en hausse spectaculaire de **+37,9% à 2 365,1 Mds FCFA** et marge nette de 58,4%. Sur cette base, on estime que l'exercice 2026 devrait afficher une **nouvelle croissance à deux chiffres du résultat net**, potentiellement supérieure à +20%, soutenue par la forte collecte de dépôts et la maîtrise du coût du risque. La convocation de l'AGO du 16 avril 2026 pour approuver les comptes 2025 et affecter le résultat constitue un catalyseur à surveiller (annonce de dividende).</w:t>
      </w:r>
    </w:p>
    <w:p>
      <w:pPr>
        <w:spacing w:after="120" w:line="276" w:lineRule="auto"/>
      </w:pPr>
      <w:r>
        <w:t>**Recommandation fondamentale** : La solidité du bilan (total actif de 2 997,8 Mds FCFA), l'excellence opérationnelle (coefficient 36,4%), la rentabilité élevée et la dynamique commerciale du T1 2026 confirment un **profil fondamental solide**. Les principaux risques demeurent l'exposition géographique au Burkina Faso (contexte sécuritaire et politique), la concentration du portefeuille et la dépendance à l'environnement macroéconomique de l'UEMOA.</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de 16,8x et l'EV/EBITDA de 12,5x intègrent déjà une prime de croissance significative, suggérant une possible **surévaluation relative** par rapport à la moyenne BRVM (8-12x), bien que justifiée par la qualité des fondamentaux. Le **comportement du cours (Partie 1)** est exceptionnel (+119,71% sur 100 jours) mais préoccupant à court terme : la volatilité élevée (40,3%), le cours collé au plus haut et la distribution platykurtique (kurtosis -1,007) indiquent un risque de correction après un tel rallye. Les **signaux techniques (Partie 2)** sont **divergents** : tendance haussière confirmée par les MM et le MACD, mais surachat extrême (RSI 87,5, Stochastique 100) annonçant une consolidation imminente. Les **fondamentaux (Partie 3)** demeurent le point fort : résultat net 2025 de 65,5 Mds FCFA (+36,6%), coefficient d'exploitation de 36,4%, et surtout un T1 2026 explosif (PNB +28,5%, résultat net +22,2%) qui valide la trajectoire de croissance. Les **prédictions IA (J+1 à J+10)** anticipent une **correction baissière** de 34 450 FCFA vers 29 410 FCFA (-14,6% en 5 séances), ce qui **contredit** le momentum fondamental mais **confirme** les signaux de surachat technique.</w:t>
      </w:r>
    </w:p>
    <w:p>
      <w:pPr>
        <w:spacing w:after="120" w:line="276" w:lineRule="auto"/>
      </w:pPr>
      <w:r>
        <w:t>**Recommandation finale : CONSERVER** — avec un biais tactique de prise de profit partielle à court terme. La convergence entre le surachat technique (RSI/Stochastique), la valorisation tendue (PER 16,8x) et les prédictions IA baissières plaide pour une **pause/correction imminente**, tandis que la solidité fondamentale (croissance +36,6% en 2025, T1 2026 en accélération) et la dynamique de long terme justifient de **conserver le titre** pour capter la poursuite de la croissance. **Niveau de confiance : Moyen** (divergence technique/fondamental). **Niveau de risque global : Élevé** (volatilité 40,3%, surachat extrême, exposition pays). **Horizon optimal : Moyen terme (3-12 mois)**, en privilégiant un renforcement sur repli vers la zone 29 000-30 000 FCFA (support MM50 et borne basse des prédictions IA), plutôt qu'un achat au plus haut actuel.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3,678 titres</w:t>
            </w:r>
          </w:p>
        </w:tc>
        <w:tc>
          <w:tcPr>
            <w:tcW w:type="dxa" w:w="2268"/>
            <w:shd w:fill="FFF2CC" w:val="clear"/>
          </w:tcPr>
          <w:p>
            <w:r>
              <w:rPr>
                <w:b/>
                <w:color w:val="503200"/>
                <w:sz w:val="16"/>
              </w:rPr>
              <w:t xml:space="preserve">Cours actuel : </w:t>
            </w:r>
            <w:r>
              <w:rPr>
                <w:color w:val="000000"/>
                <w:sz w:val="17"/>
              </w:rPr>
              <w:t>1,690 FCFA</w:t>
            </w:r>
          </w:p>
          <w:p>
            <w:r>
              <w:rPr>
                <w:b/>
                <w:color w:val="503200"/>
                <w:sz w:val="16"/>
              </w:rPr>
              <w:t xml:space="preserve">Var. 100 jours : </w:t>
            </w:r>
            <w:r>
              <w:rPr>
                <w:b/>
                <w:color w:val="007800"/>
                <w:sz w:val="17"/>
              </w:rPr>
              <w:t>+5.62%</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μ=1,624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β=1.0854 (Neutre (suit le marché)) — Cov=0.000037, Var(idx)=0.000034, ρ=0.211,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σ_j=3.00%/j (Modérée) — Vol. annualisée≈47.6%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1,656</w:t>
            </w:r>
          </w:p>
        </w:tc>
        <w:tc>
          <w:tcPr>
            <w:tcW w:type="dxa" w:w="1440"/>
            <w:shd w:fill="FAFAFA" w:val="clear"/>
          </w:tcPr>
          <w:p>
            <w:r>
              <w:rPr>
                <w:b/>
                <w:sz w:val="17"/>
              </w:rPr>
              <w:t>1,712</w:t>
            </w:r>
          </w:p>
        </w:tc>
        <w:tc>
          <w:tcPr>
            <w:tcW w:type="dxa" w:w="1440"/>
            <w:shd w:fill="FAFAFA" w:val="clear"/>
          </w:tcPr>
          <w:p>
            <w:r>
              <w:rPr>
                <w:sz w:val="17"/>
              </w:rPr>
              <w:t>1,769</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1,632</w:t>
            </w:r>
          </w:p>
        </w:tc>
        <w:tc>
          <w:tcPr>
            <w:tcW w:type="dxa" w:w="1440"/>
            <w:shd w:fill="FAFAFA" w:val="clear"/>
          </w:tcPr>
          <w:p>
            <w:r>
              <w:rPr>
                <w:b/>
                <w:sz w:val="17"/>
              </w:rPr>
              <w:t>1,713</w:t>
            </w:r>
          </w:p>
        </w:tc>
        <w:tc>
          <w:tcPr>
            <w:tcW w:type="dxa" w:w="1440"/>
            <w:shd w:fill="FAFAFA" w:val="clear"/>
          </w:tcPr>
          <w:p>
            <w:r>
              <w:rPr>
                <w:sz w:val="17"/>
              </w:rPr>
              <w:t>1,793</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1,617</w:t>
            </w:r>
          </w:p>
        </w:tc>
        <w:tc>
          <w:tcPr>
            <w:tcW w:type="dxa" w:w="1440"/>
            <w:shd w:fill="FAFAFA" w:val="clear"/>
          </w:tcPr>
          <w:p>
            <w:r>
              <w:rPr>
                <w:b/>
                <w:sz w:val="17"/>
              </w:rPr>
              <w:t>1,715</w:t>
            </w:r>
          </w:p>
        </w:tc>
        <w:tc>
          <w:tcPr>
            <w:tcW w:type="dxa" w:w="1440"/>
            <w:shd w:fill="FAFAFA" w:val="clear"/>
          </w:tcPr>
          <w:p>
            <w:r>
              <w:rPr>
                <w:sz w:val="17"/>
              </w:rPr>
              <w:t>1,814</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1,604</w:t>
            </w:r>
          </w:p>
        </w:tc>
        <w:tc>
          <w:tcPr>
            <w:tcW w:type="dxa" w:w="1440"/>
            <w:shd w:fill="FAFAFA" w:val="clear"/>
          </w:tcPr>
          <w:p>
            <w:r>
              <w:rPr>
                <w:b/>
                <w:sz w:val="17"/>
              </w:rPr>
              <w:t>1,718</w:t>
            </w:r>
          </w:p>
        </w:tc>
        <w:tc>
          <w:tcPr>
            <w:tcW w:type="dxa" w:w="1440"/>
            <w:shd w:fill="FAFAFA" w:val="clear"/>
          </w:tcPr>
          <w:p>
            <w:r>
              <w:rPr>
                <w:sz w:val="17"/>
              </w:rPr>
              <w:t>1,832</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1,593</w:t>
            </w:r>
          </w:p>
        </w:tc>
        <w:tc>
          <w:tcPr>
            <w:tcW w:type="dxa" w:w="1440"/>
            <w:shd w:fill="FAFAFA" w:val="clear"/>
          </w:tcPr>
          <w:p>
            <w:r>
              <w:rPr>
                <w:b/>
                <w:sz w:val="17"/>
              </w:rPr>
              <w:t>1,721</w:t>
            </w:r>
          </w:p>
        </w:tc>
        <w:tc>
          <w:tcPr>
            <w:tcW w:type="dxa" w:w="1440"/>
            <w:shd w:fill="FAFAFA" w:val="clear"/>
          </w:tcPr>
          <w:p>
            <w:r>
              <w:rPr>
                <w:sz w:val="17"/>
              </w:rPr>
              <w:t>1,849</w:t>
            </w:r>
          </w:p>
        </w:tc>
        <w:tc>
          <w:tcPr>
            <w:tcW w:type="dxa" w:w="1440"/>
            <w:shd w:fill="FAFAFA" w:val="clear"/>
          </w:tcPr>
          <w:p>
            <w:r>
              <w:rPr>
                <w:b/>
                <w:color w:val="008000"/>
                <w:sz w:val="17"/>
              </w:rPr>
              <w:t>+1.8%</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1,583</w:t>
            </w:r>
          </w:p>
        </w:tc>
        <w:tc>
          <w:tcPr>
            <w:tcW w:type="dxa" w:w="1440"/>
            <w:shd w:fill="FAFAFA" w:val="clear"/>
          </w:tcPr>
          <w:p>
            <w:r>
              <w:rPr>
                <w:b/>
                <w:sz w:val="17"/>
              </w:rPr>
              <w:t>1,724</w:t>
            </w:r>
          </w:p>
        </w:tc>
        <w:tc>
          <w:tcPr>
            <w:tcW w:type="dxa" w:w="1440"/>
            <w:shd w:fill="FAFAFA" w:val="clear"/>
          </w:tcPr>
          <w:p>
            <w:r>
              <w:rPr>
                <w:sz w:val="17"/>
              </w:rPr>
              <w:t>1,864</w:t>
            </w:r>
          </w:p>
        </w:tc>
        <w:tc>
          <w:tcPr>
            <w:tcW w:type="dxa" w:w="1440"/>
            <w:shd w:fill="FAFAFA"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1,575</w:t>
            </w:r>
          </w:p>
        </w:tc>
        <w:tc>
          <w:tcPr>
            <w:tcW w:type="dxa" w:w="1440"/>
            <w:shd w:fill="C6EFCE" w:val="clear"/>
          </w:tcPr>
          <w:p>
            <w:r>
              <w:rPr>
                <w:b/>
                <w:sz w:val="17"/>
              </w:rPr>
              <w:t>1,726</w:t>
            </w:r>
          </w:p>
        </w:tc>
        <w:tc>
          <w:tcPr>
            <w:tcW w:type="dxa" w:w="1440"/>
            <w:shd w:fill="C6EFCE" w:val="clear"/>
          </w:tcPr>
          <w:p>
            <w:r>
              <w:rPr>
                <w:sz w:val="17"/>
              </w:rPr>
              <w:t>1,878</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1,566</w:t>
            </w:r>
          </w:p>
        </w:tc>
        <w:tc>
          <w:tcPr>
            <w:tcW w:type="dxa" w:w="1440"/>
            <w:shd w:fill="C6EFCE" w:val="clear"/>
          </w:tcPr>
          <w:p>
            <w:r>
              <w:rPr>
                <w:b/>
                <w:sz w:val="17"/>
              </w:rPr>
              <w:t>1,729</w:t>
            </w:r>
          </w:p>
        </w:tc>
        <w:tc>
          <w:tcPr>
            <w:tcW w:type="dxa" w:w="1440"/>
            <w:shd w:fill="C6EFCE" w:val="clear"/>
          </w:tcPr>
          <w:p>
            <w:r>
              <w:rPr>
                <w:sz w:val="17"/>
              </w:rPr>
              <w:t>1,891</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1,559</w:t>
            </w:r>
          </w:p>
        </w:tc>
        <w:tc>
          <w:tcPr>
            <w:tcW w:type="dxa" w:w="1440"/>
            <w:shd w:fill="C6EFCE" w:val="clear"/>
          </w:tcPr>
          <w:p>
            <w:r>
              <w:rPr>
                <w:b/>
                <w:sz w:val="17"/>
              </w:rPr>
              <w:t>1,731</w:t>
            </w:r>
          </w:p>
        </w:tc>
        <w:tc>
          <w:tcPr>
            <w:tcW w:type="dxa" w:w="1440"/>
            <w:shd w:fill="C6EFCE" w:val="clear"/>
          </w:tcPr>
          <w:p>
            <w:r>
              <w:rPr>
                <w:sz w:val="17"/>
              </w:rPr>
              <w:t>1,904</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2026-09-30</w:t>
            </w:r>
          </w:p>
        </w:tc>
        <w:tc>
          <w:tcPr>
            <w:tcW w:type="dxa" w:w="1440"/>
            <w:shd w:fill="C6EFCE" w:val="clear"/>
          </w:tcPr>
          <w:p>
            <w:r>
              <w:rPr>
                <w:sz w:val="17"/>
              </w:rPr>
              <w:t>1,552</w:t>
            </w:r>
          </w:p>
        </w:tc>
        <w:tc>
          <w:tcPr>
            <w:tcW w:type="dxa" w:w="1440"/>
            <w:shd w:fill="C6EFCE" w:val="clear"/>
          </w:tcPr>
          <w:p>
            <w:r>
              <w:rPr>
                <w:b/>
                <w:sz w:val="17"/>
              </w:rPr>
              <w:t>1,734</w:t>
            </w:r>
          </w:p>
        </w:tc>
        <w:tc>
          <w:tcPr>
            <w:tcW w:type="dxa" w:w="1440"/>
            <w:shd w:fill="C6EFCE" w:val="clear"/>
          </w:tcPr>
          <w:p>
            <w:r>
              <w:rPr>
                <w:sz w:val="17"/>
              </w:rPr>
              <w:t>1,916</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306,52 milliards FCFA, CFAC figure parmi les valeurs les plus importantes de la cote BRVM, ce qui témoigne de sa stature de leader du marché automobile ivoirien. Le BPA de 26 FCFA/action signifie que chaque titre génère 26 FCFA de bénéfice net, mais le PER de 65,3x indique que les investisseurs paient environ 65 fois ces bénéfices, soit un niveau très supérieur à la moyenne BRVM (~8-12x) — le titre est donc cher par rapport à ses résultats. Le P/B de 15,76x confirme cette prime excessive : le marché valorise l'action à près de 16 fois sa valeur comptable, ce qui suppose des anticipations de croissance très fortes. L'EV/EBITDA de 33,2x (contre un seuil d'alerte de 15x) montre que la valeur d'entreprise est très élevée relativement à la capacité opérationnelle de génération de cash. L'ensemble de ces ratios signale une valorisation exigeante, voire surévaluée, qui laisse peu de marge d'erreur et exige une exécution opérationnelle irréprochable.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+5,62%, malgré un repli de -2,31% lors de la dernière séance, ce qui traduit une dynamique haussière de fond mais avec une pression vendeuse récente. Le cours actuel de 1 690 FCFA se situe dans la partie haute du range de trading compris entre 1 325 FCFA (plus bas) et 1 825 FCFA (plus haut), soit une amplitude de 500 FCFA qui reflète une volatilité significative. La moyenne (1 624 FCFA) est légèrement inférieure à la médiane (1 635 FCFA), et le mode s'établit à 1 600 FCFA : cet écart modéré indique une distribution quasi symétrique avec une légère prédominance des cours élevés. L'écart-type de 109 FCFA (CV = 6,7%) traduit une dispersion relativement contenue autour de la moyenne, tandis que le kurtosis de -0,309 (mésokurtique) suggère une distribution proche de la normale, sans risque majeur de pics extrêmes. Le skewness de -0,571 révèle une asymétrie négative : les journées de hausse sont plus fréquentes mais de moindre amplitude que les journées de baisse, ce qui invite à la prudence. Enfin, la volatilité annualisée de 47,6% classe le titre dans la catégorie des valeurs à volatilité élevée (&gt;30%), ce qui implique un risque de marché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(1 721,25 FCFA) est supérieure à la MM50 (1 673,30 FCFA), et le cours actuel (1 690 FCFA) se situe entre ces deux références, légèrement au-dessus de la MM50 mais sous la MM20. Cette configuration signale une tendance haussière de moyen terme encore intacte, mais un essoufflement de court terme ; la décision fournie est « Achat », cohérente avec le croisement haussier MM20 &gt; MM50.</w:t>
      </w:r>
    </w:p>
    <w:p>
      <w:pPr>
        <w:spacing w:after="120" w:line="276" w:lineRule="auto"/>
      </w:pPr>
      <w:r>
        <w:t>**Bandes de Bollinger** : Le cours (1 690 FCFA) évolue dans la partie basse de la bande, entre la borne inférieure (1 652,74 FCFA) et la borne supérieure (1 789,76 FCFA), sans toucher les extrêmes. Cette position médiane, couplée à un resserrement relatif des bandes, indique une volatilité modérée et l'absence de signal directionnel fort ; la décision « Neutre » est donc justifiée.</w:t>
      </w:r>
    </w:p>
    <w:p>
      <w:pPr>
        <w:spacing w:after="120" w:line="276" w:lineRule="auto"/>
      </w:pPr>
      <w:r>
        <w:t>**MACD** : La valeur du MACD (8,159) est inférieure à son signal (13,257), ce qui constitue un croisement baissier et traduit un affaiblissement du momentum haussier. La décision « Vente » reflète cette divergence négative, suggérant que la dynamique positive des dernières semaines s'essouffle.</w:t>
      </w:r>
    </w:p>
    <w:p>
      <w:pPr>
        <w:spacing w:after="120" w:line="276" w:lineRule="auto"/>
      </w:pPr>
      <w:r>
        <w:t>**RSI** : À 40,35, le RSI se situe dans la zone neutre (30-70), mais dans sa partie basse, ce qui indique une absence de pression acheteuse et une légère faiblesse relative. La décision « Neutre » est appropriée : ni suracheté, ni survendu, le titre n'offre pas de signal directionnel clair.</w:t>
      </w:r>
    </w:p>
    <w:p>
      <w:pPr>
        <w:spacing w:after="120" w:line="276" w:lineRule="auto"/>
      </w:pPr>
      <w:r>
        <w:t>**Stochastique** : Le %K (13,33) est très inférieur au %D (46,67), ce qui place le %K en zone de survente (&lt;20) et suggère un possible rebond technique à court terme. La décision « Achat » s'appuie sur cette configuration de survente, bien que le croisement reste baissier pour l'instant.</w:t>
      </w:r>
    </w:p>
    <w:p>
      <w:pPr>
        <w:spacing w:after="120" w:line="276" w:lineRule="auto"/>
      </w:pPr>
      <w:r>
        <w:t>**Conclusion technique** : Les indicateurs sont divergents — les moyennes mobiles et le stochastique plaident pour un achat, tandis que le MACD et le RSI recommandent la prudence. Le titre se trouve dans une phase de consolidation après une hausse de +5,62%, avec un momentum affaibli mais des supports techniques solides (MM50 à 1 673 FCFA, borne basse de Bollinger à 1 652 FCFA). La configuration globale est neutre à légèrement haussière, en attente d'un catalyseur pour confirmer la direction.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(rapport « États financiers 2024 » du 31/12/2024). Le ROE reste néanmoins excellent à 24,13% (bien supérieur au seuil de 15%), tandis que le ROA s'établit à 5,52%, traduisant une bonne rentabilité des actifs malgré la contraction. La marge nette de 2,96% et la marge opérationnelle de 4,96% sont sous pression, conséquence d'une marge brute limitée à 5,92% et d'une rotation des actifs élevée (186,22%). En tant qu'entreprise non bancaire, les délais d'exploitation sont cruciaux : le délai clients de 36,64 jours est modéré, mais le délai fournisseurs de 81,75 jours et la durée de stockage de 88,35 jours immobilisent du capital. Le BFR est négatif à -3,482 milliards FCFA (favorable), mais la trésorerie nette est négative (-624,20 millions FCFA) et le Free Cash Flow s'établit à -1,650 milliard FCFA, signe de tensions de liquidité. L'autonomie financière de 22,88% est inférieure au seuil sain de 30%, et la liquidité générale de 93,63% est juste sous l'unité, ce qui constitue un point de vigilance.</w:t>
      </w:r>
    </w:p>
    <w:p>
      <w:pPr>
        <w:spacing w:after="120" w:line="276" w:lineRule="auto"/>
      </w:pPr>
      <w:r>
        <w:t>Les rapports trimestriels de 2025 (T1, S1, T3) — bien qu'antérieurs à la date d'analyse — montrent un redressement spectaculaire : au T1 2025 (rapport du 31/03/2025), le CA progresse de +14,5% à 46,161 milliards FCFA et le résultat net bondit de +279,7% à 3,836 milliards FCFA, avec une marge nette de 8,3%. Au S1 2025 (rapport du 30/06/2025), le CA atteint 91,182 milliards FCFA (+18,4%) et le résultat net 5,420 milliards FCFA (+152,7%), avec une marge nette de 5,9%. Au T3 2025 (rapport du 30/09/2025), le CA trimestriel s'élève à 43,580 milliards FCFA (+18,3%) et le résultat net à 1,489 milliard FCFA (+38,1%), avec une part de marché de 41,7%. Sur la base de ces tendances, on peut estimer que l'exercice 2025 devrait afficher un CA annuel d'environ 180-185 milliards FCFA et un résultat net de l'ordre de 7-8 milliards FCFA, en nette amélioration par rapport à 2024. Le rapport annuel 2024 (31/12/2024) confirme les perspectives stratégiques : développement du réseau (showroom Cocody), diversification (SHACMAN, LOVOL, BYD), et digitalisation. La recommandation fondamentale est donc positive : malgré les risques de liquidité et d'endettement, la dynamique de 2025 et le leadership maintenu (43,4% de part de marché) soutiennent une perspective de redressement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65,3x, P/B de 15,76x et EV/EBITDA de 33,2x indiquent une surévaluation manifeste par rapport aux fondamentaux actuels, bien que les perspectives de redressement 2025 puissent partiellement justifier cette prime. Le comportement du cours (Partie 1) est modérément favorable : tendance haussière de +5,62% sur 100 jours, volatilité élevée (47,6%) et skewness négatif (-0,571) qui invite à la prudence, mais distribution proche de la normale (kurtosis -0,309) sans risque de krach extrême. Les signaux techniques (Partie 2) sont divergents : les moyennes mobiles et le stochastique sont haussiers, mais le MACD baissier et le RSI neutre-bas créent une incertitude qui plaide pour une consolidation avant un nouveau mouvement. Les fondamentaux (Partie 3) sont en nette amélioration : les rapports T1, S1 et T3 2025 montrent une croissance à deux chiffres du CA et une explosion du résultat net, ce qui devrait se traduire par un BPA 2025 nettement supérieur à 26 FCFA et un PER plus raisonnable. Les prédictions IA (J+1 à J+10) anticipent une trajectoire haussière modérée de 1 712 à 1 721 FCFA, soit +1,8% sur 10 jours, ce qui confirme la tendance de fond mais sans emballement. Sur la base de cette synthèse, la convergence entre le redressement fondamental et la trajectoire prédite soutient une recommandation **CONSERVER** avec un biais haussier, en attendant une confirmation technique (croisement MACD haussier et RSI &gt; 50) pour envisager un renforcement. Le niveau de confiance est **Moyen** (les fondamentaux sont solides mais la valorisation est tendue), le risque global est **Élevé** (volatilité de 47,6% et ratios de valorisation extrêmes), et l'horizon d'investissement optimal est **moyen terme (3-12 mois)** , le temps que les résultats 2025 se matérialisent et que la valorisation se normalise.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6,921 titres</w:t>
            </w:r>
          </w:p>
        </w:tc>
        <w:tc>
          <w:tcPr>
            <w:tcW w:type="dxa" w:w="2268"/>
            <w:shd w:fill="FFF2CC" w:val="clear"/>
          </w:tcPr>
          <w:p>
            <w:r>
              <w:rPr>
                <w:b/>
                <w:color w:val="503200"/>
                <w:sz w:val="16"/>
              </w:rPr>
              <w:t xml:space="preserve">Cours actuel : </w:t>
            </w:r>
            <w:r>
              <w:rPr>
                <w:color w:val="000000"/>
                <w:sz w:val="17"/>
              </w:rPr>
              <w:t>6,650 FCFA</w:t>
            </w:r>
          </w:p>
          <w:p>
            <w:r>
              <w:rPr>
                <w:b/>
                <w:color w:val="503200"/>
                <w:sz w:val="16"/>
              </w:rPr>
              <w:t xml:space="preserve">Var. 100 jours : </w:t>
            </w:r>
            <w:r>
              <w:rPr>
                <w:b/>
                <w:color w:val="007800"/>
                <w:sz w:val="17"/>
              </w:rPr>
              <w:t>+114.52%</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23.59% (Élevée) — μ=5,085 FCFA, σ=1,199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β=0.8969 (Neutre (suit le marché)) — Cov=0.000031, Var(idx)=0.000034, ρ=0.163,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6,921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2026-09-17</w:t>
            </w:r>
          </w:p>
        </w:tc>
        <w:tc>
          <w:tcPr>
            <w:tcW w:type="dxa" w:w="1440"/>
            <w:shd w:fill="FFDCE0" w:val="clear"/>
          </w:tcPr>
          <w:p>
            <w:r>
              <w:rPr>
                <w:sz w:val="17"/>
              </w:rPr>
              <w:t>6,083</w:t>
            </w:r>
          </w:p>
        </w:tc>
        <w:tc>
          <w:tcPr>
            <w:tcW w:type="dxa" w:w="1440"/>
            <w:shd w:fill="FFDCE0" w:val="clear"/>
          </w:tcPr>
          <w:p>
            <w:r>
              <w:rPr>
                <w:b/>
                <w:sz w:val="17"/>
              </w:rPr>
              <w:t>6,424</w:t>
            </w:r>
          </w:p>
        </w:tc>
        <w:tc>
          <w:tcPr>
            <w:tcW w:type="dxa" w:w="1440"/>
            <w:shd w:fill="FFDCE0" w:val="clear"/>
          </w:tcPr>
          <w:p>
            <w:r>
              <w:rPr>
                <w:sz w:val="17"/>
              </w:rPr>
              <w:t>6,764</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2026-09-18</w:t>
            </w:r>
          </w:p>
        </w:tc>
        <w:tc>
          <w:tcPr>
            <w:tcW w:type="dxa" w:w="1440"/>
            <w:shd w:fill="FFDCE0" w:val="clear"/>
          </w:tcPr>
          <w:p>
            <w:r>
              <w:rPr>
                <w:sz w:val="17"/>
              </w:rPr>
              <w:t>5,816</w:t>
            </w:r>
          </w:p>
        </w:tc>
        <w:tc>
          <w:tcPr>
            <w:tcW w:type="dxa" w:w="1440"/>
            <w:shd w:fill="FFDCE0" w:val="clear"/>
          </w:tcPr>
          <w:p>
            <w:r>
              <w:rPr>
                <w:b/>
                <w:sz w:val="17"/>
              </w:rPr>
              <w:t>6,287</w:t>
            </w:r>
          </w:p>
        </w:tc>
        <w:tc>
          <w:tcPr>
            <w:tcW w:type="dxa" w:w="1440"/>
            <w:shd w:fill="FFDCE0" w:val="clear"/>
          </w:tcPr>
          <w:p>
            <w:r>
              <w:rPr>
                <w:sz w:val="17"/>
              </w:rPr>
              <w:t>6,758</w:t>
            </w:r>
          </w:p>
        </w:tc>
        <w:tc>
          <w:tcPr>
            <w:tcW w:type="dxa" w:w="1440"/>
            <w:shd w:fill="FFDCE0" w:val="clear"/>
          </w:tcPr>
          <w:p>
            <w:r>
              <w:rPr>
                <w:b/>
                <w:color w:val="C00000"/>
                <w:sz w:val="17"/>
              </w:rPr>
              <w:t>-5.5%</w:t>
            </w:r>
          </w:p>
        </w:tc>
      </w:tr>
      <w:tr>
        <w:tc>
          <w:tcPr>
            <w:tcW w:type="dxa" w:w="1440"/>
            <w:shd w:fill="FFDCE0" w:val="clear"/>
          </w:tcPr>
          <w:p>
            <w:r>
              <w:rPr>
                <w:sz w:val="17"/>
              </w:rPr>
              <w:t>J+3  Moyenne</w:t>
            </w:r>
          </w:p>
        </w:tc>
        <w:tc>
          <w:tcPr>
            <w:tcW w:type="dxa" w:w="1440"/>
            <w:shd w:fill="FFDCE0" w:val="clear"/>
          </w:tcPr>
          <w:p>
            <w:r>
              <w:rPr>
                <w:sz w:val="17"/>
              </w:rPr>
              <w:t>2026-09-21</w:t>
            </w:r>
          </w:p>
        </w:tc>
        <w:tc>
          <w:tcPr>
            <w:tcW w:type="dxa" w:w="1440"/>
            <w:shd w:fill="FFDCE0" w:val="clear"/>
          </w:tcPr>
          <w:p>
            <w:r>
              <w:rPr>
                <w:sz w:val="17"/>
              </w:rPr>
              <w:t>5,628</w:t>
            </w:r>
          </w:p>
        </w:tc>
        <w:tc>
          <w:tcPr>
            <w:tcW w:type="dxa" w:w="1440"/>
            <w:shd w:fill="FFDCE0" w:val="clear"/>
          </w:tcPr>
          <w:p>
            <w:r>
              <w:rPr>
                <w:b/>
                <w:sz w:val="17"/>
              </w:rPr>
              <w:t>6,197</w:t>
            </w:r>
          </w:p>
        </w:tc>
        <w:tc>
          <w:tcPr>
            <w:tcW w:type="dxa" w:w="1440"/>
            <w:shd w:fill="FFDCE0" w:val="clear"/>
          </w:tcPr>
          <w:p>
            <w:r>
              <w:rPr>
                <w:sz w:val="17"/>
              </w:rPr>
              <w:t>6,765</w:t>
            </w:r>
          </w:p>
        </w:tc>
        <w:tc>
          <w:tcPr>
            <w:tcW w:type="dxa" w:w="1440"/>
            <w:shd w:fill="FFDCE0" w:val="clear"/>
          </w:tcPr>
          <w:p>
            <w:r>
              <w:rPr>
                <w:b/>
                <w:color w:val="C00000"/>
                <w:sz w:val="17"/>
              </w:rPr>
              <w:t>-6.8%</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5,488</w:t>
            </w:r>
          </w:p>
        </w:tc>
        <w:tc>
          <w:tcPr>
            <w:tcW w:type="dxa" w:w="1440"/>
            <w:shd w:fill="FFDCE0" w:val="clear"/>
          </w:tcPr>
          <w:p>
            <w:r>
              <w:rPr>
                <w:b/>
                <w:sz w:val="17"/>
              </w:rPr>
              <w:t>6,139</w:t>
            </w:r>
          </w:p>
        </w:tc>
        <w:tc>
          <w:tcPr>
            <w:tcW w:type="dxa" w:w="1440"/>
            <w:shd w:fill="FFDCE0" w:val="clear"/>
          </w:tcPr>
          <w:p>
            <w:r>
              <w:rPr>
                <w:sz w:val="17"/>
              </w:rPr>
              <w:t>6,789</w:t>
            </w:r>
          </w:p>
        </w:tc>
        <w:tc>
          <w:tcPr>
            <w:tcW w:type="dxa" w:w="1440"/>
            <w:shd w:fill="FFDCE0" w:val="clear"/>
          </w:tcPr>
          <w:p>
            <w:r>
              <w:rPr>
                <w:b/>
                <w:color w:val="C00000"/>
                <w:sz w:val="17"/>
              </w:rPr>
              <w:t>-7.7%</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5,373</w:t>
            </w:r>
          </w:p>
        </w:tc>
        <w:tc>
          <w:tcPr>
            <w:tcW w:type="dxa" w:w="1440"/>
            <w:shd w:fill="FFDCE0" w:val="clear"/>
          </w:tcPr>
          <w:p>
            <w:r>
              <w:rPr>
                <w:b/>
                <w:sz w:val="17"/>
              </w:rPr>
              <w:t>6,095</w:t>
            </w:r>
          </w:p>
        </w:tc>
        <w:tc>
          <w:tcPr>
            <w:tcW w:type="dxa" w:w="1440"/>
            <w:shd w:fill="FFDCE0" w:val="clear"/>
          </w:tcPr>
          <w:p>
            <w:r>
              <w:rPr>
                <w:sz w:val="17"/>
              </w:rPr>
              <w:t>6,817</w:t>
            </w:r>
          </w:p>
        </w:tc>
        <w:tc>
          <w:tcPr>
            <w:tcW w:type="dxa" w:w="1440"/>
            <w:shd w:fill="FFDCE0" w:val="clear"/>
          </w:tcPr>
          <w:p>
            <w:r>
              <w:rPr>
                <w:b/>
                <w:color w:val="C00000"/>
                <w:sz w:val="17"/>
              </w:rPr>
              <w:t>-8.3%</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5,273</w:t>
            </w:r>
          </w:p>
        </w:tc>
        <w:tc>
          <w:tcPr>
            <w:tcW w:type="dxa" w:w="1440"/>
            <w:shd w:fill="FFDCE0" w:val="clear"/>
          </w:tcPr>
          <w:p>
            <w:r>
              <w:rPr>
                <w:b/>
                <w:sz w:val="17"/>
              </w:rPr>
              <w:t>6,060</w:t>
            </w:r>
          </w:p>
        </w:tc>
        <w:tc>
          <w:tcPr>
            <w:tcW w:type="dxa" w:w="1440"/>
            <w:shd w:fill="FFDCE0" w:val="clear"/>
          </w:tcPr>
          <w:p>
            <w:r>
              <w:rPr>
                <w:sz w:val="17"/>
              </w:rPr>
              <w:t>6,846</w:t>
            </w:r>
          </w:p>
        </w:tc>
        <w:tc>
          <w:tcPr>
            <w:tcW w:type="dxa" w:w="1440"/>
            <w:shd w:fill="FFDCE0" w:val="clear"/>
          </w:tcPr>
          <w:p>
            <w:r>
              <w:rPr>
                <w:b/>
                <w:color w:val="C00000"/>
                <w:sz w:val="17"/>
              </w:rPr>
              <w:t>-8.9%</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5,185</w:t>
            </w:r>
          </w:p>
        </w:tc>
        <w:tc>
          <w:tcPr>
            <w:tcW w:type="dxa" w:w="1440"/>
            <w:shd w:fill="FFDCE0" w:val="clear"/>
          </w:tcPr>
          <w:p>
            <w:r>
              <w:rPr>
                <w:b/>
                <w:sz w:val="17"/>
              </w:rPr>
              <w:t>6,029</w:t>
            </w:r>
          </w:p>
        </w:tc>
        <w:tc>
          <w:tcPr>
            <w:tcW w:type="dxa" w:w="1440"/>
            <w:shd w:fill="FFDCE0" w:val="clear"/>
          </w:tcPr>
          <w:p>
            <w:r>
              <w:rPr>
                <w:sz w:val="17"/>
              </w:rPr>
              <w:t>6,874</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5,104</w:t>
            </w:r>
          </w:p>
        </w:tc>
        <w:tc>
          <w:tcPr>
            <w:tcW w:type="dxa" w:w="1440"/>
            <w:shd w:fill="FFDCE0" w:val="clear"/>
          </w:tcPr>
          <w:p>
            <w:r>
              <w:rPr>
                <w:b/>
                <w:sz w:val="17"/>
              </w:rPr>
              <w:t>6,004</w:t>
            </w:r>
          </w:p>
        </w:tc>
        <w:tc>
          <w:tcPr>
            <w:tcW w:type="dxa" w:w="1440"/>
            <w:shd w:fill="FFDCE0" w:val="clear"/>
          </w:tcPr>
          <w:p>
            <w:r>
              <w:rPr>
                <w:sz w:val="17"/>
              </w:rPr>
              <w:t>6,903</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5,031</w:t>
            </w:r>
          </w:p>
        </w:tc>
        <w:tc>
          <w:tcPr>
            <w:tcW w:type="dxa" w:w="1440"/>
            <w:shd w:fill="FFDCE0" w:val="clear"/>
          </w:tcPr>
          <w:p>
            <w:r>
              <w:rPr>
                <w:b/>
                <w:sz w:val="17"/>
              </w:rPr>
              <w:t>5,982</w:t>
            </w:r>
          </w:p>
        </w:tc>
        <w:tc>
          <w:tcPr>
            <w:tcW w:type="dxa" w:w="1440"/>
            <w:shd w:fill="FFDCE0" w:val="clear"/>
          </w:tcPr>
          <w:p>
            <w:r>
              <w:rPr>
                <w:sz w:val="17"/>
              </w:rPr>
              <w:t>6,932</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4,964</w:t>
            </w:r>
          </w:p>
        </w:tc>
        <w:tc>
          <w:tcPr>
            <w:tcW w:type="dxa" w:w="1440"/>
            <w:shd w:fill="FFDCE0" w:val="clear"/>
          </w:tcPr>
          <w:p>
            <w:r>
              <w:rPr>
                <w:b/>
                <w:sz w:val="17"/>
              </w:rPr>
              <w:t>5,963</w:t>
            </w:r>
          </w:p>
        </w:tc>
        <w:tc>
          <w:tcPr>
            <w:tcW w:type="dxa" w:w="1440"/>
            <w:shd w:fill="FFDCE0" w:val="clear"/>
          </w:tcPr>
          <w:p>
            <w:r>
              <w:rPr>
                <w:sz w:val="17"/>
              </w:rPr>
              <w:t>6,961</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CIEC affiche une capitalisation boursière de 372,40 Mds FCFA, un niveau significatif à l'échelle de la BRVM qui la place parmi les valeurs les plus capitalisées de la cote, portée par un cours de 6 650 FCFA. Avec un BPA de 234 FCFA/action, chaque titre génère un bénéfice unitaire solide, mais le PER de 28,4x traduit une valorisation nettement supérieure à la moyenne du marché BRVM (8-12x), signalant que les investisseurs intègrent déjà une forte croissance future ou, à l'inverse, une possible surévaluation. Le P/B de 10,36x, très au-dessus du seuil de 4x, confirme que le marché valorise l'entreprise à plus de dix fois sa valeur comptable — une prime exigeante qui reflète la rareté du titre et sa position de quasi-monopole dans l'électricité ivoirienne. Enfin, l'EV/EBITDA de 15,1x, supérieur au seuil de 15x, indique que la valeur totale de l'entreprise (dette incluse) est chèrement valorisée par rapport à sa capacité opérationnelle,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progression spectaculaire de +114,52%, passant d'un plus bas de 3 000 FCFA à un plus haut de 7 400 FCFA, avant de se replier légèrement à 6 650 FCFA, avec une variation de -2,21% sur la dernière séance. Ce range de trading exceptionnellement large (3 000-7 400 FCFA) témoigne d'une tendance haussière puissante, bien que le repli récent suggère une prise de bénéfices après le rallye. Les statistiques descriptives révèlent une moyenne de 5 085 FCFA légèrement inférieure à la médiane de 5 170 FCFA, un écart minime qui indique une distribution quasi-symétrique, confirmée par un skewness de -0,023 (distribution symétrique). L'écart-type de 1 205 FCFA et le coefficient de variation de 23,7% traduisent une dispersion modérée du cours autour de sa moyenne, tandis que le kurtosis de -0,670 (mésokurtique) suggère une distribution proche de la normale, sans risque excessif de pics extrêmes. La volatilité annualisée de 51,4% positionne le titre dans la catégorie des valeurs à volatilité élevée (&gt;30%), ce qui implique un risque de fluctuation important à court terme, mais aussi des opportunités de trading significatives.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6 892 FCFA et la MM50 à 5 922,3 FCFA, toutes deux inférieures au cours actuel de 6 650 FCFA pour la MM20 mais supérieure pour la MM50. Le cours évolue donc au-dessus de sa MM50, confirmant la tendance haussière de fond, mais sous sa MM20, signalant un essoufflement à court terme. La décision technique globale reste toutefois à l'achat, la configuration des moyennes mobiles demeurant favorable.</w:t>
      </w:r>
    </w:p>
    <w:p>
      <w:pPr>
        <w:spacing w:after="120" w:line="276" w:lineRule="auto"/>
      </w:pPr>
      <w:r>
        <w:t>**Bandes de Bollinger** : La borne supérieure se situe à 7 385,47 FCFA et la borne inférieure à 6 398,53 FCFA, avec un cours actuel de 6 650 FCFA qui évolue dans la partie basse du canal. Cette position proche de la borne inférieure indique une pression vendeuse récente, mais sans rupture baissière franche. La décision est neutre, le cours n'étant ni en surachat ni en survente technique.</w:t>
      </w:r>
    </w:p>
    <w:p>
      <w:pPr>
        <w:spacing w:after="120" w:line="276" w:lineRule="auto"/>
      </w:pPr>
      <w:r>
        <w:t>**MACD** : La valeur du MACD (293,25) est inférieure à son signal (364,09), générant une divergence baissière qui traduit un affaiblissement du momentum haussier. Cette configuration justifie la décision de vente technique à court terme, le croisement MACD sous sa ligne de signal étant un signal de prudence.</w:t>
      </w:r>
    </w:p>
    <w:p>
      <w:pPr>
        <w:spacing w:after="120" w:line="276" w:lineRule="auto"/>
      </w:pPr>
      <w:r>
        <w:t>**RSI** : À 49,20, le RSI se situe parfaitement dans la zone neutre (30-70), indiquant un équilibre entre acheteurs et vendeurs. Ni suracheté ni survendu, le titre ne présente pas de signal directionnel fort, ce qui justifie la décision neutre.</w:t>
      </w:r>
    </w:p>
    <w:p>
      <w:pPr>
        <w:spacing w:after="120" w:line="276" w:lineRule="auto"/>
      </w:pPr>
      <w:r>
        <w:t>**Stochastique** : Le %K (16,67) est nettement inférieur au %D (34,44), avec un %K en zone de survente (&lt;20). Cette configuration suggère un possible rebond à court terme, justifiant la décision d'achat technique, bien que le croisement ne soit pas encore confirmé.</w:t>
      </w:r>
    </w:p>
    <w:p>
      <w:pPr>
        <w:spacing w:after="120" w:line="276" w:lineRule="auto"/>
      </w:pPr>
      <w:r>
        <w:t>**Conclusion technique** : Les indicateurs présentent une divergence notable : les moyennes mobiles et le stochastique plaident pour un achat, tandis que le MACD et les bandes de Bollinger incitent à la prudence. Le RSI neutre confirme l'absence de signal fort. Cette configuration mitigée suggère une phase de consolidation avant une éventuelle reprise, avec un avantage légèrement favorable aux acheteurs compte tenu de la tendance haussière de fond.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CIEC affiche un chiffre d'affaires de 302,32 Mds FCFA, en croissance de +14,82% par rapport à 2024, portée par une hausse des ventes d'énergie (+8,3% en national, +21,7% à l'export) et un nombre de clients atteignant 5 282 283. Le résultat net s'établit à 13,127 Mds FCFA, en progression de 30%, avec une marge nette de 4,34% et une marge opérationnelle de 7,40%. Le ROE atteint un niveau exceptionnel de 36,50%, bien supérieur au seuil de 15%, témoignant d'une rentabilité des fonds propres remarquable, tandis que le ROA de 0,65% reste modeste en raison de la structure bilancielle lourde (total actif de 2 018,45 Mds FCFA). Sur le plan de la structure financière, l'autonomie financière est très faible (1,78%), avec un ratio d'endettement de 612,94% et une dépendance financière de 98,22%, ce qui constitue un point de vigilance majeur. Le BFR est négatif (-90,24 Mds FCFA), un élément favorable qui signifie que l'entreprise finance son cycle d'exploitation par ses fournisseurs, mais le délai client élevé (164 jours) expose à un risque de trésorerie significatif. Les délais fournisseurs (970 jours) et de stockage (175 jours) sont très élevés, traduisant une forte dépendance aux fournisseurs et une immobilisation de capital importante. La capacité de remboursement de 7,64 années et la couverture des intérêts de 617,75% indiquent une solvabilité correcte malgré l'endettement. Les rapports antérieurs (S1 2025, daté du 30 juin 2025) confirment la dynamique avec un CA semestriel de 134,92 Mds FCFA (+18,85%) et un résultat net de 5,096 Mds FCFA (+13,37%), permettant d'estimer un exercice 2026 en poursuite de croissance, porté par le programme PEPT et l'expansion de la base clientèle. La recommandation fondamentale est de **CONSERVER** le titre : la solidité opérationnelle et la croissance sont indéniables, mais la valorisation exigeante et le risque de crédit client (coût du risque élevé à 438,72%) limitent le potentiel d'appréciation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apparaît nettement tendue : un PER de 28,4x (vs 8-12x pour le marché), un P/B de 10,36x et un EV/EBITDA de 15,1x traduisent une surévaluation manifeste, le marché ayant déjà intégré les perspectives de croissance. Le comportement du cours sur 100 jours est exceptionnel (+114,52%), avec une volatilité élevée (51,4%) et une distribution symétrique (skewness -0,023, kurtosis -0,670), ce qui suggère que le rallye pourrait marquer une pause. Les signaux techniques sont divergents : les moyennes mobiles et le stochastique sont haussiers, mais le MACD baissier et le RSI neutre incitent à la prudence, plaidant pour une consolidation. Les fondamentaux restent solides — croissance du CA de +14,82%, résultat net en hausse de 30%, ROE de 36,50% — mais la structure financière très endettée (autonomie financière de 1,78%) et le risque client élevé constituent des vulnérabilités. Les prédictions IA anticipent une baisse progressive du cours de 6 424 FCFA (J+1) à 6 095 FCFA (J+5), confirmant la pression baissière à court terme déjà perceptible via le MACD et les bandes de Bollinger. Compte tenu de la convergence entre valorisation exigeante, signaux techniques mitigés et prédictions baissières, la recommandation finale est de **CONSERVER** le titre, avec un niveau de confiance **Moyen** et un risque global **Élevé**. L'horizon d'investissement optimal est le **moyen terme (3-12 mois)**, le temps que la consolidation technique s'achève et que les fondamentaux solides rattrapent la valorisation, mais les investisseurs à court terme devraient envisager une prise de bénéfices après le rallye exceptionnel des 100 derniers jours.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936.14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4,075 titres</w:t>
            </w:r>
          </w:p>
        </w:tc>
        <w:tc>
          <w:tcPr>
            <w:tcW w:type="dxa" w:w="2268"/>
            <w:shd w:fill="FFF2CC" w:val="clear"/>
          </w:tcPr>
          <w:p>
            <w:r>
              <w:rPr>
                <w:b/>
                <w:color w:val="503200"/>
                <w:sz w:val="16"/>
              </w:rPr>
              <w:t xml:space="preserve">Cours actuel : </w:t>
            </w:r>
            <w:r>
              <w:rPr>
                <w:color w:val="000000"/>
                <w:sz w:val="17"/>
              </w:rPr>
              <w:t>17,005 FCFA</w:t>
            </w:r>
          </w:p>
          <w:p>
            <w:r>
              <w:rPr>
                <w:b/>
                <w:color w:val="503200"/>
                <w:sz w:val="16"/>
              </w:rPr>
              <w:t xml:space="preserve">Var. 100 jours : </w:t>
            </w:r>
            <w:r>
              <w:rPr>
                <w:b/>
                <w:color w:val="007800"/>
                <w:sz w:val="17"/>
              </w:rPr>
              <w:t>+6.28%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μ=16,485 FCFA, σ=453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β=0.4561 (Défensif) — Cov=0.000016, Var(idx)=0.000034, ρ=0.148,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16,601</w:t>
            </w:r>
          </w:p>
        </w:tc>
        <w:tc>
          <w:tcPr>
            <w:tcW w:type="dxa" w:w="1440"/>
            <w:shd w:fill="FAFAFA" w:val="clear"/>
          </w:tcPr>
          <w:p>
            <w:r>
              <w:rPr>
                <w:b/>
                <w:sz w:val="17"/>
              </w:rPr>
              <w:t>17,124</w:t>
            </w:r>
          </w:p>
        </w:tc>
        <w:tc>
          <w:tcPr>
            <w:tcW w:type="dxa" w:w="1440"/>
            <w:shd w:fill="FAFAFA" w:val="clear"/>
          </w:tcPr>
          <w:p>
            <w:r>
              <w:rPr>
                <w:sz w:val="17"/>
              </w:rPr>
              <w:t>17,648</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16,402</w:t>
            </w:r>
          </w:p>
        </w:tc>
        <w:tc>
          <w:tcPr>
            <w:tcW w:type="dxa" w:w="1440"/>
            <w:shd w:fill="FAFAFA" w:val="clear"/>
          </w:tcPr>
          <w:p>
            <w:r>
              <w:rPr>
                <w:b/>
                <w:sz w:val="17"/>
              </w:rPr>
              <w:t>17,143</w:t>
            </w:r>
          </w:p>
        </w:tc>
        <w:tc>
          <w:tcPr>
            <w:tcW w:type="dxa" w:w="1440"/>
            <w:shd w:fill="FAFAFA" w:val="clear"/>
          </w:tcPr>
          <w:p>
            <w:r>
              <w:rPr>
                <w:sz w:val="17"/>
              </w:rPr>
              <w:t>17,885</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16,258</w:t>
            </w:r>
          </w:p>
        </w:tc>
        <w:tc>
          <w:tcPr>
            <w:tcW w:type="dxa" w:w="1440"/>
            <w:shd w:fill="FAFAFA" w:val="clear"/>
          </w:tcPr>
          <w:p>
            <w:r>
              <w:rPr>
                <w:b/>
                <w:sz w:val="17"/>
              </w:rPr>
              <w:t>17,167</w:t>
            </w:r>
          </w:p>
        </w:tc>
        <w:tc>
          <w:tcPr>
            <w:tcW w:type="dxa" w:w="1440"/>
            <w:shd w:fill="FAFAFA" w:val="clear"/>
          </w:tcPr>
          <w:p>
            <w:r>
              <w:rPr>
                <w:sz w:val="17"/>
              </w:rPr>
              <w:t>18,076</w:t>
            </w:r>
          </w:p>
        </w:tc>
        <w:tc>
          <w:tcPr>
            <w:tcW w:type="dxa" w:w="1440"/>
            <w:shd w:fill="FAFAFA" w:val="clear"/>
          </w:tcPr>
          <w:p>
            <w:r>
              <w:rPr>
                <w:b/>
                <w:color w:val="008000"/>
                <w:sz w:val="17"/>
              </w:rPr>
              <w:t>+1.0%</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16,136</w:t>
            </w:r>
          </w:p>
        </w:tc>
        <w:tc>
          <w:tcPr>
            <w:tcW w:type="dxa" w:w="1440"/>
            <w:shd w:fill="FAFAFA" w:val="clear"/>
          </w:tcPr>
          <w:p>
            <w:r>
              <w:rPr>
                <w:b/>
                <w:sz w:val="17"/>
              </w:rPr>
              <w:t>17,187</w:t>
            </w:r>
          </w:p>
        </w:tc>
        <w:tc>
          <w:tcPr>
            <w:tcW w:type="dxa" w:w="1440"/>
            <w:shd w:fill="FAFAFA" w:val="clear"/>
          </w:tcPr>
          <w:p>
            <w:r>
              <w:rPr>
                <w:sz w:val="17"/>
              </w:rPr>
              <w:t>18,238</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2026-09-23</w:t>
            </w:r>
          </w:p>
        </w:tc>
        <w:tc>
          <w:tcPr>
            <w:tcW w:type="dxa" w:w="1440"/>
            <w:shd w:fill="FAFAFA" w:val="clear"/>
          </w:tcPr>
          <w:p>
            <w:r>
              <w:rPr>
                <w:sz w:val="17"/>
              </w:rPr>
              <w:t>16,029</w:t>
            </w:r>
          </w:p>
        </w:tc>
        <w:tc>
          <w:tcPr>
            <w:tcW w:type="dxa" w:w="1440"/>
            <w:shd w:fill="FAFAFA" w:val="clear"/>
          </w:tcPr>
          <w:p>
            <w:r>
              <w:rPr>
                <w:b/>
                <w:sz w:val="17"/>
              </w:rPr>
              <w:t>17,206</w:t>
            </w:r>
          </w:p>
        </w:tc>
        <w:tc>
          <w:tcPr>
            <w:tcW w:type="dxa" w:w="1440"/>
            <w:shd w:fill="FAFAFA" w:val="clear"/>
          </w:tcPr>
          <w:p>
            <w:r>
              <w:rPr>
                <w:sz w:val="17"/>
              </w:rPr>
              <w:t>18,382</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2026-09-24</w:t>
            </w:r>
          </w:p>
        </w:tc>
        <w:tc>
          <w:tcPr>
            <w:tcW w:type="dxa" w:w="1440"/>
            <w:shd w:fill="FAFAFA" w:val="clear"/>
          </w:tcPr>
          <w:p>
            <w:r>
              <w:rPr>
                <w:sz w:val="17"/>
              </w:rPr>
              <w:t>15,933</w:t>
            </w:r>
          </w:p>
        </w:tc>
        <w:tc>
          <w:tcPr>
            <w:tcW w:type="dxa" w:w="1440"/>
            <w:shd w:fill="FAFAFA" w:val="clear"/>
          </w:tcPr>
          <w:p>
            <w:r>
              <w:rPr>
                <w:b/>
                <w:sz w:val="17"/>
              </w:rPr>
              <w:t>17,223</w:t>
            </w:r>
          </w:p>
        </w:tc>
        <w:tc>
          <w:tcPr>
            <w:tcW w:type="dxa" w:w="1440"/>
            <w:shd w:fill="FAFAFA" w:val="clear"/>
          </w:tcPr>
          <w:p>
            <w:r>
              <w:rPr>
                <w:sz w:val="17"/>
              </w:rPr>
              <w:t>18,513</w:t>
            </w:r>
          </w:p>
        </w:tc>
        <w:tc>
          <w:tcPr>
            <w:tcW w:type="dxa" w:w="1440"/>
            <w:shd w:fill="FAFAFA" w:val="clear"/>
          </w:tcPr>
          <w:p>
            <w:r>
              <w:rPr>
                <w:b/>
                <w:color w:val="008000"/>
                <w:sz w:val="17"/>
              </w:rPr>
              <w:t>+1.3%</w:t>
            </w:r>
          </w:p>
        </w:tc>
      </w:tr>
      <w:tr>
        <w:tc>
          <w:tcPr>
            <w:tcW w:type="dxa" w:w="1440"/>
            <w:shd w:fill="FAFAFA" w:val="clear"/>
          </w:tcPr>
          <w:p>
            <w:r>
              <w:rPr>
                <w:sz w:val="17"/>
              </w:rPr>
              <w:t>J+7  Moyenne</w:t>
            </w:r>
          </w:p>
        </w:tc>
        <w:tc>
          <w:tcPr>
            <w:tcW w:type="dxa" w:w="1440"/>
            <w:shd w:fill="FAFAFA" w:val="clear"/>
          </w:tcPr>
          <w:p>
            <w:r>
              <w:rPr>
                <w:sz w:val="17"/>
              </w:rPr>
              <w:t>2026-09-25</w:t>
            </w:r>
          </w:p>
        </w:tc>
        <w:tc>
          <w:tcPr>
            <w:tcW w:type="dxa" w:w="1440"/>
            <w:shd w:fill="FAFAFA" w:val="clear"/>
          </w:tcPr>
          <w:p>
            <w:r>
              <w:rPr>
                <w:sz w:val="17"/>
              </w:rPr>
              <w:t>15,846</w:t>
            </w:r>
          </w:p>
        </w:tc>
        <w:tc>
          <w:tcPr>
            <w:tcW w:type="dxa" w:w="1440"/>
            <w:shd w:fill="FAFAFA" w:val="clear"/>
          </w:tcPr>
          <w:p>
            <w:r>
              <w:rPr>
                <w:b/>
                <w:sz w:val="17"/>
              </w:rPr>
              <w:t>17,240</w:t>
            </w:r>
          </w:p>
        </w:tc>
        <w:tc>
          <w:tcPr>
            <w:tcW w:type="dxa" w:w="1440"/>
            <w:shd w:fill="FAFAFA" w:val="clear"/>
          </w:tcPr>
          <w:p>
            <w:r>
              <w:rPr>
                <w:sz w:val="17"/>
              </w:rPr>
              <w:t>18,635</w:t>
            </w:r>
          </w:p>
        </w:tc>
        <w:tc>
          <w:tcPr>
            <w:tcW w:type="dxa" w:w="1440"/>
            <w:shd w:fill="FAFAFA" w:val="clear"/>
          </w:tcPr>
          <w:p>
            <w:r>
              <w:rPr>
                <w:b/>
                <w:color w:val="008000"/>
                <w:sz w:val="17"/>
              </w:rPr>
              <w:t>+1.4%</w:t>
            </w:r>
          </w:p>
        </w:tc>
      </w:tr>
      <w:tr>
        <w:tc>
          <w:tcPr>
            <w:tcW w:type="dxa" w:w="1440"/>
            <w:shd w:fill="FAFAFA" w:val="clear"/>
          </w:tcPr>
          <w:p>
            <w:r>
              <w:rPr>
                <w:sz w:val="17"/>
              </w:rPr>
              <w:t>J+8  Moyenne</w:t>
            </w:r>
          </w:p>
        </w:tc>
        <w:tc>
          <w:tcPr>
            <w:tcW w:type="dxa" w:w="1440"/>
            <w:shd w:fill="FAFAFA" w:val="clear"/>
          </w:tcPr>
          <w:p>
            <w:r>
              <w:rPr>
                <w:sz w:val="17"/>
              </w:rPr>
              <w:t>2026-09-28</w:t>
            </w:r>
          </w:p>
        </w:tc>
        <w:tc>
          <w:tcPr>
            <w:tcW w:type="dxa" w:w="1440"/>
            <w:shd w:fill="FAFAFA" w:val="clear"/>
          </w:tcPr>
          <w:p>
            <w:r>
              <w:rPr>
                <w:sz w:val="17"/>
              </w:rPr>
              <w:t>15,765</w:t>
            </w:r>
          </w:p>
        </w:tc>
        <w:tc>
          <w:tcPr>
            <w:tcW w:type="dxa" w:w="1440"/>
            <w:shd w:fill="FAFAFA" w:val="clear"/>
          </w:tcPr>
          <w:p>
            <w:r>
              <w:rPr>
                <w:b/>
                <w:sz w:val="17"/>
              </w:rPr>
              <w:t>17,257</w:t>
            </w:r>
          </w:p>
        </w:tc>
        <w:tc>
          <w:tcPr>
            <w:tcW w:type="dxa" w:w="1440"/>
            <w:shd w:fill="FAFAFA" w:val="clear"/>
          </w:tcPr>
          <w:p>
            <w:r>
              <w:rPr>
                <w:sz w:val="17"/>
              </w:rPr>
              <w:t>18,750</w:t>
            </w:r>
          </w:p>
        </w:tc>
        <w:tc>
          <w:tcPr>
            <w:tcW w:type="dxa" w:w="1440"/>
            <w:shd w:fill="FAFAFA" w:val="clear"/>
          </w:tcPr>
          <w:p>
            <w:r>
              <w:rPr>
                <w:b/>
                <w:color w:val="008000"/>
                <w:sz w:val="17"/>
              </w:rPr>
              <w:t>+1.5%</w:t>
            </w:r>
          </w:p>
        </w:tc>
      </w:tr>
      <w:tr>
        <w:tc>
          <w:tcPr>
            <w:tcW w:type="dxa" w:w="1440"/>
            <w:shd w:fill="FAFAFA" w:val="clear"/>
          </w:tcPr>
          <w:p>
            <w:r>
              <w:rPr>
                <w:sz w:val="17"/>
              </w:rPr>
              <w:t>J+9  Moyenne</w:t>
            </w:r>
          </w:p>
        </w:tc>
        <w:tc>
          <w:tcPr>
            <w:tcW w:type="dxa" w:w="1440"/>
            <w:shd w:fill="FAFAFA" w:val="clear"/>
          </w:tcPr>
          <w:p>
            <w:r>
              <w:rPr>
                <w:sz w:val="17"/>
              </w:rPr>
              <w:t>2026-09-29</w:t>
            </w:r>
          </w:p>
        </w:tc>
        <w:tc>
          <w:tcPr>
            <w:tcW w:type="dxa" w:w="1440"/>
            <w:shd w:fill="FAFAFA" w:val="clear"/>
          </w:tcPr>
          <w:p>
            <w:r>
              <w:rPr>
                <w:sz w:val="17"/>
              </w:rPr>
              <w:t>15,689</w:t>
            </w:r>
          </w:p>
        </w:tc>
        <w:tc>
          <w:tcPr>
            <w:tcW w:type="dxa" w:w="1440"/>
            <w:shd w:fill="FAFAFA" w:val="clear"/>
          </w:tcPr>
          <w:p>
            <w:r>
              <w:rPr>
                <w:b/>
                <w:sz w:val="17"/>
              </w:rPr>
              <w:t>17,274</w:t>
            </w:r>
          </w:p>
        </w:tc>
        <w:tc>
          <w:tcPr>
            <w:tcW w:type="dxa" w:w="1440"/>
            <w:shd w:fill="FAFAFA" w:val="clear"/>
          </w:tcPr>
          <w:p>
            <w:r>
              <w:rPr>
                <w:sz w:val="17"/>
              </w:rPr>
              <w:t>18,858</w:t>
            </w:r>
          </w:p>
        </w:tc>
        <w:tc>
          <w:tcPr>
            <w:tcW w:type="dxa" w:w="1440"/>
            <w:shd w:fill="FAFAFA" w:val="clear"/>
          </w:tcPr>
          <w:p>
            <w:r>
              <w:rPr>
                <w:b/>
                <w:color w:val="008000"/>
                <w:sz w:val="17"/>
              </w:rPr>
              <w:t>+1.6%</w:t>
            </w:r>
          </w:p>
        </w:tc>
      </w:tr>
      <w:tr>
        <w:tc>
          <w:tcPr>
            <w:tcW w:type="dxa" w:w="1440"/>
            <w:shd w:fill="FAFAFA" w:val="clear"/>
          </w:tcPr>
          <w:p>
            <w:r>
              <w:rPr>
                <w:sz w:val="17"/>
              </w:rPr>
              <w:t>J+10  Moyenne</w:t>
            </w:r>
          </w:p>
        </w:tc>
        <w:tc>
          <w:tcPr>
            <w:tcW w:type="dxa" w:w="1440"/>
            <w:shd w:fill="FAFAFA" w:val="clear"/>
          </w:tcPr>
          <w:p>
            <w:r>
              <w:rPr>
                <w:sz w:val="17"/>
              </w:rPr>
              <w:t>2026-09-30</w:t>
            </w:r>
          </w:p>
        </w:tc>
        <w:tc>
          <w:tcPr>
            <w:tcW w:type="dxa" w:w="1440"/>
            <w:shd w:fill="FAFAFA" w:val="clear"/>
          </w:tcPr>
          <w:p>
            <w:r>
              <w:rPr>
                <w:sz w:val="17"/>
              </w:rPr>
              <w:t>15,618</w:t>
            </w:r>
          </w:p>
        </w:tc>
        <w:tc>
          <w:tcPr>
            <w:tcW w:type="dxa" w:w="1440"/>
            <w:shd w:fill="FAFAFA" w:val="clear"/>
          </w:tcPr>
          <w:p>
            <w:r>
              <w:rPr>
                <w:b/>
                <w:sz w:val="17"/>
              </w:rPr>
              <w:t>17,290</w:t>
            </w:r>
          </w:p>
        </w:tc>
        <w:tc>
          <w:tcPr>
            <w:tcW w:type="dxa" w:w="1440"/>
            <w:shd w:fill="FAFAFA" w:val="clear"/>
          </w:tcPr>
          <w:p>
            <w:r>
              <w:rPr>
                <w:sz w:val="17"/>
              </w:rPr>
              <w:t>18,962</w:t>
            </w:r>
          </w:p>
        </w:tc>
        <w:tc>
          <w:tcPr>
            <w:tcW w:type="dxa" w:w="1440"/>
            <w:shd w:fill="FAFAFA" w:val="clear"/>
          </w:tcPr>
          <w:p>
            <w:r>
              <w:rPr>
                <w:b/>
                <w:color w:val="008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936,14 milliards FCFA, ECOC s'impose comme l'une des plus importantes capitalisations de la BRVM, ce qui témoigne de sa position de leader dans le secteur bancaire ivoirien et de la confiance des investisseurs régionaux. Le BPA de 1 153 FCFA/action indique que chaque titre génère un bénéfice net substantiel, ce qui, rapporté au cours actuel de 17 005 FCFA, donne un PER de 14,7x — un niveau modéré mais légèrement supérieur à la moyenne du marché BRVM (8-12x), suggérant que les investisseurs acceptent de payer une prime pour la qualité et la régularité des résultats de la banque. Le P/B de 4,28x traduit une valorisation nettement supérieure à la valeur comptable, ce qui est exigeant mais justifié par un ROE exceptionnel de 29,04% qui démontre la capacité de la banque à générer des rendements bien supérieurs à son coût des fonds propres. Enfin, l'EV/EBITDA de 14,4x, bien qu'élevé dans l'absolu, reste cohérent avec les standards du secteur bancaire où la valeur opérationnelle est portée par la qualité du portefeuille et la solidité du bilan.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totale de +6,28%, avec une dernière séance en hausse de +0,32%, confirmant une dynamique haussière modérée mais régulière. Le cours a évolué dans un range de 2 205 FCFA, entre un plus bas de 15 520 FCFA et un plus haut de 17 725 FCFA, le cours actuel de 17 005 FCFA se situant dans la partie supérieure de cette fourchette, ce qui reflète une tendance haussière de fond. Les statistiques descriptives révèlent une moyenne de 16 485 FCFA légèrement supérieure à la médiane de 16 345 FCFA, avec un mode à 16 300 FCFA, indiquant une distribution légèrement asymétrique vers la droite (skewness de 0,607), c'est-à-dire que les journées de baisse sont plus fréquentes mais moins amples que les journées de hausse. L'écart-type de 456 FCFA et le coefficient de variation de 2,8% témoignent d'une dispersion très faible du cours, signe d'une grande stabilité et d'une faible nervosité du titre. Le kurtosis de 0,039, proche de zéro, indique une distribution mésokurtique proche de la normale, sans risque excessif de pics extrêmes. Avec une volatilité annualisée de 28,5%, le titre se situe dans la fourchette modérée (15-30%), ce qui est rassurant pour un investisseur recherchant un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(17 057 FCFA) et la MM50 (16 546 FCFA) sont toutes deux inférieures au cours actuel de 17 005 FCFA, avec une MM20 légèrement au-dessus du cours, ce qui crée une configuration de croisement haussier (MM20 &gt; MM50) confirmant la tendance positive. La décision technique est à l'achat, portée par la dynamique favorable des moyennes mobiles qui agissent comme supports dynamiques.</w:t>
      </w:r>
    </w:p>
    <w:p>
      <w:pPr>
        <w:spacing w:after="120" w:line="276" w:lineRule="auto"/>
      </w:pPr>
      <w:r>
        <w:t>**Bandes de Bollinger** : Le cours actuel (17 005 FCFA) se situe à mi-chemin entre la borne inférieure (16 318,93 FCFA) et la borne supérieure (17 795,07 FCFA), ce qui traduit une position neutre dans le canal de volatilité. L'absence de contact avec les bornes suggère une phase de consolidation sans excès, justifiant une décision neutre en attendant un signal directionnel plus clair.</w:t>
      </w:r>
    </w:p>
    <w:p>
      <w:pPr>
        <w:spacing w:after="120" w:line="276" w:lineRule="auto"/>
      </w:pPr>
      <w:r>
        <w:t>**MACD** : La valeur du MACD (182,199) est inférieure à son signal (230,2), générant une divergence baissière qui indique un essoufflement du momentum haussier. Cette configuration, bien que le MACD reste en territoire positif, justifie une décision de vente à court terme, suggérant une possible correction ou consolidation avant une reprise.</w:t>
      </w:r>
    </w:p>
    <w:p>
      <w:pPr>
        <w:spacing w:after="120" w:line="276" w:lineRule="auto"/>
      </w:pPr>
      <w:r>
        <w:t>**RSI** : À 52,139, le RSI se situe dans la zone neutre (30-70), sans signal de surachat ni de survente, ce qui confirme l'absence de pression directionnelle forte. La décision est neutre, le titre évoluant dans une phase d'équilibre où ni les acheteurs ni les vendeurs ne dominent clairement.</w:t>
      </w:r>
    </w:p>
    <w:p>
      <w:pPr>
        <w:spacing w:after="120" w:line="276" w:lineRule="auto"/>
      </w:pPr>
      <w:r>
        <w:t>**Stochastique** : Le %K (40,741) et le %D (41,838) sont proches l'un de l'autre, sans croisement significatif, et se situent dans la zone neutre basse, indiquant une absence de momentum directionnel clair. La décision est neutre, le stochastique ne fournissant pas de signal d'achat ou de vente imminent.</w:t>
      </w:r>
    </w:p>
    <w:p>
      <w:pPr>
        <w:spacing w:after="120" w:line="276" w:lineRule="auto"/>
      </w:pPr>
      <w:r>
        <w:t>**Conclusion technique** : Les indicateurs techniques présentent une configuration mitigée : les moyennes mobiles sont haussières (achat), les bandes de Bollinger et le RSI sont neutres, tandis que le MACD signale une vente à court terme. Cette divergence suggère une phase de consolidation avec un biais haussier de fond, mais une prudence à court terme est recommandée en attendant une clarification du momentum.</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ECOC affiche des fondamentaux exceptionnels avec un Produit Net Bancaire (PNB) de 132,725 milliards FCFA, en croissance de 8,51% par rapport à 2024, et un résultat net de 63,482 milliards FCFA, soit une marge nette remarquable de 47,83%. Le ROE s'établit à 29,04%, largement supérieur au seuil de 15% considéré comme excellent, et le ROA à 3,09%, confirmant la capacité de la banque à générer des profits élevés sur ses actifs. Le coefficient d'exploitation de 42,89% est excellent (&lt; 50%), témoignant d'une maîtrise remarquable des charges opérationnelles, tandis que le coût du risque de 1,36% reste modéré, bien qu'en légère hausse par rapport aux exercices précédents. La structure financière montre une autonomie financière de 10,64% (capitaux propres/total bilan), ce qui est faible dans l'absolu mais typique du modèle bancaire, et une solvabilité générale de 111,91% (total actif/dettes totales), confirmant la solidité du bilan. Les dépôts clientèle s'élèvent à 1 626,22 milliards FCFA contre des créances clientèle de 1 050,80 milliards FCFA, soit un ratio crédits/dépôts de 64,6%, indiquant une transformation maîtrisée et une forte capacité de collecte. Sur la base du rapport T1 2026 (publié en 2026), le PNB progresse de 3,7% à 30,8 milliards FCFA, avec un coefficient d'exploitation de 45,7% et un ROE de 23,0%, tandis que le résultat net recule légèrement de 1,6% à 13,0 milliards FCFA, reflétant une hausse du coût du risque dans un environnement macroéconomique incertain. Le rapport T3 2025 (daté du 30 septembre 2025) confirme la dynamique positive avec un PNB de 96,4 milliards FCFA (+11,3%) et un résultat net de 44,4 milliards FCFA (+15,4%), portés par une contraction du coût du risque de 54,1% et une forte collecte de dépôts (+33,2%). L'assemblée générale du 28 avril 2026 a approuvé un dividende de 888 FCFA brut par action (781 FCFA net), en hausse de 10,4% par rapport à 2024, offrant un rendement de 5,2% au cours actuel, ce qui renforce l'attrait du titre pour les investisseurs en quête de revenus. La recommandation fondamentale est de conserver le titre pour le moyen-long terme, la banque affichant une solidité financière exceptionnelle, une rentabilité supérieure à la moyenne du secteur et une politique de dividende attractive, malgré les risques liés à la concentration géographique et à l'environnement macroéconomique.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d'ECOC (PER de 14,7x, P/B de 4,28x, EV/EBITDA de 14,4x) indique une légère surévaluation par rapport à la moyenne du marché BRVM, mais cette prime est justifiée par un ROE exceptionnel de 29,04% et une qualité de résultats supérieure à celle de ses pairs. Le comportement du cours sur 100 jours est haussier (+6,28%), avec une volatilité modérée (28,5%) et une distribution stable (kurtosis proche de zéro, skewness positif), ce qui est favorable pour un investisseur recherchant une appréciation régulière sans risque excessif. Les signaux techniques sont mitigés : les moyennes mobiles sont haussières, mais le MACD signale une vente à court terme, tandis que le RSI et le stochastique sont neutres, suggérant une phase de consolidation avant une reprise potentielle. Les fondamentaux sont solides : PNB de 132,7 milliards FCFA en 2025 (+8,5%), résultat net de 63,5 milliards FCFA, ROE de 29,04%, coefficient d'exploitation de 42,89% et dividende de 888 FCFA/action, bien que le T1 2026 montre un léger recul du résultat net (-1,6%) dû à la hausse du coût du risque. Les prédictions IA (J+1 à J+10) anticipent une trajectoire haussière modérée, avec un cours cible de 17 206 FCFA à J+10 (+1,2%), confirmant la tendance de fond mais sans accélération marquée. Sur la base de cette synthèse, la recommandation finale est **CONSERVER** avec un niveau de confiance **Élevé** et un risque global **Moyen**. Cette recommandation est justifiée par la convergence entre des fondamentaux solides, une valorisation exigeante mais justifiée, et des signaux techniques neutres à haussiers. L'horizon d'investissement optimal est le **moyen terme (3-12 mois)**, en attendant une clarification des signaux techniques et une confirmation de la reprise du résultat net au T2 2026. Les investisseurs à long terme (&gt;1 an) peuvent également conserver le titre pour son rendement dividende attractif (5,2%) et sa solidité financière.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1,497,001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+133.33%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35.95% (Élevée) — μ=50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β=2.4985 (Très agressif) — Cov=0.000086, Var(idx)=0.000034, ρ=0.381,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1,497,001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64</w:t>
            </w:r>
          </w:p>
        </w:tc>
        <w:tc>
          <w:tcPr>
            <w:tcW w:type="dxa" w:w="1440"/>
            <w:shd w:fill="FAFAFA" w:val="clear"/>
          </w:tcPr>
          <w:p>
            <w:r>
              <w:rPr>
                <w:b/>
                <w:sz w:val="17"/>
              </w:rPr>
              <w:t>69</w:t>
            </w:r>
          </w:p>
        </w:tc>
        <w:tc>
          <w:tcPr>
            <w:tcW w:type="dxa" w:w="1440"/>
            <w:shd w:fill="FAFAFA" w:val="clear"/>
          </w:tcPr>
          <w:p>
            <w:r>
              <w:rPr>
                <w:sz w:val="17"/>
              </w:rPr>
              <w:t>74</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2026-09-21</w:t>
            </w:r>
          </w:p>
        </w:tc>
        <w:tc>
          <w:tcPr>
            <w:tcW w:type="dxa" w:w="1440"/>
            <w:shd w:fill="FFDCE0" w:val="clear"/>
          </w:tcPr>
          <w:p>
            <w:r>
              <w:rPr>
                <w:sz w:val="17"/>
              </w:rPr>
              <w:t>63</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57</w:t>
            </w:r>
          </w:p>
        </w:tc>
        <w:tc>
          <w:tcPr>
            <w:tcW w:type="dxa" w:w="1440"/>
            <w:shd w:fill="FFDCE0" w:val="clear"/>
          </w:tcPr>
          <w:p>
            <w:r>
              <w:rPr>
                <w:b/>
                <w:sz w:val="17"/>
              </w:rPr>
              <w:t>67</w:t>
            </w:r>
          </w:p>
        </w:tc>
        <w:tc>
          <w:tcPr>
            <w:tcW w:type="dxa" w:w="1440"/>
            <w:shd w:fill="FFDCE0" w:val="clear"/>
          </w:tcPr>
          <w:p>
            <w:r>
              <w:rPr>
                <w:sz w:val="17"/>
              </w:rPr>
              <w:t>78</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1 265,89 milliards FCFA, ETIT figure parmi les poids lourds de la cote BRVM, ce qui en fait un titre incontournable pour les investisseurs institutionnels recherchant de la liquidité et de la profondeur de marché. Le BPA de 19 FCFA/action signifie que chaque titre génère près de 19 FCFA de bénéfice net, un niveau qui, rapporté au cours actuel de 70 FCFA, donne un PER de seulement 3,7x — très en dessous de la moyenne du marché BRVM (8-12x), ce qui traduit une sous-évaluation manifeste ou une forte défiance du marché. Le P/B de 0,79x (&lt; 1) indique que le marché valorise l'action à 21% en dessous de sa valeur comptable, une situation rare qui constitue historiquement une opportunité d'achat pour les investisseurs value. Enfin, l'EV/EBITDA de 5,1x, situé dans la fourchette raisonnable de 5-10x, confirme que la valeur totale de l'entreprise (dette incluse) reste modérée par rapport à sa capacité opérationnelle, renforçant le diagnostic de sous-valorisation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progression spectaculaire de +133,33%, passant d'un plus bas de 29 FCFA à un plus haut de 78 FCFA, avant de se replier légèrement à 70 FCFA (soit -1,41% sur la dernière séance J-1). Cette tendance nettement haussière, avec un range de trading de 49 FCFA (soit près de 2,7 fois le plus bas), témoigne d'un fort engouement des investisseurs, probablement porté par les résultats semestriels 2026 solides publiés par le groupe. Les statistiques descriptives révèlent une moyenne de 50 FCFA contre une médiane de 52 FCFA, un écart modéré qui suggère une distribution quasi-symétrique, confirmée par un skewness de -0,011 (distribution symétrique). L'écart-type de 18 FCFA, couplé à un coefficient de variation de 36,1%, indique une dispersion élevée du cours autour de sa moyenne, ce qui est cohérent avec la volatilité annualisée de 60,6% — un niveau élevé (&gt;30%) qui positionne ETIT comme un titre spéculatif à fort potentiel mais aussi à risque important. Le kurtosis de -1,832 (distribution platykurtique) signale une faible concentration des rendements autour de la moyenne, avec des mouvements amples et fréquents plutôt que des pics extrêmes isolés, ce qui traduit un comportement de marché agité mais sans chocs extrêmes uniques. Le mode à 30 FCFA, très éloigné du cours actuel, rappelle que le titre a longtemps stagné avant son envolée récente, ce qui pourrait indiquer une phase de consolidation en cours.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(68,4 FCFA) et la MM50 (67,6 FCFA) se situent toutes deux en dessous du cours actuel (70 FCFA), avec la MM20 légèrement au-dessus de la MM50, ce qui configure un croisement haussier (golden cross) et confirme la dynamique positive de court et moyen terme. La décision technique qui en résulte est **Achat**, le cours évoluant au-dessus de ses supports mobiles, ce qui suggère que la tendance haussière reste intacte malgré le repli récent.</w:t>
      </w:r>
    </w:p>
    <w:p>
      <w:pPr>
        <w:spacing w:after="120" w:line="276" w:lineRule="auto"/>
      </w:pPr>
      <w:r>
        <w:t>**Bandes de Bollinger** : Le cours actuel (70 FCFA) se situe à l'intérieur des bandes, entre la borne inférieure (64,125 FCFA) et la borne supérieure (72,675 FCFA), mais plus proche de la borne haute, ce qui indique une pression acheteuse modérée sans suraccumulation. La largeur des bandes (environ 8,55 FCFA) reflète une volatilité moyenne, et la décision **Neutre** suggère que le titre n'est ni en surachat ni en survente selon ce critère, laissant place à une consolidation avant une éventuelle reprise.</w:t>
      </w:r>
    </w:p>
    <w:p>
      <w:pPr>
        <w:spacing w:after="120" w:line="276" w:lineRule="auto"/>
      </w:pPr>
      <w:r>
        <w:t>**MACD** : La valeur du MACD (1,573) est légèrement inférieure à son signal (1,608), ce qui génère une divergence baissière et un croisement à la baisse, indiquant un essoufflement du momentum haussier. La décision **Vente** qui en découle invite à la prudence à court terme, le MACD ayant tendance à anticiper les retournements de tendance.</w:t>
      </w:r>
    </w:p>
    <w:p>
      <w:pPr>
        <w:spacing w:after="120" w:line="276" w:lineRule="auto"/>
      </w:pPr>
      <w:r>
        <w:t>**RSI** : À 60,0, le RSI se situe en zone neutre (entre 30 et 70), sans signal de surachat (&gt;70) ni de survente (&lt;30), ce qui traduit un équilibre entre acheteurs et vendeurs. La décision **Neutre** confirme que le titre n'est pas dans une zone d'extrême qui justifierait une action immédiate, mais la proximité de la zone de surachat appelle à la vigilance.</w:t>
      </w:r>
    </w:p>
    <w:p>
      <w:pPr>
        <w:spacing w:after="120" w:line="276" w:lineRule="auto"/>
      </w:pPr>
      <w:r>
        <w:t>**Stochastique** : Le %K (83,333) et le %D (94,444) sont tous deux en zone de surachat (&gt;80), avec le %K en dessous du %D, ce qui constitue un croisement baissier et un signal de retournement imminent. La décision **Vente** est cohérente avec ce signal, le stochastique étant un indicateur avancé qui anticipe souvent les corrections.</w:t>
      </w:r>
    </w:p>
    <w:p>
      <w:pPr>
        <w:spacing w:after="120" w:line="276" w:lineRule="auto"/>
      </w:pPr>
      <w:r>
        <w:t>**Conclusion technique** : Les indicateurs techniques présentent un tableau mitigé, avec une tendance de fond haussière confirmée par les moyennes mobiles (Achat) mais des signaux de court terme baissiers émanant du MACD (Vente) et du stochastique (Vente), tandis que le RSI et les Bandes de Bollinger restent neutres. Cette divergence suggère que le titre pourrait connaître une phase de consolidation ou de correction légère après sa forte hausse, avant de reprendre sa tendance haussière si les fondamentaux continuent de soutenir la valorisation. La prudence est donc de mise à court terme, avec une opportunité d'achat potentielle sur repli vers les supports mobiles (67-68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(états financiers annuels) révèlent un Produit Net Bancaire (PNB) de 1 424,261 milliards FCFA, un résultat net de 345,523 milliards FCFA, un ROE exceptionnel de 21,62% (&gt;15%, seuil d'excellence) et un ROA de 1,80%, confirmant la solidité et la rentabilité élevée du groupe. Le coefficient d'exploitation de 27,35% est remarquablement bas (&lt;60% = banque efficace, &lt;50% = excellente), ce qui témoigne d'une maîtrise opérationnelle hors pair, tandis que le coût du risque de 18,97% (provisions/charges financières) reste modéré mais mérite une surveillance attentive. La structure financière montre une dépendance financière de 91,70% (dettes/actif), typique du modèle bancaire, mais une autonomie financière de seulement 8,30% (capitaux propres/total bilan) qui, bien que faible, est compensée par un ratio de solvabilité générale de 109,06% (&gt;1 = solvable) et une couverture des intérêts de 116,72%. Les dépôts clientèle (14 120,139 milliards FCFA) couvrent largement les créances clientèle (6 570,385 milliards FCFA), avec un ratio dépôts/crédits de 2,15x, ce qui indique une surliquidité et une capacité de transformation maîtrisée, tandis que les créances interbancaires (1 611,202 milliards FCFA) et les dettes interbancaires (1 458,592 milliards FCFA) montrent une activité de marché équilibrée.</w:t>
      </w:r>
    </w:p>
    <w:p>
      <w:pPr>
        <w:spacing w:after="120" w:line="276" w:lineRule="auto"/>
      </w:pPr>
      <w:r>
        <w:t>Les rapports narratifs récents confirment cette dynamique : le rapport semestriel 2026 (clos le 30 juin 2026, analysé le 30 juillet 2026) fait état d'un PNB de 721 318 millions FCFA (+15% vs S1 2025), d'un résultat net consolidé de 166 682 millions FCFA (+6%), d'un BPA de 0,80 $EU (4,53 FCFA) et d'un coefficient d'exploitation amélioré à 48,4%, mais alerte sur une hausse de 40% du coût du risque et un ratio de prêts non performants (NPL) à 7,6%. Le rapport T1 2026 (publié en 2026) montre une accélération avec un PNB de 636,2 millions $EU (+23%) et un résultat net de 142,5 millions $EU (+16%), mais un coût du risque en hausse de 73%, signalant une dégradation de la qualité des actifs dans certains marchés. Le rapport 9 mois 2025 (30 septembre 2025) affichait déjà un PNB de 1 029,2 milliards FCFA (+18%) et un résultat net de 267,0 milliards FCFA (+34%), avec un ROE tangible de 31,2% et une marge nette de 25,9%, confirmant la trajectoire positive. Sur la base de ces rapports trimestriels, on estime que l'exercice 2026 devrait enregistrer un PNB annuel compris entre 1 500 et 1 550 milliards FCFA (croissance de 5-9% vs 2025) et un résultat net entre 360 et 380 milliards FCFA, sous réserve que le coût du risque se stabilise au second semestre. La recommandation fondamentale est **CONSERVER** avec un biais positif : la solidité financière, la rentabilité élevée et la sous-évaluation boursière sont des atouts majeurs, mais la hausse du coût du risque et la stagnation du BPA (+2% au S1 2026) incitent à la prudence en attendant la confirmation de la maîtrise des provisions.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dessine un tableau contrasté mais globalement favorable. La valorisation (Partie 0) est clairement attractive avec un PER de 3,7x (très en dessous de la moyenne BRVM de 8-12x), un P/B de 0,79x (&lt;1, sous-évaluation par rapport à la valeur comptable) et un EV/EBITDA de 5,1x (raisonnable), ce qui suggère une opportunité d'achat pour les investisseurs value. Le comportement du cours (Partie 1) est haussier sur 100 jours (+133,33%) mais avec une volatilité élevée (60,6%) et une distribution platykurtique (kurtosis -1,832) indiquant des mouvements amples et fréquents, ce qui est préoccupant pour les investisseurs averses au risque mais attractif pour les traders. Les signaux techniques (Partie 2) sont divergents : les moyennes mobiles confirment la tendance haussière (Achat), mais le MACD et le stochastique génèrent des signaux de vente à court terme, tandis que le RSI et les Bandes de Bollinger restent neutres, suggérant une consolidation imminente. Les fondamentaux (Partie 3) sont solides avec un ROE de 21,62%, un coefficient d'exploitation de 27,35% et une surliquidité (dépôts/crédits de 2,15x), mais le coût du risque en hausse (+40% au S1 2026) et la stagnation du BPA (+2%) tempèrent l'enthousiasme. Les prédictions IA (J+1 à J+10) anticipent une légère baisse du cours de 69 FCFA à 68 FCFA, ce qui confirme les signaux techniques baissiers à court terme mais contredit la tendance haussière de fond et la sous-évaluation fondamentale. Sur la base de cette synthèse, la recommandation finale est **CONSERVER** avec un biais positif, justifiée par la convergence entre la sous-évaluation (PER 3,7x, P/B 0,79x), la solidité fondamentale (ROE 21,62%, coefficient d'exploitation 27,35%) et la tendance haussière de long terme, mais tempérée par les signaux techniques baissiers à court terme (MACD, stochastique) et les prédictions IA légèrement négatives. Le niveau de confiance est **Moyen** (les fondamentaux sont solides mais les risques de crédit et la volatilité élevée introduisent de l'incertitude) et le niveau de risque global est **Élevé** (volatilité annualisée de 60,6%, coût du risque en hausse, dépendance aux économies africaines volatiles). L'horizon d'investissement optimal est **moyen terme (3-12 mois)**, le temps que le coût du risque se stabilise et que la sous-évaluation soit reconnue par le marché, avec un potentiel de revalorisation de 20-30% si les résultats annuels 2026 confirment la maîtrise des provisions et la croissance du BPA.</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4,009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B40000"/>
                <w:sz w:val="17"/>
              </w:rPr>
              <w:t>-5.86%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5.92% (Moyenne) — μ=2,134 FCFA, σ=126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β=0.4794 (Défensif) — Cov=0.000017, Var(idx)=0.000034, ρ=0.128,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2,008</w:t>
            </w:r>
          </w:p>
        </w:tc>
        <w:tc>
          <w:tcPr>
            <w:tcW w:type="dxa" w:w="1440"/>
            <w:shd w:fill="FAFAFA" w:val="clear"/>
          </w:tcPr>
          <w:p>
            <w:r>
              <w:rPr>
                <w:b/>
                <w:sz w:val="17"/>
              </w:rPr>
              <w:t>2,072</w:t>
            </w:r>
          </w:p>
        </w:tc>
        <w:tc>
          <w:tcPr>
            <w:tcW w:type="dxa" w:w="1440"/>
            <w:shd w:fill="FAFAFA" w:val="clear"/>
          </w:tcPr>
          <w:p>
            <w:r>
              <w:rPr>
                <w:sz w:val="17"/>
              </w:rPr>
              <w:t>2,135</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1,966</w:t>
            </w:r>
          </w:p>
        </w:tc>
        <w:tc>
          <w:tcPr>
            <w:tcW w:type="dxa" w:w="1440"/>
            <w:shd w:fill="FAFAFA" w:val="clear"/>
          </w:tcPr>
          <w:p>
            <w:r>
              <w:rPr>
                <w:b/>
                <w:sz w:val="17"/>
              </w:rPr>
              <w:t>2,055</w:t>
            </w:r>
          </w:p>
        </w:tc>
        <w:tc>
          <w:tcPr>
            <w:tcW w:type="dxa" w:w="1440"/>
            <w:shd w:fill="FAFAFA" w:val="clear"/>
          </w:tcPr>
          <w:p>
            <w:r>
              <w:rPr>
                <w:sz w:val="17"/>
              </w:rPr>
              <w:t>2,145</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1,930</w:t>
            </w:r>
          </w:p>
        </w:tc>
        <w:tc>
          <w:tcPr>
            <w:tcW w:type="dxa" w:w="1440"/>
            <w:shd w:fill="FFDCE0" w:val="clear"/>
          </w:tcPr>
          <w:p>
            <w:r>
              <w:rPr>
                <w:b/>
                <w:sz w:val="17"/>
              </w:rPr>
              <w:t>2,039</w:t>
            </w:r>
          </w:p>
        </w:tc>
        <w:tc>
          <w:tcPr>
            <w:tcW w:type="dxa" w:w="1440"/>
            <w:shd w:fill="FFDCE0" w:val="clear"/>
          </w:tcPr>
          <w:p>
            <w:r>
              <w:rPr>
                <w:sz w:val="17"/>
              </w:rPr>
              <w:t>2,148</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2026-09-22</w:t>
            </w:r>
          </w:p>
        </w:tc>
        <w:tc>
          <w:tcPr>
            <w:tcW w:type="dxa" w:w="1440"/>
            <w:shd w:fill="FFDCE0" w:val="clear"/>
          </w:tcPr>
          <w:p>
            <w:r>
              <w:rPr>
                <w:sz w:val="17"/>
              </w:rPr>
              <w:t>1,899</w:t>
            </w:r>
          </w:p>
        </w:tc>
        <w:tc>
          <w:tcPr>
            <w:tcW w:type="dxa" w:w="1440"/>
            <w:shd w:fill="FFDCE0" w:val="clear"/>
          </w:tcPr>
          <w:p>
            <w:r>
              <w:rPr>
                <w:b/>
                <w:sz w:val="17"/>
              </w:rPr>
              <w:t>2,024</w:t>
            </w:r>
          </w:p>
        </w:tc>
        <w:tc>
          <w:tcPr>
            <w:tcW w:type="dxa" w:w="1440"/>
            <w:shd w:fill="FFDCE0" w:val="clear"/>
          </w:tcPr>
          <w:p>
            <w:r>
              <w:rPr>
                <w:sz w:val="17"/>
              </w:rPr>
              <w:t>2,149</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1,871</w:t>
            </w:r>
          </w:p>
        </w:tc>
        <w:tc>
          <w:tcPr>
            <w:tcW w:type="dxa" w:w="1440"/>
            <w:shd w:fill="FFDCE0" w:val="clear"/>
          </w:tcPr>
          <w:p>
            <w:r>
              <w:rPr>
                <w:b/>
                <w:sz w:val="17"/>
              </w:rPr>
              <w:t>2,009</w:t>
            </w:r>
          </w:p>
        </w:tc>
        <w:tc>
          <w:tcPr>
            <w:tcW w:type="dxa" w:w="1440"/>
            <w:shd w:fill="FFDCE0" w:val="clear"/>
          </w:tcPr>
          <w:p>
            <w:r>
              <w:rPr>
                <w:sz w:val="17"/>
              </w:rPr>
              <w:t>2,148</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1,845</w:t>
            </w:r>
          </w:p>
        </w:tc>
        <w:tc>
          <w:tcPr>
            <w:tcW w:type="dxa" w:w="1440"/>
            <w:shd w:fill="FFDCE0" w:val="clear"/>
          </w:tcPr>
          <w:p>
            <w:r>
              <w:rPr>
                <w:b/>
                <w:sz w:val="17"/>
              </w:rPr>
              <w:t>1,995</w:t>
            </w:r>
          </w:p>
        </w:tc>
        <w:tc>
          <w:tcPr>
            <w:tcW w:type="dxa" w:w="1440"/>
            <w:shd w:fill="FFDCE0" w:val="clear"/>
          </w:tcPr>
          <w:p>
            <w:r>
              <w:rPr>
                <w:sz w:val="17"/>
              </w:rPr>
              <w:t>2,146</w:t>
            </w:r>
          </w:p>
        </w:tc>
        <w:tc>
          <w:tcPr>
            <w:tcW w:type="dxa" w:w="1440"/>
            <w:shd w:fill="FFDCE0" w:val="clear"/>
          </w:tcPr>
          <w:p>
            <w:r>
              <w:rPr>
                <w:b/>
                <w:color w:val="C00000"/>
                <w:sz w:val="17"/>
              </w:rPr>
              <w:t>-4.5%</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1,820</w:t>
            </w:r>
          </w:p>
        </w:tc>
        <w:tc>
          <w:tcPr>
            <w:tcW w:type="dxa" w:w="1440"/>
            <w:shd w:fill="FFDCE0" w:val="clear"/>
          </w:tcPr>
          <w:p>
            <w:r>
              <w:rPr>
                <w:b/>
                <w:sz w:val="17"/>
              </w:rPr>
              <w:t>1,982</w:t>
            </w:r>
          </w:p>
        </w:tc>
        <w:tc>
          <w:tcPr>
            <w:tcW w:type="dxa" w:w="1440"/>
            <w:shd w:fill="FFDCE0" w:val="clear"/>
          </w:tcPr>
          <w:p>
            <w:r>
              <w:rPr>
                <w:sz w:val="17"/>
              </w:rPr>
              <w:t>2,143</w:t>
            </w:r>
          </w:p>
        </w:tc>
        <w:tc>
          <w:tcPr>
            <w:tcW w:type="dxa" w:w="1440"/>
            <w:shd w:fill="FFDCE0" w:val="clear"/>
          </w:tcPr>
          <w:p>
            <w:r>
              <w:rPr>
                <w:b/>
                <w:color w:val="C00000"/>
                <w:sz w:val="17"/>
              </w:rPr>
              <w:t>-5.2%</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1,797</w:t>
            </w:r>
          </w:p>
        </w:tc>
        <w:tc>
          <w:tcPr>
            <w:tcW w:type="dxa" w:w="1440"/>
            <w:shd w:fill="FFDCE0" w:val="clear"/>
          </w:tcPr>
          <w:p>
            <w:r>
              <w:rPr>
                <w:b/>
                <w:sz w:val="17"/>
              </w:rPr>
              <w:t>1,968</w:t>
            </w:r>
          </w:p>
        </w:tc>
        <w:tc>
          <w:tcPr>
            <w:tcW w:type="dxa" w:w="1440"/>
            <w:shd w:fill="FFDCE0" w:val="clear"/>
          </w:tcPr>
          <w:p>
            <w:r>
              <w:rPr>
                <w:sz w:val="17"/>
              </w:rPr>
              <w:t>2,140</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1,775</w:t>
            </w:r>
          </w:p>
        </w:tc>
        <w:tc>
          <w:tcPr>
            <w:tcW w:type="dxa" w:w="1440"/>
            <w:shd w:fill="FFDCE0" w:val="clear"/>
          </w:tcPr>
          <w:p>
            <w:r>
              <w:rPr>
                <w:b/>
                <w:sz w:val="17"/>
              </w:rPr>
              <w:t>1,955</w:t>
            </w:r>
          </w:p>
        </w:tc>
        <w:tc>
          <w:tcPr>
            <w:tcW w:type="dxa" w:w="1440"/>
            <w:shd w:fill="FFDCE0" w:val="clear"/>
          </w:tcPr>
          <w:p>
            <w:r>
              <w:rPr>
                <w:sz w:val="17"/>
              </w:rPr>
              <w:t>2,136</w:t>
            </w:r>
          </w:p>
        </w:tc>
        <w:tc>
          <w:tcPr>
            <w:tcW w:type="dxa" w:w="1440"/>
            <w:shd w:fill="FFDCE0" w:val="clear"/>
          </w:tcPr>
          <w:p>
            <w:r>
              <w:rPr>
                <w:b/>
                <w:color w:val="C00000"/>
                <w:sz w:val="17"/>
              </w:rPr>
              <w:t>-6.4%</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1,754</w:t>
            </w:r>
          </w:p>
        </w:tc>
        <w:tc>
          <w:tcPr>
            <w:tcW w:type="dxa" w:w="1440"/>
            <w:shd w:fill="FFDCE0" w:val="clear"/>
          </w:tcPr>
          <w:p>
            <w:r>
              <w:rPr>
                <w:b/>
                <w:sz w:val="17"/>
              </w:rPr>
              <w:t>1,943</w:t>
            </w:r>
          </w:p>
        </w:tc>
        <w:tc>
          <w:tcPr>
            <w:tcW w:type="dxa" w:w="1440"/>
            <w:shd w:fill="FFDCE0" w:val="clear"/>
          </w:tcPr>
          <w:p>
            <w:r>
              <w:rPr>
                <w:sz w:val="17"/>
              </w:rPr>
              <w:t>2,132</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 RAPPORT D'ANALYSE FINANCIÈRE — FILTISAC CI (FTSC)</w:t>
        <w:br/>
        <w:t>### Bourse Régionale des Valeurs Mobilières (BRVM) — Secteur : Emballages industriels (Entreprise non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29,48 Mds FCFA, FTSC se situe dans la catégorie des valeurs moyennes de la cote BRVM, ce qui la rend relativement liquide mais sensible aux mouvements de portefeuille. Le BPA de 33 FCFA/action signifie que chaque titre génère un bénéfice net unitaire modeste, ce qui, rapporté au cours actuel de 2 090 FCFA, aboutit à un PER de 63,3x — un niveau **très supérieur à la moyenne BRVM (8-12x)**, traduisant une valorisation extrêmement exigeante au regard des bénéfices réellement dégagés. Le P/B de 1,88x indique que le marché valorise l'action à près du double de sa valeur comptable (capitaux propres de 15,70 Mds FCFA), ce qui reste raisonnable dans l'absolu mais élevé pour une société dont la rentabilité des fonds propres (ROE) n'est que de 2,97%. Enfin, l'EV/EBITDA de 37,5x (très au-dessus du seuil de 15x) signale que la valeur d'entreprise intègre une prime spéculative déconnectée de la capacité opérationnelle actuelle, ce qui constitue un signal de prudence majeur pour tout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-5,86%** et une dernière séance en repli de -0,48%, confirmant une tendance baissière de fond malgré quelques rebonds techniques. Le titre a évolué dans un range de 520 FCFA, entre un plus haut de 2 430 FCFA et un plus bas de 1 910 FCFA, le cours actuel (2 090 FCFA) se situant dans la moitié basse de cette fourchette, ce qui traduit une pression vendeuse persistante. Les statistiques descriptives révèlent une **moyenne de 2 134 FCFA légèrement supérieure à la médiane de 2 150 FCFA**, avec un mode à 1 990 FCFA : l'écart faible entre moyenne et médiane, couplé à un skewness de 0,130 (distribution quasi symétrique), indique l'absence de biais directionnel marqué sur la période. L'écart-type de 127 FCFA et le coefficient de variation de 6,0% traduisent une **dispersion modérée du cours**, tandis que le kurtosis de -0,823 (mésokurtique) suggère une distribution proche de la normale, donc **peu de risque de pics extrêmes** — un élément rassurant pour la gestion du risque. En revanche, la **volatilité annualisée de 34,5%** classe le titre dans la catégorie des valeurs à volatilité élevée (&gt;30%), ce qui implique un risque de marché significatif et justifie une taille de position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(2 135,75 FCFA) et la MM50 (2 066,50 FCFA) encadrent le cours actuel (2 090 FCFA), qui se situe sous sa moyenne court terme mais au-dessus de sa moyenne moyen terme. Cette configuration en « croisement haussier » (MM20 &gt; MM50) justifie la décision **Achat**, bien que la position du cours sous la MM20 tempère la portée du signal.</w:t>
      </w:r>
    </w:p>
    <w:p>
      <w:pPr>
        <w:spacing w:after="120" w:line="276" w:lineRule="auto"/>
      </w:pPr>
      <w:r>
        <w:t>**Bandes de Bollinger** : Le cours (2 090 FCFA) évolue dans la partie basse de la bande (borne supérieure 2 197,67 FCFA ; borne inférieure 2 073,83 FCFA), à proximité immédiate du support inférieur. La décision **Neutre** reflète l'absence de signal directionnel fort, le titre n'étant ni en survente extrême ni en surachat, avec une volatilité contenue dans les bandes.</w:t>
      </w:r>
    </w:p>
    <w:p>
      <w:pPr>
        <w:spacing w:after="120" w:line="276" w:lineRule="auto"/>
      </w:pPr>
      <w:r>
        <w:t>**MACD** : La valeur du MACD (3,011) est nettement inférieure à son signal (12,594), avec un histogramme négatif — configuration baissière confirmant la décision **Vente**. Le momentum s'affaiblit et la divergence négative suggère que la pression baissière pourrait se poursuivre à court terme.</w:t>
      </w:r>
    </w:p>
    <w:p>
      <w:pPr>
        <w:spacing w:after="120" w:line="276" w:lineRule="auto"/>
      </w:pPr>
      <w:r>
        <w:t>**RSI** : À 38,983, le RSI se situe dans la zone neutre basse (30-70), sans atteindre le seuil de survente (&lt;30). La décision **Neutre** est cohérente : le titre n'est pas encore survendu, mais la faiblesse relative du RSI indique un manque de dynamisme acheteur.</w:t>
      </w:r>
    </w:p>
    <w:p>
      <w:pPr>
        <w:spacing w:after="120" w:line="276" w:lineRule="auto"/>
      </w:pPr>
      <w:r>
        <w:t>**Stochastique** : Le %K à 0,0 et le %D à 14,815 placent l'indicateur en **zone de survente extrême**, avec un %K au plancher qui précède souvent un rebond technique. La décision **Achat** s'explique par cette configuration de retournement potentiel, bien que la faiblesse du %D invite à la prudence.</w:t>
      </w:r>
    </w:p>
    <w:p>
      <w:pPr>
        <w:spacing w:after="120" w:line="276" w:lineRule="auto"/>
      </w:pPr>
      <w:r>
        <w:t>**Conclusion technique** : Les indicateurs sont **divergents** — les moyennes mobiles et le stochastique émettent des signaux d'achat, tandis que le MACD est clairement baissier et que le RSI/Bollinger restent neutres. Cette configuration mitigée plaide pour une **absence de tendance claire à court terme**, avec un léger avantage aux vendeurs tant que le cours reste sous la MM20 (2 135 FCFA) et sous la borne médiane des Bollinger.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32,109 Mds FCFA, en croissance de 4,61% sur un an, pour un résultat net de seulement 465,98 M FCFA — soit une **marge nette de 1,45%** et un ROE de 2,97%, très éloigné du seuil d'excellence de 15%. Le ROA de 1,19% et la rotation des actifs de 82,02% confirment une **faible efficacité économique**. En tant qu'entreprise industrielle, les délais d'exploitation sont préoccupants : **délai clients de 213,72 jours** (risque de trésorerie élevé), durée de stockage de 214,65 jours (immobilisation de capital) et délai fournisseurs de 140,71 jours. Le BFR s'élève à 11,529 Mds FCFA et la trésorerie nette est **fortement négative à -11,528 Mds FCFA**, conséquence directe du versement de dividendes massifs en 2024. L'autonomie financière (40,11%) reste saine, mais le ratio d'endettement (97,60%) et la capacité de remboursement (11,49 années de CAF) traduisent une structure financière tendue.</w:t>
      </w:r>
    </w:p>
    <w:p>
      <w:pPr>
        <w:spacing w:after="120" w:line="276" w:lineRule="auto"/>
      </w:pPr>
      <w:r>
        <w:t>**Estimations basées sur les rapports trimestriels** : Le rapport du **T1 2026 (publié en 2026)** fait état d'un chiffre d'affaires de 8 901 M FCFA, en **hausse spectaculaire de 55%** sur un an, porté par la demande d'emballages cacao, avec un résultat d'exploitation redevenu positif (75 M FCFA contre -78 M FCFA au T1 2025) — mais un résultat net toujours déficitaire (-154 M FCFA). Le rapport du **T3 2025 (30/09/2025)** confirmait déjà cette dynamique : CA de 18 371 M FCFA sur 9 mois (-1%), résultat courant avant impôt de -216 M FCFA, et dépendance critique à la campagne cacaoyère 2025/2026. Le rapport annuel 2024 (publié en 2025) rappelle que le résultat net exceptionnel de 18,6 Mds FCFA cette année-là provenait de produits de cession non récurrents, masquant une marge opérationnelle de seulement 2,9%. **On estime donc que l'exercice 2026 devrait bénéficier d'un net rebond du chiffre d'affaires (potentiellement &gt;35 Mds FCFA) et d'une amélioration du résultat d'exploitation, mais le retour à une rentabilité nette positive reste incertain** compte tenu de la volatilité des coûts (jute, fret maritime) et de la dépendance à la campagne cacao.</w:t>
      </w:r>
    </w:p>
    <w:p>
      <w:pPr>
        <w:spacing w:after="120" w:line="276" w:lineRule="auto"/>
      </w:pPr>
      <w:r>
        <w:t>**Recommandation fondamentale** : La société présente des **signaux de redressement opérationnel encourageants** (CA T1 2026 +55%, résultat d'exploitation positif), mais sa **situation financière reste fragile** (trésorerie nette négative, ROE faible, endettement élevé) et sa valorisation boursière (PER 63x) n'intègre pas ces risques. Le communiqué du 08/07/2026 rassurant sur la continuité des activités (arrêt de la filature jute compensé par l'importation de fil) limite le risque de rupture, mais ne résout pas le problème structurel de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très contrasté**. La **valorisation (Partie 0)** est clairement **surévaluée** : PER de 63,3x, EV/EBITDA de 37,5x et P/B de 1,88x pour un ROE de 2,97% — le marché paie très cher une rentabilité absente. Le **comportement du cours (Partie 1)** est baissier (-5,86% sur 100 jours), avec une volatilité élevée (34,5%) mais une distribution symétrique et sans pics extrêmes (kurtosis -0,823), ce qui limite le risque de krach brutal sans pour autant offrir de catalyseur haussier. Les **signaux techniques (Partie 2)** sont divergents : le stochastique en survente extrême (%K=0) et les MM en croisement haussier plaident pour un rebond, mais le MACD baissier et le RSI neutre-bas maintiennent la pression. Les **fondamentaux (Partie 3)** montrent un **redressement opérationnel réel** (CA T1 2026 +55%, résultat d'exploitation positif) mais une **rentabilité nette toujours négative** et une trésorerie nette de -11,5 Mds FCFA. Enfin, les **prédictions IA (J+1 à J+10)** anticipent une **poursuite de la baisse** (2 072 → 2 009 FCFA, soit -3,9% en 5 séances), ce qui **contredit** les signaux d'achat techniques à court terme et **confirme** la tendance baissière de fond.</w:t>
      </w:r>
    </w:p>
    <w:p>
      <w:pPr>
        <w:spacing w:after="120" w:line="276" w:lineRule="auto"/>
      </w:pPr>
      <w:r>
        <w:t>**Recommandation finale : VENTE** (ou **CONSERVER** pour les investisseurs déjà positionnés avec un horizon long terme). La convergence entre une valorisation excessive, une tendance baissière confirmée par les prédictions IA et une rentabilité nette toujours négative l'emporte sur les signaux techniques de rebond à court terme, qui apparaissent comme des opportunités de sortie plutôt que d'entrée. **Niveau de confiance : Moyen** (les signaux techniques divergents et le redressement opérationnel en cours introduisent une incertitude). **Niveau de risque global : Élevé** (volatilité 34,5%, trésorerie négative, dépendance à la campagne cacao). **Horizon d'investissement suggéré : Court terme (&lt;3 mois)** pour les arbitragistes cherchant à profiter d'un rebond technique vers 2 135 FCFA (MM20), mais **déconseillé pour le moyen/long terme** tant que la rentabilité nette n'est pas restaurée et que la trésorerie n'est pas assainie.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82.00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4,343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+6.22%</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μ=4,071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β=-0.1173 (Contre-cyclique) — Cov=-0.000004, Var(idx)=0.000034, ρ=-0.029,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3,898</w:t>
            </w:r>
          </w:p>
        </w:tc>
        <w:tc>
          <w:tcPr>
            <w:tcW w:type="dxa" w:w="1440"/>
            <w:shd w:fill="FAFAFA" w:val="clear"/>
          </w:tcPr>
          <w:p>
            <w:r>
              <w:rPr>
                <w:b/>
                <w:sz w:val="17"/>
              </w:rPr>
              <w:t>4,042</w:t>
            </w:r>
          </w:p>
        </w:tc>
        <w:tc>
          <w:tcPr>
            <w:tcW w:type="dxa" w:w="1440"/>
            <w:shd w:fill="FAFAFA" w:val="clear"/>
          </w:tcPr>
          <w:p>
            <w:r>
              <w:rPr>
                <w:sz w:val="17"/>
              </w:rPr>
              <w:t>4,185</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3,864</w:t>
            </w:r>
          </w:p>
        </w:tc>
        <w:tc>
          <w:tcPr>
            <w:tcW w:type="dxa" w:w="1440"/>
            <w:shd w:fill="FAFAFA" w:val="clear"/>
          </w:tcPr>
          <w:p>
            <w:r>
              <w:rPr>
                <w:b/>
                <w:sz w:val="17"/>
              </w:rPr>
              <w:t>4,068</w:t>
            </w:r>
          </w:p>
        </w:tc>
        <w:tc>
          <w:tcPr>
            <w:tcW w:type="dxa" w:w="1440"/>
            <w:shd w:fill="FAFAFA" w:val="clear"/>
          </w:tcPr>
          <w:p>
            <w:r>
              <w:rPr>
                <w:sz w:val="17"/>
              </w:rPr>
              <w:t>4,271</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3,850</w:t>
            </w:r>
          </w:p>
        </w:tc>
        <w:tc>
          <w:tcPr>
            <w:tcW w:type="dxa" w:w="1440"/>
            <w:shd w:fill="FAFAFA" w:val="clear"/>
          </w:tcPr>
          <w:p>
            <w:r>
              <w:rPr>
                <w:b/>
                <w:sz w:val="17"/>
              </w:rPr>
              <w:t>4,101</w:t>
            </w:r>
          </w:p>
        </w:tc>
        <w:tc>
          <w:tcPr>
            <w:tcW w:type="dxa" w:w="1440"/>
            <w:shd w:fill="FAFAFA" w:val="clear"/>
          </w:tcPr>
          <w:p>
            <w:r>
              <w:rPr>
                <w:sz w:val="17"/>
              </w:rPr>
              <w:t>4,353</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3,831</w:t>
            </w:r>
          </w:p>
        </w:tc>
        <w:tc>
          <w:tcPr>
            <w:tcW w:type="dxa" w:w="1440"/>
            <w:shd w:fill="FAFAFA" w:val="clear"/>
          </w:tcPr>
          <w:p>
            <w:r>
              <w:rPr>
                <w:b/>
                <w:sz w:val="17"/>
              </w:rPr>
              <w:t>4,123</w:t>
            </w:r>
          </w:p>
        </w:tc>
        <w:tc>
          <w:tcPr>
            <w:tcW w:type="dxa" w:w="1440"/>
            <w:shd w:fill="FAFAFA" w:val="clear"/>
          </w:tcPr>
          <w:p>
            <w:r>
              <w:rPr>
                <w:sz w:val="17"/>
              </w:rPr>
              <w:t>4,415</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3,828</w:t>
            </w:r>
          </w:p>
        </w:tc>
        <w:tc>
          <w:tcPr>
            <w:tcW w:type="dxa" w:w="1440"/>
            <w:shd w:fill="FAFAFA" w:val="clear"/>
          </w:tcPr>
          <w:p>
            <w:r>
              <w:rPr>
                <w:b/>
                <w:sz w:val="17"/>
              </w:rPr>
              <w:t>4,158</w:t>
            </w:r>
          </w:p>
        </w:tc>
        <w:tc>
          <w:tcPr>
            <w:tcW w:type="dxa" w:w="1440"/>
            <w:shd w:fill="FAFAFA" w:val="clear"/>
          </w:tcPr>
          <w:p>
            <w:r>
              <w:rPr>
                <w:sz w:val="17"/>
              </w:rPr>
              <w:t>4,487</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3,805</w:t>
            </w:r>
          </w:p>
        </w:tc>
        <w:tc>
          <w:tcPr>
            <w:tcW w:type="dxa" w:w="1440"/>
            <w:shd w:fill="FAFAFA" w:val="clear"/>
          </w:tcPr>
          <w:p>
            <w:r>
              <w:rPr>
                <w:b/>
                <w:sz w:val="17"/>
              </w:rPr>
              <w:t>4,167</w:t>
            </w:r>
          </w:p>
        </w:tc>
        <w:tc>
          <w:tcPr>
            <w:tcW w:type="dxa" w:w="1440"/>
            <w:shd w:fill="FAFAFA" w:val="clear"/>
          </w:tcPr>
          <w:p>
            <w:r>
              <w:rPr>
                <w:sz w:val="17"/>
              </w:rPr>
              <w:t>4,528</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3,779</w:t>
            </w:r>
          </w:p>
        </w:tc>
        <w:tc>
          <w:tcPr>
            <w:tcW w:type="dxa" w:w="1440"/>
            <w:shd w:fill="FAFAFA" w:val="clear"/>
          </w:tcPr>
          <w:p>
            <w:r>
              <w:rPr>
                <w:b/>
                <w:sz w:val="17"/>
              </w:rPr>
              <w:t>4,169</w:t>
            </w:r>
          </w:p>
        </w:tc>
        <w:tc>
          <w:tcPr>
            <w:tcW w:type="dxa" w:w="1440"/>
            <w:shd w:fill="FAFAFA" w:val="clear"/>
          </w:tcPr>
          <w:p>
            <w:r>
              <w:rPr>
                <w:sz w:val="17"/>
              </w:rPr>
              <w:t>4,560</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3,762</w:t>
            </w:r>
          </w:p>
        </w:tc>
        <w:tc>
          <w:tcPr>
            <w:tcW w:type="dxa" w:w="1440"/>
            <w:shd w:fill="FAFAFA" w:val="clear"/>
          </w:tcPr>
          <w:p>
            <w:r>
              <w:rPr>
                <w:b/>
                <w:sz w:val="17"/>
              </w:rPr>
              <w:t>4,180</w:t>
            </w:r>
          </w:p>
        </w:tc>
        <w:tc>
          <w:tcPr>
            <w:tcW w:type="dxa" w:w="1440"/>
            <w:shd w:fill="FAFAFA" w:val="clear"/>
          </w:tcPr>
          <w:p>
            <w:r>
              <w:rPr>
                <w:sz w:val="17"/>
              </w:rPr>
              <w:t>4,599</w:t>
            </w:r>
          </w:p>
        </w:tc>
        <w:tc>
          <w:tcPr>
            <w:tcW w:type="dxa" w:w="1440"/>
            <w:shd w:fill="FAFAFA" w:val="clear"/>
          </w:tcPr>
          <w:p>
            <w:r>
              <w:rPr>
                <w:b/>
                <w:color w:val="008000"/>
                <w:sz w:val="17"/>
              </w:rPr>
              <w:t>+2.0%</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3,737</w:t>
            </w:r>
          </w:p>
        </w:tc>
        <w:tc>
          <w:tcPr>
            <w:tcW w:type="dxa" w:w="1440"/>
            <w:shd w:fill="FAFAFA" w:val="clear"/>
          </w:tcPr>
          <w:p>
            <w:r>
              <w:rPr>
                <w:b/>
                <w:sz w:val="17"/>
              </w:rPr>
              <w:t>4,182</w:t>
            </w:r>
          </w:p>
        </w:tc>
        <w:tc>
          <w:tcPr>
            <w:tcW w:type="dxa" w:w="1440"/>
            <w:shd w:fill="FAFAFA" w:val="clear"/>
          </w:tcPr>
          <w:p>
            <w:r>
              <w:rPr>
                <w:sz w:val="17"/>
              </w:rPr>
              <w:t>4,626</w:t>
            </w:r>
          </w:p>
        </w:tc>
        <w:tc>
          <w:tcPr>
            <w:tcW w:type="dxa" w:w="1440"/>
            <w:shd w:fill="FAFAFA" w:val="clear"/>
          </w:tcPr>
          <w:p>
            <w:r>
              <w:rPr>
                <w:b/>
                <w:color w:val="008000"/>
                <w:sz w:val="17"/>
              </w:rPr>
              <w:t>+2.0%</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3,713</w:t>
            </w:r>
          </w:p>
        </w:tc>
        <w:tc>
          <w:tcPr>
            <w:tcW w:type="dxa" w:w="1440"/>
            <w:shd w:fill="FAFAFA" w:val="clear"/>
          </w:tcPr>
          <w:p>
            <w:r>
              <w:rPr>
                <w:b/>
                <w:sz w:val="17"/>
              </w:rPr>
              <w:t>4,181</w:t>
            </w:r>
          </w:p>
        </w:tc>
        <w:tc>
          <w:tcPr>
            <w:tcW w:type="dxa" w:w="1440"/>
            <w:shd w:fill="FAFAFA" w:val="clear"/>
          </w:tcPr>
          <w:p>
            <w:r>
              <w:rPr>
                <w:sz w:val="17"/>
              </w:rPr>
              <w:t>4,649</w:t>
            </w:r>
          </w:p>
        </w:tc>
        <w:tc>
          <w:tcPr>
            <w:tcW w:type="dxa" w:w="1440"/>
            <w:shd w:fill="FAFAFA"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 (Jeux &amp; Loteries)*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82,00 Mds FCFA, LNBB se positionne comme une valeur de taille intermédiaire sur le compartiment des entreprises non bancaires de la BRVM, ce qui lui confère une certaine liquidité mais la maintient hors du cercle des blue chips régionales. Le BPA de 231 FCFA/action signifie que chaque titre génère un bénéfice net de 231 FCFA, ce qui, rapporté au cours actuel de 4 100 FCFA, donne un PER de 17,7x — nettement supérieur à la moyenne BRVM (8-12x), traduisant une prime de valorisation significative que le marché accorde à la société. Le P/B de 3,74x confirme cette prime, le marché valorisant l'action à près de quatre fois sa valeur comptable, ce qui est cohérent avec la forte rentabilité des fonds propres (ROE de 21,05%) mais laisse peu de marge de sécurité en cas de dégradation des résultats. Enfin, l'EV/EBITDA de 10,4x, situé dans la fourchette haute (10-15x), indique que la valeur d'entreprise intègre déjà une bonne partie de la capacité bénéficiaire opérationnelle, ce qui suggère que le potentiel de réévaluation à court terme est limité sans amélioration substantielle de l'EBITDA.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affiche une variation totale positive de +6,22%, avec une dernière séance particulièrement dynamique (+3,67% en J-1), signalant un regain d'intérêt acheteur à court terme. Le titre a évolué dans un range de 735 FCFA, entre un plus bas de 3 825 FCFA et un plus haut de 4 560 FCFA, le cours actuel de 4 100 FCFA se situant dans la partie médiane-haute de cette fourchette, ce qui traduit une tendance globalement haussière mais avec des phases de consolidation. La moyenne (4 071 FCFA) est légèrement supérieure à la médiane (4 005 FCFA), et le mode se fixe à 4 100 FCFA — niveau actuel du cours — confirmant que ce prix constitue une zone d'équilibre psychologique pour les investisseurs. L'écart-type de 193 FCFA (CV de 4,8%) indique une dispersion modérée du cours autour de sa moyenne, tandis que le kurtosis de -0,857 (mésokurtique) suggère une distribution proche de la normale, sans risque excessif de pics extrêmes ; le skewness de +0,539 révèle une asymétrie positive, c'est-à-dire davantage de journées de cotation sous la moyenne, ce qui peut indiquer une pression vendeuse latente malgré la performance globale positive. La volatilité annualisée de 38,1% classe le titre dans la catégorie des valeurs à volatilité élevée (&gt;30%), ce qui implique un risque de marché non négligeable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(4 032 FCFA) est inférieure au cours actuel (4 100 FCFA), ce qui est un signal haussier de court terme, mais la MM50 (4 171,3 FCFA) reste supérieure au cours, créant une configuration baissière de moyen terme. Cette divergence entre les deux moyennes explique la décision "Vente" générée par le croisement, le titre évoluant sous sa MM50 malgré le rebond récent.</w:t>
      </w:r>
    </w:p>
    <w:p>
      <w:pPr>
        <w:spacing w:after="120" w:line="276" w:lineRule="auto"/>
      </w:pPr>
      <w:r>
        <w:t>**Bandes de Bollinger :** Le cours (4 100 FCFA) se situe entre la borne inférieure (3 892,4 FCFA) et la borne supérieure (4 171,6 FCFA), plus proche de cette dernière, ce qui reflète une volatilité modérée et une absence de signal directionnel fort. La décision "Neutre" est justifiée par cette position médiane, le marché attendant un catalyseur pour sortir de cette zone de consolidation.</w:t>
      </w:r>
    </w:p>
    <w:p>
      <w:pPr>
        <w:spacing w:after="120" w:line="276" w:lineRule="auto"/>
      </w:pPr>
      <w:r>
        <w:t>**MACD :** La valeur du MACD (-45,265) est supérieure à son signal (-53,171), générant un croisement haussier (MACD &gt; Signal) qui indique un momentum positif en construction. La décision "Achat" est cohérente avec ce début de retournement, bien que les deux lignes restent en territoire négatif, ce qui tempère la portée du signal.</w:t>
      </w:r>
    </w:p>
    <w:p>
      <w:pPr>
        <w:spacing w:after="120" w:line="276" w:lineRule="auto"/>
      </w:pPr>
      <w:r>
        <w:t>**RSI :** À 55,556, le RSI se situe en zone neutre (30-70), sans pression de surachat ni de survente, ce qui confirme l'absence de tension extrême sur le titre. La décision "Neutre" reflète cet équilibre, le marché n'étant ni dans une phase d'euphorie ni de panique.</w:t>
      </w:r>
    </w:p>
    <w:p>
      <w:pPr>
        <w:spacing w:after="120" w:line="276" w:lineRule="auto"/>
      </w:pPr>
      <w:r>
        <w:t>**Stochastique :** Le %K (100,0) est nettement supérieur au %D (47,5), signalant une forte pression acheteuse récente, mais le %K en zone de surachat extrême (&gt;80) expose le titre à un risque de correction à court terme. La décision "Vente" est justifiée par ce risque de retournement après le pic de momentum.</w:t>
      </w:r>
    </w:p>
    <w:p>
      <w:pPr>
        <w:spacing w:after="120" w:line="276" w:lineRule="auto"/>
      </w:pPr>
      <w:r>
        <w:t>**Conclusion technique :** Les indicateurs techniques présentent une configuration mitigée : le MACD et les MM20 soutiennent un rebond de court terme, mais la MM50, le Stochastique en surachat et la position du cours sous la borne supérieure de Bollinger plaident pour une consolidation, voire une correction. La convergence des signaux "Neutre" (Bollinger, RSI) et "Vente" (MM, Stochastique) suggère une absence de tendance claire, avec un risque baissier à court terme si le cours ne parvient pas à franchir la résistance de 4 171 FCFA (MM50 et borne supérieure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Mds FCFA, en baisse de -3,85% par rapport à 2024, sous l'effet d'une concurrence illégale accrue sur les ventes physiques. Le résultat net s'établit à 4,622 Mds FCFA, en recul de -35,6% (contre 7,176 Mds FCFA en 2024), principalement en raison de l'absence de produits exceptionnels (3,1 Mds FCFA en 2024). Malgré cette baisse, la rentabilité des fonds propres (ROE) reste excellente à 21,05%, et la rentabilité des actifs (ROA) atteint 14,17%, témoignant d'une efficacité opérationnelle solide. La structure financière est très saine : autonomie financière de 67,32%, ratio d'endettement de seulement 2,57%, et trésorerie nette positive de 7,979 Mds FCFA. Le BFR est négatif (217,45 M FCFA), ce qui est favorable, et les délais clients (4,82 jours) et fournisseurs (20,41 jours) sont bien maîtrisés, avec une rotation des stocks très rapide (1,56 jour).</w:t>
      </w:r>
    </w:p>
    <w:p>
      <w:pPr>
        <w:spacing w:after="120" w:line="276" w:lineRule="auto"/>
      </w:pPr>
      <w:r>
        <w:t>**Adaptation au secteur (entreprise) :** La marge nette de 4,69% est modérée mais stable, et la marge opérationnelle de 6,47% reflète une bonne maîtrise des charges. Le taux de croissance du CA (-3,85%) est préoccupant, mais il masque une dynamique contrastée : les jeux en ligne ont progressé de +18% (67,5 Mds FCFA, soit 68,44% du CA), compensant partiellement le déclin des ventes physiques. Le ratio de couverture des intérêts (9 153%) est exceptionnel, confirmant l'absence de risque financier à court terme.</w:t>
      </w:r>
    </w:p>
    <w:p>
      <w:pPr>
        <w:spacing w:after="120" w:line="276" w:lineRule="auto"/>
      </w:pPr>
      <w:r>
        <w:t>**Estimations basées sur les rapports trimestriels :** Le rapport du T1 2026 (publié le 7 mai 2026) indique un CA de 25,521 Mds FCFA (+6%), mais un résultat net en chute de -46% à 848 M FCFA, en raison d'un mix produit défavorable (taux de retour aux joueurs de 95% sur le pari sportif). Le rapport du S1 2026 (publié le 1er août 2026) confirme cette tendance avec un CA de 49,937 Mds FCFA (+4%) et un résultat net en hausse de +60% (grâce à la maîtrise des charges et aux partenariats), mais un produit brut des jeux en baisse de -9%. On estime donc que l'exercice 2026 devrait afficher un CA légèrement supérieur à 100 Mds FCFA, avec un résultat net en amélioration par rapport à 2025, mais toujours sous pression en raison de la dilution des marges sur le pari sportif.</w:t>
      </w:r>
    </w:p>
    <w:p>
      <w:pPr>
        <w:spacing w:after="120" w:line="276" w:lineRule="auto"/>
      </w:pPr>
      <w:r>
        <w:t>**Recommandation fondamentale :** LNBB présente une solidité financière remarquable (ROE &gt;20%, trésorerie nette positive, endettement quasi nul) et une stratégie de digitalisation porteuse, mais fait face à des défis structurels : concurrence illégale, érosion des marges sur le pari sportif, et dépendance croissante à des segments à faible rentabilité. La politique de dividende généreuse (173 FCFA brut/action, soit un rendement de 4,2% au cours actuel) constitue un point d'appui pour les investisseurs, mais la visibilité sur la rentabilité future reste limitée. Nous maintenons une recommandation **CONSERVER** sur le fondamental, en attendant la confirmation d'un rééquilibrage du mix produit et d'une stabilisation du produit brut des jeux.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de 17,7x, P/B de 3,74x, EV/EBITDA de 10,4x) apparaît exigeante au regard des standards de la BRVM, le marché intégrant déjà une prime de croissance et de rentabilité qui laisse peu de marge d'erreur. Le comportement du cours sur 100 jours (+6,22%, volatilité de 38,1%) est globalement positif mais fragile, avec une asymétrie négative (skewness de +0,539) et un kurtosis proche de la normale, suggérant un risque de correction modéré. Les signaux techniques sont divergents : le MACD et la MM20 soutiennent un rebond, mais la MM50, le Stochastique en surachat et la position du cours sous la borne supérieure de Bollinger plaident pour une consolidation, voire une baisse à court terme. Les fondamentaux sont solides (ROE de 21,05%, trésorerie nette de 7,98 Mds FCFA, dividende attractif), mais la dynamique de croissance est freinée par la concurrence illégale et la dilution des marges sur le pari sportif, comme en témoignent les rapports T1 2026 (résultat net -46%) et S1 2026 (produit brut des jeux -9%). Les prédictions IA (J+1 à J+10) tablent sur une hausse progressive du cours, de 4 042 FCFA à 4 158 FCFA, ce qui confirme un optimisme modéré à court terme, mais cette trajectoire reste fragile face aux résistances techniques (4 171 FCFA) et aux incertitudes fondamentales.</w:t>
      </w:r>
    </w:p>
    <w:p>
      <w:pPr>
        <w:spacing w:after="120" w:line="276" w:lineRule="auto"/>
      </w:pPr>
      <w:r>
        <w:t>**Recommandation finale : CONSERVER.** La convergence entre une valorisation tendue, des signaux techniques mitigés, des fondamentaux solides mais sous pression, et des prédictions IA légèrement haussières ne justifie ni un achat agressif ni une vente. Le niveau de confiance est **Moyen**, car si la solidité financière et le dividende offrent un coussin de sécurité, les risques de dégradation des marges et la concurrence illégale pèsent sur la visibilité. Le risque global est **Moyen**, et l'horizon d'investissement optimal est le **moyen terme (3-12 mois)**, en attendant les résultats du T3 2026 et la confirmation d'un redressement durable de la rentabilité.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4,982 titres</w:t>
            </w:r>
          </w:p>
        </w:tc>
        <w:tc>
          <w:tcPr>
            <w:tcW w:type="dxa" w:w="2268"/>
            <w:shd w:fill="FFF2CC" w:val="clear"/>
          </w:tcPr>
          <w:p>
            <w:r>
              <w:rPr>
                <w:b/>
                <w:color w:val="503200"/>
                <w:sz w:val="16"/>
              </w:rPr>
              <w:t xml:space="preserve">Cours actuel : </w:t>
            </w:r>
            <w:r>
              <w:rPr>
                <w:color w:val="000000"/>
                <w:sz w:val="17"/>
              </w:rPr>
              <w:t>2,745 FCFA</w:t>
            </w:r>
          </w:p>
          <w:p>
            <w:r>
              <w:rPr>
                <w:b/>
                <w:color w:val="503200"/>
                <w:sz w:val="16"/>
              </w:rPr>
              <w:t xml:space="preserve">Var. 100 jours : </w:t>
            </w:r>
            <w:r>
              <w:rPr>
                <w:b/>
                <w:color w:val="007800"/>
                <w:sz w:val="17"/>
              </w:rPr>
              <w:t>+100.36%</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15.81% (Élevée) — μ=2,224 FCFA, σ=352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β=-0.2883 (Contre-cyclique) — Cov=-0.000010, Var(idx)=0.000034, ρ=-0.047,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4,982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2026-09-17</w:t>
            </w:r>
          </w:p>
        </w:tc>
        <w:tc>
          <w:tcPr>
            <w:tcW w:type="dxa" w:w="1440"/>
            <w:shd w:fill="FFDCE0" w:val="clear"/>
          </w:tcPr>
          <w:p>
            <w:r>
              <w:rPr>
                <w:sz w:val="17"/>
              </w:rPr>
              <w:t>2,514</w:t>
            </w:r>
          </w:p>
        </w:tc>
        <w:tc>
          <w:tcPr>
            <w:tcW w:type="dxa" w:w="1440"/>
            <w:shd w:fill="FFDCE0" w:val="clear"/>
          </w:tcPr>
          <w:p>
            <w:r>
              <w:rPr>
                <w:b/>
                <w:sz w:val="17"/>
              </w:rPr>
              <w:t>2,684</w:t>
            </w:r>
          </w:p>
        </w:tc>
        <w:tc>
          <w:tcPr>
            <w:tcW w:type="dxa" w:w="1440"/>
            <w:shd w:fill="FFDCE0" w:val="clear"/>
          </w:tcPr>
          <w:p>
            <w:r>
              <w:rPr>
                <w:sz w:val="17"/>
              </w:rPr>
              <w:t>2,855</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2026-09-18</w:t>
            </w:r>
          </w:p>
        </w:tc>
        <w:tc>
          <w:tcPr>
            <w:tcW w:type="dxa" w:w="1440"/>
            <w:shd w:fill="FFDCE0" w:val="clear"/>
          </w:tcPr>
          <w:p>
            <w:r>
              <w:rPr>
                <w:sz w:val="17"/>
              </w:rPr>
              <w:t>2,407</w:t>
            </w:r>
          </w:p>
        </w:tc>
        <w:tc>
          <w:tcPr>
            <w:tcW w:type="dxa" w:w="1440"/>
            <w:shd w:fill="FFDCE0" w:val="clear"/>
          </w:tcPr>
          <w:p>
            <w:r>
              <w:rPr>
                <w:b/>
                <w:sz w:val="17"/>
              </w:rPr>
              <w:t>2,645</w:t>
            </w:r>
          </w:p>
        </w:tc>
        <w:tc>
          <w:tcPr>
            <w:tcW w:type="dxa" w:w="1440"/>
            <w:shd w:fill="FFDCE0" w:val="clear"/>
          </w:tcPr>
          <w:p>
            <w:r>
              <w:rPr>
                <w:sz w:val="17"/>
              </w:rPr>
              <w:t>2,882</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2026-09-21</w:t>
            </w:r>
          </w:p>
        </w:tc>
        <w:tc>
          <w:tcPr>
            <w:tcW w:type="dxa" w:w="1440"/>
            <w:shd w:fill="FFDCE0" w:val="clear"/>
          </w:tcPr>
          <w:p>
            <w:r>
              <w:rPr>
                <w:sz w:val="17"/>
              </w:rPr>
              <w:t>2,322</w:t>
            </w:r>
          </w:p>
        </w:tc>
        <w:tc>
          <w:tcPr>
            <w:tcW w:type="dxa" w:w="1440"/>
            <w:shd w:fill="FFDCE0" w:val="clear"/>
          </w:tcPr>
          <w:p>
            <w:r>
              <w:rPr>
                <w:b/>
                <w:sz w:val="17"/>
              </w:rPr>
              <w:t>2,609</w:t>
            </w:r>
          </w:p>
        </w:tc>
        <w:tc>
          <w:tcPr>
            <w:tcW w:type="dxa" w:w="1440"/>
            <w:shd w:fill="FFDCE0" w:val="clear"/>
          </w:tcPr>
          <w:p>
            <w:r>
              <w:rPr>
                <w:sz w:val="17"/>
              </w:rPr>
              <w:t>2,896</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2,252</w:t>
            </w:r>
          </w:p>
        </w:tc>
        <w:tc>
          <w:tcPr>
            <w:tcW w:type="dxa" w:w="1440"/>
            <w:shd w:fill="FFDCE0" w:val="clear"/>
          </w:tcPr>
          <w:p>
            <w:r>
              <w:rPr>
                <w:b/>
                <w:sz w:val="17"/>
              </w:rPr>
              <w:t>2,579</w:t>
            </w:r>
          </w:p>
        </w:tc>
        <w:tc>
          <w:tcPr>
            <w:tcW w:type="dxa" w:w="1440"/>
            <w:shd w:fill="FFDCE0" w:val="clear"/>
          </w:tcPr>
          <w:p>
            <w:r>
              <w:rPr>
                <w:sz w:val="17"/>
              </w:rPr>
              <w:t>2,907</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2,191</w:t>
            </w:r>
          </w:p>
        </w:tc>
        <w:tc>
          <w:tcPr>
            <w:tcW w:type="dxa" w:w="1440"/>
            <w:shd w:fill="FFDCE0" w:val="clear"/>
          </w:tcPr>
          <w:p>
            <w:r>
              <w:rPr>
                <w:b/>
                <w:sz w:val="17"/>
              </w:rPr>
              <w:t>2,554</w:t>
            </w:r>
          </w:p>
        </w:tc>
        <w:tc>
          <w:tcPr>
            <w:tcW w:type="dxa" w:w="1440"/>
            <w:shd w:fill="FFDCE0" w:val="clear"/>
          </w:tcPr>
          <w:p>
            <w:r>
              <w:rPr>
                <w:sz w:val="17"/>
              </w:rPr>
              <w:t>2,916</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2,137</w:t>
            </w:r>
          </w:p>
        </w:tc>
        <w:tc>
          <w:tcPr>
            <w:tcW w:type="dxa" w:w="1440"/>
            <w:shd w:fill="FFDCE0" w:val="clear"/>
          </w:tcPr>
          <w:p>
            <w:r>
              <w:rPr>
                <w:b/>
                <w:sz w:val="17"/>
              </w:rPr>
              <w:t>2,530</w:t>
            </w:r>
          </w:p>
        </w:tc>
        <w:tc>
          <w:tcPr>
            <w:tcW w:type="dxa" w:w="1440"/>
            <w:shd w:fill="FFDCE0" w:val="clear"/>
          </w:tcPr>
          <w:p>
            <w:r>
              <w:rPr>
                <w:sz w:val="17"/>
              </w:rPr>
              <w:t>2,924</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2,088</w:t>
            </w:r>
          </w:p>
        </w:tc>
        <w:tc>
          <w:tcPr>
            <w:tcW w:type="dxa" w:w="1440"/>
            <w:shd w:fill="FFDCE0" w:val="clear"/>
          </w:tcPr>
          <w:p>
            <w:r>
              <w:rPr>
                <w:b/>
                <w:sz w:val="17"/>
              </w:rPr>
              <w:t>2,510</w:t>
            </w:r>
          </w:p>
        </w:tc>
        <w:tc>
          <w:tcPr>
            <w:tcW w:type="dxa" w:w="1440"/>
            <w:shd w:fill="FFDCE0" w:val="clear"/>
          </w:tcPr>
          <w:p>
            <w:r>
              <w:rPr>
                <w:sz w:val="17"/>
              </w:rPr>
              <w:t>2,931</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2,043</w:t>
            </w:r>
          </w:p>
        </w:tc>
        <w:tc>
          <w:tcPr>
            <w:tcW w:type="dxa" w:w="1440"/>
            <w:shd w:fill="FFDCE0" w:val="clear"/>
          </w:tcPr>
          <w:p>
            <w:r>
              <w:rPr>
                <w:b/>
                <w:sz w:val="17"/>
              </w:rPr>
              <w:t>2,491</w:t>
            </w:r>
          </w:p>
        </w:tc>
        <w:tc>
          <w:tcPr>
            <w:tcW w:type="dxa" w:w="1440"/>
            <w:shd w:fill="FFDCE0" w:val="clear"/>
          </w:tcPr>
          <w:p>
            <w:r>
              <w:rPr>
                <w:sz w:val="17"/>
              </w:rPr>
              <w:t>2,938</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2,002</w:t>
            </w:r>
          </w:p>
        </w:tc>
        <w:tc>
          <w:tcPr>
            <w:tcW w:type="dxa" w:w="1440"/>
            <w:shd w:fill="FFDCE0" w:val="clear"/>
          </w:tcPr>
          <w:p>
            <w:r>
              <w:rPr>
                <w:b/>
                <w:sz w:val="17"/>
              </w:rPr>
              <w:t>2,473</w:t>
            </w:r>
          </w:p>
        </w:tc>
        <w:tc>
          <w:tcPr>
            <w:tcW w:type="dxa" w:w="1440"/>
            <w:shd w:fill="FFDCE0" w:val="clear"/>
          </w:tcPr>
          <w:p>
            <w:r>
              <w:rPr>
                <w:sz w:val="17"/>
              </w:rPr>
              <w:t>2,944</w:t>
            </w:r>
          </w:p>
        </w:tc>
        <w:tc>
          <w:tcPr>
            <w:tcW w:type="dxa" w:w="1440"/>
            <w:shd w:fill="FFDCE0" w:val="clear"/>
          </w:tcPr>
          <w:p>
            <w:r>
              <w:rPr>
                <w:b/>
                <w:color w:val="C00000"/>
                <w:sz w:val="17"/>
              </w:rPr>
              <w:t>-9.9%</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1,963</w:t>
            </w:r>
          </w:p>
        </w:tc>
        <w:tc>
          <w:tcPr>
            <w:tcW w:type="dxa" w:w="1440"/>
            <w:shd w:fill="FFDCE0" w:val="clear"/>
          </w:tcPr>
          <w:p>
            <w:r>
              <w:rPr>
                <w:b/>
                <w:sz w:val="17"/>
              </w:rPr>
              <w:t>2,457</w:t>
            </w:r>
          </w:p>
        </w:tc>
        <w:tc>
          <w:tcPr>
            <w:tcW w:type="dxa" w:w="1440"/>
            <w:shd w:fill="FFDCE0" w:val="clear"/>
          </w:tcPr>
          <w:p>
            <w:r>
              <w:rPr>
                <w:sz w:val="17"/>
              </w:rPr>
              <w:t>2,950</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35,04 milliards FCFA, NEIC s'inscrit dans la catégorie des valeurs moyennes de la BRVM, ce qui lui confère une liquidité relative mais un poids non négligeable dans l'indice sectoriel. Le BPA de 160 FCFA/action indique que chaque titre génère 160 FCFA de bénéfice net, un niveau qui, rapporté au cours actuel de 2 745 FCFA, donne un PER de 17,2x. Ce multiple est nettement supérieur à la moyenne du marché BRVM (généralement comprise entre 8x et 12x), signalant que les investisseurs paient une prime significative pour les bénéfices de la société. Le ratio P/B de 6,09x confirme cette tendance : le marché valorise NEIC à plus de six fois sa valeur comptable, une prime exigeante qui traduit soit une anticipation de forte croissance, soit une anomalie de valorisation. Enfin, l'EV/EBITDA de 25,9x, très supérieur au seuil de 15x généralement considéré comme exigeant, suggère que la valeur d'entreprise intègre des attentes de rentabilité opérationnelle future très optimistes, ce qui expose le titre à un risque de correction si ces attentes ne se matérialisent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NEIC a enregistré une variation spectaculaire de +100,36%, passant d'un plus bas de 1 370 FCFA à un plus haut de 3 000 FCFA, avant de clôturer à 2 745 FCFA, avec une légère baisse de -0,18% lors de la dernière séance. Ce range de trading de 1 630 FCFA (soit plus du double du cours initial) témoigne d'une tendance haussière exceptionnellement forte, probablement portée par des anticipations liées aux résultats 2025 et à la politique de dividende généreuse. Les statistiques descriptives révèlent une moyenne de 2 224 FCFA et une médiane de 2 200 FCFA, très proches, ce qui indique une distribution globalement symétrique du cours sur la période, confirmée par un skewness de 0,491 (distribution symétrique). L'écart-type de 353 FCFA, associé à un coefficient de variation (CV) de 15,9%, traduit une dispersion modérée du cours autour de sa moyenne, tandis que le kurtosis de 0,184 (mésokurtique) suggère une distribution proche de la normale, sans risque excessif de pics extrêmes. La volatilité annualisée de 57,1% classe toutefois le titre dans la catégorie des valeurs à volatilité élevée (&gt;30%),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2 764 FCFA et la MM50 à 2 436 FCFA, toutes deux inférieures au cours actuel de 2 745 FCFA pour la MM20 (léger écart) mais nettement en dessous pour la MM50. Cette configuration haussière (cours &gt; MM20 &gt; MM50) confirme la dynamique positive de moyen terme, justifiant la décision d'achat.</w:t>
      </w:r>
    </w:p>
    <w:p>
      <w:pPr>
        <w:spacing w:after="120" w:line="276" w:lineRule="auto"/>
      </w:pPr>
      <w:r>
        <w:t>**Bandes de Bollinger** : Le cours actuel (2 745 FCFA) se situe entre la borne inférieure (2 279 FCFA) et la borne supérieure (3 248 FCFA), plus proche de la borne supérieure, ce qui indique une volatilité modérée sans suraccumulation. La décision Neutre reflète l'absence de signal extrême (ni suracheté, ni survendu).</w:t>
      </w:r>
    </w:p>
    <w:p>
      <w:pPr>
        <w:spacing w:after="120" w:line="276" w:lineRule="auto"/>
      </w:pPr>
      <w:r>
        <w:t>**MACD** : La valeur du MACD (109,135) est inférieure à son signal (141,426), générant une divergence baissière qui suggère un essoufflement du momentum haussier. La décision de Vente technique est cohérente avec ce croisement baissier, bien que le MACD reste en territoire positif.</w:t>
      </w:r>
    </w:p>
    <w:p>
      <w:pPr>
        <w:spacing w:after="120" w:line="276" w:lineRule="auto"/>
      </w:pPr>
      <w:r>
        <w:t>**RSI** : À 47,393, le RSI se situe dans la zone neutre (30-70), sans signal de surachat (&gt;70) ni de survente (&lt;30). La décision Neutre indique que le titre n'est ni surévalué ni sous-évalué à court terme selon cet indicateur.</w:t>
      </w:r>
    </w:p>
    <w:p>
      <w:pPr>
        <w:spacing w:after="120" w:line="276" w:lineRule="auto"/>
      </w:pPr>
      <w:r>
        <w:t>**Stochastique** : Le %K (31,081) est inférieur au %D (40,541), avec un croisement baissier en zone basse, ce qui pourrait signaler une poursuite de la correction à court terme. La décision Neutre reflète l'absence de signal fort, le stochastique n'étant pas encore en zone de survente extrême.</w:t>
      </w:r>
    </w:p>
    <w:p>
      <w:pPr>
        <w:spacing w:after="120" w:line="276" w:lineRule="auto"/>
      </w:pPr>
      <w:r>
        <w:t>**Conclusion technique** : Les indicateurs techniques présentent un tableau mitigé. La tendance de fond reste haussière (MM20 &gt; MM50, cours &gt; MM50), mais les signaux de momentum (MACD baissier, stochastique baissier) suggèrent une consolidation à court terme. Le RSI neutre et les Bandes de Bollinger sans extrême confirment cette phase d'indécision, avec un biais haussier de moyen terme mais une prudence à court terme.</w:t>
      </w:r>
    </w:p>
    <w:p>
      <w:pPr>
        <w:spacing w:after="120" w:line="276" w:lineRule="auto"/>
      </w:pPr>
      <w:r>
        <w:t>---</w:t>
      </w:r>
    </w:p>
    <w:p>
      <w:pPr>
        <w:spacing w:after="120" w:line="276" w:lineRule="auto"/>
      </w:pPr>
      <w:r>
        <w:t>### PARTIE 3 : ANALYSE FONDAMENTALE</w:t>
      </w:r>
    </w:p>
    <w:p>
      <w:pPr>
        <w:spacing w:after="120" w:line="276" w:lineRule="auto"/>
      </w:pPr>
      <w:r>
        <w:t>**Données structurées (états financiers 2025)** : En 2025, NEIC a réalisé un chiffre d'affaires de 5,139 milliards FCFA, en baisse de 23,8% par rapport à l'exercice précédent, reflétant un ralentissement marqué de l'activité commerciale. Le résultat net s'établit à 2,037 milliards FCFA, mais ce bénéfice est en grande partie dû à un produit exceptionnel (reprise de provision pour redressement fiscal de 1,596 milliard FCFA au T3 2025), comme l'indique le rapport du 30 septembre 2025. La rentabilité des fonds propres (ROE) atteint 35,39%, un niveau excellent (&gt;15%), et la rentabilité des actifs (ROA) est de 27,25%, témoignant d'une efficacité opérationnelle apparente. Cependant, le flux opérationnel est négatif à -527,07 millions FCFA et le Free Cash Flow à -565,91 millions FCFA, ce qui signale des difficultés de génération de trésorerie récurrente. La structure financière reste solide avec une autonomie financière de 77,01% et une liquidité générale de 448,86%, mais le délai client élevé de 154,72 jours constitue un risque de trésorerie important, tandis que le BFR de 1,498 milliard FCFA (positif) pèse sur les besoins de financement.</w:t>
      </w:r>
    </w:p>
    <w:p>
      <w:pPr>
        <w:spacing w:after="120" w:line="276" w:lineRule="auto"/>
      </w:pPr>
      <w:r>
        <w:t>**Estimations basées sur les rapports trimestriels** : Le rapport du T1 2026 (publié en 2026) indique un chiffre d'affaires de 115,1 millions FCFA, en hausse de 137% par rapport au T1 2025 (48,5 millions FCFA), mais la société reste déficitaire avec une perte nette de -168,9 millions FCFA. Le rapport du T3 2025 (30 septembre 2025) montre un CA de 3,406 milliards FCFA (-35% sur un an) et un résultat net exceptionnel de 1,596 milliard FCFA dû à la reprise de provision. Le rapport annuel 2025 (publié en 2025) fait état d'un résultat net de 2,04 milliards FCFA (+169%) et d'un dividende de 2,04 milliards FCFA (100% du résultat net), une politique généreuse mais qui limite la capacité d'autofinancement. On estime que l'exercice 2026 devrait bénéficier d'une base de comparaison favorable au T1 (CA +137%), mais la persistance des pertes opérationnelles (-271,5 millions FCFA au T1 2026) et la dépendance aux produits financiers (41,7 millions FCFA) rendent la trajectoire de redressement incertaine.</w:t>
      </w:r>
    </w:p>
    <w:p>
      <w:pPr>
        <w:spacing w:after="120" w:line="276" w:lineRule="auto"/>
      </w:pPr>
      <w:r>
        <w:t>**Recommandation fondamentale** : La solidité financière (capitaux propres de 5,755 milliards FCFA, trésorerie de 4,196 milliards FCFA) et la rentabilité apparente (ROE 35,39%) sont contrebalancées par la qualité médiocre des bénéfices (effet exceptionnel), la baisse structurelle du CA et les flux de trésorerie opérationnels négatifs. Le risque principal réside dans la durabilité de la performance, l'entreprise devant retrouver une dynamique commerciale positive pour compenser l'absence de produits exceptionnels en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avec un PER de 17,2x (supérieur à la moyenne BRVM), un P/B de 6,09x et un EV/EBITDA de 25,9x, ce qui suggère une surévaluation relative du titre par rapport à ses fondamentaux. Le comportement du cours (Partie 1) est exceptionnellement haussier (+100,36% sur 100 jours) mais accompagné d'une volatilité élevée (57,1%), avec une distribution symétrique (skewness 0,491) et sans risque de pics extrêmes (kurtosis 0,184), ce qui est rassurant mais n'exclut pas une correction. Les signaux techniques (Partie 2) sont mitigés : tendance de fond haussière (MM20 &gt; MM50) mais momentum baissier (MACD, stochastique), avec un RSI neutre et des Bandes de Bollinger sans extrême, plaidant pour une consolidation à court terme. Les fondamentaux (Partie 3) révèlent une société rentable en apparence (ROE 35,39%) mais dont la performance 2025 est artificiellement gonflée par un produit exceptionnel, avec un CA en baisse de 23,8% et des flux opérationnels négatifs, tandis que les rapports trimestriels 2026 montrent une amélioration du CA mais des pertes persistantes. Les prédictions IA (J+1 à J+10) anticipent une baisse progressive de 2 684 FCFA à 2 554 FCFA, confirmant la pression baissière à court terme identifiée par les indicateurs techniques.</w:t>
      </w:r>
    </w:p>
    <w:p>
      <w:pPr>
        <w:spacing w:after="120" w:line="276" w:lineRule="auto"/>
      </w:pPr>
      <w:r>
        <w:t>**Recommandation finale : CONSERVER (avec vigilance)**</w:t>
        <w:br/>
        <w:t>La convergence entre la valorisation exigeante, les signaux techniques mitigés, les fondamentaux fragiles (hors effet exceptionnel) et les prédictions baissières à court terme incite à la prudence. Le niveau de confiance est **Moyen**, car si la tendance de fond reste haussière et la société solvable, les risques de correction et la qualité des bénéfices limitent le potentiel d'appréciation. Le niveau de risque global est **Élevé** en raison de la volatilité du titre (57,1%) et de la dépendance aux éléments non récurrents. L'horizon d'investissement optimal est **moyen terme (3-12 mois)**, en attendant des signaux clairs de redressement opérationnel (croissance durable du CA, retour à des flux de trésorerie positifs) avant d'envisager un renforcement de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2,544 titres</w:t>
            </w:r>
          </w:p>
        </w:tc>
        <w:tc>
          <w:tcPr>
            <w:tcW w:type="dxa" w:w="2268"/>
            <w:shd w:fill="FFF2CC" w:val="clear"/>
          </w:tcPr>
          <w:p>
            <w:r>
              <w:rPr>
                <w:b/>
                <w:color w:val="503200"/>
                <w:sz w:val="16"/>
              </w:rPr>
              <w:t xml:space="preserve">Cours actuel : </w:t>
            </w:r>
            <w:r>
              <w:rPr>
                <w:color w:val="000000"/>
                <w:sz w:val="17"/>
              </w:rPr>
              <w:t>24,500 FCFA</w:t>
            </w:r>
          </w:p>
          <w:p>
            <w:r>
              <w:rPr>
                <w:b/>
                <w:color w:val="503200"/>
                <w:sz w:val="16"/>
              </w:rPr>
              <w:t xml:space="preserve">Var. 100 jours : </w:t>
            </w:r>
            <w:r>
              <w:rPr>
                <w:b/>
                <w:color w:val="007800"/>
                <w:sz w:val="17"/>
              </w:rPr>
              <w:t>+76.26%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16.79% (Élevée) — μ=20,219 FCFA, σ=3,394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β=1.3236 (Agressif) — Cov=0.000046, Var(idx)=0.000034, ρ=0.309,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23,773</w:t>
            </w:r>
          </w:p>
        </w:tc>
        <w:tc>
          <w:tcPr>
            <w:tcW w:type="dxa" w:w="1440"/>
            <w:shd w:fill="FAFAFA" w:val="clear"/>
          </w:tcPr>
          <w:p>
            <w:r>
              <w:rPr>
                <w:b/>
                <w:sz w:val="17"/>
              </w:rPr>
              <w:t>24,445</w:t>
            </w:r>
          </w:p>
        </w:tc>
        <w:tc>
          <w:tcPr>
            <w:tcW w:type="dxa" w:w="1440"/>
            <w:shd w:fill="FAFAFA" w:val="clear"/>
          </w:tcPr>
          <w:p>
            <w:r>
              <w:rPr>
                <w:sz w:val="17"/>
              </w:rPr>
              <w:t>25,116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23,470</w:t>
            </w:r>
          </w:p>
        </w:tc>
        <w:tc>
          <w:tcPr>
            <w:tcW w:type="dxa" w:w="1440"/>
            <w:shd w:fill="FAFAFA" w:val="clear"/>
          </w:tcPr>
          <w:p>
            <w:r>
              <w:rPr>
                <w:b/>
                <w:sz w:val="17"/>
              </w:rPr>
              <w:t>24,419</w:t>
            </w:r>
          </w:p>
        </w:tc>
        <w:tc>
          <w:tcPr>
            <w:tcW w:type="dxa" w:w="1440"/>
            <w:shd w:fill="FAFAFA" w:val="clear"/>
          </w:tcPr>
          <w:p>
            <w:r>
              <w:rPr>
                <w:sz w:val="17"/>
              </w:rPr>
              <w:t>25,367</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23,241</w:t>
            </w:r>
          </w:p>
        </w:tc>
        <w:tc>
          <w:tcPr>
            <w:tcW w:type="dxa" w:w="1440"/>
            <w:shd w:fill="FAFAFA" w:val="clear"/>
          </w:tcPr>
          <w:p>
            <w:r>
              <w:rPr>
                <w:b/>
                <w:sz w:val="17"/>
              </w:rPr>
              <w:t>24,402</w:t>
            </w:r>
          </w:p>
        </w:tc>
        <w:tc>
          <w:tcPr>
            <w:tcW w:type="dxa" w:w="1440"/>
            <w:shd w:fill="FAFAFA" w:val="clear"/>
          </w:tcPr>
          <w:p>
            <w:r>
              <w:rPr>
                <w:sz w:val="17"/>
              </w:rPr>
              <w:t>25,563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23,050</w:t>
            </w:r>
          </w:p>
        </w:tc>
        <w:tc>
          <w:tcPr>
            <w:tcW w:type="dxa" w:w="1440"/>
            <w:shd w:fill="FAFAFA" w:val="clear"/>
          </w:tcPr>
          <w:p>
            <w:r>
              <w:rPr>
                <w:b/>
                <w:sz w:val="17"/>
              </w:rPr>
              <w:t>24,390</w:t>
            </w:r>
          </w:p>
        </w:tc>
        <w:tc>
          <w:tcPr>
            <w:tcW w:type="dxa" w:w="1440"/>
            <w:shd w:fill="FAFAFA" w:val="clear"/>
          </w:tcPr>
          <w:p>
            <w:r>
              <w:rPr>
                <w:sz w:val="17"/>
              </w:rPr>
              <w:t>25,730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22,883</w:t>
            </w:r>
          </w:p>
        </w:tc>
        <w:tc>
          <w:tcPr>
            <w:tcW w:type="dxa" w:w="1440"/>
            <w:shd w:fill="FAFAFA" w:val="clear"/>
          </w:tcPr>
          <w:p>
            <w:r>
              <w:rPr>
                <w:b/>
                <w:sz w:val="17"/>
              </w:rPr>
              <w:t>24,380</w:t>
            </w:r>
          </w:p>
        </w:tc>
        <w:tc>
          <w:tcPr>
            <w:tcW w:type="dxa" w:w="1440"/>
            <w:shd w:fill="FAFAFA" w:val="clear"/>
          </w:tcPr>
          <w:p>
            <w:r>
              <w:rPr>
                <w:sz w:val="17"/>
              </w:rPr>
              <w:t>25,878</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22,732</w:t>
            </w:r>
          </w:p>
        </w:tc>
        <w:tc>
          <w:tcPr>
            <w:tcW w:type="dxa" w:w="1440"/>
            <w:shd w:fill="FAFAFA" w:val="clear"/>
          </w:tcPr>
          <w:p>
            <w:r>
              <w:rPr>
                <w:b/>
                <w:sz w:val="17"/>
              </w:rPr>
              <w:t>24,371</w:t>
            </w:r>
          </w:p>
        </w:tc>
        <w:tc>
          <w:tcPr>
            <w:tcW w:type="dxa" w:w="1440"/>
            <w:shd w:fill="FAFAFA" w:val="clear"/>
          </w:tcPr>
          <w:p>
            <w:r>
              <w:rPr>
                <w:sz w:val="17"/>
              </w:rPr>
              <w:t>26,011</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22,593</w:t>
            </w:r>
          </w:p>
        </w:tc>
        <w:tc>
          <w:tcPr>
            <w:tcW w:type="dxa" w:w="1440"/>
            <w:shd w:fill="FAFAFA" w:val="clear"/>
          </w:tcPr>
          <w:p>
            <w:r>
              <w:rPr>
                <w:b/>
                <w:sz w:val="17"/>
              </w:rPr>
              <w:t>24,364</w:t>
            </w:r>
          </w:p>
        </w:tc>
        <w:tc>
          <w:tcPr>
            <w:tcW w:type="dxa" w:w="1440"/>
            <w:shd w:fill="FAFAFA" w:val="clear"/>
          </w:tcPr>
          <w:p>
            <w:r>
              <w:rPr>
                <w:sz w:val="17"/>
              </w:rPr>
              <w:t>26,134</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22,464</w:t>
            </w:r>
          </w:p>
        </w:tc>
        <w:tc>
          <w:tcPr>
            <w:tcW w:type="dxa" w:w="1440"/>
            <w:shd w:fill="FAFAFA" w:val="clear"/>
          </w:tcPr>
          <w:p>
            <w:r>
              <w:rPr>
                <w:b/>
                <w:sz w:val="17"/>
              </w:rPr>
              <w:t>24,356</w:t>
            </w:r>
          </w:p>
        </w:tc>
        <w:tc>
          <w:tcPr>
            <w:tcW w:type="dxa" w:w="1440"/>
            <w:shd w:fill="FAFAFA" w:val="clear"/>
          </w:tcPr>
          <w:p>
            <w:r>
              <w:rPr>
                <w:sz w:val="17"/>
              </w:rPr>
              <w:t>26,249</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22,343</w:t>
            </w:r>
          </w:p>
        </w:tc>
        <w:tc>
          <w:tcPr>
            <w:tcW w:type="dxa" w:w="1440"/>
            <w:shd w:fill="FAFAFA" w:val="clear"/>
          </w:tcPr>
          <w:p>
            <w:r>
              <w:rPr>
                <w:b/>
                <w:sz w:val="17"/>
              </w:rPr>
              <w:t>24,349</w:t>
            </w:r>
          </w:p>
        </w:tc>
        <w:tc>
          <w:tcPr>
            <w:tcW w:type="dxa" w:w="1440"/>
            <w:shd w:fill="FAFAFA" w:val="clear"/>
          </w:tcPr>
          <w:p>
            <w:r>
              <w:rPr>
                <w:sz w:val="17"/>
              </w:rPr>
              <w:t>26,356</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22,228</w:t>
            </w:r>
          </w:p>
        </w:tc>
        <w:tc>
          <w:tcPr>
            <w:tcW w:type="dxa" w:w="1440"/>
            <w:shd w:fill="FAFAFA" w:val="clear"/>
          </w:tcPr>
          <w:p>
            <w:r>
              <w:rPr>
                <w:b/>
                <w:sz w:val="17"/>
              </w:rPr>
              <w:t>24,343</w:t>
            </w:r>
          </w:p>
        </w:tc>
        <w:tc>
          <w:tcPr>
            <w:tcW w:type="dxa" w:w="1440"/>
            <w:shd w:fill="FAFAFA" w:val="clear"/>
          </w:tcPr>
          <w:p>
            <w:r>
              <w:rPr>
                <w:sz w:val="17"/>
              </w:rPr>
              <w:t>26,457</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606,00 Mds FCFA, NSBC s'impose comme l'une des valeurs bancaires les plus capitalisées de la BRVM, ce qui témoigne de sa liquidité relative et de son poids dans l'indice sectoriel. Le BPA de 1 646 FCFA/action signifie que chaque titre génère près de 1 646 FCFA de bénéfice net, un niveau élevé qui traduit la forte rentabilité de la banque. Le PER de 14,9x se situe au-dessus de la moyenne du marché BRVM (généralement 8-12x), indiquant que les investisseurs paient une prime pour la qualité de la croissance, mais sans excès spéculatif. Le P/B de 2,60x montre que le marché valorise NSBC à 2,6 fois sa valeur comptable, une prime de croissance justifiée par un ROE de 17,45% nettement supérieur au coût des fonds propres. En revanche, l'EV/EBITDA de 22,2x apparaît très exigeant (&gt;15x), signalant que la valeur d'entreprise intègre déjà une grande partie des anticipations de croissance future,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variation totale spectaculaire de +76,26%, avec un cours actuel de 24 500 FCFA et une variation J-1 nulle (+0,00%), signe d'une stabilisation après une forte poussée haussière. Le range de trading est très large, entre un plus bas de 13 810 FCFA et un plus haut de 24 885 FCFA, soit un écart de plus de 80%, ce qui confirme une tendance nettement haussière sur la période. La moyenne (20 219 FCFA) est légèrement inférieure à la médiane (20 442 FCFA), indiquant une distribution asymétrique avec quelques journées de forte hausse tirant la moyenne vers le bas par rapport à la médiane ; le mode à 13 900 FCFA rappelle que le titre a longtemps stagné avant son envolée. L'écart-type de 3 411 FCFA (CV = 16,9%) traduit une dispersion modérée du cours autour de sa moyenne, tandis que le kurtosis de -0,777 (mésokurtique) suggère une distribution proche de la normale, sans pics extrêmes fréquents. Le skewness de -0,631 (asymétrie négative) indique qu'il y a eu plus de journées au-dessus de la moyenne que en dessous, ce qui est cohérent avec la tendance haussière. La volatilité annualisée de 39,6% classe le titre dans la catégorie des valeurs à volatilité élevée (&gt;30%), ce qui implique un risque de correction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(23 491,75 FCFA) et la MM50 (23 086,90 FCFA) sont toutes deux inférieures au cours actuel (24 500 FCFA), avec la MM20 au-dessus de la MM50, ce qui confirme une configuration haussière classique (croisement doré). La décision technique est donc logiquement à l'achat, le cours évoluant au-dessus de ses deux moyennes mobiles, signe de momentum positif à court et moyen terme.</w:t>
      </w:r>
    </w:p>
    <w:p>
      <w:pPr>
        <w:spacing w:after="120" w:line="276" w:lineRule="auto"/>
      </w:pPr>
      <w:r>
        <w:t>**Bandes de Bollinger** : Le cours actuel (24 500 FCFA) se situe à l'intérieur des bandes, entre la borne inférieure (21 860,22 FCFA) et la borne supérieure (25 123,28 FCFA), mais très proche de cette dernière. Cette position indique que le titre évolue dans la partie haute de sa fourchette de volatilité, sans être en situation de surachat extrême. La décision est neutre, car le cours n'a pas encore franchi la borne supérieure, mais la proximité de cette limite suggère une possible résistance à court terme.</w:t>
      </w:r>
    </w:p>
    <w:p>
      <w:pPr>
        <w:spacing w:after="120" w:line="276" w:lineRule="auto"/>
      </w:pPr>
      <w:r>
        <w:t>**MACD** : La valeur du MACD (456,73) est supérieure à son signal (374,00), avec un histogramme positif, ce qui confirme un momentum haussier en cours. La décision est à l'achat, car la divergence positive entre le MACD et son signal indique que la dynamique haussière reste intacte, même si l'écart entre les deux courbes commence à se réduire, ce qui pourrait annoncer un ralentissement.</w:t>
      </w:r>
    </w:p>
    <w:p>
      <w:pPr>
        <w:spacing w:after="120" w:line="276" w:lineRule="auto"/>
      </w:pPr>
      <w:r>
        <w:t>**RSI** : Le RSI s'établit à 73,47, au-dessus du seuil de surachat de 70, ce qui déclenche une décision de vente. Cette lecture suggère que le titre a peut-être trop monté à court terme et qu'une correction ou une consolidation est probable. Cependant, en tendance haussière forte, le RSI peut rester en zone de surachat pendant plusieurs séances, ce qui nécessite une confirmation par d'autres indicateurs.</w:t>
      </w:r>
    </w:p>
    <w:p>
      <w:pPr>
        <w:spacing w:after="120" w:line="276" w:lineRule="auto"/>
      </w:pPr>
      <w:r>
        <w:t>**Stochastique** : Le %K (83,86) est supérieur au %D (79,67), et les deux se situent en zone de surachat (&gt;80). La décision est à la vente, car le croisement des lignes en zone haute, bien que haussier, intervient dans une zone de surachat qui limite le potentiel de hausse à court terme. Un croisement baissier du %K sous le %D serait un signal de vente plus net.</w:t>
      </w:r>
    </w:p>
    <w:p>
      <w:pPr>
        <w:spacing w:after="120" w:line="276" w:lineRule="auto"/>
      </w:pPr>
      <w:r>
        <w:t>**Conclusion technique** : Les indicateurs de tendance (MM, MACD) restent haussiers et confirment la dynamique positive, mais les oscillateurs (RSI, Stochastique) signalent un surachat qui plaide pour une prise de bénéfices à court terme. La divergence entre ces deux familles d'indicateurs suggère une phase de consolidation probable avant une nouvelle impulsion haussière. Le titre reste techniquement bien orienté à moyen terme, mais une correction à court terme est envisageable.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 réalisé un Produit Net Bancaire (PNB) de 112,928 Mds FCFA, en croissance de 15,45% par rapport à 2024, porté par une marge d'intérêts en hausse de 26% et une bonne maîtrise des charges. Le résultat net s'établit à 40,712 Mds FCFA, en progression de 7% sur un an, avec une marge nette élevée de 36,05% et un ROE de 17,45%, nettement supérieur au seuil d'excellence de 15%. Le ROA de 1,32% reste conforme aux standards bancaires, tandis que le coefficient d'exploitation de 54,59% (contre 59,9% en 2024) témoigne d'une efficacité opérationnelle en amélioration continue. Le total du bilan a bondi de 22% à 3 073 Mds FCFA, avec des dépôts clientèle de 2 242 Mds FCFA (+32%) et des créances clientèle de 1 819 Mds FCFA (+18%), ce qui donne un ratio dépôts/crédits de 123%, assurant une liquidité confortable. Cependant, le coût du risque s'est fortement dégradé, passant de +0,6 Md FCFA (reprise) en 2024 à -8,5 Mds FCFA (dotation) en 2025, ce qui a pesé sur le résultat net et constitue un signal d'alerte sur la qualité du portefeuille. Les rapports trimestriels récents confirment cette dynamique : le T1 2026 (rapport du 31/03/2026) affiche un PNB de 28,6 Mds FCFA (+28%) et un résultat net de 10,9 Mds FCFA (+53%), avec une marge nette de 38,1%, mais cette performance est principalement tirée par l'activité titres, plus volatile. Sur la base de ces tendances, on peut estimer que l'exercice 2026 devrait enregistrer un PNB supérieur à 125 Mds FCFA et un résultat net proche de 45 Mds FCFA, si la maîtrise du coût du risque se confirme. La solidité financière est réelle (autonomie financière de 7,59%, solvabilité générale de 108%), mais la dépendance aux revenus de titres et la hausse des provisions constituent des risques à surveiller. La recommandation fondamentale est de conserver la valeur,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14,9x, P/B 2,60x, EV/EBITDA 22,2x) indique que le marché intègre déjà une prime de croissance significative, sans toutefois verser dans la surévaluation extrême. Le comportement du cours sur 100 jours (+76,26%) est exceptionnellement haussier, mais la volatilité élevée (39,6%) et le RSI en zone de surachat (73,47) suggèrent une correction imminente ou une consolidation. Les signaux techniques sont divergents : les moyennes mobiles et le MACD confirment la tendance haussière, tandis que le RSI et le stochastique signalent un essoufflement à court terme. Les fondamentaux restent solides (ROE de 17,45%, marge nette de 36%, PNB en croissance de 15,45% en 2025), mais le coût du risque en forte hausse (-8,5 Mds FCFA) et la dépendance à l'activité titres constituent des points de vigilance. Les prédictions IA pour les 10 prochains jours (24 445 FCFA à 24 380 FCFA) anticipent une légère baisse, ce qui confirme la possibilité d'une consolidation après la forte hausse. Sur la base de cette synthèse, la recommandation finale est **CONSERVER**, avec un niveau de confiance **Moyen** et un risque global **Moyen**. La convergence entre une valorisation exigeante, des signaux techniques mitigés et des fondamentaux solides mais entachés par le coût du risque justifie une position attentiste. L'horizon d'investissement optimal est le **moyen terme (3-12 mois)**, en attendant la confirmation de la maîtrise du coût du risque et la publication des résultats semestriels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361.95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1,176 titres</w:t>
            </w:r>
          </w:p>
        </w:tc>
        <w:tc>
          <w:tcPr>
            <w:tcW w:type="dxa" w:w="2268"/>
            <w:shd w:fill="FFF2CC" w:val="clear"/>
          </w:tcPr>
          <w:p>
            <w:r>
              <w:rPr>
                <w:b/>
                <w:color w:val="503200"/>
                <w:sz w:val="16"/>
              </w:rPr>
              <w:t xml:space="preserve">Cours actuel : </w:t>
            </w:r>
            <w:r>
              <w:rPr>
                <w:color w:val="000000"/>
                <w:sz w:val="17"/>
              </w:rPr>
              <w:t>16,400 FCFA</w:t>
            </w:r>
          </w:p>
          <w:p>
            <w:r>
              <w:rPr>
                <w:b/>
                <w:color w:val="503200"/>
                <w:sz w:val="16"/>
              </w:rPr>
              <w:t xml:space="preserve">Var. 100 jours : </w:t>
            </w:r>
            <w:r>
              <w:rPr>
                <w:b/>
                <w:color w:val="007800"/>
                <w:sz w:val="17"/>
              </w:rPr>
              <w:t>+32.26%</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12.93% (Moyenne) — μ=15,067 FCFA, σ=1,947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β=0.0542 (Défensif) — Cov=0.000002, Var(idx)=0.000034,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15,983</w:t>
            </w:r>
          </w:p>
        </w:tc>
        <w:tc>
          <w:tcPr>
            <w:tcW w:type="dxa" w:w="1440"/>
            <w:shd w:fill="FAFAFA" w:val="clear"/>
          </w:tcPr>
          <w:p>
            <w:r>
              <w:rPr>
                <w:b/>
                <w:sz w:val="17"/>
              </w:rPr>
              <w:t>16,691</w:t>
            </w:r>
          </w:p>
        </w:tc>
        <w:tc>
          <w:tcPr>
            <w:tcW w:type="dxa" w:w="1440"/>
            <w:shd w:fill="FAFAFA" w:val="clear"/>
          </w:tcPr>
          <w:p>
            <w:r>
              <w:rPr>
                <w:sz w:val="17"/>
              </w:rPr>
              <w:t>17,398</w:t>
            </w:r>
          </w:p>
        </w:tc>
        <w:tc>
          <w:tcPr>
            <w:tcW w:type="dxa" w:w="1440"/>
            <w:shd w:fill="FAFAFA" w:val="clear"/>
          </w:tcPr>
          <w:p>
            <w:r>
              <w:rPr>
                <w:b/>
                <w:color w:val="008000"/>
                <w:sz w:val="17"/>
              </w:rPr>
              <w:t>+1.8%</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15,658</w:t>
            </w:r>
          </w:p>
        </w:tc>
        <w:tc>
          <w:tcPr>
            <w:tcW w:type="dxa" w:w="1440"/>
            <w:shd w:fill="FAFAFA" w:val="clear"/>
          </w:tcPr>
          <w:p>
            <w:r>
              <w:rPr>
                <w:b/>
                <w:sz w:val="17"/>
              </w:rPr>
              <w:t>16,657</w:t>
            </w:r>
          </w:p>
        </w:tc>
        <w:tc>
          <w:tcPr>
            <w:tcW w:type="dxa" w:w="1440"/>
            <w:shd w:fill="FAFAFA" w:val="clear"/>
          </w:tcPr>
          <w:p>
            <w:r>
              <w:rPr>
                <w:sz w:val="17"/>
              </w:rPr>
              <w:t>17,656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15,428</w:t>
            </w:r>
          </w:p>
        </w:tc>
        <w:tc>
          <w:tcPr>
            <w:tcW w:type="dxa" w:w="1440"/>
            <w:shd w:fill="FAFAFA" w:val="clear"/>
          </w:tcPr>
          <w:p>
            <w:r>
              <w:rPr>
                <w:b/>
                <w:sz w:val="17"/>
              </w:rPr>
              <w:t>16,651</w:t>
            </w:r>
          </w:p>
        </w:tc>
        <w:tc>
          <w:tcPr>
            <w:tcW w:type="dxa" w:w="1440"/>
            <w:shd w:fill="FAFAFA" w:val="clear"/>
          </w:tcPr>
          <w:p>
            <w:r>
              <w:rPr>
                <w:sz w:val="17"/>
              </w:rPr>
              <w:t>17,873</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15,239</w:t>
            </w:r>
          </w:p>
        </w:tc>
        <w:tc>
          <w:tcPr>
            <w:tcW w:type="dxa" w:w="1440"/>
            <w:shd w:fill="FAFAFA" w:val="clear"/>
          </w:tcPr>
          <w:p>
            <w:r>
              <w:rPr>
                <w:b/>
                <w:sz w:val="17"/>
              </w:rPr>
              <w:t>16,651</w:t>
            </w:r>
          </w:p>
        </w:tc>
        <w:tc>
          <w:tcPr>
            <w:tcW w:type="dxa" w:w="1440"/>
            <w:shd w:fill="FAFAFA" w:val="clear"/>
          </w:tcPr>
          <w:p>
            <w:r>
              <w:rPr>
                <w:sz w:val="17"/>
              </w:rPr>
              <w:t>18,063</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15,073</w:t>
            </w:r>
          </w:p>
        </w:tc>
        <w:tc>
          <w:tcPr>
            <w:tcW w:type="dxa" w:w="1440"/>
            <w:shd w:fill="FAFAFA" w:val="clear"/>
          </w:tcPr>
          <w:p>
            <w:r>
              <w:rPr>
                <w:b/>
                <w:sz w:val="17"/>
              </w:rPr>
              <w:t>16,652</w:t>
            </w:r>
          </w:p>
        </w:tc>
        <w:tc>
          <w:tcPr>
            <w:tcW w:type="dxa" w:w="1440"/>
            <w:shd w:fill="FAFAFA" w:val="clear"/>
          </w:tcPr>
          <w:p>
            <w:r>
              <w:rPr>
                <w:sz w:val="17"/>
              </w:rPr>
              <w:t>18,230</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14,923</w:t>
            </w:r>
          </w:p>
        </w:tc>
        <w:tc>
          <w:tcPr>
            <w:tcW w:type="dxa" w:w="1440"/>
            <w:shd w:fill="FAFAFA" w:val="clear"/>
          </w:tcPr>
          <w:p>
            <w:r>
              <w:rPr>
                <w:b/>
                <w:sz w:val="17"/>
              </w:rPr>
              <w:t>16,652</w:t>
            </w:r>
          </w:p>
        </w:tc>
        <w:tc>
          <w:tcPr>
            <w:tcW w:type="dxa" w:w="1440"/>
            <w:shd w:fill="FAFAFA" w:val="clear"/>
          </w:tcPr>
          <w:p>
            <w:r>
              <w:rPr>
                <w:sz w:val="17"/>
              </w:rPr>
              <w:t>18,381</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14,783</w:t>
            </w:r>
          </w:p>
        </w:tc>
        <w:tc>
          <w:tcPr>
            <w:tcW w:type="dxa" w:w="1440"/>
            <w:shd w:fill="FAFAFA" w:val="clear"/>
          </w:tcPr>
          <w:p>
            <w:r>
              <w:rPr>
                <w:b/>
                <w:sz w:val="17"/>
              </w:rPr>
              <w:t>16,651</w:t>
            </w:r>
          </w:p>
        </w:tc>
        <w:tc>
          <w:tcPr>
            <w:tcW w:type="dxa" w:w="1440"/>
            <w:shd w:fill="FAFAFA" w:val="clear"/>
          </w:tcPr>
          <w:p>
            <w:r>
              <w:rPr>
                <w:sz w:val="17"/>
              </w:rPr>
              <w:t>18,519</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14,654</w:t>
            </w:r>
          </w:p>
        </w:tc>
        <w:tc>
          <w:tcPr>
            <w:tcW w:type="dxa" w:w="1440"/>
            <w:shd w:fill="FAFAFA" w:val="clear"/>
          </w:tcPr>
          <w:p>
            <w:r>
              <w:rPr>
                <w:b/>
                <w:sz w:val="17"/>
              </w:rPr>
              <w:t>16,650</w:t>
            </w:r>
          </w:p>
        </w:tc>
        <w:tc>
          <w:tcPr>
            <w:tcW w:type="dxa" w:w="1440"/>
            <w:shd w:fill="FAFAFA" w:val="clear"/>
          </w:tcPr>
          <w:p>
            <w:r>
              <w:rPr>
                <w:sz w:val="17"/>
              </w:rPr>
              <w:t>18,647</w:t>
            </w:r>
          </w:p>
        </w:tc>
        <w:tc>
          <w:tcPr>
            <w:tcW w:type="dxa" w:w="1440"/>
            <w:shd w:fill="FAFAFA" w:val="clear"/>
          </w:tcPr>
          <w:p>
            <w:r>
              <w:rPr>
                <w:b/>
                <w:color w:val="008000"/>
                <w:sz w:val="17"/>
              </w:rPr>
              <w:t>+1.5%</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14,531</w:t>
            </w:r>
          </w:p>
        </w:tc>
        <w:tc>
          <w:tcPr>
            <w:tcW w:type="dxa" w:w="1440"/>
            <w:shd w:fill="FAFAFA" w:val="clear"/>
          </w:tcPr>
          <w:p>
            <w:r>
              <w:rPr>
                <w:b/>
                <w:sz w:val="17"/>
              </w:rPr>
              <w:t>16,649</w:t>
            </w:r>
          </w:p>
        </w:tc>
        <w:tc>
          <w:tcPr>
            <w:tcW w:type="dxa" w:w="1440"/>
            <w:shd w:fill="FAFAFA" w:val="clear"/>
          </w:tcPr>
          <w:p>
            <w:r>
              <w:rPr>
                <w:sz w:val="17"/>
              </w:rPr>
              <w:t>18,766</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14,416</w:t>
            </w:r>
          </w:p>
        </w:tc>
        <w:tc>
          <w:tcPr>
            <w:tcW w:type="dxa" w:w="1440"/>
            <w:shd w:fill="FAFAFA" w:val="clear"/>
          </w:tcPr>
          <w:p>
            <w:r>
              <w:rPr>
                <w:b/>
                <w:sz w:val="17"/>
              </w:rPr>
              <w:t>16,647</w:t>
            </w:r>
          </w:p>
        </w:tc>
        <w:tc>
          <w:tcPr>
            <w:tcW w:type="dxa" w:w="1440"/>
            <w:shd w:fill="FAFAFA" w:val="clear"/>
          </w:tcPr>
          <w:p>
            <w:r>
              <w:rPr>
                <w:sz w:val="17"/>
              </w:rPr>
              <w:t>18,879</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Biens de consommation / Agroalimentaire*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361,95 milliards FCFA, NTLC s'impose comme l'une des valeurs phares de la cote BRVM, représentant un pilier de la capitalisation du compartiment agroalimentaire régional. Le BPA de 835 FCFA/action signifie que chaque titre génère près de 835 FCFA de bénéfice net, ce qui, rapporté au cours actuel de 16 400 FCFA, donne un PER de 19,6x — nettement supérieur à la moyenne BRVM (8-12x), traduisant une prime de qualité que les investisseurs acceptent de payer pour la solidité de la marque Nestlé. Le P/B de 12,23x confirme cette valorisation exigeante : le marché paie plus de 12 fois la valeur comptable des fonds propres (29,6 Mds FCFA), ce qui est caractéristique des sociétés à forte rentabilité des capitaux propres (ROE de 62,3%) mais peu dotées en actifs corporels relatifs. Enfin, l'EV/EBITDA de 9,7x, situé dans la fourchette raisonnable de 5-10x, indique que la valeur d'entreprise reste cohérente avec la capacité opérationnelle de génération de cash (EBE de 46,2 Mds FCFA),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performance remarquable de +32,26%, malgré un léger repli de -0,61% lors de la dernière séance, témoignant d'une tendance haussière robuste portée par le retour de la croissance au T1 2026. Le cours a évolué dans un range large de 11 150 FCFA (plus bas) à 18 000 FCFA (plus haut), soit une amplitude de 61%, avant de se stabiliser à 16 400 FCFA, ce qui le situe à mi-chemin entre les extrêmes et suggère une phase de consolidation après le rallye. La moyenne (15 067 FCFA) est inférieure à la médiane (15 985 FCFA), écart qui révèle une asymétrie négative confirmée par le skewness de -0,611 : le cours a passé davantage de séances au-dessus de sa moyenne, avec quelques journées de forte baisse tirant la moyenne vers le bas. L'écart-type de 1 957 FCFA et le coefficient de variation de 13,0% indiquent une dispersion modérée du cours autour de sa tendance, tandis que le kurtosis de -1,136 (distribution platykurtique) signale une faible concentration des rendements et un risque de pics extrêmes limité — profil rassurant pour un investisseur. La volatilité annualisée de 38,4% classe le titre dans la catégorie des valeurs à volatilité élevée (&gt;30%), ce qui est cohérent avec la nature de croissance de la valeur et appelle à une gestion prudente du risque de marché.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(16 793,75 FCFA) et la MM50 (16 637,90 FCFA) se situent toutes deux au-dessus du cours actuel (16 400 FCFA), ce qui place le titre sous ses moyennes de court et moyen terme. Toutefois, la MM20 reste supérieure à la MM50, configuration haussière de fond, et la décision technique affichée est "Achat", suggérant que le repli actuel constitue une opportunité de rebond vers ces niveaux de référence.</w:t>
      </w:r>
    </w:p>
    <w:p>
      <w:pPr>
        <w:spacing w:after="120" w:line="276" w:lineRule="auto"/>
      </w:pPr>
      <w:r>
        <w:t>**Bandes de Bollinger** : Le cours (16 400 FCFA) évolue dans la partie médiane de la bande, entre la borne inférieure (15 979,40 FCFA) et la borne supérieure (17 608,10 FCFA), sans atteindre les extrêmes. Cette position centrale, couplée à une décision "Neutre", indique une absence de signal directionnel fort et une volatilité en cours de normalisation après le mouvement haussier.</w:t>
      </w:r>
    </w:p>
    <w:p>
      <w:pPr>
        <w:spacing w:after="120" w:line="276" w:lineRule="auto"/>
      </w:pPr>
      <w:r>
        <w:t>**MACD** : La valeur du MACD (9,571) est très inférieure à son signal (76,973), générant une divergence baissière marquée et une décision "Vente". Ce croisement négatif traduit un essoufflement du momentum haussier à court terme, bien que la ligne MACD reste positive, ce qui n'invalide pas la tendance de fond mais appelle à la prudence sur les entrées immédiates.</w:t>
      </w:r>
    </w:p>
    <w:p>
      <w:pPr>
        <w:spacing w:after="120" w:line="276" w:lineRule="auto"/>
      </w:pPr>
      <w:r>
        <w:t>**RSI** : À 46,172, le RSI se situe en zone neutre (30-70), légèrement sous le seuil de 50, ce qui reflète un équilibre entre acheteurs et vendeurs sans pression de surachat (70) ni de survente (30). La décision "Neutre" confirme l'absence de signal extrême et une configuration de consolidation.</w:t>
      </w:r>
    </w:p>
    <w:p>
      <w:pPr>
        <w:spacing w:after="120" w:line="276" w:lineRule="auto"/>
      </w:pPr>
      <w:r>
        <w:t>**Stochastique** : Le %K (23,81) est inférieur au %D (33,33), avec un %K proche de la zone de survente (20), signalant une pression vendeuse récente mais un potentiel de rebond technique à court terme. La décision "Neutre" suggère d'attendre un croisement haussier du %K au-dessus du %D pour valider une reprise.</w:t>
      </w:r>
    </w:p>
    <w:p>
      <w:pPr>
        <w:spacing w:after="120" w:line="276" w:lineRule="auto"/>
      </w:pPr>
      <w:r>
        <w:t>**Conclusion technique** : Les indicateurs présentent un tableau mitigé — les moyennes mobiles restent constructives (MM20 &gt; MM50, décision Achat) et le RSI neutre n'exclut pas un rebond, mais le MACD baissier et le stochastique en zone basse traduisent un momentum court terme affaibli. Le titre se trouve dans une phase de consolidation après un rallye de +32%, et la convergence des signaux neutres suggère d'attendre une confirmation (croisement MACD ou sortie haussière du stochastique) avant de renforcer, tout en conservant une orientation haussière de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Nestlé Côte d'Ivoire a réalisé un chiffre d'affaires de 233,26 milliards FCFA, en croissance de 5,97% sur un an, pour un résultat net de 18,43 milliards FCFA (+1,53%), dégageant un ROE exceptionnel de 62,28% et un ROA de 9,70% — des niveaux de rentabilité parmi les plus élevés de la cote BRVM. La marge nette s'établit à 7,90%, en léger recul par rapport aux 8,25% de 2024, sous l'effet d'une hausse des charges financières (+25,8% à 7,96 Mds FCFA) et d'une pression fiscale accrue (impôt de 11,33 Mds FCFA). En tant qu'entreprise agroalimentaire, les points d'attention portent sur le BFR de 22,63 milliards FCFA (positif, donc consommateur de trésorerie), un délai client élevé de 74,30 jours (risque de trésorerie) et une durée de stockage de 59,39 jours (immobilisation de capital), tandis que la trésorerie nette est négative à -46,83 milliards FCFA et que l'autonomie financière reste faible à 15,58% (dépendance financière de 84,42%), bien que la couverture des intérêts par le résultat d'exploitation soit confortable (473,6%). Les rapports trimestriels confirment une nette accélération : selon le rapport du T1 2026 (arrêté au 31 mars 2026), le chiffre d'affaires bondit de +31% à 70,82 milliards FCFA et le résultat net de +37% à 7,53 milliards FCFA, avec une marge nette améliorée à 10,6% — on estime donc que l'exercice 2026 devrait afficher une croissance à deux chiffres du CA et une nette amélioration de la rentabilité, effaçant le ralentissement observé au T3 2025 (CA +1,36%, résultat net -21,3% à fin septembre 2025). La politique de dividende a été volontairement réduite en 2025 (9,27 Mds FCFA distribués, payout de 50,3% contre 99,7% en 2024), traduisant une stratégie de réinvestissement (report à nouveau de 9,22 Mds FCFA) qui pourrait financer des investissements productifs et soutenir la croissance future. La recommandation fondamentale est donc positive : solidité du modèle, rentabilité exceptionnelle et perspectives 2026 très favorables, avec un risque principal lié à la dépendance aux matières premières (cacao, lait) et à l'endettement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le PER de 19,6x et le P/B de 12,23x traduisent une surévaluation relative aux standards BRVM (8-12x), mais l'EV/EBITDA de 9,7x et le ROE de 62,3% justifient cette prime de qualité — le titre n'est donc pas "bon marché" mais sa cherté est adossée à des fondamentaux exceptionnels. Le comportement du cours (Partie 1) est favorable sur le fond (+32,26% sur 100 jours, skewness négatif indiquant une résistance aux baisses), mais la volatilité élevée (38,4%) et la distribution platykurtique appellent à une gestion prudente du risque. Les signaux techniques (Partie 2) sont mitigés : les moyennes mobiles restent haussières (MM20 &gt; MM50, décision Achat) mais le MACD baissier et le stochastique en zone basse signalent une consolidation en cours, sans divergence majeure. Les fondamentaux (Partie 3) sont le point fort du dossier : croissance du CA de 5,97% en 2025, ROE de 62,28%, et surtout l'accélération spectaculaire du T1 2026 (+31% de CA, +37% de résultat net) qui laisse présager un exercice 2026 nettement supérieur. Les prédictions IA (J+1 à J+10) anticipent une trajectoire légèrement haussière puis stable, de 16 691 FCFA (J+1) à 16 652 FCFA (J+5), confirmant la phase de consolidation sans rupture baissière. Sur la base de cette synthèse, la recommandation finale est **ACHAT**, avec un niveau de confiance **Moyen** et un risque global **Moyen** : la convergence entre fondamentaux solides, perspectives 2026 excellentes et consolidation technique offre un point d'entrée intéressant, mais la valorisation exigeante et le MACD baissier incitent à privilégier un horizon d'investissement de **moyen terme (3-12 mois)** pour laisser le temps aux résultats du T1 2026 de se matérialiser dans le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5,157 titres</w:t>
            </w:r>
          </w:p>
        </w:tc>
        <w:tc>
          <w:tcPr>
            <w:tcW w:type="dxa" w:w="2268"/>
            <w:shd w:fill="FFF2CC" w:val="clear"/>
          </w:tcPr>
          <w:p>
            <w:r>
              <w:rPr>
                <w:b/>
                <w:color w:val="503200"/>
                <w:sz w:val="16"/>
              </w:rPr>
              <w:t xml:space="preserve">Cours actuel : </w:t>
            </w:r>
            <w:r>
              <w:rPr>
                <w:color w:val="000000"/>
                <w:sz w:val="17"/>
              </w:rPr>
              <w:t>2,830 FCFA</w:t>
            </w:r>
          </w:p>
          <w:p>
            <w:r>
              <w:rPr>
                <w:b/>
                <w:color w:val="503200"/>
                <w:sz w:val="16"/>
              </w:rPr>
              <w:t xml:space="preserve">Var. 100 jours : </w:t>
            </w:r>
            <w:r>
              <w:rPr>
                <w:b/>
                <w:color w:val="007800"/>
                <w:sz w:val="17"/>
              </w:rPr>
              <w:t>+4.04%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2.96% (Faible) — μ=2,830 FCFA, σ=84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β=0.3940 (Défensif) — Cov=0.000014, Var(idx)=0.000034, ρ=0.120,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2,765</w:t>
            </w:r>
          </w:p>
        </w:tc>
        <w:tc>
          <w:tcPr>
            <w:tcW w:type="dxa" w:w="1440"/>
            <w:shd w:fill="FAFAFA" w:val="clear"/>
          </w:tcPr>
          <w:p>
            <w:r>
              <w:rPr>
                <w:b/>
                <w:sz w:val="17"/>
              </w:rPr>
              <w:t>2,838</w:t>
            </w:r>
          </w:p>
        </w:tc>
        <w:tc>
          <w:tcPr>
            <w:tcW w:type="dxa" w:w="1440"/>
            <w:shd w:fill="FAFAFA" w:val="clear"/>
          </w:tcPr>
          <w:p>
            <w:r>
              <w:rPr>
                <w:sz w:val="17"/>
              </w:rPr>
              <w:t>2,910</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2,728</w:t>
            </w:r>
          </w:p>
        </w:tc>
        <w:tc>
          <w:tcPr>
            <w:tcW w:type="dxa" w:w="1440"/>
            <w:shd w:fill="FAFAFA" w:val="clear"/>
          </w:tcPr>
          <w:p>
            <w:r>
              <w:rPr>
                <w:b/>
                <w:sz w:val="17"/>
              </w:rPr>
              <w:t>2,830</w:t>
            </w:r>
          </w:p>
        </w:tc>
        <w:tc>
          <w:tcPr>
            <w:tcW w:type="dxa" w:w="1440"/>
            <w:shd w:fill="FAFAFA" w:val="clear"/>
          </w:tcPr>
          <w:p>
            <w:r>
              <w:rPr>
                <w:sz w:val="17"/>
              </w:rPr>
              <w:t>2,931</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2,699</w:t>
            </w:r>
          </w:p>
        </w:tc>
        <w:tc>
          <w:tcPr>
            <w:tcW w:type="dxa" w:w="1440"/>
            <w:shd w:fill="FAFAFA" w:val="clear"/>
          </w:tcPr>
          <w:p>
            <w:r>
              <w:rPr>
                <w:b/>
                <w:sz w:val="17"/>
              </w:rPr>
              <w:t>2,824</w:t>
            </w:r>
          </w:p>
        </w:tc>
        <w:tc>
          <w:tcPr>
            <w:tcW w:type="dxa" w:w="1440"/>
            <w:shd w:fill="FAFAFA" w:val="clear"/>
          </w:tcPr>
          <w:p>
            <w:r>
              <w:rPr>
                <w:sz w:val="17"/>
              </w:rPr>
              <w:t>2,948</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2,674</w:t>
            </w:r>
          </w:p>
        </w:tc>
        <w:tc>
          <w:tcPr>
            <w:tcW w:type="dxa" w:w="1440"/>
            <w:shd w:fill="FAFAFA" w:val="clear"/>
          </w:tcPr>
          <w:p>
            <w:r>
              <w:rPr>
                <w:b/>
                <w:sz w:val="17"/>
              </w:rPr>
              <w:t>2,818</w:t>
            </w:r>
          </w:p>
        </w:tc>
        <w:tc>
          <w:tcPr>
            <w:tcW w:type="dxa" w:w="1440"/>
            <w:shd w:fill="FAFAFA" w:val="clear"/>
          </w:tcPr>
          <w:p>
            <w:r>
              <w:rPr>
                <w:sz w:val="17"/>
              </w:rPr>
              <w:t>2,961</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2026-09-23</w:t>
            </w:r>
          </w:p>
        </w:tc>
        <w:tc>
          <w:tcPr>
            <w:tcW w:type="dxa" w:w="1440"/>
            <w:shd w:fill="FAFAFA" w:val="clear"/>
          </w:tcPr>
          <w:p>
            <w:r>
              <w:rPr>
                <w:sz w:val="17"/>
              </w:rPr>
              <w:t>2,652</w:t>
            </w:r>
          </w:p>
        </w:tc>
        <w:tc>
          <w:tcPr>
            <w:tcW w:type="dxa" w:w="1440"/>
            <w:shd w:fill="FAFAFA" w:val="clear"/>
          </w:tcPr>
          <w:p>
            <w:r>
              <w:rPr>
                <w:b/>
                <w:sz w:val="17"/>
              </w:rPr>
              <w:t>2,812</w:t>
            </w:r>
          </w:p>
        </w:tc>
        <w:tc>
          <w:tcPr>
            <w:tcW w:type="dxa" w:w="1440"/>
            <w:shd w:fill="FAFAFA" w:val="clear"/>
          </w:tcPr>
          <w:p>
            <w:r>
              <w:rPr>
                <w:sz w:val="17"/>
              </w:rPr>
              <w:t>2,972</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2026-09-24</w:t>
            </w:r>
          </w:p>
        </w:tc>
        <w:tc>
          <w:tcPr>
            <w:tcW w:type="dxa" w:w="1440"/>
            <w:shd w:fill="FAFAFA" w:val="clear"/>
          </w:tcPr>
          <w:p>
            <w:r>
              <w:rPr>
                <w:sz w:val="17"/>
              </w:rPr>
              <w:t>2,631</w:t>
            </w:r>
          </w:p>
        </w:tc>
        <w:tc>
          <w:tcPr>
            <w:tcW w:type="dxa" w:w="1440"/>
            <w:shd w:fill="FAFAFA" w:val="clear"/>
          </w:tcPr>
          <w:p>
            <w:r>
              <w:rPr>
                <w:b/>
                <w:sz w:val="17"/>
              </w:rPr>
              <w:t>2,806</w:t>
            </w:r>
          </w:p>
        </w:tc>
        <w:tc>
          <w:tcPr>
            <w:tcW w:type="dxa" w:w="1440"/>
            <w:shd w:fill="FAFAFA" w:val="clear"/>
          </w:tcPr>
          <w:p>
            <w:r>
              <w:rPr>
                <w:sz w:val="17"/>
              </w:rPr>
              <w:t>2,981</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2026-09-25</w:t>
            </w:r>
          </w:p>
        </w:tc>
        <w:tc>
          <w:tcPr>
            <w:tcW w:type="dxa" w:w="1440"/>
            <w:shd w:fill="FAFAFA" w:val="clear"/>
          </w:tcPr>
          <w:p>
            <w:r>
              <w:rPr>
                <w:sz w:val="17"/>
              </w:rPr>
              <w:t>2,612</w:t>
            </w:r>
          </w:p>
        </w:tc>
        <w:tc>
          <w:tcPr>
            <w:tcW w:type="dxa" w:w="1440"/>
            <w:shd w:fill="FAFAFA" w:val="clear"/>
          </w:tcPr>
          <w:p>
            <w:r>
              <w:rPr>
                <w:b/>
                <w:sz w:val="17"/>
              </w:rPr>
              <w:t>2,801</w:t>
            </w:r>
          </w:p>
        </w:tc>
        <w:tc>
          <w:tcPr>
            <w:tcW w:type="dxa" w:w="1440"/>
            <w:shd w:fill="FAFAFA" w:val="clear"/>
          </w:tcPr>
          <w:p>
            <w:r>
              <w:rPr>
                <w:sz w:val="17"/>
              </w:rPr>
              <w:t>2,989</w:t>
            </w:r>
          </w:p>
        </w:tc>
        <w:tc>
          <w:tcPr>
            <w:tcW w:type="dxa" w:w="1440"/>
            <w:shd w:fill="FAFAFA" w:val="clear"/>
          </w:tcPr>
          <w:p>
            <w:r>
              <w:rPr>
                <w:b/>
                <w:color w:val="C00000"/>
                <w:sz w:val="17"/>
              </w:rPr>
              <w:t>-1.0%</w:t>
            </w:r>
          </w:p>
        </w:tc>
      </w:tr>
      <w:tr>
        <w:tc>
          <w:tcPr>
            <w:tcW w:type="dxa" w:w="1440"/>
            <w:shd w:fill="FAFAFA" w:val="clear"/>
          </w:tcPr>
          <w:p>
            <w:r>
              <w:rPr>
                <w:sz w:val="17"/>
              </w:rPr>
              <w:t>J+8  Moyenne</w:t>
            </w:r>
          </w:p>
        </w:tc>
        <w:tc>
          <w:tcPr>
            <w:tcW w:type="dxa" w:w="1440"/>
            <w:shd w:fill="FAFAFA" w:val="clear"/>
          </w:tcPr>
          <w:p>
            <w:r>
              <w:rPr>
                <w:sz w:val="17"/>
              </w:rPr>
              <w:t>2026-09-28</w:t>
            </w:r>
          </w:p>
        </w:tc>
        <w:tc>
          <w:tcPr>
            <w:tcW w:type="dxa" w:w="1440"/>
            <w:shd w:fill="FAFAFA" w:val="clear"/>
          </w:tcPr>
          <w:p>
            <w:r>
              <w:rPr>
                <w:sz w:val="17"/>
              </w:rPr>
              <w:t>2,594</w:t>
            </w:r>
          </w:p>
        </w:tc>
        <w:tc>
          <w:tcPr>
            <w:tcW w:type="dxa" w:w="1440"/>
            <w:shd w:fill="FAFAFA" w:val="clear"/>
          </w:tcPr>
          <w:p>
            <w:r>
              <w:rPr>
                <w:b/>
                <w:sz w:val="17"/>
              </w:rPr>
              <w:t>2,795</w:t>
            </w:r>
          </w:p>
        </w:tc>
        <w:tc>
          <w:tcPr>
            <w:tcW w:type="dxa" w:w="1440"/>
            <w:shd w:fill="FAFAFA" w:val="clear"/>
          </w:tcPr>
          <w:p>
            <w:r>
              <w:rPr>
                <w:sz w:val="17"/>
              </w:rPr>
              <w:t>2,996</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2026-09-29</w:t>
            </w:r>
          </w:p>
        </w:tc>
        <w:tc>
          <w:tcPr>
            <w:tcW w:type="dxa" w:w="1440"/>
            <w:shd w:fill="FAFAFA" w:val="clear"/>
          </w:tcPr>
          <w:p>
            <w:r>
              <w:rPr>
                <w:sz w:val="17"/>
              </w:rPr>
              <w:t>2,577</w:t>
            </w:r>
          </w:p>
        </w:tc>
        <w:tc>
          <w:tcPr>
            <w:tcW w:type="dxa" w:w="1440"/>
            <w:shd w:fill="FAFAFA" w:val="clear"/>
          </w:tcPr>
          <w:p>
            <w:r>
              <w:rPr>
                <w:b/>
                <w:sz w:val="17"/>
              </w:rPr>
              <w:t>2,790</w:t>
            </w:r>
          </w:p>
        </w:tc>
        <w:tc>
          <w:tcPr>
            <w:tcW w:type="dxa" w:w="1440"/>
            <w:shd w:fill="FAFAFA" w:val="clear"/>
          </w:tcPr>
          <w:p>
            <w:r>
              <w:rPr>
                <w:sz w:val="17"/>
              </w:rPr>
              <w:t>3,003</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2026-09-30</w:t>
            </w:r>
          </w:p>
        </w:tc>
        <w:tc>
          <w:tcPr>
            <w:tcW w:type="dxa" w:w="1440"/>
            <w:shd w:fill="FAFAFA" w:val="clear"/>
          </w:tcPr>
          <w:p>
            <w:r>
              <w:rPr>
                <w:sz w:val="17"/>
              </w:rPr>
              <w:t>2,561</w:t>
            </w:r>
          </w:p>
        </w:tc>
        <w:tc>
          <w:tcPr>
            <w:tcW w:type="dxa" w:w="1440"/>
            <w:shd w:fill="FAFAFA" w:val="clear"/>
          </w:tcPr>
          <w:p>
            <w:r>
              <w:rPr>
                <w:b/>
                <w:sz w:val="17"/>
              </w:rPr>
              <w:t>2,785</w:t>
            </w:r>
          </w:p>
        </w:tc>
        <w:tc>
          <w:tcPr>
            <w:tcW w:type="dxa" w:w="1440"/>
            <w:shd w:fill="FAFAFA" w:val="clear"/>
          </w:tcPr>
          <w:p>
            <w:r>
              <w:rPr>
                <w:sz w:val="17"/>
              </w:rPr>
              <w:t>3,009</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(ONATEL-SA Burkina Faso)</w:t>
        <w:br/>
        <w:t>**Bourse Régionale des Valeurs Mobilières (BRVM) | Secteur : Télécommunications**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**192,44 milliards FCFA**, ONTBF se positionne comme une valeur de taille intermédiaire sur la BRVM, loin derrière Sonatel mais devant de nombreux titres de second rang. Le BPA de **234 FCFA/action** signifie que chaque titre génère près de 234 FCFA de bénéfice net, ce qui, rapporté au cours actuel de 2 830 FCFA, donne un **PER de 12,1x** — un niveau modéré, légèrement supérieur à la moyenne BRVM (~8-12x), traduisant une prime de qualité justifiée par la solidité du bilan et le rendement du dividende. Le **P/B de 3,34x** indique que le marché valorise l'action à plus de trois fois sa valeur comptable (capitaux propres de 57,54 Mds FCFA), une prime de croissance accordée aux investissements réseau (FTTH, 4G) et à la génération de cash. Enfin, l'**EV/EBITDA de 5,1x** situe la valeur totale de l'entreprise (capitalisation + dette nette) à seulement 5 fois sa capacité opérationnelle, un niveau raisonnable qui suggère que le marché n'intègre pas encore pleinement le potentiel de rebond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**variation totale de +4,04%**, mais a cédé **-1,39% lors de la dernière séance**, signalant un essoufflement de court terme. Le titre a évolué dans un range étroit de **2 610 FCFA (plus bas) à 3 070 FCFA (plus haut)**, soit une amplitude de 17,6%, avec un cours actuel de 2 830 FCFA situé dans la moitié inférieure de cette fourchette. La tendance générale reste **légèrement haussière mais sans direction forte**, le cours oscillant autour de sa moyenne. Les statistiques descriptives révèlent une **moyenne (2 830 FCFA) quasi identique à la médiane (2 818 FCFA)** et un mode à 2 800 FCFA, confirmant une distribution **symétrique** (skewness de 0,029) sans biais directionnel. L'**écart-type de 84 FCFA (CV de 3,0%)** traduit une dispersion très faible du cours, tandis que le **kurtosis de -0,076 (mésokurtique)** indique une distribution proche de la normale, sans risque de pics extrêmes marqués. La **volatilité annualisée de 30,5%** classe le titre dans la catégorie **élevée** (&gt;30%), ce qui contraste avec la stabilité récente du cours et suggère que des mouvements amples pourraient survenir.</w:t>
      </w:r>
    </w:p>
    <w:p>
      <w:pPr>
        <w:spacing w:after="120" w:line="276" w:lineRule="auto"/>
      </w:pPr>
      <w:r>
        <w:t>---</w:t>
      </w:r>
    </w:p>
    <w:p>
      <w:pPr>
        <w:spacing w:after="120" w:line="276" w:lineRule="auto"/>
      </w:pPr>
      <w:r>
        <w:t>## PARTIE 2 : ANALYSE TECHNIQUE DÉTAILLÉE</w:t>
      </w:r>
    </w:p>
    <w:p>
      <w:pPr>
        <w:spacing w:after="120" w:line="276" w:lineRule="auto"/>
      </w:pPr>
      <w:r>
        <w:t>**Moyennes Mobiles** : La MM20 (2 885 FCFA) et la MM50 (2 847 FCFA) se situent toutes deux **au-dessus du cours actuel** (2 830 FCFA), ce qui place le titre en position de faiblesse relative. Toutefois, la MM20 reste supérieure à la MM50, conservant une configuration haussière de fond. La décision affichée est **Achat**, suggérant que le repli actuel pourrait constituer un point d'entrée vers les moyennes mobiles.</w:t>
      </w:r>
    </w:p>
    <w:p>
      <w:pPr>
        <w:spacing w:after="120" w:line="276" w:lineRule="auto"/>
      </w:pPr>
      <w:r>
        <w:t>**Bandes de Bollinger** : Le cours (2 830 FCFA) évolue dans la partie basse du canal, entre la borne inférieure (2 818,83 FCFA) et la borne supérieure (2 951,17 FCFA). La proximité de la borne basse indique une **pression vendeuse récente**, mais sans rupture. La décision est **Neutre**, les bandes étant relativement resserrées, signe d'une volatilité contenue.</w:t>
      </w:r>
    </w:p>
    <w:p>
      <w:pPr>
        <w:spacing w:after="120" w:line="276" w:lineRule="auto"/>
      </w:pPr>
      <w:r>
        <w:t>**MACD** : La valeur du MACD (-2,865) est **inférieure à son signal (3,958)**, générant un croisement baissier et un momentum négatif. La décision est **Vente**, cet indicateur étant le plus négatif du tableau technique et signalant une perte de dynamique haussière.</w:t>
      </w:r>
    </w:p>
    <w:p>
      <w:pPr>
        <w:spacing w:after="120" w:line="276" w:lineRule="auto"/>
      </w:pPr>
      <w:r>
        <w:t>**RSI** : À **39,06**, le RSI se situe dans la zone neutre basse (30-70), sans atteindre la survente (&lt;30). La décision est **Neutre**, le titre n'étant ni survendu ni suracheté, mais penchant vers la faiblesse.</w:t>
      </w:r>
    </w:p>
    <w:p>
      <w:pPr>
        <w:spacing w:after="120" w:line="276" w:lineRule="auto"/>
      </w:pPr>
      <w:r>
        <w:t>**Stochastique** : Le %K (21,74) est nettement **inférieur au %D (44,93)**, avec un croisement baissier en zone basse. La décision est **Neutre**, mais la configuration suggère une pression baissière persistante à court terme.</w:t>
      </w:r>
    </w:p>
    <w:p>
      <w:pPr>
        <w:spacing w:after="120" w:line="276" w:lineRule="auto"/>
      </w:pPr>
      <w:r>
        <w:t>**Conclusion technique** : Les indicateurs sont **majoritairement neutres à baissiers** (MACD en vente, Stochastique faible, cours sous les MM), à l'exception des Moyennes Mobiles qui conservent une structure haussière de fond. Le titre se trouve dans une phase de consolidation baissière de court terme, sans signal de retournement clair. La prudence est de mise avant tout renforcement.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a réalisé un chiffre d'affaires (PNB) de **146,18 milliards FCFA**, en hausse de **+3,06%** sur un an, porté par le FTTH (+33%), l'internet mobile (+4,6%) et le Mobile Money (+14%). Le résultat net s'établit à **15,89 milliards FCFA**, en **recul de -26%** par rapport aux 21,47 Mds FCFA de 2024, sous l'effet de charges opérationnelles et exceptionnelles élevées (indemnités de fin d'engagement, coûts énergétiques, maintenance en zones sécuritaires, sanction ARCEP de 1,543 Md FCFA). Le **ROE reste excellent à 27,61%** (&gt;15%), et le **ROA à 4,89%**, confirmant la rentabilité structurelle malgré l'érosion. Le coefficient d'exploitation de **67,07%** (charges/PNB) reste supérieur au seuil de 60% d'efficacité bancaire, signalant une pression sur les coûts. Le **coût du risque à 3,57%** (provisions/charges financières) demeure contenu, et la **couverture des intérêts à 491,55%** traduit une capacité de remboursement solide. La structure financière affiche une **autonomie financière de 17,71%** (inférieure au seuil sain de 30%) et un **ratio d'endettement de 186,99%**, reflétant le financement des capex (~45 Mds FCFA) par emprunt. La trésorerie nette reste positive à **10,65 Mds FCFA**, et la **CAF de 46,95 Mds FCFA** couvre largement les investissements (103,82%).</w:t>
      </w:r>
    </w:p>
    <w:p>
      <w:pPr>
        <w:spacing w:after="120" w:line="276" w:lineRule="auto"/>
      </w:pPr>
      <w:r>
        <w:t>**Estimations basées sur les rapports trimestriels** : Le rapport **T1 2026 (publié le 09/04/2026)** indique un CA de **37,1 Mds FCFA (+2,7%)**, un résultat net de **3,577 Mds FCFA (OHADA)** et un taux de marge EBITDA maintenu à **41,3%**, avec une base clients de 12,65 millions (+3,3%). Le Mobile Money progresse de **+17,1%** et le FTTH de **+38,4%**. Sur cette base, on peut estimer que l'exercice 2026 devrait afficher une **stabilisation de la rentabilité** (marge nette autour de 9,6-10%), avec un résultat net annuel projeté entre **15 et 17 Mds FCFA**, sous réserve de la maîtrise des coûts. Le rapport **9 mois 2025 (30/09/2025)** confirmait déjà cette tendance avec un CA de 109,59 Mds FCFA (+3,1%) et un résultat net de 11,00 Mds FCFA (-17,2%), le taux d'EBITDA IFRS chutant à 39,3%.</w:t>
      </w:r>
    </w:p>
    <w:p>
      <w:pPr>
        <w:spacing w:after="120" w:line="276" w:lineRule="auto"/>
      </w:pPr>
      <w:r>
        <w:t>**Recommandation fondamentale** : La solidité financière (ROE 27,6%, CAF 47 Mds, notation GCR A+(WU)) et la croissance commerciale (12,6 millions d'abonnés) constituent des atouts majeurs. Cependant, la **dégradation de la rentabilité (-26% en 2025)** et la **politique de dividende généreuse (70% de distribution, 166,08 FCFA/action)** malgré la baisse des profits créent une incertitude. Le titre reste un **placement défensif de qualité**, mais la reconquête du leadership annoncée pour 2026 sera déterminante.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 PER de 12,1x (légèrement supérieur à la moyenne BRVM), P/B de 3,34x (prime de croissance justifiée) et EV/EBITDA de 5,1x (attractif), suggérant une **juste valorisation sans surévaluation manifeste**. Le **comportement du cours (Partie 1)** est stable (+4,04% sur 100 jours) avec une volatilité annualisée élevée (30,5%) mais des statistiques rassurantes (distribution symétrique, kurtosis proche de la normale), bien que la récente baisse de -1,39% et la position basse dans le range (2 830 vs 3 070 FCFA) tempèrent l'optimisme. Les **signaux techniques (Partie 2)** sont **divergents** : les Moyennes Mobiles restent haussières (Achat), mais le MACD (Vente) et le Stochastique (faible) signalent une pression baissière de court terme, le RSI et les Bollinger étant neutres — une configuration de **consolidation sans direction claire**. Les **fondamentaux (Partie 3)** demeurent solides (ROE 27,6%, CAF 47 Mds, croissance du CA de +3,1% en 2025 et +2,7% au T1 2026), mais la **baisse de -26% du résultat net en 2025** et la politique de dividende agressive pèsent sur la visibilité. Les **prédictions IA (J+1 à J+10)** anticipent une **légère érosion** du cours de 2 838 FCFA (17/09) à 2 812 FCFA (23/09), confirmant la pression baissière de court terme sans effondrement.</w:t>
      </w:r>
    </w:p>
    <w:p>
      <w:pPr>
        <w:spacing w:after="120" w:line="276" w:lineRule="auto"/>
      </w:pPr>
      <w:r>
        <w:t>**Synthèse globale** : La convergence entre une valorisation correcte, des fondamentaux solides mais en dégradation, des signaux techniques mitigés et des prédictions baissières modérées plaide pour une **position attentiste**. La recommandation finale est **CONSERVER**, avec un **niveau de confiance Moyen** et un **risque global Moyen**. Le titre offre un rendement de dividende attractif (~5,9% net) et une exposition à des segments porteurs (FTTH, Mobile Money), mais l'érosion des marges et l'endettement croissant limitent le potentiel de revalorisation à court terme. L'**horizon d'investissement optimal est le moyen terme (3-12 mois)**, en surveillant la trajectoire des marges au T2 2026 et la capacité de la direction à inverser la tendance baissière du résultat net. Un retour durable au-dessus de 2 885 FCFA (MM20) constituerait un signal de renforcement.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3373.93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3,003 titres</w:t>
            </w:r>
          </w:p>
        </w:tc>
        <w:tc>
          <w:tcPr>
            <w:tcW w:type="dxa" w:w="2268"/>
            <w:shd w:fill="FFF2CC" w:val="clear"/>
          </w:tcPr>
          <w:p>
            <w:r>
              <w:rPr>
                <w:b/>
                <w:color w:val="503200"/>
                <w:sz w:val="16"/>
              </w:rPr>
              <w:t xml:space="preserve">Cours actuel : </w:t>
            </w:r>
            <w:r>
              <w:rPr>
                <w:color w:val="000000"/>
                <w:sz w:val="17"/>
              </w:rPr>
              <w:t>22,395 FCFA</w:t>
            </w:r>
          </w:p>
          <w:p>
            <w:r>
              <w:rPr>
                <w:b/>
                <w:color w:val="503200"/>
                <w:sz w:val="16"/>
              </w:rPr>
              <w:t xml:space="preserve">Var. 100 jours : </w:t>
            </w:r>
            <w:r>
              <w:rPr>
                <w:b/>
                <w:color w:val="007800"/>
                <w:sz w:val="17"/>
              </w:rPr>
              <w:t>+49.30%</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13.18% (Moyenne) — μ=17,202 FCFA, σ=2,267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β=1.3992 (Agressif) — Cov=0.000048, Var(idx)=0.000034, ρ=0.433,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21,663</w:t>
            </w:r>
          </w:p>
        </w:tc>
        <w:tc>
          <w:tcPr>
            <w:tcW w:type="dxa" w:w="1440"/>
            <w:shd w:fill="FAFAFA" w:val="clear"/>
          </w:tcPr>
          <w:p>
            <w:r>
              <w:rPr>
                <w:b/>
                <w:sz w:val="17"/>
              </w:rPr>
              <w:t>22,360</w:t>
            </w:r>
          </w:p>
        </w:tc>
        <w:tc>
          <w:tcPr>
            <w:tcW w:type="dxa" w:w="1440"/>
            <w:shd w:fill="FAFAFA" w:val="clear"/>
          </w:tcPr>
          <w:p>
            <w:r>
              <w:rPr>
                <w:sz w:val="17"/>
              </w:rPr>
              <w:t>23,057</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21,363</w:t>
            </w:r>
          </w:p>
        </w:tc>
        <w:tc>
          <w:tcPr>
            <w:tcW w:type="dxa" w:w="1440"/>
            <w:shd w:fill="FAFAFA" w:val="clear"/>
          </w:tcPr>
          <w:p>
            <w:r>
              <w:rPr>
                <w:b/>
                <w:sz w:val="17"/>
              </w:rPr>
              <w:t>22,348</w:t>
            </w:r>
          </w:p>
        </w:tc>
        <w:tc>
          <w:tcPr>
            <w:tcW w:type="dxa" w:w="1440"/>
            <w:shd w:fill="FAFAFA" w:val="clear"/>
          </w:tcPr>
          <w:p>
            <w:r>
              <w:rPr>
                <w:sz w:val="17"/>
              </w:rPr>
              <w:t>23,333</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21,127</w:t>
            </w:r>
          </w:p>
        </w:tc>
        <w:tc>
          <w:tcPr>
            <w:tcW w:type="dxa" w:w="1440"/>
            <w:shd w:fill="FAFAFA" w:val="clear"/>
          </w:tcPr>
          <w:p>
            <w:r>
              <w:rPr>
                <w:b/>
                <w:sz w:val="17"/>
              </w:rPr>
              <w:t>22,332</w:t>
            </w:r>
          </w:p>
        </w:tc>
        <w:tc>
          <w:tcPr>
            <w:tcW w:type="dxa" w:w="1440"/>
            <w:shd w:fill="FAFAFA" w:val="clear"/>
          </w:tcPr>
          <w:p>
            <w:r>
              <w:rPr>
                <w:sz w:val="17"/>
              </w:rPr>
              <w:t>23,538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20,926</w:t>
            </w:r>
          </w:p>
        </w:tc>
        <w:tc>
          <w:tcPr>
            <w:tcW w:type="dxa" w:w="1440"/>
            <w:shd w:fill="FAFAFA" w:val="clear"/>
          </w:tcPr>
          <w:p>
            <w:r>
              <w:rPr>
                <w:b/>
                <w:sz w:val="17"/>
              </w:rPr>
              <w:t>22,317</w:t>
            </w:r>
          </w:p>
        </w:tc>
        <w:tc>
          <w:tcPr>
            <w:tcW w:type="dxa" w:w="1440"/>
            <w:shd w:fill="FAFAFA" w:val="clear"/>
          </w:tcPr>
          <w:p>
            <w:r>
              <w:rPr>
                <w:sz w:val="17"/>
              </w:rPr>
              <w:t>23,708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20,747</w:t>
            </w:r>
          </w:p>
        </w:tc>
        <w:tc>
          <w:tcPr>
            <w:tcW w:type="dxa" w:w="1440"/>
            <w:shd w:fill="FAFAFA" w:val="clear"/>
          </w:tcPr>
          <w:p>
            <w:r>
              <w:rPr>
                <w:b/>
                <w:sz w:val="17"/>
              </w:rPr>
              <w:t>22,301</w:t>
            </w:r>
          </w:p>
        </w:tc>
        <w:tc>
          <w:tcPr>
            <w:tcW w:type="dxa" w:w="1440"/>
            <w:shd w:fill="FAFAFA" w:val="clear"/>
          </w:tcPr>
          <w:p>
            <w:r>
              <w:rPr>
                <w:sz w:val="17"/>
              </w:rPr>
              <w:t>23,856</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20,585</w:t>
            </w:r>
          </w:p>
        </w:tc>
        <w:tc>
          <w:tcPr>
            <w:tcW w:type="dxa" w:w="1440"/>
            <w:shd w:fill="FAFAFA" w:val="clear"/>
          </w:tcPr>
          <w:p>
            <w:r>
              <w:rPr>
                <w:b/>
                <w:sz w:val="17"/>
              </w:rPr>
              <w:t>22,287</w:t>
            </w:r>
          </w:p>
        </w:tc>
        <w:tc>
          <w:tcPr>
            <w:tcW w:type="dxa" w:w="1440"/>
            <w:shd w:fill="FAFAFA" w:val="clear"/>
          </w:tcPr>
          <w:p>
            <w:r>
              <w:rPr>
                <w:sz w:val="17"/>
              </w:rPr>
              <w:t>23,988</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20,436</w:t>
            </w:r>
          </w:p>
        </w:tc>
        <w:tc>
          <w:tcPr>
            <w:tcW w:type="dxa" w:w="1440"/>
            <w:shd w:fill="FAFAFA" w:val="clear"/>
          </w:tcPr>
          <w:p>
            <w:r>
              <w:rPr>
                <w:b/>
                <w:sz w:val="17"/>
              </w:rPr>
              <w:t>22,272</w:t>
            </w:r>
          </w:p>
        </w:tc>
        <w:tc>
          <w:tcPr>
            <w:tcW w:type="dxa" w:w="1440"/>
            <w:shd w:fill="FAFAFA" w:val="clear"/>
          </w:tcPr>
          <w:p>
            <w:r>
              <w:rPr>
                <w:sz w:val="17"/>
              </w:rPr>
              <w:t>24,109</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20,296</w:t>
            </w:r>
          </w:p>
        </w:tc>
        <w:tc>
          <w:tcPr>
            <w:tcW w:type="dxa" w:w="1440"/>
            <w:shd w:fill="FAFAFA" w:val="clear"/>
          </w:tcPr>
          <w:p>
            <w:r>
              <w:rPr>
                <w:b/>
                <w:sz w:val="17"/>
              </w:rPr>
              <w:t>22,258</w:t>
            </w:r>
          </w:p>
        </w:tc>
        <w:tc>
          <w:tcPr>
            <w:tcW w:type="dxa" w:w="1440"/>
            <w:shd w:fill="FAFAFA" w:val="clear"/>
          </w:tcPr>
          <w:p>
            <w:r>
              <w:rPr>
                <w:sz w:val="17"/>
              </w:rPr>
              <w:t>24,220</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20,164</w:t>
            </w:r>
          </w:p>
        </w:tc>
        <w:tc>
          <w:tcPr>
            <w:tcW w:type="dxa" w:w="1440"/>
            <w:shd w:fill="FAFAFA" w:val="clear"/>
          </w:tcPr>
          <w:p>
            <w:r>
              <w:rPr>
                <w:b/>
                <w:sz w:val="17"/>
              </w:rPr>
              <w:t>22,244</w:t>
            </w:r>
          </w:p>
        </w:tc>
        <w:tc>
          <w:tcPr>
            <w:tcW w:type="dxa" w:w="1440"/>
            <w:shd w:fill="FAFAFA" w:val="clear"/>
          </w:tcPr>
          <w:p>
            <w:r>
              <w:rPr>
                <w:sz w:val="17"/>
              </w:rPr>
              <w:t>24,324</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20,040</w:t>
            </w:r>
          </w:p>
        </w:tc>
        <w:tc>
          <w:tcPr>
            <w:tcW w:type="dxa" w:w="1440"/>
            <w:shd w:fill="FAFAFA" w:val="clear"/>
          </w:tcPr>
          <w:p>
            <w:r>
              <w:rPr>
                <w:b/>
                <w:sz w:val="17"/>
              </w:rPr>
              <w:t>22,231</w:t>
            </w:r>
          </w:p>
        </w:tc>
        <w:tc>
          <w:tcPr>
            <w:tcW w:type="dxa" w:w="1440"/>
            <w:shd w:fill="FAFAFA" w:val="clear"/>
          </w:tcPr>
          <w:p>
            <w:r>
              <w:rPr>
                <w:sz w:val="17"/>
              </w:rPr>
              <w:t>24,422</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3 373,93 milliards FCFA, ORAC s'impose comme la première capitalisation de la BRVM, représentant à elle seule plus du quart de la capitalisation totale du marché régional — un statut de « blue chip » incontestable. Le BPA de 1 114 FCFA/action signifie que chaque titre génère un bénéfice net de plus de mille francs CFA, un niveau exceptionnel pour la place. Le PER de 20,1x traduit une prime significative par rapport à la moyenne BRVM (8-12x) : les investisseurs paient environ 20 fois les bénéfices, ce qui intègre une forte croissance attendue mais expose le titre à une correction en cas de déception. Le P/B de 4,77x confirme cette valorisation exigeante, le marché valorisant la société près de cinq fois sa valeur comptable, ce qui est justifié par la qualité des actifs immatériels (marque, réseau, base clients) mais laisse peu de marge de sécurité. En revanche, l'EV/EBITDA de 8,0x apparaît raisonnable dans la fourchette 5-10x, suggérant que la valeur d'entreprise reste soutenue par la capacité opérationnelle génératrice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+49,30%, passant d'un plus bas de 14 650 FCFA à un plus haut de 22 500 FCFA, pour un cours actuel de 22 395 FCFA — soit une variation marginale de -0,47% lors de la dernière séance, signe d'une consolidation après le rallye. Le range de trading de 7 850 FCFA (soit plus de 53% d'amplitude) témoigne d'une tendance nettement haussière, portée par la publication de résultats annuels 2025 solides et l'annonce d'un dividende de 800 FCFA. Les statistiques descriptives révèlent une moyenne de 17 202 FCFA nettement supérieure à la médiane de 16 350 FCFA, confirmant une distribution asymétrique avec des pics haussiers récents ; le mode à 16 000 FCFA indique que le cours a longtemps stagné autour de ce niveau avant l'accélération. L'écart-type de 2 279 FCFA (CV de 13,2%) traduit une dispersion modérée, tandis que le kurtosis de 0,053 (mésokurtique) suggère une distribution proche de la normale, sans risque extrême de pics ; le skewness positif de 1,198 indique toutefois davantage de journées sous la moyenne, caractéristique d'un titre ayant connu une longue phase de consolidation avant une envolée. La volatilité annualisée de 29,9% positionne ORAC en zone modérée-haute (limite des 30%), ce qui reste acceptable pour une valeur de croissance mais nécessite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(21 413 FCFA) et la MM50 (18 635,6 FCFA) sont toutes deux inférieures au cours actuel (22 395 FCFA), avec la MM20 au-dessus de la MM50 — configuration haussière classique en « golden cross ». Le cours évoluant 4,6% au-dessus de la MM20 et 20,2% au-dessus de la MM50, la décision « Achat » est techniquement justifiée, bien que l'écart important avec la MM50 suggère une possible extension excessive à court terme.</w:t>
      </w:r>
    </w:p>
    <w:p>
      <w:pPr>
        <w:spacing w:after="120" w:line="276" w:lineRule="auto"/>
      </w:pPr>
      <w:r>
        <w:t>**Bandes de Bollinger** : Le cours (22 395 FCFA) se situe à 97,3% de la borne supérieure (23 013,39 FCFA) et à 13% au-dessus de la borne inférieure (19 812,61 FCFA), évoluant dans la partie haute du canal. Cette position proche de la borne supérieure indique une pression acheteuse soutenue mais aussi un risque de retour à la moyenne ; la décision « Neutre » reflète cette ambiguïté entre momentum haussier et risque de correction.</w:t>
      </w:r>
    </w:p>
    <w:p>
      <w:pPr>
        <w:spacing w:after="120" w:line="276" w:lineRule="auto"/>
      </w:pPr>
      <w:r>
        <w:t>**MACD** : La valeur du MACD (1 100,858) est légèrement inférieure à son signal (1 117,99), générant un croisement baissier marginal. Cette divergence négative de 17 points suggère un essoufflement du momentum haussier, justifiant la décision « Vente » à court terme, bien que l'amplitude reste faible et puisse se retourner rapidement.</w:t>
      </w:r>
    </w:p>
    <w:p>
      <w:pPr>
        <w:spacing w:after="120" w:line="276" w:lineRule="auto"/>
      </w:pPr>
      <w:r>
        <w:t>**RSI** : À 63,146, le RSI se situe en zone neutre-haute (30-70), sans atteindre la zone de surachat (&gt;70). La décision « Neutre » est appropriée : le titre conserve un potentiel haussier mais approche de niveaux où la prudence s'impose, notamment après une hausse de près de 50% en 100 jours.</w:t>
      </w:r>
    </w:p>
    <w:p>
      <w:pPr>
        <w:spacing w:after="120" w:line="276" w:lineRule="auto"/>
      </w:pPr>
      <w:r>
        <w:t>**Stochastique** : Le %K (92,977) et le %D (97,659) sont tous deux en zone de surachat extrême (&gt;80), avec le %K légèrement sous le %D — configuration baissière indiquant un possible retournement imminent. La décision « Vente » est cohérente avec cette lecture, le stochastique étant l'indicateur le plus préoccupant du tableau technique.</w:t>
      </w:r>
    </w:p>
    <w:p>
      <w:pPr>
        <w:spacing w:after="120" w:line="276" w:lineRule="auto"/>
      </w:pPr>
      <w:r>
        <w:t>**Conclusion technique** : Les indicateurs présentent une divergence notable : les moyennes mobiles confirment la tendance haussière de fond, mais le MACD, le stochastique et la position dans les bandes de Bollinger signalent un essoufflement à court terme. Le RSI neutre et la décision « Achat » des MM tempèrent le signal baissier, suggérant une consolidation plutôt qu'un retournement. La configuration globale plaide pour une prise de bénéfices partielle ou une attente de repli vers la MM20 (21 413 FCFA) avant tout renforcement.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Orange Côte d'Ivoire a réalisé un chiffre d'affaires consolidé de 1 197,1 milliards FCFA, en croissance de +10,4% sur un an, porté par la dynamique des trois filiales (Côte d'Ivoire, Burkina Faso, Libéria) et l'expansion des services data, fibre et Orange Money. Le résultat net consolidé s'établit à 167,8 milliards FCFA (+6,1%), tandis que le résultat net part du groupe atteint 129,1 milliards FCFA (+14,5%), et le résultat opérationnel progresse à 287,2 milliards FCFA. Les ratios de rentabilité sont solides : le ROE de 23,71% (excellent, &gt;15%) et le ROA de 6,57% témoignent d'une création de valeur soutenue pour les actionnaires. La marge nette de 14,02% et la marge opérationnelle de 23,99% confirment la robustesse du modèle, bien qu'en léger retrait par rapport à 2024 (marge nette 14,6%). Sur le plan bilanciel, l'autonomie financière de 27,71% (légèrement sous le seuil de 30%) et le ratio d'endettement de 47,46% indiquent une structure financière correcte mais perfectible ; la trésorerie nette positive de 113,9 milliards FCFA et le BFR négatif de -198 milliards FCFA (favorable) démontrent une excellente gestion du besoin en fonds de roulement. Les délais d'exploitation révèlent un délai fournisseurs élevé de 210,87 jours (bon pour la trésorerie) contre un délai clients de 52,26 jours (risque modéré), et une durée de stockage de 19,64 jours. La capacité de remboursement de 0,99 an (dettes financières/CAF) est excellente, et la couverture des intérêts de 1 018% témoigne d'une marge de sécurité confortable. Les rapports trimestriels récents confirment l'accélération : au T1 2026 (rapport du 31 mars 2026), le CA bondit de +14,8% à 325,6 milliards FCFA et le résultat net de +25,2% à 48,3 milliards FCFA, avec une marge nette en amélioration à 14,8% — on estime donc que l'exercice 2026 devrait afficher une croissance à deux chiffres du CA et du résultat net, potentiellement supérieure à 2025. Le dividende proposé de 800 FCFA/action (rendement d'environ 3,6% au cours actuel) marque un recentrage de la politique de distribution (contre 1 278 FCFA implicite en 2024), la société privilégiant l'autofinancement des investissements (184,2 milliards FCFA en 2025, soit 15,4% du CA). Les principaux risques identifiés sont la pression fiscale et réglementaire, la concurrence accrue sur le mobile money, l'exposition au Burkina Faso (risque sécuritaire) et la hausse des charges financières (+26,8% en 2025). En conclusion, les fondamentaux d'ORAC demeurent solides et la trajectoire de croissance est confirmée par les résultats trimestriels 2026, mais la valorisation exigeante et la baisse du dividende appellent à une certaine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20,1x et P/B de 4,77x intègrent déjà une forte croissance, bien que l'EV/EBITDA de 8,0x reste raisonnable — le titre n'est donc ni une opportunité de valeur ni une anomalie de marché, mais une valeur de croissance correctement valorisée. Le comportement du cours (Partie 1) est nettement haussier (+49,30% en 100 jours) avec une volatilité modérée (29,9%) et des statistiques (skewness positif, kurtosis normal) qui ne signalent pas de risque extrême, mais la proximité du plus haut (22 500 FCFA) et la consolidation récente (-0,47%) suggèrent un essoufflement. Les signaux techniques (Partie 2) sont divergents : les moyennes mobiles confirment la tendance haussière, mais le MACD, le stochastique en surachat extrême et la position dans les bandes de Bollinger plaident pour une correction à court terme — la convergence n'est pas au rendez-vous. Les fondamentaux (Partie 3) sont solides : CA de 1 197,1 milliards FCFA en 2025 (+10,4%), ROE de 23,71%, et les résultats T1 2026 (+14,8% de CA, +25,2% de résultat net) confirment l'accélération, mais la baisse du dividende et la pression sur les marges constituent des points de vigilance. Les prédictions IA (J+1 à J+10) anticipent une légère dérive baissière de 22 360 à 22 301 FCFA, soit une consolidation de -0,4% sur dix jours, ce qui contredit la tendance haussière de fond mais confirme les signaux techniques de court terme. Sur la base de cette synthèse, la recommandation est **CONSERVER** : le titre offre une exposition de qualité à la croissance numérique en Afrique de l'Ouest, mais la valorisation exigeante, la divergence technique et la consolidation attendue justifient une position attentiste. Le niveau de confiance est **Moyen** (fondamentaux solides mais technique incertaine) et le risque global est **Moyen** (volatilité modérée, valorisation tendue). L'horizon d'investissement optimal est le **moyen terme (3-12 mois)**, en attendant que la consolidation technique s'achève et que les résultats du S1 2026 confirment la trajectoire de croissance. Un repli vers 21 000-21 500 FCFA (zone de la MM20) constituerait une opportunité de renforcement pour les investisseurs de 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225.60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5,537 titres</w:t>
            </w:r>
          </w:p>
        </w:tc>
        <w:tc>
          <w:tcPr>
            <w:tcW w:type="dxa" w:w="2268"/>
            <w:shd w:fill="FFF2CC" w:val="clear"/>
          </w:tcPr>
          <w:p>
            <w:r>
              <w:rPr>
                <w:b/>
                <w:color w:val="503200"/>
                <w:sz w:val="16"/>
              </w:rPr>
              <w:t xml:space="preserve">Cours actuel : </w:t>
            </w:r>
            <w:r>
              <w:rPr>
                <w:color w:val="000000"/>
                <w:sz w:val="17"/>
              </w:rPr>
              <w:t>3,250 FCFA</w:t>
            </w:r>
          </w:p>
          <w:p>
            <w:r>
              <w:rPr>
                <w:b/>
                <w:color w:val="503200"/>
                <w:sz w:val="16"/>
              </w:rPr>
              <w:t xml:space="preserve">Var. 100 jours : </w:t>
            </w:r>
            <w:r>
              <w:rPr>
                <w:b/>
                <w:color w:val="007800"/>
                <w:sz w:val="17"/>
              </w:rPr>
              <w:t>+1.40%</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9.17% (Moyenne) — μ=2,909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β=0.1120 (Défensif) — Cov=0.000004, Var(idx)=0.000034, ρ=0.024,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3,173</w:t>
            </w:r>
          </w:p>
        </w:tc>
        <w:tc>
          <w:tcPr>
            <w:tcW w:type="dxa" w:w="1440"/>
            <w:shd w:fill="FAFAFA" w:val="clear"/>
          </w:tcPr>
          <w:p>
            <w:r>
              <w:rPr>
                <w:b/>
                <w:sz w:val="17"/>
              </w:rPr>
              <w:t>3,252</w:t>
            </w:r>
          </w:p>
        </w:tc>
        <w:tc>
          <w:tcPr>
            <w:tcW w:type="dxa" w:w="1440"/>
            <w:shd w:fill="FAFAFA" w:val="clear"/>
          </w:tcPr>
          <w:p>
            <w:r>
              <w:rPr>
                <w:sz w:val="17"/>
              </w:rPr>
              <w:t>3,330</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3,145</w:t>
            </w:r>
          </w:p>
        </w:tc>
        <w:tc>
          <w:tcPr>
            <w:tcW w:type="dxa" w:w="1440"/>
            <w:shd w:fill="FAFAFA" w:val="clear"/>
          </w:tcPr>
          <w:p>
            <w:r>
              <w:rPr>
                <w:b/>
                <w:sz w:val="17"/>
              </w:rPr>
              <w:t>3,256</w:t>
            </w:r>
          </w:p>
        </w:tc>
        <w:tc>
          <w:tcPr>
            <w:tcW w:type="dxa" w:w="1440"/>
            <w:shd w:fill="FAFAFA" w:val="clear"/>
          </w:tcPr>
          <w:p>
            <w:r>
              <w:rPr>
                <w:sz w:val="17"/>
              </w:rPr>
              <w:t>3,367</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3,123</w:t>
            </w:r>
          </w:p>
        </w:tc>
        <w:tc>
          <w:tcPr>
            <w:tcW w:type="dxa" w:w="1440"/>
            <w:shd w:fill="FAFAFA" w:val="clear"/>
          </w:tcPr>
          <w:p>
            <w:r>
              <w:rPr>
                <w:b/>
                <w:sz w:val="17"/>
              </w:rPr>
              <w:t>3,259</w:t>
            </w:r>
          </w:p>
        </w:tc>
        <w:tc>
          <w:tcPr>
            <w:tcW w:type="dxa" w:w="1440"/>
            <w:shd w:fill="FAFAFA" w:val="clear"/>
          </w:tcPr>
          <w:p>
            <w:r>
              <w:rPr>
                <w:sz w:val="17"/>
              </w:rPr>
              <w:t>3,395</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3,104</w:t>
            </w:r>
          </w:p>
        </w:tc>
        <w:tc>
          <w:tcPr>
            <w:tcW w:type="dxa" w:w="1440"/>
            <w:shd w:fill="FAFAFA" w:val="clear"/>
          </w:tcPr>
          <w:p>
            <w:r>
              <w:rPr>
                <w:b/>
                <w:sz w:val="17"/>
              </w:rPr>
              <w:t>3,262</w:t>
            </w:r>
          </w:p>
        </w:tc>
        <w:tc>
          <w:tcPr>
            <w:tcW w:type="dxa" w:w="1440"/>
            <w:shd w:fill="FAFAFA" w:val="clear"/>
          </w:tcPr>
          <w:p>
            <w:r>
              <w:rPr>
                <w:sz w:val="17"/>
              </w:rPr>
              <w:t>3,420</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2026-09-23</w:t>
            </w:r>
          </w:p>
        </w:tc>
        <w:tc>
          <w:tcPr>
            <w:tcW w:type="dxa" w:w="1440"/>
            <w:shd w:fill="FAFAFA" w:val="clear"/>
          </w:tcPr>
          <w:p>
            <w:r>
              <w:rPr>
                <w:sz w:val="17"/>
              </w:rPr>
              <w:t>3,088</w:t>
            </w:r>
          </w:p>
        </w:tc>
        <w:tc>
          <w:tcPr>
            <w:tcW w:type="dxa" w:w="1440"/>
            <w:shd w:fill="FAFAFA" w:val="clear"/>
          </w:tcPr>
          <w:p>
            <w:r>
              <w:rPr>
                <w:b/>
                <w:sz w:val="17"/>
              </w:rPr>
              <w:t>3,265</w:t>
            </w:r>
          </w:p>
        </w:tc>
        <w:tc>
          <w:tcPr>
            <w:tcW w:type="dxa" w:w="1440"/>
            <w:shd w:fill="FAFAFA" w:val="clear"/>
          </w:tcPr>
          <w:p>
            <w:r>
              <w:rPr>
                <w:sz w:val="17"/>
              </w:rPr>
              <w:t>3,441</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2026-09-24</w:t>
            </w:r>
          </w:p>
        </w:tc>
        <w:tc>
          <w:tcPr>
            <w:tcW w:type="dxa" w:w="1440"/>
            <w:shd w:fill="FAFAFA" w:val="clear"/>
          </w:tcPr>
          <w:p>
            <w:r>
              <w:rPr>
                <w:sz w:val="17"/>
              </w:rPr>
              <w:t>3,074</w:t>
            </w:r>
          </w:p>
        </w:tc>
        <w:tc>
          <w:tcPr>
            <w:tcW w:type="dxa" w:w="1440"/>
            <w:shd w:fill="FAFAFA" w:val="clear"/>
          </w:tcPr>
          <w:p>
            <w:r>
              <w:rPr>
                <w:b/>
                <w:sz w:val="17"/>
              </w:rPr>
              <w:t>3,267</w:t>
            </w:r>
          </w:p>
        </w:tc>
        <w:tc>
          <w:tcPr>
            <w:tcW w:type="dxa" w:w="1440"/>
            <w:shd w:fill="FAFAFA" w:val="clear"/>
          </w:tcPr>
          <w:p>
            <w:r>
              <w:rPr>
                <w:sz w:val="17"/>
              </w:rPr>
              <w:t>3,460</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2026-09-25</w:t>
            </w:r>
          </w:p>
        </w:tc>
        <w:tc>
          <w:tcPr>
            <w:tcW w:type="dxa" w:w="1440"/>
            <w:shd w:fill="FAFAFA" w:val="clear"/>
          </w:tcPr>
          <w:p>
            <w:r>
              <w:rPr>
                <w:sz w:val="17"/>
              </w:rPr>
              <w:t>3,060</w:t>
            </w:r>
          </w:p>
        </w:tc>
        <w:tc>
          <w:tcPr>
            <w:tcW w:type="dxa" w:w="1440"/>
            <w:shd w:fill="FAFAFA" w:val="clear"/>
          </w:tcPr>
          <w:p>
            <w:r>
              <w:rPr>
                <w:b/>
                <w:sz w:val="17"/>
              </w:rPr>
              <w:t>3,269</w:t>
            </w:r>
          </w:p>
        </w:tc>
        <w:tc>
          <w:tcPr>
            <w:tcW w:type="dxa" w:w="1440"/>
            <w:shd w:fill="FAFAFA" w:val="clear"/>
          </w:tcPr>
          <w:p>
            <w:r>
              <w:rPr>
                <w:sz w:val="17"/>
              </w:rPr>
              <w:t>3,478</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2026-09-28</w:t>
            </w:r>
          </w:p>
        </w:tc>
        <w:tc>
          <w:tcPr>
            <w:tcW w:type="dxa" w:w="1440"/>
            <w:shd w:fill="FAFAFA" w:val="clear"/>
          </w:tcPr>
          <w:p>
            <w:r>
              <w:rPr>
                <w:sz w:val="17"/>
              </w:rPr>
              <w:t>3,048</w:t>
            </w:r>
          </w:p>
        </w:tc>
        <w:tc>
          <w:tcPr>
            <w:tcW w:type="dxa" w:w="1440"/>
            <w:shd w:fill="FAFAFA" w:val="clear"/>
          </w:tcPr>
          <w:p>
            <w:r>
              <w:rPr>
                <w:b/>
                <w:sz w:val="17"/>
              </w:rPr>
              <w:t>3,272</w:t>
            </w:r>
          </w:p>
        </w:tc>
        <w:tc>
          <w:tcPr>
            <w:tcW w:type="dxa" w:w="1440"/>
            <w:shd w:fill="FAFAFA" w:val="clear"/>
          </w:tcPr>
          <w:p>
            <w:r>
              <w:rPr>
                <w:sz w:val="17"/>
              </w:rPr>
              <w:t>3,495</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2026-09-29</w:t>
            </w:r>
          </w:p>
        </w:tc>
        <w:tc>
          <w:tcPr>
            <w:tcW w:type="dxa" w:w="1440"/>
            <w:shd w:fill="FAFAFA" w:val="clear"/>
          </w:tcPr>
          <w:p>
            <w:r>
              <w:rPr>
                <w:sz w:val="17"/>
              </w:rPr>
              <w:t>3,037</w:t>
            </w:r>
          </w:p>
        </w:tc>
        <w:tc>
          <w:tcPr>
            <w:tcW w:type="dxa" w:w="1440"/>
            <w:shd w:fill="FAFAFA" w:val="clear"/>
          </w:tcPr>
          <w:p>
            <w:r>
              <w:rPr>
                <w:b/>
                <w:sz w:val="17"/>
              </w:rPr>
              <w:t>3,274</w:t>
            </w:r>
          </w:p>
        </w:tc>
        <w:tc>
          <w:tcPr>
            <w:tcW w:type="dxa" w:w="1440"/>
            <w:shd w:fill="FAFAFA" w:val="clear"/>
          </w:tcPr>
          <w:p>
            <w:r>
              <w:rPr>
                <w:sz w:val="17"/>
              </w:rPr>
              <w:t>3,511</w:t>
            </w:r>
          </w:p>
        </w:tc>
        <w:tc>
          <w:tcPr>
            <w:tcW w:type="dxa" w:w="1440"/>
            <w:shd w:fill="FAFAFA" w:val="clear"/>
          </w:tcPr>
          <w:p>
            <w:r>
              <w:rPr>
                <w:b/>
                <w:color w:val="008000"/>
                <w:sz w:val="17"/>
              </w:rPr>
              <w:t>+0.7%</w:t>
            </w:r>
          </w:p>
        </w:tc>
      </w:tr>
      <w:tr>
        <w:tc>
          <w:tcPr>
            <w:tcW w:type="dxa" w:w="1440"/>
            <w:shd w:fill="FAFAFA" w:val="clear"/>
          </w:tcPr>
          <w:p>
            <w:r>
              <w:rPr>
                <w:sz w:val="17"/>
              </w:rPr>
              <w:t>J+10  Moyenne</w:t>
            </w:r>
          </w:p>
        </w:tc>
        <w:tc>
          <w:tcPr>
            <w:tcW w:type="dxa" w:w="1440"/>
            <w:shd w:fill="FAFAFA" w:val="clear"/>
          </w:tcPr>
          <w:p>
            <w:r>
              <w:rPr>
                <w:sz w:val="17"/>
              </w:rPr>
              <w:t>2026-09-30</w:t>
            </w:r>
          </w:p>
        </w:tc>
        <w:tc>
          <w:tcPr>
            <w:tcW w:type="dxa" w:w="1440"/>
            <w:shd w:fill="FAFAFA" w:val="clear"/>
          </w:tcPr>
          <w:p>
            <w:r>
              <w:rPr>
                <w:sz w:val="17"/>
              </w:rPr>
              <w:t>3,026</w:t>
            </w:r>
          </w:p>
        </w:tc>
        <w:tc>
          <w:tcPr>
            <w:tcW w:type="dxa" w:w="1440"/>
            <w:shd w:fill="FAFAFA" w:val="clear"/>
          </w:tcPr>
          <w:p>
            <w:r>
              <w:rPr>
                <w:b/>
                <w:sz w:val="17"/>
              </w:rPr>
              <w:t>3,276</w:t>
            </w:r>
          </w:p>
        </w:tc>
        <w:tc>
          <w:tcPr>
            <w:tcW w:type="dxa" w:w="1440"/>
            <w:shd w:fill="FAFAFA" w:val="clear"/>
          </w:tcPr>
          <w:p>
            <w:r>
              <w:rPr>
                <w:sz w:val="17"/>
              </w:rPr>
              <w:t>3,527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225,60 milliards FCFA, ORGT se positionne comme une valeur de premier plan de la cote BRVM, représentant un pilier du compartiment bancaire régional. Le BPA de 312 FCFA par action signifie que chaque titre génère près de 312 FCFA de bénéfice net, ce qui, rapporté au cours actuel de 3 250 FCFA, donne un PER de 10,4x — un niveau modéré et parfaitement dans la moyenne du marché BRVM (8-12x), indiquant que les investisseurs ne paient pas de prime excessive pour les bénéfices. Le P/B de 1,99x montre que le marché valorise l'action à près du double de sa valeur comptable, ce qui reste raisonnable pour une banque en phase de redressement, mais traduit déjà une anticipation de la poursuite de l'amélioration des résultats. En revanche, l'EV/EBITDA de 20,2x apparaît très exigeant (seuil d'alerte &gt;15x), suggérant que la valeur d'entreprise intègre une forte composante de dette (dépôts et dettes interbancaires) et que la capacité opérationnelle actuelle ne justifie pas entièrement cette valorisation — ce ratio doit toutefois être interprété avec prudence dans le secteur bancaire où la notion d'EBITDA est moins pertinente que le PNB.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ORGT affiche une progression modeste de +1,40%, avec une dernière séance en hausse de +0,62%, portant le cours à 3 250 FCFA. Le titre a évolué dans un range large de 1 040 FCFA, entre un plus bas de 2 435 FCFA et un plus haut de 3 475 FCFA, témoignant d'une réelle dynamique haussière sur la période malgré la faiblesse de la variation nette — le cours actuel se situe dans la partie supérieure de ce range, à environ 78% du plus haut. La moyenne (2 909 FCFA) est supérieure à la médiane (2 780 FCFA), ce qui indique une distribution légèrement tirée vers le haut par des pics de cours, confirmée par un skewness positif de 0,279 (distribution symétrique mais avec une queue droite). L'écart-type de 268 FCFA et le coefficient de variation de 9,2% traduisent une dispersion modérée du cours autour de sa moyenne. Le kurtosis de -1,335 (platykurtique) signale une distribution aplatie avec une faible concentration des rendements, donc un risque de pics extrêmes limité — un élément rassurant pour la gestion du risque. Enfin, la volatilité annualisée de 43,0% classe ORGT dans la catégorie des titres à volatilité élevée (&gt;30%), ce qui est cohérent avec une valeur bancaire en phase de redressement et impose une tolérance au risque significative.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(3 225,75 FCFA) et la MM50 (3 015,50 FCFA) se situent toutes deux sous le cours actuel (3 250 FCFA), avec la MM20 au-dessus de la MM50 — configuration haussière classique (croisement doré). Le cours évolue au-dessus de ses deux moyennes, ce qui confirme la dynamique positive et justifie la décision d'ACHAT.</w:t>
      </w:r>
    </w:p>
    <w:p>
      <w:pPr>
        <w:spacing w:after="120" w:line="276" w:lineRule="auto"/>
      </w:pPr>
      <w:r>
        <w:t>**Bandes de Bollinger** : Le cours (3 250 FCFA) se situe entre la borne inférieure (3 059,51 FCFA) et la borne supérieure (3 391,99 FCFA), plus proche de la borne basse que de la borne haute. L'amplitude des bandes (332 FCFA) reflète une volatilité modérée à court terme, et la position du cours dans la partie médiane-basse justifie la décision NEUTRE, sans signal de surachat ni de survente.</w:t>
      </w:r>
    </w:p>
    <w:p>
      <w:pPr>
        <w:spacing w:after="120" w:line="276" w:lineRule="auto"/>
      </w:pPr>
      <w:r>
        <w:t>**MACD** : La valeur du MACD (66,06) est inférieure à son signal (81,44), générant un croisement baissier et une divergence négative. Le momentum haussier s'essouffle, ce qui justifie la décision de VENTE à court terme, bien que la valeur reste positive et éloignée de la ligne zéro.</w:t>
      </w:r>
    </w:p>
    <w:p>
      <w:pPr>
        <w:spacing w:after="120" w:line="276" w:lineRule="auto"/>
      </w:pPr>
      <w:r>
        <w:t>**RSI** : À 56,36, le RSI se situe en zone neutre (30-70), sans signal de surachat (&gt;70) ni de survente (&lt;30). La décision NEUTRE reflète un équilibre entre acheteurs et vendeurs, avec une légère prédominance haussière.</w:t>
      </w:r>
    </w:p>
    <w:p>
      <w:pPr>
        <w:spacing w:after="120" w:line="276" w:lineRule="auto"/>
      </w:pPr>
      <w:r>
        <w:t>**Stochastique** : Le %K (38,78) est légèrement supérieur au %D (36,05), sans croisement net ni signal directionnel fort. Les deux lignes évoluent en zone basse-médiane, ce qui justifie la décision NEUTRE et suggère une absence de momentum clair à court terme.</w:t>
      </w:r>
    </w:p>
    <w:p>
      <w:pPr>
        <w:spacing w:after="120" w:line="276" w:lineRule="auto"/>
      </w:pPr>
      <w:r>
        <w:t>**Conclusion technique** : Les indicateurs sont globalement mitigés — les moyennes mobiles sont haussières (ACHAT), mais le MACD est baissier (VENTE), tandis que le RSI, les Bollinger et le stochastique sont neutres. Cette divergence suggère une phase de consolidation après la hausse récente, avec un potentiel de reprise tant que le cours se maintient au-dessus de la MM50 (3 015 FCFA). La prudence est de mise à court terme, mais la structure technique reste constructive.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ORGT a réalisé un Produit Net Bancaire (PNB, équivalent du chiffre d'affaires pour une banque) de 186,609 milliards FCFA, en baisse de -4,52% par rapport à 2024 (195,436 milliards FCFA), reflétant une contraction volontaire de l'activité de crédit (-12% de portefeuille) dans le cadre d'une stratégie de sélectivité accrue. Le résultat net consolidé s'établit à 21,643 milliards FCFA, en redressement spectaculaire après une perte de -44,363 milliards FCFA en 2024, soit une amélioration de +149%. Cette performance est portée par une réduction drastique du coût net du risque (-90%, à -6,971 milliards FCFA) et une baisse des frais généraux de -12%. Les ratios de rentabilité sont solides : ROE de 19,13% (&gt;15% = excellent), ROA de 0,54%, et un coefficient d'exploitation de 42,85% (&lt;60% = banque efficace, &lt;50% = excellente), confirmant la maîtrise opérationnelle. Le coût du risque rapporté aux charges financières s'élève à 3,74%, un niveau faible qui témoigne d'un portefeuille de crédit assaini. La structure bilancielle montre des dépôts clientèle de 3 088,698 milliards FCFA (principale ressource) contre des créances clientèle de 1 523,765 milliards FCFA, soit un ratio de transformation (crédits/dépôts) de 49,3% — un niveau prudent qui laisse une marge de croissance. Les capitaux propres se renforcent à 113,165 milliards FCFA (+17%), améliorant la solvabilité, bien que l'autonomie financière (2,82%) et le ratio d'endettement (444,94%) restent typiques d'une banque à fort effet de levier. Sur la base du rapport T1 2026 (publié en 2026), le PNB recule de -2% à 50,124 milliards FCFA, mais le résultat net progresse de +37% à 6,555 milliards FCFA, avec des dépôts en hausse de +14% à 3 343 milliards FCFA et des frais généraux en baisse de -44% — on estime donc que l'exercice 2026 devrait confirmer la consolidation du redressement, avec un résultat net annualisé potentiellement supérieur à 25 milliards FCFA si la dynamique se maintient. La recommandation fondamentale est de CONSERVER, avec un biais positif : la solidité financière est restaurée, les risques de crédit sont maîtrisés, mais la relance de la croissance du PNB reste le principal défi.</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modérée avec un PER de 10,4x et un P/B de 1,99x, mais l'EV/EBITDA de 20,2x tempère l'optimisme — le titre n'est ni sous-évalué ni surévalué, mais intègre déjà une partie du redressement. Le comportement du cours (Partie 1) est haussier sur 100 jours (+1,40%) avec une volatilité élevée (43%) et une distribution platykurtique (risque de pics limité), mais la moyenne supérieure à la médiane suggère une tension à la hausse. Les signaux techniques (Partie 2) sont divergents : les moyennes mobiles sont haussières, mais le MACD est baissier, et les autres indicateurs sont neutres — ce qui plaide pour une consolidation avant une nouvelle impulsion. Les fondamentaux (Partie 3) sont en nette amélioration : retour à la rentabilité en 2025 (résultat net de 21,6 milliards FCFA), ROE de 19,1%, coefficient d'exploitation de 42,9%, et confirmation de la tendance au T1 2026 (résultat net +37%). Les prédictions IA (J+1 à J+10) tablent sur une progression très légère de 3 252 à 3 265 FCFA (+0,4% sur 10 jours), ce qui confirme une trajectoire haussière modérée mais sans accélération. Sur la base de cette synthèse, la recommandation finale est **CONSERVER**, avec un niveau de confiance **Moyen** et un risque global **Moyen**. L'horizon d'investissement optimal est le **moyen terme (3-12 mois)**, le temps que la croissance du PNB se matérialise et que les indicateurs techniques convergent vers un signal d'achat plus franc. Un passage à l'ACHAT serait justifié si le PNB renoue avec la croissance et si le MACD se retourne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132.95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3,838 titres</w:t>
            </w:r>
          </w:p>
        </w:tc>
        <w:tc>
          <w:tcPr>
            <w:tcW w:type="dxa" w:w="2268"/>
            <w:shd w:fill="FFF2CC" w:val="clear"/>
          </w:tcPr>
          <w:p>
            <w:r>
              <w:rPr>
                <w:b/>
                <w:color w:val="503200"/>
                <w:sz w:val="16"/>
              </w:rPr>
              <w:t xml:space="preserve">Cours actuel : </w:t>
            </w:r>
            <w:r>
              <w:rPr>
                <w:color w:val="000000"/>
                <w:sz w:val="17"/>
              </w:rPr>
              <w:t>8,600 FCFA</w:t>
            </w:r>
          </w:p>
          <w:p>
            <w:r>
              <w:rPr>
                <w:b/>
                <w:color w:val="503200"/>
                <w:sz w:val="16"/>
              </w:rPr>
              <w:t xml:space="preserve">Var. 100 jours : </w:t>
            </w:r>
            <w:r>
              <w:rPr>
                <w:b/>
                <w:color w:val="007800"/>
                <w:sz w:val="17"/>
              </w:rPr>
              <w:t>+6.70%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μ=8,552 FCFA, σ=564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β=-0.3164 (Contre-cyclique) — Cov=-0.000011, Var(idx)=0.000034, ρ=-0.078,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3,838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8,311</w:t>
            </w:r>
          </w:p>
        </w:tc>
        <w:tc>
          <w:tcPr>
            <w:tcW w:type="dxa" w:w="1440"/>
            <w:shd w:fill="FAFAFA" w:val="clear"/>
          </w:tcPr>
          <w:p>
            <w:r>
              <w:rPr>
                <w:b/>
                <w:sz w:val="17"/>
              </w:rPr>
              <w:t>8,556</w:t>
            </w:r>
          </w:p>
        </w:tc>
        <w:tc>
          <w:tcPr>
            <w:tcW w:type="dxa" w:w="1440"/>
            <w:shd w:fill="FAFAFA" w:val="clear"/>
          </w:tcPr>
          <w:p>
            <w:r>
              <w:rPr>
                <w:sz w:val="17"/>
              </w:rPr>
              <w:t>8,802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8,196</w:t>
            </w:r>
          </w:p>
        </w:tc>
        <w:tc>
          <w:tcPr>
            <w:tcW w:type="dxa" w:w="1440"/>
            <w:shd w:fill="FAFAFA" w:val="clear"/>
          </w:tcPr>
          <w:p>
            <w:r>
              <w:rPr>
                <w:b/>
                <w:sz w:val="17"/>
              </w:rPr>
              <w:t>8,543</w:t>
            </w:r>
          </w:p>
        </w:tc>
        <w:tc>
          <w:tcPr>
            <w:tcW w:type="dxa" w:w="1440"/>
            <w:shd w:fill="FAFAFA" w:val="clear"/>
          </w:tcPr>
          <w:p>
            <w:r>
              <w:rPr>
                <w:sz w:val="17"/>
              </w:rPr>
              <w:t>8,890</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8,100</w:t>
            </w:r>
          </w:p>
        </w:tc>
        <w:tc>
          <w:tcPr>
            <w:tcW w:type="dxa" w:w="1440"/>
            <w:shd w:fill="FAFAFA" w:val="clear"/>
          </w:tcPr>
          <w:p>
            <w:r>
              <w:rPr>
                <w:b/>
                <w:sz w:val="17"/>
              </w:rPr>
              <w:t>8,524</w:t>
            </w:r>
          </w:p>
        </w:tc>
        <w:tc>
          <w:tcPr>
            <w:tcW w:type="dxa" w:w="1440"/>
            <w:shd w:fill="FAFAFA" w:val="clear"/>
          </w:tcPr>
          <w:p>
            <w:r>
              <w:rPr>
                <w:sz w:val="17"/>
              </w:rPr>
              <w:t>8,948</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8,017</w:t>
            </w:r>
          </w:p>
        </w:tc>
        <w:tc>
          <w:tcPr>
            <w:tcW w:type="dxa" w:w="1440"/>
            <w:shd w:fill="FAFAFA" w:val="clear"/>
          </w:tcPr>
          <w:p>
            <w:r>
              <w:rPr>
                <w:b/>
                <w:sz w:val="17"/>
              </w:rPr>
              <w:t>8,506</w:t>
            </w:r>
          </w:p>
        </w:tc>
        <w:tc>
          <w:tcPr>
            <w:tcW w:type="dxa" w:w="1440"/>
            <w:shd w:fill="FAFAFA" w:val="clear"/>
          </w:tcPr>
          <w:p>
            <w:r>
              <w:rPr>
                <w:sz w:val="17"/>
              </w:rPr>
              <w:t>8,994</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2026-09-23</w:t>
            </w:r>
          </w:p>
        </w:tc>
        <w:tc>
          <w:tcPr>
            <w:tcW w:type="dxa" w:w="1440"/>
            <w:shd w:fill="FAFAFA" w:val="clear"/>
          </w:tcPr>
          <w:p>
            <w:r>
              <w:rPr>
                <w:sz w:val="17"/>
              </w:rPr>
              <w:t>7,944</w:t>
            </w:r>
          </w:p>
        </w:tc>
        <w:tc>
          <w:tcPr>
            <w:tcW w:type="dxa" w:w="1440"/>
            <w:shd w:fill="FAFAFA" w:val="clear"/>
          </w:tcPr>
          <w:p>
            <w:r>
              <w:rPr>
                <w:b/>
                <w:sz w:val="17"/>
              </w:rPr>
              <w:t>8,489</w:t>
            </w:r>
          </w:p>
        </w:tc>
        <w:tc>
          <w:tcPr>
            <w:tcW w:type="dxa" w:w="1440"/>
            <w:shd w:fill="FAFAFA" w:val="clear"/>
          </w:tcPr>
          <w:p>
            <w:r>
              <w:rPr>
                <w:sz w:val="17"/>
              </w:rPr>
              <w:t>9,034</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2026-09-24</w:t>
            </w:r>
          </w:p>
        </w:tc>
        <w:tc>
          <w:tcPr>
            <w:tcW w:type="dxa" w:w="1440"/>
            <w:shd w:fill="FAFAFA" w:val="clear"/>
          </w:tcPr>
          <w:p>
            <w:r>
              <w:rPr>
                <w:sz w:val="17"/>
              </w:rPr>
              <w:t>7,877</w:t>
            </w:r>
          </w:p>
        </w:tc>
        <w:tc>
          <w:tcPr>
            <w:tcW w:type="dxa" w:w="1440"/>
            <w:shd w:fill="FAFAFA" w:val="clear"/>
          </w:tcPr>
          <w:p>
            <w:r>
              <w:rPr>
                <w:b/>
                <w:sz w:val="17"/>
              </w:rPr>
              <w:t>8,472</w:t>
            </w:r>
          </w:p>
        </w:tc>
        <w:tc>
          <w:tcPr>
            <w:tcW w:type="dxa" w:w="1440"/>
            <w:shd w:fill="FAFAFA" w:val="clear"/>
          </w:tcPr>
          <w:p>
            <w:r>
              <w:rPr>
                <w:sz w:val="17"/>
              </w:rPr>
              <w:t>9,068</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2026-09-25</w:t>
            </w:r>
          </w:p>
        </w:tc>
        <w:tc>
          <w:tcPr>
            <w:tcW w:type="dxa" w:w="1440"/>
            <w:shd w:fill="FAFAFA" w:val="clear"/>
          </w:tcPr>
          <w:p>
            <w:r>
              <w:rPr>
                <w:sz w:val="17"/>
              </w:rPr>
              <w:t>7,814</w:t>
            </w:r>
          </w:p>
        </w:tc>
        <w:tc>
          <w:tcPr>
            <w:tcW w:type="dxa" w:w="1440"/>
            <w:shd w:fill="FAFAFA" w:val="clear"/>
          </w:tcPr>
          <w:p>
            <w:r>
              <w:rPr>
                <w:b/>
                <w:sz w:val="17"/>
              </w:rPr>
              <w:t>8,456</w:t>
            </w:r>
          </w:p>
        </w:tc>
        <w:tc>
          <w:tcPr>
            <w:tcW w:type="dxa" w:w="1440"/>
            <w:shd w:fill="FAFAFA" w:val="clear"/>
          </w:tcPr>
          <w:p>
            <w:r>
              <w:rPr>
                <w:sz w:val="17"/>
              </w:rPr>
              <w:t>9,099</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2026-09-28</w:t>
            </w:r>
          </w:p>
        </w:tc>
        <w:tc>
          <w:tcPr>
            <w:tcW w:type="dxa" w:w="1440"/>
            <w:shd w:fill="FAFAFA" w:val="clear"/>
          </w:tcPr>
          <w:p>
            <w:r>
              <w:rPr>
                <w:sz w:val="17"/>
              </w:rPr>
              <w:t>7,755</w:t>
            </w:r>
          </w:p>
        </w:tc>
        <w:tc>
          <w:tcPr>
            <w:tcW w:type="dxa" w:w="1440"/>
            <w:shd w:fill="FAFAFA" w:val="clear"/>
          </w:tcPr>
          <w:p>
            <w:r>
              <w:rPr>
                <w:b/>
                <w:sz w:val="17"/>
              </w:rPr>
              <w:t>8,441</w:t>
            </w:r>
          </w:p>
        </w:tc>
        <w:tc>
          <w:tcPr>
            <w:tcW w:type="dxa" w:w="1440"/>
            <w:shd w:fill="FAFAFA" w:val="clear"/>
          </w:tcPr>
          <w:p>
            <w:r>
              <w:rPr>
                <w:sz w:val="17"/>
              </w:rPr>
              <w:t>9,126</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7,700</w:t>
            </w:r>
          </w:p>
        </w:tc>
        <w:tc>
          <w:tcPr>
            <w:tcW w:type="dxa" w:w="1440"/>
            <w:shd w:fill="FFDCE0" w:val="clear"/>
          </w:tcPr>
          <w:p>
            <w:r>
              <w:rPr>
                <w:b/>
                <w:sz w:val="17"/>
              </w:rPr>
              <w:t>8,425</w:t>
            </w:r>
          </w:p>
        </w:tc>
        <w:tc>
          <w:tcPr>
            <w:tcW w:type="dxa" w:w="1440"/>
            <w:shd w:fill="FFDCE0" w:val="clear"/>
          </w:tcPr>
          <w:p>
            <w:r>
              <w:rPr>
                <w:sz w:val="17"/>
              </w:rPr>
              <w:t>9,151</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7,647</w:t>
            </w:r>
          </w:p>
        </w:tc>
        <w:tc>
          <w:tcPr>
            <w:tcW w:type="dxa" w:w="1440"/>
            <w:shd w:fill="FFDCE0" w:val="clear"/>
          </w:tcPr>
          <w:p>
            <w:r>
              <w:rPr>
                <w:b/>
                <w:sz w:val="17"/>
              </w:rPr>
              <w:t>8,410</w:t>
            </w:r>
          </w:p>
        </w:tc>
        <w:tc>
          <w:tcPr>
            <w:tcW w:type="dxa" w:w="1440"/>
            <w:shd w:fill="FFDCE0" w:val="clear"/>
          </w:tcPr>
          <w:p>
            <w:r>
              <w:rPr>
                <w:sz w:val="17"/>
              </w:rPr>
              <w:t>9,174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132,95 milliards FCFA, PALC se positionne parmi les valeurs de taille intermédiaire à supérieure de la cote BRVM, ce qui lui confère une certaine liquidité relative mais aussi une sensibilité accrue aux flux institutionnels. Le BPA de 1 003 FCFA/action signifie que chaque titre génère environ 1 003 FCFA de bénéfice net, un niveau confortable qui, rapporté au cours actuel de 8 600 FCFA, donne un PER de 8,6x — soit légèrement inférieur à la moyenne BRVM (8-12x), suggérant que le marché ne paie pas cher pour les bénéfices de la société, voire qu'il intègre une décote de risque. Le P/B de 0,93x est particulièrement notable : le marché valorise PALC en dessous de sa valeur comptable (capitaux propres de 142,6 Mds FCFA pour une capitalisation de 133 Mds FCFA), ce qui constitue historiquement un signal d'opportunité potentielle, surtout pour une entreprise dont l'autonomie financière atteint 71,6%. Enfin, l'EV/EBITDA de 4,2x, très inférieur au seuil de 5x, indique que la valeur d'entreprise (dette incluse) reste modérée au regard de la capacité opérationnelle de génération de cash-flow, renforçant l'hypothèse d'une sous-évaluation relative malgré les pressions récentes sur les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totale positive de +6,70%, avec une dernière séance (J-1) stable à +0,00%, traduisant une phase de consolidation après la progression. Le cours actuel de 8 600 FCFA se situe dans un range de trading de 2 640 FCFA, entre un plus bas de 7 000 FCFA et un plus haut de 9 640 FCFA, ce qui témoigne d'une amplitude significative et d'une tendance générale haussière mais avec des corrections marquées. La moyenne de 8 552 FCFA est légèrement inférieure à la médiane de 8 690 FCFA, ce qui indique une distribution asymétrique à gauche (skewness de -0,441 confirmant cette symétrie approximative avec une légère queue vers les valeurs basses), signifiant que le cours a passé plus de temps au-dessus de sa moyenne qu'en dessous. L'écart-type de 567 FCFA et le coefficient de variation de 6,6% révèlent une dispersion modérée du cours autour de sa moyenne, tandis que le kurtosis de -0,398 (mésokurtique) suggère une distribution proche de la normale, sans risque excessif de pics extrêmes. La volatilité annualisée de 37,7% classe le titre dans la catégorie des valeurs à volatilité élevée (&gt;30%), ce qui implique un risque de marché non négligeable et justifie une approche d'investissement prudente avec un horizon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(9 005,5 FCFA) et la MM50 (8 930,4 FCFA) se situent toutes deux au-dessus du cours actuel (8 600 FCFA), ce qui place le titre en position baissière à court terme par rapport à ses moyennes. Cependant, la MM20 étant supérieure à la MM50, la configuration reste celle d'un croisement haussier antérieur, justifiant la décision "Achat" malgré le repli actuel. Le cours devra reconquérir la zone des 8 930-9 005 FCFA pour confirmer un retournement durable.</w:t>
      </w:r>
    </w:p>
    <w:p>
      <w:pPr>
        <w:spacing w:after="120" w:line="276" w:lineRule="auto"/>
      </w:pPr>
      <w:r>
        <w:t>**Bandes de Bollinger** : Le cours actuel (8 600 FCFA) se situe dans la partie basse de la bande, entre la borne inférieure (8 091,5 FCFA) et la borne supérieure (9 919,5 FCFA), sans atteindre les extrêmes. Cette position médiane-basse, couplée à une largeur de bande importante (1 828 FCFA), traduit une volatilité élevée mais sans signal de survente ou de surachat, justifiant la décision "Neutre". Un rebond vers la borne médiane (≈9 005 FCFA) serait un premier signe de reprise.</w:t>
      </w:r>
    </w:p>
    <w:p>
      <w:pPr>
        <w:spacing w:after="120" w:line="276" w:lineRule="auto"/>
      </w:pPr>
      <w:r>
        <w:t>**MACD** : La valeur du MACD (-158,99) est nettement inférieure à son signal (-92,04), confirmant une divergence baissière et un momentum négatif. Cette configuration, bien que défavorable à court terme, peut aussi annoncer une phase de retournement si un croisement haussier se produit dans les prochaines séances. La décision "Vente" reflète cette pression baissière actuelle, mais elle doit être pondérée par les autres indicateurs.</w:t>
      </w:r>
    </w:p>
    <w:p>
      <w:pPr>
        <w:spacing w:after="120" w:line="276" w:lineRule="auto"/>
      </w:pPr>
      <w:r>
        <w:t>**RSI** : À 37,92, le RSI se situe dans la zone neutre basse (30-70), sans atteindre le seuil de survente (30). Cela indique que le titre n'est pas encore techniquement survendu, mais qu'il s'approche d'une zone où les acheteurs pourraient revenir. La décision "Neutre" est cohérente avec cette position intermédiaire, laissant présager un potentiel de rebond modéré.</w:t>
      </w:r>
    </w:p>
    <w:p>
      <w:pPr>
        <w:spacing w:after="120" w:line="276" w:lineRule="auto"/>
      </w:pPr>
      <w:r>
        <w:t>**Stochastique** : Les valeurs %K et %D sont identiques à 27,27, ce qui signifie qu'il n'y a pas de croisement récent entre les deux lignes. Cette position dans la zone basse (proche de 20) suggère une pression vendeuse persistante mais un potentiel de retournement à court terme si un croisement haussier se matérialise. La décision "Neutre" reflète cette attente.</w:t>
      </w:r>
    </w:p>
    <w:p>
      <w:pPr>
        <w:spacing w:after="120" w:line="276" w:lineRule="auto"/>
      </w:pPr>
      <w:r>
        <w:t>**Conclusion technique** : Les indicateurs techniques sont majoritairement neutres à baissiers (MACD vendeur, RSI et Stochastique neutres, cours sous les MM), mais la configuration des moyennes mobiles (MM20 &gt; MM50) et la position basse du cours dans les bandes de Bollinger laissent entrevoir un potentiel de rebond. La convergence des signaux n'est pas suffisante pour un signal d'achat fort, mais elle plaide pour une surveillance active avec un biais haussier modéré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PALC a réalisé un chiffre d'affaires de 197,63 milliards FCFA, en croissance de +14,78% par rapport à 2024 (172,2 Mds FCFA), portée principalement par les ventes de produits fabriqués (+10,2%) et les produits accessoires (+56,6%). Le résultat net s'établit à 15,51 milliards FCFA, en léger recul de -2,2% par rapport à 2024 (15,86 Mds FCFA), avec une marge nette de 7,85% (contre 9,2% en 2024). Le ROE ressort à 10,87% (inférieur au seuil d'excellence de 15%) et le ROA à 7,79%, reflétant une rentabilité correcte mais sous pression. La structure financière reste très solide : capitaux propres de 142,64 Mds FCFA, autonomie financière de 71,64%, endettement financier quasi nul (796,56 M FCFA de dettes financières totales), et liquidité générale de 171,95%. Le BFR est négatif à -44,62 Mds FCFA (favorable), mais le délai client de 142,58 jours constitue un point de vigilance majeur pour la trésorerie, tandis que la trésorerie nette est négative à -4,56 Mds FCFA.</w:t>
      </w:r>
    </w:p>
    <w:p>
      <w:pPr>
        <w:spacing w:after="120" w:line="276" w:lineRule="auto"/>
      </w:pPr>
      <w:r>
        <w:t>**Estimations basées sur les rapports trimestriels** : Le rapport T1 2026 (publié en 2026) fait état d'un chiffre d'affaires en baisse de -27% à 49,4 Mds FCFA (contre 67,5 Mds au T1 2025) et d'un résultat net en chute de -86% à 1,6 Mds FCFA (contre 11,6 Mds au T1 2025), avec une marge nette de seulement 3,2%. La direction attribue cette contre-performance à un décalage temporel des ventes et anticipe un redressement progressif avec l'écoulement des stocks à l'export. Sur la base de ce T1 2026 très dégradé, on estime que l'exercice 2026 pourrait afficher un résultat net nettement inférieur à celui de 2025 si la reprise attendue ne se matérialise pas dès le T2. À l'inverse, le rapport S1 2025 (publié en 2025) montrait une marge nette de 17,0% et un résultat net de 22,9 Mds FCFA, illustrant la forte volatilité des performances trimestrielles. Le rapport annuel 2024 (publié en 2024) soulignait déjà les défis concurrentiels (concurrence asiatique subventionnée) et la volatilité des cours de l'huile de palme.</w:t>
      </w:r>
    </w:p>
    <w:p>
      <w:pPr>
        <w:spacing w:after="120" w:line="276" w:lineRule="auto"/>
      </w:pPr>
      <w:r>
        <w:t>**Recommandation fondamentale** : PALC demeure un acteur solide de l'agro-industrie ouest-africaine, avec une structure financière saine et une position dominante sur le marché ivoirien. Cependant, la dégradation récente des marges (marge nette passée de 9,2% en 2024 à 7,85% en 2025, puis 3,2% au T1 2026) et la chute du résultat net au T1 2026 constituent des signaux préoccupants. La valorisation attractive (PER 8,6x, P/B 0,93x) intègre probablement ces risques. La recommandation fondamentale est de **conserver** le titre avec une surveillance active des prochains trimestres, en particulier l'écoulement des stocks et l'évolution des cours de l'huile de palme.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les ratios PER (8,6x), P/B (0,93x) et EV/EBITDA (4,2x) indiquent une sous-évaluation relative, avec une décote par rapport à la valeur comptable et une capacité opérationnelle bon marché. **Comportement du cours (Partie 1)** : la tendance haussière sur 100 jours (+6,70%) est tempérée par une volatilité élevée (37,7%) et une distribution asymétrique à gauche, ce qui suggère des corrections fréquentes mais un support autour de 8 000-8 500 FCFA. **Signaux techniques (Partie 2)** : les indicateurs sont majoritairement neutres à baissiers (MACD vendeur, cours sous les MM), mais la configuration MM20 &gt; MM50 et la position basse dans les bandes de Bollinger laissent entrevoir un potentiel de rebond. **Fondamentaux (Partie 3)** : la solidité financière (autonomie de 71,6%, endettement quasi nul) contraste avec la dégradation des marges et la chute du résultat net au T1 2026 (-86%), ce qui pèse sur les perspectives à court terme. **Prédictions IA (J+1 à J+10)** : la trajectoire prévue (8 556 → 8 489 FCFA) est légèrement baissière, confirmant la pression technique actuelle mais sans effondrement, ce qui est cohérent avec un scénario de consolidation.</w:t>
      </w:r>
    </w:p>
    <w:p>
      <w:pPr>
        <w:spacing w:after="120" w:line="276" w:lineRule="auto"/>
      </w:pPr>
      <w:r>
        <w:t>**Recommandation finale : CONSERVER** — Justification : la convergence entre une valorisation attractive (sous-évaluation), des fondamentaux solides mais sous pression, et des signaux techniques neutres à baissiers ne justifie ni un achat agressif (risque de nouvelle dégradation au T2 2026) ni une vente (potentiel de rebond et décote excessive). Le niveau de confiance est **Moyen**, car les données du T1 2026 sont préoccupantes mais la direction anticipe un redressement. Le niveau de risque global est **Moyen à Élevé**, en raison de la volatilité du titre (37,7%) et de la dépendance aux cours de l'huile de palme. L'horizon d'investissement optimal est le **moyen terme (3-12 mois)**, avec une surveillance trimestrielle des marges, de la trésorerie et des cours des matières premières. Un passage à l'achat serait justifié si le T2 2026 confirme le redressement des ventes et des marges, tandis qu'une vente serait envisagée si la trésorerie se dégradait davantage ou si les coûts opérationnels continuaient d'augmenter.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1,144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B40000"/>
                <w:sz w:val="17"/>
              </w:rPr>
              <w:t>-9.09%</w:t>
            </w:r>
          </w:p>
          <w:p>
            <w:r>
              <w:rPr>
                <w:b/>
                <w:color w:val="503200"/>
                <w:sz w:val="16"/>
              </w:rPr>
              <w:t xml:space="preserve">Plus haut 100j : </w:t>
            </w:r>
            <w:r>
              <w:rPr>
                <w:color w:val="000000"/>
                <w:sz w:val="17"/>
              </w:rPr>
              <w:t>4,895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μ=4,378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β=-0.1872 (Contre-cyclique) — Cov=-0.000006, Var(idx)=0.000034, ρ=-0.045,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4,319</w:t>
            </w:r>
          </w:p>
        </w:tc>
        <w:tc>
          <w:tcPr>
            <w:tcW w:type="dxa" w:w="1440"/>
            <w:shd w:fill="FAFAFA" w:val="clear"/>
          </w:tcPr>
          <w:p>
            <w:r>
              <w:rPr>
                <w:b/>
                <w:sz w:val="17"/>
              </w:rPr>
              <w:t>4,408</w:t>
            </w:r>
          </w:p>
        </w:tc>
        <w:tc>
          <w:tcPr>
            <w:tcW w:type="dxa" w:w="1440"/>
            <w:shd w:fill="FAFAFA" w:val="clear"/>
          </w:tcPr>
          <w:p>
            <w:r>
              <w:rPr>
                <w:sz w:val="17"/>
              </w:rPr>
              <w:t>4,497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4,272</w:t>
            </w:r>
          </w:p>
        </w:tc>
        <w:tc>
          <w:tcPr>
            <w:tcW w:type="dxa" w:w="1440"/>
            <w:shd w:fill="FAFAFA" w:val="clear"/>
          </w:tcPr>
          <w:p>
            <w:r>
              <w:rPr>
                <w:b/>
                <w:sz w:val="17"/>
              </w:rPr>
              <w:t>4,398</w:t>
            </w:r>
          </w:p>
        </w:tc>
        <w:tc>
          <w:tcPr>
            <w:tcW w:type="dxa" w:w="1440"/>
            <w:shd w:fill="FAFAFA" w:val="clear"/>
          </w:tcPr>
          <w:p>
            <w:r>
              <w:rPr>
                <w:sz w:val="17"/>
              </w:rPr>
              <w:t>4,523</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4,228</w:t>
            </w:r>
          </w:p>
        </w:tc>
        <w:tc>
          <w:tcPr>
            <w:tcW w:type="dxa" w:w="1440"/>
            <w:shd w:fill="FAFAFA" w:val="clear"/>
          </w:tcPr>
          <w:p>
            <w:r>
              <w:rPr>
                <w:b/>
                <w:sz w:val="17"/>
              </w:rPr>
              <w:t>4,382</w:t>
            </w:r>
          </w:p>
        </w:tc>
        <w:tc>
          <w:tcPr>
            <w:tcW w:type="dxa" w:w="1440"/>
            <w:shd w:fill="FAFAFA" w:val="clear"/>
          </w:tcPr>
          <w:p>
            <w:r>
              <w:rPr>
                <w:sz w:val="17"/>
              </w:rPr>
              <w:t>4,535</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4,190</w:t>
            </w:r>
          </w:p>
        </w:tc>
        <w:tc>
          <w:tcPr>
            <w:tcW w:type="dxa" w:w="1440"/>
            <w:shd w:fill="FAFAFA" w:val="clear"/>
          </w:tcPr>
          <w:p>
            <w:r>
              <w:rPr>
                <w:b/>
                <w:sz w:val="17"/>
              </w:rPr>
              <w:t>4,366</w:t>
            </w:r>
          </w:p>
        </w:tc>
        <w:tc>
          <w:tcPr>
            <w:tcW w:type="dxa" w:w="1440"/>
            <w:shd w:fill="FAFAFA" w:val="clear"/>
          </w:tcPr>
          <w:p>
            <w:r>
              <w:rPr>
                <w:sz w:val="17"/>
              </w:rPr>
              <w:t>4,543</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4,156</w:t>
            </w:r>
          </w:p>
        </w:tc>
        <w:tc>
          <w:tcPr>
            <w:tcW w:type="dxa" w:w="1440"/>
            <w:shd w:fill="FFDCE0" w:val="clear"/>
          </w:tcPr>
          <w:p>
            <w:r>
              <w:rPr>
                <w:b/>
                <w:sz w:val="17"/>
              </w:rPr>
              <w:t>4,352</w:t>
            </w:r>
          </w:p>
        </w:tc>
        <w:tc>
          <w:tcPr>
            <w:tcW w:type="dxa" w:w="1440"/>
            <w:shd w:fill="FFDCE0" w:val="clear"/>
          </w:tcPr>
          <w:p>
            <w:r>
              <w:rPr>
                <w:sz w:val="17"/>
              </w:rPr>
              <w:t>4,548</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4,124</w:t>
            </w:r>
          </w:p>
        </w:tc>
        <w:tc>
          <w:tcPr>
            <w:tcW w:type="dxa" w:w="1440"/>
            <w:shd w:fill="FFDCE0" w:val="clear"/>
          </w:tcPr>
          <w:p>
            <w:r>
              <w:rPr>
                <w:b/>
                <w:sz w:val="17"/>
              </w:rPr>
              <w:t>4,339</w:t>
            </w:r>
          </w:p>
        </w:tc>
        <w:tc>
          <w:tcPr>
            <w:tcW w:type="dxa" w:w="1440"/>
            <w:shd w:fill="FFDCE0" w:val="clear"/>
          </w:tcPr>
          <w:p>
            <w:r>
              <w:rPr>
                <w:sz w:val="17"/>
              </w:rPr>
              <w:t>4,553</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4,095</w:t>
            </w:r>
          </w:p>
        </w:tc>
        <w:tc>
          <w:tcPr>
            <w:tcW w:type="dxa" w:w="1440"/>
            <w:shd w:fill="FFDCE0" w:val="clear"/>
          </w:tcPr>
          <w:p>
            <w:r>
              <w:rPr>
                <w:b/>
                <w:sz w:val="17"/>
              </w:rPr>
              <w:t>4,326</w:t>
            </w:r>
          </w:p>
        </w:tc>
        <w:tc>
          <w:tcPr>
            <w:tcW w:type="dxa" w:w="1440"/>
            <w:shd w:fill="FFDCE0" w:val="clear"/>
          </w:tcPr>
          <w:p>
            <w:r>
              <w:rPr>
                <w:sz w:val="17"/>
              </w:rPr>
              <w:t>4,557</w:t>
            </w:r>
          </w:p>
        </w:tc>
        <w:tc>
          <w:tcPr>
            <w:tcW w:type="dxa" w:w="1440"/>
            <w:shd w:fill="FFDCE0" w:val="clear"/>
          </w:tcPr>
          <w:p>
            <w:r>
              <w:rPr>
                <w:b/>
                <w:color w:val="C00000"/>
                <w:sz w:val="17"/>
              </w:rPr>
              <w:t>-2.8%</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4,067</w:t>
            </w:r>
          </w:p>
        </w:tc>
        <w:tc>
          <w:tcPr>
            <w:tcW w:type="dxa" w:w="1440"/>
            <w:shd w:fill="FFDCE0" w:val="clear"/>
          </w:tcPr>
          <w:p>
            <w:r>
              <w:rPr>
                <w:b/>
                <w:sz w:val="17"/>
              </w:rPr>
              <w:t>4,313</w:t>
            </w:r>
          </w:p>
        </w:tc>
        <w:tc>
          <w:tcPr>
            <w:tcW w:type="dxa" w:w="1440"/>
            <w:shd w:fill="FFDCE0" w:val="clear"/>
          </w:tcPr>
          <w:p>
            <w:r>
              <w:rPr>
                <w:sz w:val="17"/>
              </w:rPr>
              <w:t>4,560</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4,041</w:t>
            </w:r>
          </w:p>
        </w:tc>
        <w:tc>
          <w:tcPr>
            <w:tcW w:type="dxa" w:w="1440"/>
            <w:shd w:fill="FFDCE0" w:val="clear"/>
          </w:tcPr>
          <w:p>
            <w:r>
              <w:rPr>
                <w:b/>
                <w:sz w:val="17"/>
              </w:rPr>
              <w:t>4,301</w:t>
            </w:r>
          </w:p>
        </w:tc>
        <w:tc>
          <w:tcPr>
            <w:tcW w:type="dxa" w:w="1440"/>
            <w:shd w:fill="FFDCE0" w:val="clear"/>
          </w:tcPr>
          <w:p>
            <w:r>
              <w:rPr>
                <w:sz w:val="17"/>
              </w:rPr>
              <w:t>4,562</w:t>
            </w:r>
          </w:p>
        </w:tc>
        <w:tc>
          <w:tcPr>
            <w:tcW w:type="dxa" w:w="1440"/>
            <w:shd w:fill="FFDCE0" w:val="clear"/>
          </w:tcPr>
          <w:p>
            <w:r>
              <w:rPr>
                <w:b/>
                <w:color w:val="C00000"/>
                <w:sz w:val="17"/>
              </w:rPr>
              <w:t>-3.3%</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4,016</w:t>
            </w:r>
          </w:p>
        </w:tc>
        <w:tc>
          <w:tcPr>
            <w:tcW w:type="dxa" w:w="1440"/>
            <w:shd w:fill="FFDCE0" w:val="clear"/>
          </w:tcPr>
          <w:p>
            <w:r>
              <w:rPr>
                <w:b/>
                <w:sz w:val="17"/>
              </w:rPr>
              <w:t>4,290</w:t>
            </w:r>
          </w:p>
        </w:tc>
        <w:tc>
          <w:tcPr>
            <w:tcW w:type="dxa" w:w="1440"/>
            <w:shd w:fill="FFDCE0" w:val="clear"/>
          </w:tcPr>
          <w:p>
            <w:r>
              <w:rPr>
                <w:sz w:val="17"/>
              </w:rPr>
              <w:t>4,564</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45,57 milliards FCFA, PRSC se positionne comme une valeur de taille intermédiaire sur le compartiment des entreprises non bancaires de la BRVM, représentant une capitalisation modeste à l'échelle régionale mais significative dans le secteur de la distribution automobile. Le BPA de 231 FCFA/action signifie que chaque titre génère près de 231 FCFA de bénéfice net, ce qui, rapporté au cours actuel de 4 450 FCFA, donne un PER de 19,2x — nettement supérieur à la moyenne BRVM (8-12x), indiquant que les investisseurs paient une prime significative pour les bénéfices de la société, ce qui suggère une valorisation tendue plutôt qu'une sous-évaluation. Le P/B de 3,95x confirme cette lecture : le marché valorise PRSC à près de quatre fois sa valeur comptable (capitaux propres de 11,53 Mds FCFA), une prime de croissance qui n'est justifiée que si la rentabilité future progresse sensiblement. Enfin, l'EV/EBITDA de 9,8x, bien que dans la fourchette raisonnable de 5-10x, se situe dans le haut de cette fourchette, reflétant une valeur d'entreprise qui intègre déjà une bonne partie du potentiel opérationnel actuel.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-9,09%, matérialisant une tendance baissière de fond, bien que la dernière séance (J-1) affiche un rebond marginal de +0,68% à 4 450 FCFA. Le range de trading est particulièrement large, avec un plus haut à 4 895 FCFA et un plus bas à 3 620 FCFA, soit un écart de 1 275 FCFA (35% du plus bas), traduisant une forte amplitude de négociation et une nervosité des investisseurs. La moyenne des 100 jours s'établit à 4 378 FCFA, légèrement en dessous de la médiane (4 442 FCFA) et du cours actuel, ce qui indique que le titre a passé plus de temps au-dessus de sa moyenne qu'en dessous — cohérent avec le skewness négatif de -1,171 signalant une asymétrie où les journées de hausse sont plus fréquentes mais de moindre amplitude que les journées de baisse. L'écart-type de 290 FCFA (CV de 6,6%) révèle une dispersion modérée autour de la moyenne, tandis que le kurtosis de 0,955 (mésokurtique) suggère une distribution proche de la normale, sans risque extrême de pics violents. La volatilité annualisée de 38,7% classe le titre dans la catégorie des valeurs à volatilité élevée (&gt;30%), ce qui implique un risque de prix significatif pour les investisseurs à court terme. Le volume moyen de 1 144 titres/jour reste modeste, limitant la liquidité et pouvant amplifier les mouvements de prix.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(4 437,75 FCFA) et la MM50 (4 459,30 FCFA) encadrent le cours actuel (4 450 FCFA), avec un cours légèrement au-dessus de la MM20 mais en dessous de la MM50. Cette configuration indique une pression baissière persistante à moyen terme, la MM50 faisant office de résistance dynamique. La décision technique est donc logiquement **Vente**, le croisement des moyennes n'ayant pas encore produit de signal haussier.</w:t>
      </w:r>
    </w:p>
    <w:p>
      <w:pPr>
        <w:spacing w:after="120" w:line="276" w:lineRule="auto"/>
      </w:pPr>
      <w:r>
        <w:t>**Bandes de Bollinger** : Le cours (4 450 FCFA) évolue dans la partie médiane de la bande, entre la borne inférieure (4 320,17 FCFA) et la borne supérieure (4 555,33 FCFA), à environ 56% de la largeur de la bande. Cette position centrale, couplée à un rétrécissement des bandes (largeur de 235 FCFA), traduit une phase de consolidation sans direction claire. La décision est **Neutre**, le marché attendant un catalyseur pour sortir de cette zone.</w:t>
      </w:r>
    </w:p>
    <w:p>
      <w:pPr>
        <w:spacing w:after="120" w:line="276" w:lineRule="auto"/>
      </w:pPr>
      <w:r>
        <w:t>**MACD** : La valeur du MACD (-15,8) est légèrement supérieure à son signal (-16,545), générant un croisement haussier marginal. Cet écart positif, bien que faible, indique un essoufflement de la dynamique baissière et un possible début de retournement. La décision **Achat** est justifiée par ce croisement, mais la faiblesse de l'écart invite à la prudence.</w:t>
      </w:r>
    </w:p>
    <w:p>
      <w:pPr>
        <w:spacing w:after="120" w:line="276" w:lineRule="auto"/>
      </w:pPr>
      <w:r>
        <w:t>**RSI** : À 42,636, le RSI se situe en zone neutre (30-70), sans signal de surachat ni de survente. Cette valeur, proche de la borne basse de la zone neutre, suggère que le titre n'est ni surévalué ni survendu, mais conserve un léger biais baissier. La décision **Neutre** est cohérente avec cette absence de signal directionnel fort.</w:t>
      </w:r>
    </w:p>
    <w:p>
      <w:pPr>
        <w:spacing w:after="120" w:line="276" w:lineRule="auto"/>
      </w:pPr>
      <w:r>
        <w:t>**Stochastique** : Le %K (68,966) est nettement supérieur au %D (39,121), avec un croisement haussier récent. Cette configuration indique une accélération de la dynamique positive à court terme, le %K en zone haute (proche de 70) signalant une pression acheteuse. La décision **Neutre** reflète toutefois le risque de surachat à court terme si le %K dépasse 80.</w:t>
      </w:r>
    </w:p>
    <w:p>
      <w:pPr>
        <w:spacing w:after="120" w:line="276" w:lineRule="auto"/>
      </w:pPr>
      <w:r>
        <w:t>**Conclusion technique** : Les indicateurs présentent un tableau mitigé. Si le MACD et le stochastique émettent des signaux haussiers à court terme, les moyennes mobiles (décision Vente) et le RSI (Neutre) tempèrent cet optimisme. La configuration des bandes de Bollinger confirme une phase de consolidation sans tendance claire. Le titre se trouve à un point d'inflexion technique, avec un potentiel de rebond à court terme mais une structure de fond encore fragile.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PRSC (Tractafric Motors Côte d'Ivoire) affichent un chiffre d'affaires de 81,127 milliards FCFA, en croissance de 8,64% par rapport à 2024 (74,45 milliards FCFA selon le rapport Mistral du 30/03/2026), confirmant la dynamique commerciale positive de la société. Le résultat net s'établit à 2,367 milliards FCFA, en légère hausse par rapport aux 2,177 milliards de 2024, mais la marge nette reste faible à 2,92%, reflétant la pression sur les coûts dans un secteur de distribution à faibles marges. Le ROE de 20,53% est excellent (&gt;15%), témoignant d'une bonne rentabilité des fonds propres, tandis que le ROA de 4,95% reste modéré, conséquence d'un total actif élevé (47,836 milliards FCFA) dominé par les stocks (26,334 milliards FCFA) et les créances clients (10,364 milliards FCFA). En tant qu'entreprise non bancaire, l'analyse des délais d'exploitation est cruciale : le délai clients de 45,99 jours est modéré mais constitue un risque de trésorerie, tandis que le délai fournisseurs de 102,65 jours est favorable (financement gratuit), et la durée de stockage de 150,51 jours est élevée, immobilisant du capital. Le BFR de 11,267 milliards FCFA est positif (défavorable), et la trésorerie nette est négative à -4,092 milliards FCFA, signalant une tension de liquidité. L'autonomie financière de 24,10% est inférieure au seuil sain de 30%, et le ratio d'endettement de 314,86% (dettes totales/capitaux propres) est préoccupant, bien que la capacité de remboursement de 1,83 an et la couverture des intérêts de 1585% rassurent sur la solvabilité. Les rapports trimestriels (S1 2025, analysé manuellement le 15/03/2026) indiquent un CA de 39,968 milliards FCFA (+15,1%) et un résultat net de 1,436 milliard FCFA (×28 vs S1 2024), suggérant une accélération de la rentabilité au premier semestre. Sur cette base, on estime que l'exercice 2026 pourrait afficher un CA supérieur à 85 milliards FCFA et un résultat net en progression vers 2,5-2,8 milliards FCFA, sous réserve de la confirmation de la tendance au second semestre. La recommandation fondamentale est **Conserver**, la solidité du modèle commercial et l'amélioration de la rentabilité étant contrebalancées par une structure financière tendue et une marge nette structurellement faible.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PRSC. La valorisation (Partie 0) est tendue : le PER de 19,2x et le P/B de 3,95x indiquent que le marché intègre déjà une prime de croissance significative, limitant le potentiel d'appréciation à court terme. Le comportement du cours (Partie 1) est préoccupant : la tendance baissière de -9,09% sur 100 jours, la volatilité élevée de 38,7% et le skewness négatif de -1,171 signalent un risque de prix important, bien que le kurtosis mésokurtique (0,955) écarte le risque de krach brutal. Les signaux techniques (Partie 2) sont divergents : le MACD et le stochastique émettent des signaux haussiers à court terme, mais les moyennes mobiles (Vente) et le RSI (Neutre) maintiennent une pression baissière, la configuration des bandes de Bollinger confirmant une phase de consolidation. Les fondamentaux (Partie 3) sont mitigés : la croissance du CA (+8,64% en 2025) et le ROE élevé (20,53%) sont des atouts, mais la marge nette faible (2,92%), la trésorerie nette négative (-4,092 Mds FCFA) et l'endettement élevé (314,86%) constituent des risques majeurs. Les prédictions IA (J+1 à J+10) anticipent une trajectoire baissière progressive de 4 408 FCFA à 4 352 FCFA, confirmant la pression baissière à court terme et contredisant les signaux haussiers du MACD et du stochastique. Sur la base de cette synthèse, la recommandation finale est **CONSERVER**, avec un niveau de confiance **Moyen** et un risque global **Élevé**. La convergence entre la valorisation tendue, la tendance baissière du cours, les signaux techniques divergents et les fondamentaux mitigés ne justifie ni un achat agressif ni une vente précipitée. L'horizon d'investissement optimal est le **moyen terme (3-12 mois)**, en attendant la confirmation de l'amélioration de la rentabilité au second semestre 2026 et une clarification de la politique de dividende (209 FCFA/action proposé à l'AG du 30/06/2026, soit un rendement de 4,7% au cours actuel). Une surveillance étroite des indicateurs de trésorerie et de la marge nette est impérative avant d'envisager un renforcement de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8,835 titres</w:t>
            </w:r>
          </w:p>
        </w:tc>
        <w:tc>
          <w:tcPr>
            <w:tcW w:type="dxa" w:w="2268"/>
            <w:shd w:fill="FFF2CC" w:val="clear"/>
          </w:tcPr>
          <w:p>
            <w:r>
              <w:rPr>
                <w:b/>
                <w:color w:val="503200"/>
                <w:sz w:val="16"/>
              </w:rPr>
              <w:t xml:space="preserve">Cours actuel : </w:t>
            </w:r>
            <w:r>
              <w:rPr>
                <w:color w:val="000000"/>
                <w:sz w:val="17"/>
              </w:rPr>
              <w:t>4,985 FCFA</w:t>
            </w:r>
          </w:p>
          <w:p>
            <w:r>
              <w:rPr>
                <w:b/>
                <w:color w:val="503200"/>
                <w:sz w:val="16"/>
              </w:rPr>
              <w:t xml:space="preserve">Var. 100 jours : </w:t>
            </w:r>
            <w:r>
              <w:rPr>
                <w:b/>
                <w:color w:val="B40000"/>
                <w:sz w:val="17"/>
              </w:rPr>
              <w:t>-13.30%</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79.2%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17.18% (Élevée) — μ=4,591 FCFA, σ=789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β=-0.1574 (Contre-cyclique) — Cov=-0.000005, Var(idx)=0.000034, ρ=-0.018,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8,835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σ_j=4.99%/j (Modérée) — Vol. annualisée≈79.2%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4,661</w:t>
            </w:r>
          </w:p>
        </w:tc>
        <w:tc>
          <w:tcPr>
            <w:tcW w:type="dxa" w:w="1440"/>
            <w:shd w:fill="FAFAFA" w:val="clear"/>
          </w:tcPr>
          <w:p>
            <w:r>
              <w:rPr>
                <w:b/>
                <w:sz w:val="17"/>
              </w:rPr>
              <w:t>4,987</w:t>
            </w:r>
          </w:p>
        </w:tc>
        <w:tc>
          <w:tcPr>
            <w:tcW w:type="dxa" w:w="1440"/>
            <w:shd w:fill="FAFAFA" w:val="clear"/>
          </w:tcPr>
          <w:p>
            <w:r>
              <w:rPr>
                <w:sz w:val="17"/>
              </w:rPr>
              <w:t>5,314</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4,572</w:t>
            </w:r>
          </w:p>
        </w:tc>
        <w:tc>
          <w:tcPr>
            <w:tcW w:type="dxa" w:w="1440"/>
            <w:shd w:fill="FAFAFA" w:val="clear"/>
          </w:tcPr>
          <w:p>
            <w:r>
              <w:rPr>
                <w:b/>
                <w:sz w:val="17"/>
              </w:rPr>
              <w:t>5,039</w:t>
            </w:r>
          </w:p>
        </w:tc>
        <w:tc>
          <w:tcPr>
            <w:tcW w:type="dxa" w:w="1440"/>
            <w:shd w:fill="FAFAFA" w:val="clear"/>
          </w:tcPr>
          <w:p>
            <w:r>
              <w:rPr>
                <w:sz w:val="17"/>
              </w:rPr>
              <w:t>5,507</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4,492</w:t>
            </w:r>
          </w:p>
        </w:tc>
        <w:tc>
          <w:tcPr>
            <w:tcW w:type="dxa" w:w="1440"/>
            <w:shd w:fill="FAFAFA" w:val="clear"/>
          </w:tcPr>
          <w:p>
            <w:r>
              <w:rPr>
                <w:b/>
                <w:sz w:val="17"/>
              </w:rPr>
              <w:t>5,067</w:t>
            </w:r>
          </w:p>
        </w:tc>
        <w:tc>
          <w:tcPr>
            <w:tcW w:type="dxa" w:w="1440"/>
            <w:shd w:fill="FAFAFA" w:val="clear"/>
          </w:tcPr>
          <w:p>
            <w:r>
              <w:rPr>
                <w:sz w:val="17"/>
              </w:rPr>
              <w:t>5,642</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4,417</w:t>
            </w:r>
          </w:p>
        </w:tc>
        <w:tc>
          <w:tcPr>
            <w:tcW w:type="dxa" w:w="1440"/>
            <w:shd w:fill="FAFAFA" w:val="clear"/>
          </w:tcPr>
          <w:p>
            <w:r>
              <w:rPr>
                <w:b/>
                <w:sz w:val="17"/>
              </w:rPr>
              <w:t>5,084</w:t>
            </w:r>
          </w:p>
        </w:tc>
        <w:tc>
          <w:tcPr>
            <w:tcW w:type="dxa" w:w="1440"/>
            <w:shd w:fill="FAFAFA" w:val="clear"/>
          </w:tcPr>
          <w:p>
            <w:r>
              <w:rPr>
                <w:sz w:val="17"/>
              </w:rPr>
              <w:t>5,750</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2026-09-23</w:t>
            </w:r>
          </w:p>
        </w:tc>
        <w:tc>
          <w:tcPr>
            <w:tcW w:type="dxa" w:w="1440"/>
            <w:shd w:fill="C6EFCE" w:val="clear"/>
          </w:tcPr>
          <w:p>
            <w:r>
              <w:rPr>
                <w:sz w:val="17"/>
              </w:rPr>
              <w:t>4,348</w:t>
            </w:r>
          </w:p>
        </w:tc>
        <w:tc>
          <w:tcPr>
            <w:tcW w:type="dxa" w:w="1440"/>
            <w:shd w:fill="C6EFCE" w:val="clear"/>
          </w:tcPr>
          <w:p>
            <w:r>
              <w:rPr>
                <w:b/>
                <w:sz w:val="17"/>
              </w:rPr>
              <w:t>5,095</w:t>
            </w:r>
          </w:p>
        </w:tc>
        <w:tc>
          <w:tcPr>
            <w:tcW w:type="dxa" w:w="1440"/>
            <w:shd w:fill="C6EFCE" w:val="clear"/>
          </w:tcPr>
          <w:p>
            <w:r>
              <w:rPr>
                <w:sz w:val="17"/>
              </w:rPr>
              <w:t>5,842</w:t>
            </w:r>
          </w:p>
        </w:tc>
        <w:tc>
          <w:tcPr>
            <w:tcW w:type="dxa" w:w="1440"/>
            <w:shd w:fill="C6EFCE" w:val="clear"/>
          </w:tcPr>
          <w:p>
            <w:r>
              <w:rPr>
                <w:b/>
                <w:color w:val="008000"/>
                <w:sz w:val="17"/>
              </w:rPr>
              <w:t>+2.2%</w:t>
            </w:r>
          </w:p>
        </w:tc>
      </w:tr>
      <w:tr>
        <w:tc>
          <w:tcPr>
            <w:tcW w:type="dxa" w:w="1440"/>
            <w:shd w:fill="C6EFCE" w:val="clear"/>
          </w:tcPr>
          <w:p>
            <w:r>
              <w:rPr>
                <w:sz w:val="17"/>
              </w:rPr>
              <w:t>J+6  ⭐</w:t>
            </w:r>
          </w:p>
        </w:tc>
        <w:tc>
          <w:tcPr>
            <w:tcW w:type="dxa" w:w="1440"/>
            <w:shd w:fill="C6EFCE" w:val="clear"/>
          </w:tcPr>
          <w:p>
            <w:r>
              <w:rPr>
                <w:sz w:val="17"/>
              </w:rPr>
              <w:t>2026-09-24</w:t>
            </w:r>
          </w:p>
        </w:tc>
        <w:tc>
          <w:tcPr>
            <w:tcW w:type="dxa" w:w="1440"/>
            <w:shd w:fill="C6EFCE" w:val="clear"/>
          </w:tcPr>
          <w:p>
            <w:r>
              <w:rPr>
                <w:sz w:val="17"/>
              </w:rPr>
              <w:t>4,283</w:t>
            </w:r>
          </w:p>
        </w:tc>
        <w:tc>
          <w:tcPr>
            <w:tcW w:type="dxa" w:w="1440"/>
            <w:shd w:fill="C6EFCE" w:val="clear"/>
          </w:tcPr>
          <w:p>
            <w:r>
              <w:rPr>
                <w:b/>
                <w:sz w:val="17"/>
              </w:rPr>
              <w:t>5,103</w:t>
            </w:r>
          </w:p>
        </w:tc>
        <w:tc>
          <w:tcPr>
            <w:tcW w:type="dxa" w:w="1440"/>
            <w:shd w:fill="C6EFCE" w:val="clear"/>
          </w:tcPr>
          <w:p>
            <w:r>
              <w:rPr>
                <w:sz w:val="17"/>
              </w:rPr>
              <w:t>5,922</w:t>
            </w:r>
          </w:p>
        </w:tc>
        <w:tc>
          <w:tcPr>
            <w:tcW w:type="dxa" w:w="1440"/>
            <w:shd w:fill="C6EFCE" w:val="clear"/>
          </w:tcPr>
          <w:p>
            <w:r>
              <w:rPr>
                <w:b/>
                <w:color w:val="008000"/>
                <w:sz w:val="17"/>
              </w:rPr>
              <w:t>+2.4%</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4,222</w:t>
            </w:r>
          </w:p>
        </w:tc>
        <w:tc>
          <w:tcPr>
            <w:tcW w:type="dxa" w:w="1440"/>
            <w:shd w:fill="C6EFCE" w:val="clear"/>
          </w:tcPr>
          <w:p>
            <w:r>
              <w:rPr>
                <w:b/>
                <w:sz w:val="17"/>
              </w:rPr>
              <w:t>5,108</w:t>
            </w:r>
          </w:p>
        </w:tc>
        <w:tc>
          <w:tcPr>
            <w:tcW w:type="dxa" w:w="1440"/>
            <w:shd w:fill="C6EFCE" w:val="clear"/>
          </w:tcPr>
          <w:p>
            <w:r>
              <w:rPr>
                <w:sz w:val="17"/>
              </w:rPr>
              <w:t>5,994</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4,164</w:t>
            </w:r>
          </w:p>
        </w:tc>
        <w:tc>
          <w:tcPr>
            <w:tcW w:type="dxa" w:w="1440"/>
            <w:shd w:fill="C6EFCE" w:val="clear"/>
          </w:tcPr>
          <w:p>
            <w:r>
              <w:rPr>
                <w:b/>
                <w:sz w:val="17"/>
              </w:rPr>
              <w:t>5,112</w:t>
            </w:r>
          </w:p>
        </w:tc>
        <w:tc>
          <w:tcPr>
            <w:tcW w:type="dxa" w:w="1440"/>
            <w:shd w:fill="C6EFCE" w:val="clear"/>
          </w:tcPr>
          <w:p>
            <w:r>
              <w:rPr>
                <w:sz w:val="17"/>
              </w:rPr>
              <w:t>6,060</w:t>
            </w:r>
          </w:p>
        </w:tc>
        <w:tc>
          <w:tcPr>
            <w:tcW w:type="dxa" w:w="1440"/>
            <w:shd w:fill="C6EFCE" w:val="clear"/>
          </w:tcPr>
          <w:p>
            <w:r>
              <w:rPr>
                <w:b/>
                <w:color w:val="008000"/>
                <w:sz w:val="17"/>
              </w:rPr>
              <w:t>+2.5%</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4,109</w:t>
            </w:r>
          </w:p>
        </w:tc>
        <w:tc>
          <w:tcPr>
            <w:tcW w:type="dxa" w:w="1440"/>
            <w:shd w:fill="C6EFCE" w:val="clear"/>
          </w:tcPr>
          <w:p>
            <w:r>
              <w:rPr>
                <w:b/>
                <w:sz w:val="17"/>
              </w:rPr>
              <w:t>5,115</w:t>
            </w:r>
          </w:p>
        </w:tc>
        <w:tc>
          <w:tcPr>
            <w:tcW w:type="dxa" w:w="1440"/>
            <w:shd w:fill="C6EFCE" w:val="clear"/>
          </w:tcPr>
          <w:p>
            <w:r>
              <w:rPr>
                <w:sz w:val="17"/>
              </w:rPr>
              <w:t>6,121</w:t>
            </w:r>
          </w:p>
        </w:tc>
        <w:tc>
          <w:tcPr>
            <w:tcW w:type="dxa" w:w="1440"/>
            <w:shd w:fill="C6EFCE" w:val="clear"/>
          </w:tcPr>
          <w:p>
            <w:r>
              <w:rPr>
                <w:b/>
                <w:color w:val="008000"/>
                <w:sz w:val="17"/>
              </w:rPr>
              <w:t>+2.6%</w:t>
            </w:r>
          </w:p>
        </w:tc>
      </w:tr>
      <w:tr>
        <w:tc>
          <w:tcPr>
            <w:tcW w:type="dxa" w:w="1440"/>
            <w:shd w:fill="C6EFCE" w:val="clear"/>
          </w:tcPr>
          <w:p>
            <w:r>
              <w:rPr>
                <w:sz w:val="17"/>
              </w:rPr>
              <w:t>J+10  ⭐</w:t>
            </w:r>
          </w:p>
        </w:tc>
        <w:tc>
          <w:tcPr>
            <w:tcW w:type="dxa" w:w="1440"/>
            <w:shd w:fill="C6EFCE" w:val="clear"/>
          </w:tcPr>
          <w:p>
            <w:r>
              <w:rPr>
                <w:sz w:val="17"/>
              </w:rPr>
              <w:t>2026-09-30</w:t>
            </w:r>
          </w:p>
        </w:tc>
        <w:tc>
          <w:tcPr>
            <w:tcW w:type="dxa" w:w="1440"/>
            <w:shd w:fill="C6EFCE" w:val="clear"/>
          </w:tcPr>
          <w:p>
            <w:r>
              <w:rPr>
                <w:sz w:val="17"/>
              </w:rPr>
              <w:t>4,057</w:t>
            </w:r>
          </w:p>
        </w:tc>
        <w:tc>
          <w:tcPr>
            <w:tcW w:type="dxa" w:w="1440"/>
            <w:shd w:fill="C6EFCE" w:val="clear"/>
          </w:tcPr>
          <w:p>
            <w:r>
              <w:rPr>
                <w:b/>
                <w:sz w:val="17"/>
              </w:rPr>
              <w:t>5,117</w:t>
            </w:r>
          </w:p>
        </w:tc>
        <w:tc>
          <w:tcPr>
            <w:tcW w:type="dxa" w:w="1440"/>
            <w:shd w:fill="C6EFCE" w:val="clear"/>
          </w:tcPr>
          <w:p>
            <w:r>
              <w:rPr>
                <w:sz w:val="17"/>
              </w:rPr>
              <w:t>6,178</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Crédit à la consommation*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40,48 milliards FCFA, SAFC se situe dans la catégorie des valeurs moyennes de la BRVM, ce qui la rend vulnérable aux mouvements de faible liquidité. Le BPA de 86 FCFA/action indique que chaque titre génère un bénéfice net modeste, ce qui, rapporté au cours actuel de 4 985 FCFA, aboutit à un PER de 57,7x — très largement supérieur à la moyenne du marché BRVM (8-12x), signalant que les investisseurs paient une prime spéculative très élevée par rapport aux bénéfices réellement dégagés. Le P/B de 6,84x confirme cette exubérance : le marché valorise la société près de 7 fois sa valeur comptable, alors qu'un ratio supérieur à 4x est déjà considéré comme exigeant. Enfin, l'EV/EBITDA de 77,5x (très au-dessus du seuil de 15x) traduit une valorisation totale déconnectée de la capacité opérationnelle actuelle, ce qui invite à la plus grande prudence malgré le redressement en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 enregistré une variation totale de -13,30%, avec une légère reprise de +0,10% lors de la dernière séance (J-1), signalant un essoufflement de la pression baissière. Le cours actuel de 4 985 FCFA se situe dans la partie basse du range de trading, bien loin du plus haut de 6 200 FCFA et au-dessus du plus bas de 3 340 FCFA, ce qui traduit une tendance globale baissière mais avec un rebond technique récent. Les statistiques descriptives révèlent une moyenne de 4 591 FCFA légèrement supérieure à la médiane de 4 505 FCFA, indiquant une distribution faiblement asymétrique à droite (confirmée par un skewness de 0,334, qualifié de symétrique), tandis que le mode à 3 700 FCFA suggère que le prix le plus fréquemment traité se situe nettement sous les niveaux actuels. L'écart-type de 793 FCFA, couplé à un coefficient de variation de 17,3%, témoigne d'une dispersion modérée du cours autour de sa moyenne, mais le kurtosis négatif de -1,080 (distribution platykurtique) indique une faible concentration des rendements et un risque de pics moins prononcé qu'une distribution normale. Enfin, la volatilité annualisée de 79,2% classe ce titre dans la catégorie des valeurs à volatilité élevée (&gt;30%), ce qui implique un risque important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5 667,75 FCFA et la MM50 à 5 171,40 FCFA, toutes deux supérieures au cours actuel de 4 985 FCFA, ce qui place le titre en position baissière à court et moyen terme. Toutefois, la décision technique affichée est "Achat", probablement liée à l'anticipation d'un croisement haussier ou d'un rebond depuis la zone de survente, mais la configuration actuelle (prix sous les deux moyennes) reste défavorable.</w:t>
      </w:r>
    </w:p>
    <w:p>
      <w:pPr>
        <w:spacing w:after="120" w:line="276" w:lineRule="auto"/>
      </w:pPr>
      <w:r>
        <w:t>**Bandes de Bollinger** : La borne supérieure est à 6 380,97 FCFA et la borne inférieure à 4 954,53 FCFA, avec un cours actuel de 4 985 FCFA qui évolue tout près de la bande inférieure, signalant une pression vendeuse persistante mais aussi une zone potentielle de rebond technique. La décision "Neutre" reflète cette position ambiguë : le titre n'est ni en surachat ni en survente extrême, mais la proximité de la borne basse suggère une possible réaction haussière à court terme.</w:t>
      </w:r>
    </w:p>
    <w:p>
      <w:pPr>
        <w:spacing w:after="120" w:line="276" w:lineRule="auto"/>
      </w:pPr>
      <w:r>
        <w:t>**MACD** : La valeur du MACD est de -30,803 contre un signal à 112,58, soit une divergence négative marquée qui confirme un momentum baissier toujours actif. La décision "Vente" est cohérente avec cette configuration, le MACD étant nettement sous son signal, ce qui indique que la pression baissière n'est pas encore résorbée malgré le rebond de J-1.</w:t>
      </w:r>
    </w:p>
    <w:p>
      <w:pPr>
        <w:spacing w:after="120" w:line="276" w:lineRule="auto"/>
      </w:pPr>
      <w:r>
        <w:t>**RSI** : À 34,186, le RSI se situe dans la zone neutre basse (30-70), sans atteindre le seuil de survente (&lt;30), ce qui laisse présager une possible poursuite de la baisse avant un véritable retournement. La décision "Neutre" est appropriée, le RSI n'offrant pas de signal directionnel fort mais suggérant que le titre n'est pas encore techniquement survendu.</w:t>
      </w:r>
    </w:p>
    <w:p>
      <w:pPr>
        <w:spacing w:after="120" w:line="276" w:lineRule="auto"/>
      </w:pPr>
      <w:r>
        <w:t>**Stochastique** : Le %K est à 0,41 et le %D à 0,79, avec un %K nettement inférieur au %D, ce qui est généralement interprété comme un signal baissier à court terme (croisement baissier). Cependant, la décision affichée est "Achat", probablement en anticipation d'un retournement depuis des niveaux très bas, mais la configuration actuelle reste fragile et nécessite confirmation.</w:t>
      </w:r>
    </w:p>
    <w:p>
      <w:pPr>
        <w:spacing w:after="120" w:line="276" w:lineRule="auto"/>
      </w:pPr>
      <w:r>
        <w:t>**Conclusion technique** : Les indicateurs techniques sont majoritairement baissiers (MACD en vente, prix sous les MM20/MM50, Stochastique en croisement baissier), avec quelques signaux contradictoires (Bollinger proche de la borne basse, RSI neutre, décisions "Achat" sur MM et Stochastique). Cette divergence suggère un marché indécis, avec un potentiel de rebond technique à court terme mais une tendance de fond encore négative. La prudence est de mise tant que le cours ne repasse pas au-dessus de la MM50 (5 171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SAFC a enregistré un Produit Net Bancaire (PNB, équivalent du chiffre d'affaires pour une banque) de 5 735 millions FCFA, en forte hausse de +44,1% par rapport à 2024 (3 980 millions FCFA), porté par la progression des intérêts (+14,4%) et des commissions (+81%). Le résultat net s'établit à 701 millions FCFA, marquant un retournement spectaculaire après une perte de 165 millions FCFA en 2024, soit une amélioration de +525%. La marge nette ressort à 12,22%, le ROE à 11,85% (en dessous du seuil d'excellence de 15% mais en nette amélioration) et le ROA à 0,88%, reflétant une rentabilité encore modeste mais positive. Le coefficient d'exploitation, à 77,63%, reste élevé pour une banque (seuil d'efficacité &lt;60%), indiquant que les charges d'exploitation absorbent une part importante du PNB. Le coût du risque, à 6,57% des charges financières, demeure significatif et traduit un portefeuille de crédits encore fragile, avec des créances sur la clientèle de 60,48 milliards FCFA et des dépôts clientèle de seulement 9,11 milliards FCFA, soit un ratio dépôts/crédits très faible (15%), ce qui expose la société à une dépendance élevée aux dettes interbancaires (35,75 milliards FCFA) et aux marchés de capitaux.</w:t>
      </w:r>
    </w:p>
    <w:p>
      <w:pPr>
        <w:spacing w:after="120" w:line="276" w:lineRule="auto"/>
      </w:pPr>
      <w:r>
        <w:t>**Estimations basées sur les rapports trimestriels** : Le rapport du T1 2026 (publié le 12 mai 2026) indique un PNB de 1 395 millions FCFA (+29% sur un an) et un résultat net de 151 millions FCFA (+1 062%), avec une marge nette de 10,82% et un coût du risque en baisse de 75%. Le rapport du S1 2026 (publié le 4 septembre 2026) confirme cette dynamique avec un PNB de 2 907 millions FCFA (+37%) et un résultat net de 731 millions FCFA (+231%), soit une marge nette de 25,1% et une reprise nette sur coût du risque de 261 millions FCFA. Sur la base de ces performances semestrielles, on peut estimer que l'exercice 2026 devrait afficher un PNB annuel compris entre 5,8 et 6,2 milliards FCFA et un résultat net entre 1,2 et 1,5 milliard FCFA, confirmant la trajectoire de redressement. Les capitaux propres ont été renforcés à 6 647 millions FCFA au S1 2026 (+22%), et le ratio de solvabilité globale s'établit à 12,931% (au-dessus du seuil de 11,5%), tandis que le ratio CET1 atteint 11,491% (seuil : 7,5%), offrant une marge de sécurité prudentielle.</w:t>
      </w:r>
    </w:p>
    <w:p>
      <w:pPr>
        <w:spacing w:after="120" w:line="276" w:lineRule="auto"/>
      </w:pPr>
      <w:r>
        <w:t>**Recommandation fondamentale** : La solidité financière de SAFC s'améliore nettement, portée par l'intégration au sein du groupe CREDAF (entré en avril 2025) et une meilleure maîtrise du risque de crédit. Cependant, des vulnérabilités persistent : dépendance élevée aux dettes interbancaires, report à nouveau toujours négatif (-4 123 millions FCFA en 2025), absence de dividende, et concentration sectorielle sur le crédit automobile. La recommandation fondamentale est **CONSERVER** avec un biais positif, en attendant la confirmation de la rentabilité durable et la poursuite de l'assainissement du bilan.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SAFC (Partie 0) apparaît très exigeante avec un PER de 57,7x, un P/B de 6,84x et un EV/EBITDA de 77,5x, ce qui contraste fortement avec la moyenne du marché BRVM et suggère une surévaluation spéculative malgré le redressement en cours. Le comportement du cours (Partie 1) est préoccupant : tendance baissière sur 100 jours (-13,30%), volatilité élevée (79,2%), distribution platykurtique (risque de pics) et skewness symétrique, ce qui indique un titre risqué et sans direction claire. Les signaux techniques (Partie 2) sont majoritairement baissiers (MACD en vente, prix sous les MM20/MM50, Stochastique en croisement baissier), avec quelques signaux contradictoires (Bollinger proche de la borne basse, RSI neutre) qui suggèrent un possible rebond technique à court terme mais sans confirmation. Les fondamentaux (Partie 3) sont en nette amélioration : PNB 2025 de 5 735 millions FCFA (+44,1%), résultat net de 701 millions FCFA (retour à la profitabilité), et les rapports T1 2026 et S1 2026 confirment cette dynamique avec un résultat net semestriel de 731 millions FCFA (+231%) et un renforcement des fonds propres (CET1 à 11,491%). Les prédictions IA (J+1 à J+10) tablent sur une légère hausse du cours, de 4 987 FCFA à 5 095 FCFA, ce qui confirme un rebond technique modéré mais sans rupture majeure. Sur la base de cette synthèse, la recommandation finale est **CONSERVER** : le redressement fondamental est réel et encourageant, mais la valorisation boursière reste très tendue, les signaux techniques sont mitigés et le risque global est **Élevé** (volatilité, dépendance au financement interbancaire, absence de dividende). Le niveau de confiance est **Moyen**, et l'horizon d'investissement optimal est le **moyen/long terme (3-12 mois et au-delà)**, en attendant la confirmation de la rentabilité durable et une correction de la valorisation pour envisager un passage à l'achat.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10,918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+53.48%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18.04% (Élevée) — μ=3,101 FCFA, σ=559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β=0.3798 (Défensif) — Cov=0.000013, Var(idx)=0.000035, ρ=0.066,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2,940</w:t>
            </w:r>
          </w:p>
        </w:tc>
        <w:tc>
          <w:tcPr>
            <w:tcW w:type="dxa" w:w="1440"/>
            <w:shd w:fill="FAFAFA" w:val="clear"/>
          </w:tcPr>
          <w:p>
            <w:r>
              <w:rPr>
                <w:b/>
                <w:sz w:val="17"/>
              </w:rPr>
              <w:t>3,104</w:t>
            </w:r>
          </w:p>
        </w:tc>
        <w:tc>
          <w:tcPr>
            <w:tcW w:type="dxa" w:w="1440"/>
            <w:shd w:fill="FAFAFA" w:val="clear"/>
          </w:tcPr>
          <w:p>
            <w:r>
              <w:rPr>
                <w:sz w:val="17"/>
              </w:rPr>
              <w:t>3,267</w:t>
            </w:r>
          </w:p>
        </w:tc>
        <w:tc>
          <w:tcPr>
            <w:tcW w:type="dxa" w:w="1440"/>
            <w:shd w:fill="FAFAFA" w:val="clear"/>
          </w:tcPr>
          <w:p>
            <w:r>
              <w:rPr>
                <w:b/>
                <w:color w:val="008000"/>
                <w:sz w:val="17"/>
              </w:rPr>
              <w:t>+0.6%</w:t>
            </w:r>
          </w:p>
        </w:tc>
      </w:tr>
      <w:tr>
        <w:tc>
          <w:tcPr>
            <w:tcW w:type="dxa" w:w="1440"/>
            <w:shd w:fill="C6EFCE" w:val="clear"/>
          </w:tcPr>
          <w:p>
            <w:r>
              <w:rPr>
                <w:sz w:val="17"/>
              </w:rPr>
              <w:t>J+2  Moyenne</w:t>
            </w:r>
          </w:p>
        </w:tc>
        <w:tc>
          <w:tcPr>
            <w:tcW w:type="dxa" w:w="1440"/>
            <w:shd w:fill="C6EFCE" w:val="clear"/>
          </w:tcPr>
          <w:p>
            <w:r>
              <w:rPr>
                <w:sz w:val="17"/>
              </w:rPr>
              <w:t>2026-09-18</w:t>
            </w:r>
          </w:p>
        </w:tc>
        <w:tc>
          <w:tcPr>
            <w:tcW w:type="dxa" w:w="1440"/>
            <w:shd w:fill="C6EFCE" w:val="clear"/>
          </w:tcPr>
          <w:p>
            <w:r>
              <w:rPr>
                <w:sz w:val="17"/>
              </w:rPr>
              <w:t>2,981</w:t>
            </w:r>
          </w:p>
        </w:tc>
        <w:tc>
          <w:tcPr>
            <w:tcW w:type="dxa" w:w="1440"/>
            <w:shd w:fill="C6EFCE" w:val="clear"/>
          </w:tcPr>
          <w:p>
            <w:r>
              <w:rPr>
                <w:b/>
                <w:sz w:val="17"/>
              </w:rPr>
              <w:t>3,188</w:t>
            </w:r>
          </w:p>
        </w:tc>
        <w:tc>
          <w:tcPr>
            <w:tcW w:type="dxa" w:w="1440"/>
            <w:shd w:fill="C6EFCE" w:val="clear"/>
          </w:tcPr>
          <w:p>
            <w:r>
              <w:rPr>
                <w:sz w:val="17"/>
              </w:rPr>
              <w:t>3,394</w:t>
            </w:r>
          </w:p>
        </w:tc>
        <w:tc>
          <w:tcPr>
            <w:tcW w:type="dxa" w:w="1440"/>
            <w:shd w:fill="C6EFCE" w:val="clear"/>
          </w:tcPr>
          <w:p>
            <w:r>
              <w:rPr>
                <w:b/>
                <w:color w:val="008000"/>
                <w:sz w:val="17"/>
              </w:rPr>
              <w:t>+3.3%</w:t>
            </w:r>
          </w:p>
        </w:tc>
      </w:tr>
      <w:tr>
        <w:tc>
          <w:tcPr>
            <w:tcW w:type="dxa" w:w="1440"/>
            <w:shd w:fill="C6EFCE" w:val="clear"/>
          </w:tcPr>
          <w:p>
            <w:r>
              <w:rPr>
                <w:sz w:val="17"/>
              </w:rPr>
              <w:t>J+3  ⭐</w:t>
            </w:r>
          </w:p>
        </w:tc>
        <w:tc>
          <w:tcPr>
            <w:tcW w:type="dxa" w:w="1440"/>
            <w:shd w:fill="C6EFCE" w:val="clear"/>
          </w:tcPr>
          <w:p>
            <w:r>
              <w:rPr>
                <w:sz w:val="17"/>
              </w:rPr>
              <w:t>2026-09-21</w:t>
            </w:r>
          </w:p>
        </w:tc>
        <w:tc>
          <w:tcPr>
            <w:tcW w:type="dxa" w:w="1440"/>
            <w:shd w:fill="C6EFCE" w:val="clear"/>
          </w:tcPr>
          <w:p>
            <w:r>
              <w:rPr>
                <w:sz w:val="17"/>
              </w:rPr>
              <w:t>3,022</w:t>
            </w:r>
          </w:p>
        </w:tc>
        <w:tc>
          <w:tcPr>
            <w:tcW w:type="dxa" w:w="1440"/>
            <w:shd w:fill="C6EFCE" w:val="clear"/>
          </w:tcPr>
          <w:p>
            <w:r>
              <w:rPr>
                <w:b/>
                <w:sz w:val="17"/>
              </w:rPr>
              <w:t>3,266</w:t>
            </w:r>
          </w:p>
        </w:tc>
        <w:tc>
          <w:tcPr>
            <w:tcW w:type="dxa" w:w="1440"/>
            <w:shd w:fill="C6EFCE" w:val="clear"/>
          </w:tcPr>
          <w:p>
            <w:r>
              <w:rPr>
                <w:sz w:val="17"/>
              </w:rPr>
              <w:t>3,510</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2026-09-22</w:t>
            </w:r>
          </w:p>
        </w:tc>
        <w:tc>
          <w:tcPr>
            <w:tcW w:type="dxa" w:w="1440"/>
            <w:shd w:fill="C6EFCE" w:val="clear"/>
          </w:tcPr>
          <w:p>
            <w:r>
              <w:rPr>
                <w:sz w:val="17"/>
              </w:rPr>
              <w:t>3,046</w:t>
            </w:r>
          </w:p>
        </w:tc>
        <w:tc>
          <w:tcPr>
            <w:tcW w:type="dxa" w:w="1440"/>
            <w:shd w:fill="C6EFCE" w:val="clear"/>
          </w:tcPr>
          <w:p>
            <w:r>
              <w:rPr>
                <w:b/>
                <w:sz w:val="17"/>
              </w:rPr>
              <w:t>3,324</w:t>
            </w:r>
          </w:p>
        </w:tc>
        <w:tc>
          <w:tcPr>
            <w:tcW w:type="dxa" w:w="1440"/>
            <w:shd w:fill="C6EFCE" w:val="clear"/>
          </w:tcPr>
          <w:p>
            <w:r>
              <w:rPr>
                <w:sz w:val="17"/>
              </w:rPr>
              <w:t>3,602</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2026-09-23</w:t>
            </w:r>
          </w:p>
        </w:tc>
        <w:tc>
          <w:tcPr>
            <w:tcW w:type="dxa" w:w="1440"/>
            <w:shd w:fill="C6EFCE" w:val="clear"/>
          </w:tcPr>
          <w:p>
            <w:r>
              <w:rPr>
                <w:sz w:val="17"/>
              </w:rPr>
              <w:t>3,054</w:t>
            </w:r>
          </w:p>
        </w:tc>
        <w:tc>
          <w:tcPr>
            <w:tcW w:type="dxa" w:w="1440"/>
            <w:shd w:fill="C6EFCE" w:val="clear"/>
          </w:tcPr>
          <w:p>
            <w:r>
              <w:rPr>
                <w:b/>
                <w:sz w:val="17"/>
              </w:rPr>
              <w:t>3,362</w:t>
            </w:r>
          </w:p>
        </w:tc>
        <w:tc>
          <w:tcPr>
            <w:tcW w:type="dxa" w:w="1440"/>
            <w:shd w:fill="C6EFCE" w:val="clear"/>
          </w:tcPr>
          <w:p>
            <w:r>
              <w:rPr>
                <w:sz w:val="17"/>
              </w:rPr>
              <w:t>3,669</w:t>
            </w:r>
          </w:p>
        </w:tc>
        <w:tc>
          <w:tcPr>
            <w:tcW w:type="dxa" w:w="1440"/>
            <w:shd w:fill="C6EFCE" w:val="clear"/>
          </w:tcPr>
          <w:p>
            <w:r>
              <w:rPr>
                <w:b/>
                <w:color w:val="008000"/>
                <w:sz w:val="17"/>
              </w:rPr>
              <w:t>+9.0%</w:t>
            </w:r>
          </w:p>
        </w:tc>
      </w:tr>
      <w:tr>
        <w:tc>
          <w:tcPr>
            <w:tcW w:type="dxa" w:w="1440"/>
            <w:shd w:fill="C6EFCE" w:val="clear"/>
          </w:tcPr>
          <w:p>
            <w:r>
              <w:rPr>
                <w:sz w:val="17"/>
              </w:rPr>
              <w:t>J+6  ⭐</w:t>
            </w:r>
          </w:p>
        </w:tc>
        <w:tc>
          <w:tcPr>
            <w:tcW w:type="dxa" w:w="1440"/>
            <w:shd w:fill="C6EFCE" w:val="clear"/>
          </w:tcPr>
          <w:p>
            <w:r>
              <w:rPr>
                <w:sz w:val="17"/>
              </w:rPr>
              <w:t>2026-09-24</w:t>
            </w:r>
          </w:p>
        </w:tc>
        <w:tc>
          <w:tcPr>
            <w:tcW w:type="dxa" w:w="1440"/>
            <w:shd w:fill="C6EFCE" w:val="clear"/>
          </w:tcPr>
          <w:p>
            <w:r>
              <w:rPr>
                <w:sz w:val="17"/>
              </w:rPr>
              <w:t>3,051</w:t>
            </w:r>
          </w:p>
        </w:tc>
        <w:tc>
          <w:tcPr>
            <w:tcW w:type="dxa" w:w="1440"/>
            <w:shd w:fill="C6EFCE" w:val="clear"/>
          </w:tcPr>
          <w:p>
            <w:r>
              <w:rPr>
                <w:b/>
                <w:sz w:val="17"/>
              </w:rPr>
              <w:t>3,385</w:t>
            </w:r>
          </w:p>
        </w:tc>
        <w:tc>
          <w:tcPr>
            <w:tcW w:type="dxa" w:w="1440"/>
            <w:shd w:fill="C6EFCE" w:val="clear"/>
          </w:tcPr>
          <w:p>
            <w:r>
              <w:rPr>
                <w:sz w:val="17"/>
              </w:rPr>
              <w:t>3,720</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3,042</w:t>
            </w:r>
          </w:p>
        </w:tc>
        <w:tc>
          <w:tcPr>
            <w:tcW w:type="dxa" w:w="1440"/>
            <w:shd w:fill="C6EFCE" w:val="clear"/>
          </w:tcPr>
          <w:p>
            <w:r>
              <w:rPr>
                <w:b/>
                <w:sz w:val="17"/>
              </w:rPr>
              <w:t>3,401</w:t>
            </w:r>
          </w:p>
        </w:tc>
        <w:tc>
          <w:tcPr>
            <w:tcW w:type="dxa" w:w="1440"/>
            <w:shd w:fill="C6EFCE" w:val="clear"/>
          </w:tcPr>
          <w:p>
            <w:r>
              <w:rPr>
                <w:sz w:val="17"/>
              </w:rPr>
              <w:t>3,760</w:t>
            </w:r>
          </w:p>
        </w:tc>
        <w:tc>
          <w:tcPr>
            <w:tcW w:type="dxa" w:w="1440"/>
            <w:shd w:fill="C6EFCE" w:val="clear"/>
          </w:tcPr>
          <w:p>
            <w:r>
              <w:rPr>
                <w:b/>
                <w:color w:val="008000"/>
                <w:sz w:val="17"/>
              </w:rPr>
              <w:t>+10.2%</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3,030</w:t>
            </w:r>
          </w:p>
        </w:tc>
        <w:tc>
          <w:tcPr>
            <w:tcW w:type="dxa" w:w="1440"/>
            <w:shd w:fill="C6EFCE" w:val="clear"/>
          </w:tcPr>
          <w:p>
            <w:r>
              <w:rPr>
                <w:b/>
                <w:sz w:val="17"/>
              </w:rPr>
              <w:t>3,412</w:t>
            </w:r>
          </w:p>
        </w:tc>
        <w:tc>
          <w:tcPr>
            <w:tcW w:type="dxa" w:w="1440"/>
            <w:shd w:fill="C6EFCE" w:val="clear"/>
          </w:tcPr>
          <w:p>
            <w:r>
              <w:rPr>
                <w:sz w:val="17"/>
              </w:rPr>
              <w:t>3,795</w:t>
            </w:r>
          </w:p>
        </w:tc>
        <w:tc>
          <w:tcPr>
            <w:tcW w:type="dxa" w:w="1440"/>
            <w:shd w:fill="C6EFCE" w:val="clear"/>
          </w:tcPr>
          <w:p>
            <w:r>
              <w:rPr>
                <w:b/>
                <w:color w:val="008000"/>
                <w:sz w:val="17"/>
              </w:rPr>
              <w:t>+10.6%</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3,017</w:t>
            </w:r>
          </w:p>
        </w:tc>
        <w:tc>
          <w:tcPr>
            <w:tcW w:type="dxa" w:w="1440"/>
            <w:shd w:fill="C6EFCE" w:val="clear"/>
          </w:tcPr>
          <w:p>
            <w:r>
              <w:rPr>
                <w:b/>
                <w:sz w:val="17"/>
              </w:rPr>
              <w:t>3,421</w:t>
            </w:r>
          </w:p>
        </w:tc>
        <w:tc>
          <w:tcPr>
            <w:tcW w:type="dxa" w:w="1440"/>
            <w:shd w:fill="C6EFCE" w:val="clear"/>
          </w:tcPr>
          <w:p>
            <w:r>
              <w:rPr>
                <w:sz w:val="17"/>
              </w:rPr>
              <w:t>3,826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s'élève à 60,47 milliards FCFA, un niveau intermédiaire à l'échelle de la BRVM qui traduit la taille industrielle significative de l'entreprise (actif total de 156,4 Mds FCFA) mais aussi la défiance du marché après la publication de résultats 2025 déficitaires. Le BPA ressort à -406 FCFA/action, conséquence directe de la perte nette de 7,95 Mds FCFA en normes IFRS, ce qui rend le PER inexploitable (-7,6x) : les investisseurs ne paient pas pour des bénéfices inexistants, mais spéculent sur un redressement futur. Le P/B de 3,51x constitue un signal paradoxal : le marché valorise SCRC à plus de trois fois ses capitaux propres (17,24 Mds FCFA), soit une prime de croissance très généreuse pour une société en perte — cette prime reflète davantage la valeur de remplacement des actifs industriels (immobilisations corporelles de 64,8 Mds FCFA) qu'une rentabilité actuelle. Enfin, l'EV/EBITDA de 10,2x, bien que dans la fourchette haute (10-15x), reste modéré si l'on considère que l'EBE de 14,85 Mds FCFA demeure solide malgré la perte nette ; le marché valorise donc la capacité opérationnelle brute de l'entreprise, en anticipant que la charge financière (6,79 Mds FCFA) finira par être maîtrisée.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 enregistré une progression spectaculaire de +53,48%, passant d'un plus bas de 1 990 FCFA à un plus haut de 3 920 FCFA, avant de clôturer à 3 085 FCFA, soit une correction de -5,95% lors de la dernière séance. Ce range de trading de près de 2 000 FCFA (amplitude de 97%) témoigne d'une volatilité extrême, typique d'un titre en phase de spéculation sur un retournement fondamental. La tendance générale sur la période reste haussière, mais la correction récente et la position du cours sous sa moyenne mobile suggèrent un essoufflement du momentum. Les statistiques descriptives révèlent une distribution asymétrique : la moyenne (3 101 FCFA) est inférieure à la médiane (3 298 FCFA), ce qui indique que la majorité des séances se sont négociées à des niveaux élevés, mais que quelques journées de forte baisse ont tiré la moyenne vers le bas — confirmé par un skewness négatif de -0,732 (plus de journées au-dessus de la moyenne). L'écart-type de 562 FCFA et le coefficient de variation de 18,1% traduisent une dispersion élevée du cours autour de sa moyenne, tandis que le kurtosis de -0,778 (mésokurtique) suggère une distribution proche de la normale, sans pics extrêmes fréquents — ce qui est rassurant pour la prévisibilité relative du titre. La volatilité annualisée de 54,7% classe SCRC dans la catégorie des titres à volatilité élevée (&gt;30%), ce qui implique un risque de perte en capital significatif à court terme, mais aussi un potentiel de gain attractif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(3 431,5 FCFA) et la MM50 (3 539,1 FCFA) sont toutes deux nettement supérieures au cours actuel (3 085 FCFA), ce qui confirme une tendance baissière de court et moyen terme. Le croisement baissier (MM20 sous MM50) et l'écart négatif de plus de 450 FCFA entre le cours et la MM50 signalent une pression vendeuse persistante. La décision technique est donc logiquement **Vente**, le titre évoluant sous ses supports mobiles.</w:t>
      </w:r>
    </w:p>
    <w:p>
      <w:pPr>
        <w:spacing w:after="120" w:line="276" w:lineRule="auto"/>
      </w:pPr>
      <w:r>
        <w:t>**Bandes de Bollinger** : Le cours (3 085 FCFA) se situe sous la borne inférieure des bandes (3 157,8 FCFA), ce qui constitue un signal de **survente** et déclenche une décision d'**Achat** technique. Cette position sous la borne basse indique que le marché a peut-être exagéré la correction, et qu'un rebond technique est probable à court terme. La largeur des bandes (3705 - 3158 = 547 FCFA) reflète une volatilité encore élevée.</w:t>
      </w:r>
    </w:p>
    <w:p>
      <w:pPr>
        <w:spacing w:after="120" w:line="276" w:lineRule="auto"/>
      </w:pPr>
      <w:r>
        <w:t>**MACD** : La valeur du MACD (-69,98) est inférieure à son signal (-30,11), et les deux sont en territoire négatif. Cette configuration confirme un momentum baissier toujours actif, avec une divergence négative qui n'incite pas à l'optimisme. La décision est **Vente**, le MACD n'ayant pas encore amorcé de croisement haussier.</w:t>
      </w:r>
    </w:p>
    <w:p>
      <w:pPr>
        <w:spacing w:after="120" w:line="276" w:lineRule="auto"/>
      </w:pPr>
      <w:r>
        <w:t>**RSI** : À 32,32, le RSI se situe juste au-dessus du seuil de survente (30), ce qui le place en zone **Neutre** basse. Le titre n'est pas encore techniquement survendu, mais il s'en approche, ce qui suggère que la pression baissière pourrait s'atténuer à court terme sans pour autant signaler un retournement franc.</w:t>
      </w:r>
    </w:p>
    <w:p>
      <w:pPr>
        <w:spacing w:after="120" w:line="276" w:lineRule="auto"/>
      </w:pPr>
      <w:r>
        <w:t>**Stochastique** : Le %K et le %D sont tous deux à 0,0, ce qui est un signal extrême de **survente**. Un tel niveau indique que le cours a clôturé à son plus bas de la période récente, et qu'un rebond technique est statistiquement probable. La décision est donc **Achat**, en anticipation d'un retournement à court terme.</w:t>
      </w:r>
    </w:p>
    <w:p>
      <w:pPr>
        <w:spacing w:after="120" w:line="276" w:lineRule="auto"/>
      </w:pPr>
      <w:r>
        <w:t>**Conclusion technique** : Les indicateurs sont divergents. Les moyennes mobiles et le MACD confirment une tendance baissière de fond, tandis que les Bandes de Bollinger et le Stochastique signalent une survente extrême propice à un rebond technique. Le RSI neutre n'apporte pas de confirmation directionnelle. Dans ce contexte, le titre pourrait connaître un rebond à court terme (sous l'impulsion des acheteurs opportunistes), mais la tendance de moyen terme reste baissière tant que le cours ne repasse pas au-dessus de la MM20 (3 431 FCFA). La prudence est de mise.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normes IFRS)** : En 2025, SCRC a réalisé un chiffre d'affaires de 80,57 Mds FCFA, en baisse de 7,6% par rapport à 2024 (87,22 Mds FCFA). Le résultat net est une perte de 7,95 Mds FCFA, contre un bénéfice de 2,47 Mds FCFA en 2024, soit une dégradation de 421%. Le ROE s'établit à -46,13% (contre +14,3% en 2024) et le ROA à -5,08%, traduisant une destruction massive de valeur. La marge nette est de -9,87% (contre +2,8% en 2024), et la marge opérationnelle de -0,68%, confirmant que l'exploitation courante ne couvre plus les charges. Le BFR est de 6,53 Mds FCFA, mais le fonds de roulement est négatif (-10,67 Mds FCFA) et la trésorerie nette est de -6,51 Mds FCFA, signe de tensions de liquidité. Le ratio d'endettement atteint 88,98% (dettes totales/capitaux propres), et la capacité de remboursement est de 11,21 années de CAF, ce qui est très élevé. Les délais clients (12,28 jours) sont bien maîtrisés, mais les délais fournisseurs (366 jours) et la durée de stockage (360 jours) révèlent une gestion du cycle d'exploitation atypique, probablement liée à la saisonnalité de la campagne sucrière.</w:t>
      </w:r>
    </w:p>
    <w:p>
      <w:pPr>
        <w:spacing w:after="120" w:line="276" w:lineRule="auto"/>
      </w:pPr>
      <w:r>
        <w:t>**Analyse sectorielle (entreprise agro-industrielle)** : La marge brute reste solide à 45,82%, ce qui indique que les coûts de production sont globalement maîtrisés. Cependant, l'EBE de 14,85 Mds FCFA est absorbé par des charges financières de 6,79 Mds FCFA (+262% vs 2024) et des dotations aux amortissements de 14,14 Mds FCFA, expliquant le résultat d'exploitation négatif (-545 M FCFA). La structure financière est très dégradée : les capitaux propres ne représentent que 11,02% du total bilan (seuil de sécurité : &gt;30%), et la dépendance financière (dettes financières/total bilan) est de 492,21%. La solvabilité générale reste toutefois supérieure à 1 (112,39%), ce qui signifie que l'actif couvre les dettes, mais la liquidité générale (74,53%) est insuffisante pour faire face aux échéances à court terme.</w:t>
      </w:r>
    </w:p>
    <w:p>
      <w:pPr>
        <w:spacing w:after="120" w:line="276" w:lineRule="auto"/>
      </w:pPr>
      <w:r>
        <w:t>**Estimations basées sur les rapports trimestriels** : Le rapport S1 2025 (publié le 30/06/2025) faisait état d'un chiffre d'affaires de 42,87 Mds FCFA (-5%) et d'une perte nette de -6,71 Mds FCFA, avec un résultat d'exploitation négatif de -3,18 Mds FCFA. Le rapport T1 2025 (31/03/2025) affichait un résultat net positif de 3,21 Mds FCFA, mais en repli de 32%. Ces éléments confirment que la dégradation s'est accélérée au second semestre 2025, notamment sous l'effet de la charge financière et de la baisse des volumes. Pour 2026, on estime que le retour à la rentabilité dépendra de la capacité de SCRC à : (1) restructurer sa dette pour réduire les frais financiers, (2) stabiliser son chiffre d'affaires (la campagne 2025/26 démarrée fin octobre 2025 laisse entrevoir une production de 90 000 à 95 000 tonnes, soit +14% à +20%), et (3) rentabiliser les investissements massifs (25,2 Mds FCFA en 2025). Le rapport annuel 2024 (publié le 31/12/2024) soulignait déjà la fragilité de la rentabilité nette, grevée par un endettement lourd.</w:t>
      </w:r>
    </w:p>
    <w:p>
      <w:pPr>
        <w:spacing w:after="120" w:line="276" w:lineRule="auto"/>
      </w:pPr>
      <w:r>
        <w:t>**Recommandation fondamentale** : La situation financière de SCRC en 2025 est critique : perte nette massive, endettement explosif, trésorerie négative et rentabilité opérationnelle quasi nulle. Les investissements en cours et le potentiel de rebond de la production sucrière constituent des motifs d'espoir, mais ils sont insuffisants pour compenser les risques à court terme. La recommandation fondamentale est **CONSERVER** (avec vigilance), en attendant les résultats du S1 2026 pour évaluer si le plan de redressement porte ses fruits. Un achat supplémentaire est déconseillé sans visibilité sur la restructuration financière.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**Valorisation** : le PER négatif (-7,6x) et le P/B élevé (3,51x) indiquent que le marché valorise SCRC sur la base de ses actifs industriels et d'un espoir de redressement, plutôt que sur ses bénéfices actuels — une surévaluation relative si l'on considère la perte nette de 7,95 Mds FCFA. **Comportement du cours** : la hausse de +53,48% sur 100 jours, suivie d'une correction de -5,95%, et une volatilité annualisée de 54,7% (élevée) traduisent une spéculation intense, avec un skewness négatif (-0,732) et un kurtosis proche de la normale (-0,778) qui n'écartent pas le risque de pics baissiers. **Signaux techniques** : divergence entre les indicateurs baissiers (MM, MACD) et les signaux de survente (Bollinger, Stochastique), ce qui suggère un rebond technique possible à court terme, mais une tendance de fond toujours baissière. **Fondamentaux** : la dégradation spectaculaire de 2025 (perte nette de 7,95 Mds FCFA, ROE de -46,13%, endettement de 88,98%) est préoccupante, mais les investissements massifs et la campagne 2025/26 prometteuse (+14% à +20% de production) laissent entrevoir un potentiel de redressement à moyen terme. **Prédictions IA** : la trajectoire prévue (3 104 FCFA à J+1, puis 3 362 FCFA à J+5) confirme un rebond technique à court terme, en ligne avec les signaux de survente (Bollinger, Stochastique), mais sans garantir une inversion de tendance durable.</w:t>
      </w:r>
    </w:p>
    <w:p>
      <w:pPr>
        <w:spacing w:after="120" w:line="276" w:lineRule="auto"/>
      </w:pPr>
      <w:r>
        <w:t>**Recommandation finale** : **CONSERVER**. La convergence entre les signaux techniques de survente (rebond probable) et les prédictions IA haussières à court terme justifie de ne pas vendre dans l'immédiat. Cependant, la divergence avec les fondamentaux dégradés (perte nette, endettement critique) et la tendance baissière de moyen terme (MM50 à 3 539 FCFA) incite à la prudence : un achat spéculatif est possible pour les investisseurs agressifs, mais un achat de fond est prématuré. Le niveau de confiance est **Moyen** (les signaux techniques et les prédictions sont favorables, mais les fondamentaux restent très risqués). Le niveau de risque global est **Élevé** (volatilité de 54,7%, endettement de 88,98%, trésorerie négative). L'horizon d'investissement optimal est **court terme** (&lt;3 mois) pour profiter du rebond technique, en surveillant de près les résultats du S1 2026 pour confirmer ou infirmer la trajectoire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1,347 titres</w:t>
            </w:r>
          </w:p>
        </w:tc>
        <w:tc>
          <w:tcPr>
            <w:tcW w:type="dxa" w:w="2268"/>
            <w:shd w:fill="FFF2CC" w:val="clear"/>
          </w:tcPr>
          <w:p>
            <w:r>
              <w:rPr>
                <w:b/>
                <w:color w:val="503200"/>
                <w:sz w:val="16"/>
              </w:rPr>
              <w:t xml:space="preserve">Cours actuel : </w:t>
            </w:r>
            <w:r>
              <w:rPr>
                <w:color w:val="000000"/>
                <w:sz w:val="17"/>
              </w:rPr>
              <w:t>13,400 FCFA</w:t>
            </w:r>
          </w:p>
          <w:p>
            <w:r>
              <w:rPr>
                <w:b/>
                <w:color w:val="503200"/>
                <w:sz w:val="16"/>
              </w:rPr>
              <w:t xml:space="preserve">Var. 100 jours : </w:t>
            </w:r>
            <w:r>
              <w:rPr>
                <w:b/>
                <w:color w:val="007800"/>
                <w:sz w:val="17"/>
              </w:rPr>
              <w:t>+81.08%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12.67% (Moyenne) — μ=11,460 FCFA, σ=1,452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β=0.0302 (Défensif) — Cov=0.000001, Var(idx)=0.000034, ρ=0.008,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13,098</w:t>
            </w:r>
          </w:p>
        </w:tc>
        <w:tc>
          <w:tcPr>
            <w:tcW w:type="dxa" w:w="1440"/>
            <w:shd w:fill="FAFAFA" w:val="clear"/>
          </w:tcPr>
          <w:p>
            <w:r>
              <w:rPr>
                <w:b/>
                <w:sz w:val="17"/>
              </w:rPr>
              <w:t>13,636</w:t>
            </w:r>
          </w:p>
        </w:tc>
        <w:tc>
          <w:tcPr>
            <w:tcW w:type="dxa" w:w="1440"/>
            <w:shd w:fill="FAFAFA" w:val="clear"/>
          </w:tcPr>
          <w:p>
            <w:r>
              <w:rPr>
                <w:sz w:val="17"/>
              </w:rPr>
              <w:t>14,175</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2026-09-18</w:t>
            </w:r>
          </w:p>
        </w:tc>
        <w:tc>
          <w:tcPr>
            <w:tcW w:type="dxa" w:w="1440"/>
            <w:shd w:fill="C6EFCE" w:val="clear"/>
          </w:tcPr>
          <w:p>
            <w:r>
              <w:rPr>
                <w:sz w:val="17"/>
              </w:rPr>
              <w:t>12,932</w:t>
            </w:r>
          </w:p>
        </w:tc>
        <w:tc>
          <w:tcPr>
            <w:tcW w:type="dxa" w:w="1440"/>
            <w:shd w:fill="C6EFCE" w:val="clear"/>
          </w:tcPr>
          <w:p>
            <w:r>
              <w:rPr>
                <w:b/>
                <w:sz w:val="17"/>
              </w:rPr>
              <w:t>13,697</w:t>
            </w:r>
          </w:p>
        </w:tc>
        <w:tc>
          <w:tcPr>
            <w:tcW w:type="dxa" w:w="1440"/>
            <w:shd w:fill="C6EFCE" w:val="clear"/>
          </w:tcPr>
          <w:p>
            <w:r>
              <w:rPr>
                <w:sz w:val="17"/>
              </w:rPr>
              <w:t>14,462</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2026-09-21</w:t>
            </w:r>
          </w:p>
        </w:tc>
        <w:tc>
          <w:tcPr>
            <w:tcW w:type="dxa" w:w="1440"/>
            <w:shd w:fill="C6EFCE" w:val="clear"/>
          </w:tcPr>
          <w:p>
            <w:r>
              <w:rPr>
                <w:sz w:val="17"/>
              </w:rPr>
              <w:t>12,809</w:t>
            </w:r>
          </w:p>
        </w:tc>
        <w:tc>
          <w:tcPr>
            <w:tcW w:type="dxa" w:w="1440"/>
            <w:shd w:fill="C6EFCE" w:val="clear"/>
          </w:tcPr>
          <w:p>
            <w:r>
              <w:rPr>
                <w:b/>
                <w:sz w:val="17"/>
              </w:rPr>
              <w:t>13,750</w:t>
            </w:r>
          </w:p>
        </w:tc>
        <w:tc>
          <w:tcPr>
            <w:tcW w:type="dxa" w:w="1440"/>
            <w:shd w:fill="C6EFCE" w:val="clear"/>
          </w:tcPr>
          <w:p>
            <w:r>
              <w:rPr>
                <w:sz w:val="17"/>
              </w:rPr>
              <w:t>14,690</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2026-09-22</w:t>
            </w:r>
          </w:p>
        </w:tc>
        <w:tc>
          <w:tcPr>
            <w:tcW w:type="dxa" w:w="1440"/>
            <w:shd w:fill="C6EFCE" w:val="clear"/>
          </w:tcPr>
          <w:p>
            <w:r>
              <w:rPr>
                <w:sz w:val="17"/>
              </w:rPr>
              <w:t>12,708</w:t>
            </w:r>
          </w:p>
        </w:tc>
        <w:tc>
          <w:tcPr>
            <w:tcW w:type="dxa" w:w="1440"/>
            <w:shd w:fill="C6EFCE" w:val="clear"/>
          </w:tcPr>
          <w:p>
            <w:r>
              <w:rPr>
                <w:b/>
                <w:sz w:val="17"/>
              </w:rPr>
              <w:t>13,798</w:t>
            </w:r>
          </w:p>
        </w:tc>
        <w:tc>
          <w:tcPr>
            <w:tcW w:type="dxa" w:w="1440"/>
            <w:shd w:fill="C6EFCE" w:val="clear"/>
          </w:tcPr>
          <w:p>
            <w:r>
              <w:rPr>
                <w:sz w:val="17"/>
              </w:rPr>
              <w:t>14,888</w:t>
            </w:r>
          </w:p>
        </w:tc>
        <w:tc>
          <w:tcPr>
            <w:tcW w:type="dxa" w:w="1440"/>
            <w:shd w:fill="C6EFCE" w:val="clear"/>
          </w:tcPr>
          <w:p>
            <w:r>
              <w:rPr>
                <w:b/>
                <w:color w:val="008000"/>
                <w:sz w:val="17"/>
              </w:rPr>
              <w:t>+3.0%</w:t>
            </w:r>
          </w:p>
        </w:tc>
      </w:tr>
      <w:tr>
        <w:tc>
          <w:tcPr>
            <w:tcW w:type="dxa" w:w="1440"/>
            <w:shd w:fill="C6EFCE" w:val="clear"/>
          </w:tcPr>
          <w:p>
            <w:r>
              <w:rPr>
                <w:sz w:val="17"/>
              </w:rPr>
              <w:t>J+5  ⭐</w:t>
            </w:r>
          </w:p>
        </w:tc>
        <w:tc>
          <w:tcPr>
            <w:tcW w:type="dxa" w:w="1440"/>
            <w:shd w:fill="C6EFCE" w:val="clear"/>
          </w:tcPr>
          <w:p>
            <w:r>
              <w:rPr>
                <w:sz w:val="17"/>
              </w:rPr>
              <w:t>2026-09-23</w:t>
            </w:r>
          </w:p>
        </w:tc>
        <w:tc>
          <w:tcPr>
            <w:tcW w:type="dxa" w:w="1440"/>
            <w:shd w:fill="C6EFCE" w:val="clear"/>
          </w:tcPr>
          <w:p>
            <w:r>
              <w:rPr>
                <w:sz w:val="17"/>
              </w:rPr>
              <w:t>12,622</w:t>
            </w:r>
          </w:p>
        </w:tc>
        <w:tc>
          <w:tcPr>
            <w:tcW w:type="dxa" w:w="1440"/>
            <w:shd w:fill="C6EFCE" w:val="clear"/>
          </w:tcPr>
          <w:p>
            <w:r>
              <w:rPr>
                <w:b/>
                <w:sz w:val="17"/>
              </w:rPr>
              <w:t>13,845</w:t>
            </w:r>
          </w:p>
        </w:tc>
        <w:tc>
          <w:tcPr>
            <w:tcW w:type="dxa" w:w="1440"/>
            <w:shd w:fill="C6EFCE" w:val="clear"/>
          </w:tcPr>
          <w:p>
            <w:r>
              <w:rPr>
                <w:sz w:val="17"/>
              </w:rPr>
              <w:t>15,067</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2026-09-24</w:t>
            </w:r>
          </w:p>
        </w:tc>
        <w:tc>
          <w:tcPr>
            <w:tcW w:type="dxa" w:w="1440"/>
            <w:shd w:fill="C6EFCE" w:val="clear"/>
          </w:tcPr>
          <w:p>
            <w:r>
              <w:rPr>
                <w:sz w:val="17"/>
              </w:rPr>
              <w:t>12,542</w:t>
            </w:r>
          </w:p>
        </w:tc>
        <w:tc>
          <w:tcPr>
            <w:tcW w:type="dxa" w:w="1440"/>
            <w:shd w:fill="C6EFCE" w:val="clear"/>
          </w:tcPr>
          <w:p>
            <w:r>
              <w:rPr>
                <w:b/>
                <w:sz w:val="17"/>
              </w:rPr>
              <w:t>13,885</w:t>
            </w:r>
          </w:p>
        </w:tc>
        <w:tc>
          <w:tcPr>
            <w:tcW w:type="dxa" w:w="1440"/>
            <w:shd w:fill="C6EFCE" w:val="clear"/>
          </w:tcPr>
          <w:p>
            <w:r>
              <w:rPr>
                <w:sz w:val="17"/>
              </w:rPr>
              <w:t>15,228</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12,466</w:t>
            </w:r>
          </w:p>
        </w:tc>
        <w:tc>
          <w:tcPr>
            <w:tcW w:type="dxa" w:w="1440"/>
            <w:shd w:fill="C6EFCE" w:val="clear"/>
          </w:tcPr>
          <w:p>
            <w:r>
              <w:rPr>
                <w:b/>
                <w:sz w:val="17"/>
              </w:rPr>
              <w:t>13,921</w:t>
            </w:r>
          </w:p>
        </w:tc>
        <w:tc>
          <w:tcPr>
            <w:tcW w:type="dxa" w:w="1440"/>
            <w:shd w:fill="C6EFCE" w:val="clear"/>
          </w:tcPr>
          <w:p>
            <w:r>
              <w:rPr>
                <w:sz w:val="17"/>
              </w:rPr>
              <w:t>15,375</w:t>
            </w:r>
          </w:p>
        </w:tc>
        <w:tc>
          <w:tcPr>
            <w:tcW w:type="dxa" w:w="1440"/>
            <w:shd w:fill="C6EFCE" w:val="clear"/>
          </w:tcPr>
          <w:p>
            <w:r>
              <w:rPr>
                <w:b/>
                <w:color w:val="008000"/>
                <w:sz w:val="17"/>
              </w:rPr>
              <w:t>+3.9%</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12,391</w:t>
            </w:r>
          </w:p>
        </w:tc>
        <w:tc>
          <w:tcPr>
            <w:tcW w:type="dxa" w:w="1440"/>
            <w:shd w:fill="C6EFCE" w:val="clear"/>
          </w:tcPr>
          <w:p>
            <w:r>
              <w:rPr>
                <w:b/>
                <w:sz w:val="17"/>
              </w:rPr>
              <w:t>13,949</w:t>
            </w:r>
          </w:p>
        </w:tc>
        <w:tc>
          <w:tcPr>
            <w:tcW w:type="dxa" w:w="1440"/>
            <w:shd w:fill="C6EFCE" w:val="clear"/>
          </w:tcPr>
          <w:p>
            <w:r>
              <w:rPr>
                <w:sz w:val="17"/>
              </w:rPr>
              <w:t>15,507</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12,318</w:t>
            </w:r>
          </w:p>
        </w:tc>
        <w:tc>
          <w:tcPr>
            <w:tcW w:type="dxa" w:w="1440"/>
            <w:shd w:fill="C6EFCE" w:val="clear"/>
          </w:tcPr>
          <w:p>
            <w:r>
              <w:rPr>
                <w:b/>
                <w:sz w:val="17"/>
              </w:rPr>
              <w:t>13,974</w:t>
            </w:r>
          </w:p>
        </w:tc>
        <w:tc>
          <w:tcPr>
            <w:tcW w:type="dxa" w:w="1440"/>
            <w:shd w:fill="C6EFCE" w:val="clear"/>
          </w:tcPr>
          <w:p>
            <w:r>
              <w:rPr>
                <w:sz w:val="17"/>
              </w:rPr>
              <w:t>15,629</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2026-09-30</w:t>
            </w:r>
          </w:p>
        </w:tc>
        <w:tc>
          <w:tcPr>
            <w:tcW w:type="dxa" w:w="1440"/>
            <w:shd w:fill="C6EFCE" w:val="clear"/>
          </w:tcPr>
          <w:p>
            <w:r>
              <w:rPr>
                <w:sz w:val="17"/>
              </w:rPr>
              <w:t>12,245</w:t>
            </w:r>
          </w:p>
        </w:tc>
        <w:tc>
          <w:tcPr>
            <w:tcW w:type="dxa" w:w="1440"/>
            <w:shd w:fill="C6EFCE" w:val="clear"/>
          </w:tcPr>
          <w:p>
            <w:r>
              <w:rPr>
                <w:b/>
                <w:sz w:val="17"/>
              </w:rPr>
              <w:t>13,993</w:t>
            </w:r>
          </w:p>
        </w:tc>
        <w:tc>
          <w:tcPr>
            <w:tcW w:type="dxa" w:w="1440"/>
            <w:shd w:fill="C6EFCE" w:val="clear"/>
          </w:tcPr>
          <w:p>
            <w:r>
              <w:rPr>
                <w:sz w:val="17"/>
              </w:rPr>
              <w:t>15,740</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120,60 milliards FCFA, SDCC se positionne parmi les valeurs moyennes-capitalisations de la cote BRVM, ce qui témoigne d'une certaine maturité boursière pour un opérateur stratégique du secteur de l'eau en Côte d'Ivoire. Le BPA de 518 FCFA/action signifie que chaque titre génère un bénéfice net de 518 FCFA, ce qui, rapporté au cours actuel de 13 400 FCFA, donne un PER de 25,9x — nettement supérieur à la moyenne du marché BRVM (généralement située entre 8x et 12x), signalant que les investisseurs paient une prime de croissance significative ou que le titre est surévalué. Le ratio P/B de 6,12x confirme cette lecture : le marché valorise SDCC à plus de six fois sa valeur comptable, une prime exigeante qui traduit une forte anticipation de rentabilité future. Enfin, l'EV/EBITDA de 15,1x, supérieur au seuil de 15x, indique que la valeur d'entreprise (incluant la dette) est chèrement valorisée par rapport à la capacité opérationnelle de génération de cash-flows, ce qui renforce l'hypothèse d'une valorisation tendue nécessitant une confirmation par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performance exceptionnelle de +81,08%, portée par un rallye haussier de grande ampleur, bien que la dernière séance (J-1) marque une correction de -3,49%, signe d'une prise de bénéfices après une ascension soutenue. Le titre a évolué dans un range très large, entre un plus bas de 7 200 FCFA et un plus haut de 13 885 FCFA, soit un écart de près de 93%, illustrant une dynamique acheteuse puissante mais aussi une forte amplitude de trading. La tendance générale est clairement haussière, le cours actuel (13 400 FCFA) se maintenant proche de ses sommets malgré la correction récente. Les statistiques descriptives révèlent une moyenne de 11 460 FCFA légèrement inférieure à la médiane de 11 900 FCFA, ce qui indique une distribution asymétrique avec davantage de séances passées au-dessus de la moyenne — cohérent avec le skewness négatif de -1,234 signalant une asymétrie vers la droite (queues de distribution tirées vers les valeurs basses, mais majorité de journées au-dessus de la moyenne). L'écart-type de 1 459 FCFA (CV = 12,7%) traduit une dispersion modérée du cours, tandis que le kurtosis de 1,414 (leptokurtique) avertit sur un risque de pics de volatilité et de mouvements extrêmes. La volatilité annualisée de 38,5% classe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(13 001,75 FCFA) et la MM50 (12 254,20 FCFA) se situent toutes deux sous le cours actuel (13 400 FCFA), avec la MM20 au-dessus de la MM50, configuration typique d'une tendance haussière confirmée. Le cours évoluant au-dessus de ses deux moyennes, la dynamique de court et moyen terme reste positive, ce qui justifie la décision technique d'**Achat**.</w:t>
      </w:r>
    </w:p>
    <w:p>
      <w:pPr>
        <w:spacing w:after="120" w:line="276" w:lineRule="auto"/>
      </w:pPr>
      <w:r>
        <w:t>**Bandes de Bollinger** : Le cours actuel (13 400 FCFA) se situe entre la borne inférieure (11 820,54 FCFA) et la borne supérieure (14 182,96 FCFA), plus proche de la borne haute, ce qui indique une pression acheteuse sans surachat extrême. L'absence de cassure de la borne supérieure et la position médiane-haute du cours expliquent la décision **Neutre**, suggérant une possible consolidation avant une nouvelle impulsion.</w:t>
      </w:r>
    </w:p>
    <w:p>
      <w:pPr>
        <w:spacing w:after="120" w:line="276" w:lineRule="auto"/>
      </w:pPr>
      <w:r>
        <w:t>**MACD** : La valeur du MACD (392,014) dépasse légèrement son signal (383,754), générant un croisement haussier et un momentum positif, bien que l'écart reste modeste. Cette configuration confirme la tendance haussière en cours et justifie la décision d'**Achat**, tout en appelant à la vigilance sur l'essoufflement possible du momentum.</w:t>
      </w:r>
    </w:p>
    <w:p>
      <w:pPr>
        <w:spacing w:after="120" w:line="276" w:lineRule="auto"/>
      </w:pPr>
      <w:r>
        <w:t>**RSI** : À 59,115, le RSI se situe en zone neutre (entre 30 et 70), sans signal de surachat (&gt;70) ni de survente (&lt;30). Cette position médiane indique que le titre conserve un potentiel de hausse sans être techniquement épuisé, ce qui justifie la décision **Neutre** — un signal d'attente plutôt que d'action immédiate.</w:t>
      </w:r>
    </w:p>
    <w:p>
      <w:pPr>
        <w:spacing w:after="120" w:line="276" w:lineRule="auto"/>
      </w:pPr>
      <w:r>
        <w:t>**Stochastique** : Le %K (57,269) est inférieur au %D (67,587), configuration baissière de court terme pouvant annoncer un croisement à la baisse, bien que les deux indicateurs restent en zone neutre. Cette divergence mineure justifie la décision **Neutre**, invitant à surveiller un éventuel retournement de court terme.</w:t>
      </w:r>
    </w:p>
    <w:p>
      <w:pPr>
        <w:spacing w:after="120" w:line="276" w:lineRule="auto"/>
      </w:pPr>
      <w:r>
        <w:t>**Conclusion technique** : Les indicateurs techniques présentent un tableau globalement haussier mais sans signal d'achat fort : les moyennes mobiles confirment la tendance de fond, le MACD soutient le momentum, tandis que le RSI, les Bandes de Bollinger et le Stochastique plaident pour une pause ou une consolidation. La convergence partielle des signaux suggère un maintien de la position avec une surveillance accrue des niveaux de support (MM20 à 13 001 FCFA) et de résistance (borne supérieure à 14 183 FCFA).</w:t>
      </w:r>
    </w:p>
    <w:p>
      <w:pPr>
        <w:spacing w:after="120" w:line="276" w:lineRule="auto"/>
      </w:pPr>
      <w:r>
        <w:t>---</w:t>
      </w:r>
    </w:p>
    <w:p>
      <w:pPr>
        <w:spacing w:after="120" w:line="276" w:lineRule="auto"/>
      </w:pPr>
      <w:r>
        <w:t>## PARTIE 3 : ANALYSE FONDAMENTALE</w:t>
      </w:r>
    </w:p>
    <w:p>
      <w:pPr>
        <w:spacing w:after="120" w:line="276" w:lineRule="auto"/>
      </w:pPr>
      <w:r>
        <w:t>En 2025, les états financiers annuels de SDCC (exercice clos au 31/12/2025) affichent un chiffre d'affaires de 189,430 milliards FCFA, en croissance de 9,98% sur un an, porté par la hausse des volumes d'eau facturés et l'élargissement du portefeuille clients (2 272 032 clients, +6,14%). Le résultat net s'établit à 4,663 milliards FCFA, en progression de 31% par rapport à 2024, avec une marge nette de 2,46% et un ROE de 23,65% — niveau excellent (&gt;15%) témoignant d'une forte rentabilité des fonds propres, bien que le ROA reste faible à 0,99% en raison d'un total actif élevé (472,672 milliards FCFA). En tant qu'entreprise non bancaire, l'analyse des délais d'exploitation révèle un point de vigilance majeur : le délai clients atteint 749,25 jours, soit plus de deux ans de chiffre d'affaires immobilisé en créances (388,852 milliards FCFA), ce qui constitue un risque de trésorerie structurel. Le BFR s'élève à 104,748 milliards FCFA et la trésorerie nette est négative à -61,710 milliards FCFA, confirmant des tensions de liquidité persistantes malgré un flux opérationnel négatif de -36,655 milliards FCFA. La structure financière est très endettée (ratio d'endettement de 95,83%, autonomie financière de seulement 4,17%), mais la capacité de remboursement reste correcte (8,18 années de CAF) et la couverture des intérêts est excellente (1 583,51%). Les rapports trimestriels récents confirment la dynamique : le T1 2026 (rapport publié en 2026) affiche un chiffre d'affaires de 40 916 millions FCFA (-2%) mais un résultat net en bond de 118% à 1 318 millions FCFA, avec un résultat d'exploitation multiplié par 2,5 à 2 730 millions FCFA, grâce à une meilleure maîtrise des charges. Sur cette base, on estime que l'exercice 2026 devrait confirmer l'amélioration de la rentabilité opérationnelle, avec un résultat net potentiellement supérieur à 5 milliards FCFA si la tendance se poursuit. Le dividende proposé de 525 FCFA/action (rendement de 3,9% au cours actuel) offre un retour aux actionnaires attractif. En synthèse, la solidité fondamentale repose sur la position de monopole dans un secteur stratégique, la croissance du CA et l'excellent ROE, mais les risques liés aux délais clients exceptionnellement longs, à la trésorerie négative et à l'endettement élevé tempèrent l'optimisme et justifient une recommandation de **CONSERVER** avec prudence.</w:t>
      </w:r>
    </w:p>
    <w:p>
      <w:pPr>
        <w:spacing w:after="120" w:line="276" w:lineRule="auto"/>
      </w:pPr>
      <w:r>
        <w:t>---</w:t>
      </w:r>
    </w:p>
    <w:p>
      <w:pPr>
        <w:spacing w:after="120" w:line="276" w:lineRule="auto"/>
      </w:pPr>
      <w:r>
        <w:t>## PARTIE 4 : CONCLUSION D'INVESTISSEMENT</w:t>
      </w:r>
    </w:p>
    <w:p>
      <w:pPr>
        <w:spacing w:after="120" w:line="276" w:lineRule="auto"/>
      </w:pPr>
      <w:r>
        <w:t>La valorisation de SDCC apparaît exigeante : le PER de 25,9x, le P/B de 6,12x et l'EV/EBITDA de 15,1x traduisent une prime significative par rapport aux moyennes du marché BRVM, ce qui suppose que les investisseurs intègrent déjà une forte croissance future — une hypothèse qui devra être confirmée par les résultats. Le comportement du cours sur 100 jours est nettement haussier (+81,08%), avec une volatilité élevée (38,5%) et un kurtosis leptokurtique (1,414) signalant un risque de pics, tandis que le skewness négatif (-1,234) indique une majorité de séances au-dessus de la moyenne — un profil favorable mais risqué. Les signaux techniques sont partiellement convergents : les moyennes mobiles et le MACD soutiennent l'achat, mais le RSI, les Bandes de Bollinger et le Stochastique plaident pour une consolidation, ce qui suggère un potentiel de hausse limité à court terme. Les fondamentaux (exercice 2025) révèlent une entreprise solide (ROE de 23,65%, CA en hausse de 10%, résultat net +31%) mais fragilisée par des délais clients de 749 jours, une trésorerie nette négative (-61,71 milliards FCFA) et un endettement élevé (95,83%), bien que les rapports T1 2026 montrent une amélioration spectaculaire de la rentabilité (+118% de résultat net). Les prédictions IA (J+1 à J+10) anticipent une trajectoire haussière modérée, de 13 636 FCFA à 13 845 FCFA, ce qui confirme la tendance de fond sans signaler d'accélération majeure. Sur la base de cette synthèse, la recommandation finale est **CONSERVER**, avec un niveau de confiance **Moyen** et un risque global **Élevé** : la convergence entre la tendance haussière, les fondamentaux en amélioration et les prédictions positives est contrebalancée par une valorisation tendue, des tensions de trésorerie persistantes et une volatilité élevée. L'horizon d'investissement optimal est le **moyen terme (3-12 mois)**, le temps que les résultats 2026 confirment la durabilité du redressement de la rentabilité et que la trésorerie se normalise, permettant ainsi de valider ou d'infirmer la prime de valorisation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167.93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18,352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+70.44%</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19.08% (Élevée) — μ=2,366 FCFA, σ=451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β=0.6356 (Défensif) — Cov=0.000022, Var(idx)=0.000034, ρ=0.115,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2,903</w:t>
            </w:r>
          </w:p>
        </w:tc>
        <w:tc>
          <w:tcPr>
            <w:tcW w:type="dxa" w:w="1440"/>
            <w:shd w:fill="FAFAFA" w:val="clear"/>
          </w:tcPr>
          <w:p>
            <w:r>
              <w:rPr>
                <w:b/>
                <w:sz w:val="17"/>
              </w:rPr>
              <w:t>3,087</w:t>
            </w:r>
          </w:p>
        </w:tc>
        <w:tc>
          <w:tcPr>
            <w:tcW w:type="dxa" w:w="1440"/>
            <w:shd w:fill="FAFAFA" w:val="clear"/>
          </w:tcPr>
          <w:p>
            <w:r>
              <w:rPr>
                <w:sz w:val="17"/>
              </w:rPr>
              <w:t>3,271</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2,820</w:t>
            </w:r>
          </w:p>
        </w:tc>
        <w:tc>
          <w:tcPr>
            <w:tcW w:type="dxa" w:w="1440"/>
            <w:shd w:fill="FAFAFA" w:val="clear"/>
          </w:tcPr>
          <w:p>
            <w:r>
              <w:rPr>
                <w:b/>
                <w:sz w:val="17"/>
              </w:rPr>
              <w:t>3,080</w:t>
            </w:r>
          </w:p>
        </w:tc>
        <w:tc>
          <w:tcPr>
            <w:tcW w:type="dxa" w:w="1440"/>
            <w:shd w:fill="FAFAFA" w:val="clear"/>
          </w:tcPr>
          <w:p>
            <w:r>
              <w:rPr>
                <w:sz w:val="17"/>
              </w:rPr>
              <w:t>3,339</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2,756</w:t>
            </w:r>
          </w:p>
        </w:tc>
        <w:tc>
          <w:tcPr>
            <w:tcW w:type="dxa" w:w="1440"/>
            <w:shd w:fill="FAFAFA" w:val="clear"/>
          </w:tcPr>
          <w:p>
            <w:r>
              <w:rPr>
                <w:b/>
                <w:sz w:val="17"/>
              </w:rPr>
              <w:t>3,073</w:t>
            </w:r>
          </w:p>
        </w:tc>
        <w:tc>
          <w:tcPr>
            <w:tcW w:type="dxa" w:w="1440"/>
            <w:shd w:fill="FAFAFA" w:val="clear"/>
          </w:tcPr>
          <w:p>
            <w:r>
              <w:rPr>
                <w:sz w:val="17"/>
              </w:rPr>
              <w:t>3,390</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2,704</w:t>
            </w:r>
          </w:p>
        </w:tc>
        <w:tc>
          <w:tcPr>
            <w:tcW w:type="dxa" w:w="1440"/>
            <w:shd w:fill="FAFAFA" w:val="clear"/>
          </w:tcPr>
          <w:p>
            <w:r>
              <w:rPr>
                <w:b/>
                <w:sz w:val="17"/>
              </w:rPr>
              <w:t>3,069</w:t>
            </w:r>
          </w:p>
        </w:tc>
        <w:tc>
          <w:tcPr>
            <w:tcW w:type="dxa" w:w="1440"/>
            <w:shd w:fill="FAFAFA" w:val="clear"/>
          </w:tcPr>
          <w:p>
            <w:r>
              <w:rPr>
                <w:sz w:val="17"/>
              </w:rPr>
              <w:t>3,435</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2,659</w:t>
            </w:r>
          </w:p>
        </w:tc>
        <w:tc>
          <w:tcPr>
            <w:tcW w:type="dxa" w:w="1440"/>
            <w:shd w:fill="FAFAFA" w:val="clear"/>
          </w:tcPr>
          <w:p>
            <w:r>
              <w:rPr>
                <w:b/>
                <w:sz w:val="17"/>
              </w:rPr>
              <w:t>3,067</w:t>
            </w:r>
          </w:p>
        </w:tc>
        <w:tc>
          <w:tcPr>
            <w:tcW w:type="dxa" w:w="1440"/>
            <w:shd w:fill="FAFAFA" w:val="clear"/>
          </w:tcPr>
          <w:p>
            <w:r>
              <w:rPr>
                <w:sz w:val="17"/>
              </w:rPr>
              <w:t>3,476</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2,619</w:t>
            </w:r>
          </w:p>
        </w:tc>
        <w:tc>
          <w:tcPr>
            <w:tcW w:type="dxa" w:w="1440"/>
            <w:shd w:fill="FAFAFA" w:val="clear"/>
          </w:tcPr>
          <w:p>
            <w:r>
              <w:rPr>
                <w:b/>
                <w:sz w:val="17"/>
              </w:rPr>
              <w:t>3,066</w:t>
            </w:r>
          </w:p>
        </w:tc>
        <w:tc>
          <w:tcPr>
            <w:tcW w:type="dxa" w:w="1440"/>
            <w:shd w:fill="FAFAFA" w:val="clear"/>
          </w:tcPr>
          <w:p>
            <w:r>
              <w:rPr>
                <w:sz w:val="17"/>
              </w:rPr>
              <w:t>3,513</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2,582</w:t>
            </w:r>
          </w:p>
        </w:tc>
        <w:tc>
          <w:tcPr>
            <w:tcW w:type="dxa" w:w="1440"/>
            <w:shd w:fill="FAFAFA" w:val="clear"/>
          </w:tcPr>
          <w:p>
            <w:r>
              <w:rPr>
                <w:b/>
                <w:sz w:val="17"/>
              </w:rPr>
              <w:t>3,065</w:t>
            </w:r>
          </w:p>
        </w:tc>
        <w:tc>
          <w:tcPr>
            <w:tcW w:type="dxa" w:w="1440"/>
            <w:shd w:fill="FAFAFA" w:val="clear"/>
          </w:tcPr>
          <w:p>
            <w:r>
              <w:rPr>
                <w:sz w:val="17"/>
              </w:rPr>
              <w:t>3,548</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2,548</w:t>
            </w:r>
          </w:p>
        </w:tc>
        <w:tc>
          <w:tcPr>
            <w:tcW w:type="dxa" w:w="1440"/>
            <w:shd w:fill="FAFAFA" w:val="clear"/>
          </w:tcPr>
          <w:p>
            <w:r>
              <w:rPr>
                <w:b/>
                <w:sz w:val="17"/>
              </w:rPr>
              <w:t>3,064</w:t>
            </w:r>
          </w:p>
        </w:tc>
        <w:tc>
          <w:tcPr>
            <w:tcW w:type="dxa" w:w="1440"/>
            <w:shd w:fill="FAFAFA" w:val="clear"/>
          </w:tcPr>
          <w:p>
            <w:r>
              <w:rPr>
                <w:sz w:val="17"/>
              </w:rPr>
              <w:t>3,580</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2,516</w:t>
            </w:r>
          </w:p>
        </w:tc>
        <w:tc>
          <w:tcPr>
            <w:tcW w:type="dxa" w:w="1440"/>
            <w:shd w:fill="FAFAFA" w:val="clear"/>
          </w:tcPr>
          <w:p>
            <w:r>
              <w:rPr>
                <w:b/>
                <w:sz w:val="17"/>
              </w:rPr>
              <w:t>3,063</w:t>
            </w:r>
          </w:p>
        </w:tc>
        <w:tc>
          <w:tcPr>
            <w:tcW w:type="dxa" w:w="1440"/>
            <w:shd w:fill="FAFAFA" w:val="clear"/>
          </w:tcPr>
          <w:p>
            <w:r>
              <w:rPr>
                <w:sz w:val="17"/>
              </w:rPr>
              <w:t>3,610</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2,486</w:t>
            </w:r>
          </w:p>
        </w:tc>
        <w:tc>
          <w:tcPr>
            <w:tcW w:type="dxa" w:w="1440"/>
            <w:shd w:fill="FAFAFA" w:val="clear"/>
          </w:tcPr>
          <w:p>
            <w:r>
              <w:rPr>
                <w:b/>
                <w:sz w:val="17"/>
              </w:rPr>
              <w:t>3,062</w:t>
            </w:r>
          </w:p>
        </w:tc>
        <w:tc>
          <w:tcPr>
            <w:tcW w:type="dxa" w:w="1440"/>
            <w:shd w:fill="FAFAFA" w:val="clear"/>
          </w:tcPr>
          <w:p>
            <w:r>
              <w:rPr>
                <w:sz w:val="17"/>
              </w:rPr>
              <w:t>3,639</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COTE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167,93 milliards FCFA, SDSC s'impose comme une valeur de premier plan de la cote BRVM, représentant un poids significatif dans l'indice sectoriel du transport et de la logistique. Le BPA de 387 FCFA/action indique ce que chaque titre rapporte en bénéfice, mais ce chiffre est à relativiser au regard de l'effondrement du résultat net 2025. Le PER de 8,0x se situe dans la fourchette basse de la moyenne BRVM (~8-12x), suggérant une potentielle sous-évaluation — mais ce ratio est mécaniquement biaisé par un BPA calculé sur des bénéfices 2024 non représentatifs de la réalité 2025. Le P/B de 2,16x traduit une prime de croissance accordée par le marché (2-4x), tandis que l'EV/EBITDA de 36,3x apparaît très exigeant (&gt;15x), signalant que la valeur d'entreprise intègre des anticipations de rentabilité future que les résultats opérationnels actuels ne justifient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exceptionnelle de +70,44%, avec une dernière séance en hausse de +2,83%, portant le cours à 3 085 FCFA. Le range de trading est particulièrement large, entre un plus bas de 1 650 FCFA et un plus haut de 3 205 FCFA, soit une amplitude de près de 94% qui témoigne d'une forte dynamique haussière mais aussi d'une nervosité accrue. La moyenne (2 366 FCFA) se situe en dessous de la médiane (2 442 FCFA), ce qui indique une légère asymétrie négative — les cours extrêmes bas tirent la moyenne vers le bas, confirmant que le rallye haussier s'est construit progressivement. L'écart-type de 454 FCFA (CV=19,2%) traduit une dispersion modérée à élevée du cours autour de sa moyenne, tandis que le kurtosis de -1,225 (distribution platykurtique) signale une faible concentration des rendements et un risque de pics moins prononcé qu'une distribution normale. Le skewness de -0,101 confirme une distribution quasi-symétrique, sans biais directionnel marqué. La volatilité annualisée de 51,5% classe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(2 918,75 FCFA) et la MM50 (2 729,80 FCFA) se situent toutes deux sous le cours actuel (3 085 FCFA), avec une MM20 supérieure à la MM50 — configuration haussière classique en "golden cross". Le cours évolue au-dessus de ses deux moyennes, confirmant la dynamique positive et justifiant la décision d'achat. L'écart entre le cours et la MM20 (+5,7%) suggère toutefois une extension qui pourrait favoriser une consolidation à court terme.</w:t>
      </w:r>
    </w:p>
    <w:p>
      <w:pPr>
        <w:spacing w:after="120" w:line="276" w:lineRule="auto"/>
      </w:pPr>
      <w:r>
        <w:t>**Bandes de Bollinger** : Le cours (3 085 FCFA) se situe dans la partie haute de la bande, entre la borne inférieure (2 532,42 FCFA) et la borne supérieure (3 305,08 FCFA), sans la franchir. Cette position médiane-haute traduit une volatilité contenue mais une pression acheteuse persistante. La décision "Neutre" reflète l'absence de signal extrême (ni surachat de bande, ni survente), invitant à la prudence dans un contexte de rallye déjà avancé.</w:t>
      </w:r>
    </w:p>
    <w:p>
      <w:pPr>
        <w:spacing w:after="120" w:line="276" w:lineRule="auto"/>
      </w:pPr>
      <w:r>
        <w:t>**MACD** : La valeur du MACD (113,5) est quasiment identique à son signal (113,496), avec un différentiel marginal de +0,004. Cette convergence extrême indique un momentum haussier qui s'essouffle — la dynamique positive reste présente mais perd de sa vigueur. La décision "Achat" est maintenue mais la faiblesse de la divergence appelle à la vigilance sur un possible retournement.</w:t>
      </w:r>
    </w:p>
    <w:p>
      <w:pPr>
        <w:spacing w:after="120" w:line="276" w:lineRule="auto"/>
      </w:pPr>
      <w:r>
        <w:t>**RSI** : À 71,635, le RSI franchit le seuil de surachat (&gt;70), déclenchant une décision "Vente". Cette lecture signale que le titre a été acheté de manière excessive à court terme et qu'une correction ou consolidation est probable. C'est le signal technique le plus préoccupant du tableau actuel.</w:t>
      </w:r>
    </w:p>
    <w:p>
      <w:pPr>
        <w:spacing w:after="120" w:line="276" w:lineRule="auto"/>
      </w:pPr>
      <w:r>
        <w:t>**Stochastique** : Le %K (73,626) et le %D (73,277) évoluent en zone haute, proches du seuil de surachat (80), avec un croisement haussier marginal (%K &gt; %D). La décision "Neutre" traduit l'absence de signal directionnel fort, mais la position élevée des deux courbes confirme la maturité du mouvement haussier.</w:t>
      </w:r>
    </w:p>
    <w:p>
      <w:pPr>
        <w:spacing w:after="120" w:line="276" w:lineRule="auto"/>
      </w:pPr>
      <w:r>
        <w:t>**Conclusion technique** : Les indicateurs de tendance (MM, MACD) restent haussiers mais montrent des signes d'essoufflement, tandis que les oscillateurs (RSI, Stochastique) signalent un risque de correction à court terme. La convergence MM/MACD plaide pour le maintien d'une exposition, mais le RSI en surachat et la convergence MACD-Signal invitent à la prudence. Un repli vers la MM20 (2 918 FCFA) constituerait un point d'entrée plus favorable.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société au profil contrasté : un chiffre d'affaires de 85,643 milliards FCFA, un résultat net de 21,069 milliards FCFA, un ROE exceptionnel de 27,08% (&gt;15% = excellent) et un ROA de 11,20%. La marge nette de 24,60% et l'autonomie financière de 41,36% (&gt;30% = sain) témoignent d'une solidité bilancielle réelle, avec des capitaux propres de 77,808 milliards FCFA. Cependant, en tant qu'entreprise de logistique, les délais d'exploitation sont préoccupants : le délai clients de 466,94 jours (créances clients de 111,084 milliards FCFA) représente un risque de trésorerie majeur, tandis que le délai fournisseurs de 4 534,17 jours (dettes fournisseurs de 94,059 milliards FCFA) constitue un avantage de financement significatif. Le BFR de 17,874 milliards FCFA et la liquidité générale de 132,84% (&gt;1 = bon) confirment une gestion équilibrée à court terme. L'endettement reste maîtrisé avec un ratio de 17,88% et une capacité de remboursement de 0,56 an (dettes financières/CAF).</w:t>
      </w:r>
    </w:p>
    <w:p>
      <w:pPr>
        <w:spacing w:after="120" w:line="276" w:lineRule="auto"/>
      </w:pPr>
      <w:r>
        <w:t>Cependant, les rapports narratifs les plus récents (T3 2025, daté du 30/09/2025, et états financiers provisoires 2025, datés du 31/12/2025) révèlent une dégradation alarmante de la rentabilité. Le chiffre d'affaires 2025 s'établit à 92,004 milliards FCFA (+7,43% vs 2024), mais le résultat net s'effondre à 0,785 milliard FCFA (-96%), avec une marge nette de 0,85% (vs 24,60% en 2024). Le résultat d'exploitation devient négatif (-2,271 milliards FCFA), pénalisé par une hausse des dotations aux amortissements (+41%) et des charges de personnel. Le résultat net positif provient exclusivement du résultat financier (7,080 milliards FCFA, en baisse de 66%), lui-même dépendant des dividendes des filiales — une source volatile et non récurrente. Le dividende proposé chute à 544 353 milliers FCFA (-89% vs 5 008 048 en 2024), avec un taux de distribution de 69,3%. Sur la base du rapport T3 2025 (CA +7,4%, résultat net -77%), on estime que l'exercice 2026 restera sous pression tant que les charges opérationnelles ne seront pas maîtrisées et que les revenus financiers ne se redresseront pas. La trésorerie nette de 74,78 milliards FCFA et les flux opérationnels de 83,2 milliards FCFA constituent des amortisseurs solides, mais la trajectoire bénéficiaire est clairement dégradée. La recommandation fondamentale est de **CONSERVER** avec une vigilance accrue sur la capacité de la direction à restaurer les marges opérationnelles au premier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ambivalent. Sur le plan de la **valorisation (Partie 0)**, le PER de 8,0x et le P/B de 2,16x suggèrent une sous-évaluation relative, mais l'EV/EBITDA de 36,3x trahit une surévaluation opérationnelle manifeste — le marché paie cher une capacité bénéficiaire qui s'est effondrée en 2025. Le **comportement du cours (Partie 1)** est haussier (+70,44% sur 100 jours) mais la volatilité annualisée de 51,5% et le kurtosis négatif (-1,225) signalent un risque de pics baissiers non négligeable, tandis que la distribution symétrique (skewness -0,101) n'offre aucun biais directionnel protecteur. Les **signaux techniques (Partie 2)** sont mitigés : les MM et le MACD restent haussiers, mais le RSI en surachat (71,6) et la convergence MACD-Signal annoncent un essoufflement imminent. Les **fondamentaux (Partie 3)** sont préoccupants : la croissance du CA (+7,4% en 2025) ne compense pas l'effondrement du résultat net (-96%) et la marge nette de 0,85% est insuffisante pour justifier les niveaux de valorisation actuels. Les **prédictions IA (J+1 à J+10)** anticipent une légère correction (3 087 → 3 067 FCFA, soit -0,65%), confirmant la thèse d'un essoufflement technique sans effondrement majeur. Sur la base de cette synthèse, la recommandation finale est **CONSERVER**, avec un niveau de confiance **Moyen** et un risque global **Élevé**. La convergence entre la dégradation fondamentale, le surachat technique et la correction prédite par l'IA plaide contre un achat à ces niveaux, tandis que la solidité bilancielle (trésorerie de 74,78 milliards FCFA, capitaux propres de 73,55 milliards FCFA) et la croissance du chiffre d'affaires interdisent une vente précipitée. L'horizon d'investissement optimal est **moyen terme (3-12 mois)**, en attendant la publication des résultats du premier semestre 2026 qui permettront de vérifier si la direction parvient à restaurer la rentabilité opérationnelle. Un repli vers 2 900 FCFA (MM20) constituerait une opportunité de renforcement pour les investisseurs à long terme, tandis qu'une rupture sous 2 730 FCFA (MM50) signalerait une dégradation technique justifiant une réduction d'exposition.</w:t>
      </w:r>
    </w:p>
    <w:p>
      <w:pPr>
        <w:spacing w:after="120" w:line="276" w:lineRule="auto"/>
      </w:pPr>
      <w:r>
        <w:t>---</w:t>
      </w:r>
    </w:p>
    <w:p>
      <w:pPr>
        <w:spacing w:after="120" w:line="276" w:lineRule="auto"/>
      </w:pPr>
      <w:r>
        <w:t>*Rapport généré le 16 septembre 2026 — Sources : BRVM, états financiers 2024, rapports trimestriels 2025 (T1, S1, T3), états financiers provisoires 2025, analyses DeepSeek et Mistral.*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β=1.2620 (Agressif) — Cov=0.000044, Var(idx)=0.000035, ρ=0.249,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1,405</w:t>
            </w:r>
          </w:p>
        </w:tc>
        <w:tc>
          <w:tcPr>
            <w:tcW w:type="dxa" w:w="1440"/>
            <w:shd w:fill="FAFAFA" w:val="clear"/>
          </w:tcPr>
          <w:p>
            <w:r>
              <w:rPr>
                <w:b/>
                <w:sz w:val="17"/>
              </w:rPr>
              <w:t>1,499</w:t>
            </w:r>
          </w:p>
        </w:tc>
        <w:tc>
          <w:tcPr>
            <w:tcW w:type="dxa" w:w="1440"/>
            <w:shd w:fill="FAFAFA" w:val="clear"/>
          </w:tcPr>
          <w:p>
            <w:r>
              <w:rPr>
                <w:sz w:val="17"/>
              </w:rPr>
              <w:t>1,593</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1,376</w:t>
            </w:r>
          </w:p>
        </w:tc>
        <w:tc>
          <w:tcPr>
            <w:tcW w:type="dxa" w:w="1440"/>
            <w:shd w:fill="FAFAFA" w:val="clear"/>
          </w:tcPr>
          <w:p>
            <w:r>
              <w:rPr>
                <w:b/>
                <w:sz w:val="17"/>
              </w:rPr>
              <w:t>1,491</w:t>
            </w:r>
          </w:p>
        </w:tc>
        <w:tc>
          <w:tcPr>
            <w:tcW w:type="dxa" w:w="1440"/>
            <w:shd w:fill="FAFAFA" w:val="clear"/>
          </w:tcPr>
          <w:p>
            <w:r>
              <w:rPr>
                <w:sz w:val="17"/>
              </w:rPr>
              <w:t>1,605</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1,352</w:t>
            </w:r>
          </w:p>
        </w:tc>
        <w:tc>
          <w:tcPr>
            <w:tcW w:type="dxa" w:w="1440"/>
            <w:shd w:fill="FAFAFA" w:val="clear"/>
          </w:tcPr>
          <w:p>
            <w:r>
              <w:rPr>
                <w:b/>
                <w:sz w:val="17"/>
              </w:rPr>
              <w:t>1,483</w:t>
            </w:r>
          </w:p>
        </w:tc>
        <w:tc>
          <w:tcPr>
            <w:tcW w:type="dxa" w:w="1440"/>
            <w:shd w:fill="FAFAFA" w:val="clear"/>
          </w:tcPr>
          <w:p>
            <w:r>
              <w:rPr>
                <w:sz w:val="17"/>
              </w:rPr>
              <w:t>1,614</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1,329</w:t>
            </w:r>
          </w:p>
        </w:tc>
        <w:tc>
          <w:tcPr>
            <w:tcW w:type="dxa" w:w="1440"/>
            <w:shd w:fill="FAFAFA" w:val="clear"/>
          </w:tcPr>
          <w:p>
            <w:r>
              <w:rPr>
                <w:b/>
                <w:sz w:val="17"/>
              </w:rPr>
              <w:t>1,475</w:t>
            </w:r>
          </w:p>
        </w:tc>
        <w:tc>
          <w:tcPr>
            <w:tcW w:type="dxa" w:w="1440"/>
            <w:shd w:fill="FAFAFA" w:val="clear"/>
          </w:tcPr>
          <w:p>
            <w:r>
              <w:rPr>
                <w:sz w:val="17"/>
              </w:rPr>
              <w:t>1,622</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1,309</w:t>
            </w:r>
          </w:p>
        </w:tc>
        <w:tc>
          <w:tcPr>
            <w:tcW w:type="dxa" w:w="1440"/>
            <w:shd w:fill="FAFAFA" w:val="clear"/>
          </w:tcPr>
          <w:p>
            <w:r>
              <w:rPr>
                <w:b/>
                <w:sz w:val="17"/>
              </w:rPr>
              <w:t>1,468</w:t>
            </w:r>
          </w:p>
        </w:tc>
        <w:tc>
          <w:tcPr>
            <w:tcW w:type="dxa" w:w="1440"/>
            <w:shd w:fill="FAFAFA" w:val="clear"/>
          </w:tcPr>
          <w:p>
            <w:r>
              <w:rPr>
                <w:sz w:val="17"/>
              </w:rPr>
              <w:t>1,627</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(BRVM)**</w:t>
        <w:br/>
        <w:t>*Date d'analyse : Septembre 2026 | Analyste : Desk Actions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intermédiaire à l'échelle de la BRVM qui positionne le titre parmi les valeurs industrielles de second rang, loin des poids lourds bancaires et télécoms. Les ratios de valorisation classiques (BPA, PER, P/B, EV/EBITDA) ne sont pas calculables en l'état, faute de données financières structurées exploitables dans la base (les états financiers disponibles étant anciens et partiellement contradictoires). On peut toutefois estimer, à titre indicatif, qu'avec un résultat net 2023 de 1,01 milliard FCFA (rapport du 31/12/2023) et une capitalisation de 37,66 Mds FCFA, le PER implicite ressortirait autour de 37x — un niveau très supérieur à la moyenne BRVM (~8-12x), signalant une valorisation tendue au regard des bénéfices actuels. Cette absence de ratios fiables impose une prudence méthodologique : l'investisseur ne peut s'appuyer sur une photographie de valorisation robuste et doit privilégier l'analyse technique et les perspectives de redressement.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persistante. Le cours actuel de 1 495 FCFA se situe dans la moitié basse du range de trading compris entre 1 350 FCFA (plus bas) et 1 800 FCFA (plus haut), soit une amplitude de 33% qui traduit une forte nervosité du titre. La moyenne (1 527 FCFA) est légèrement supérieure à la médiane (1 520 FCFA) et au mode (1 500 FCFA), avec un skewness positif de 0,558 indiquant une asymétrie à droite — autrement dit, davantage de séances se sont déroulées sous la moyenne, mais quelques pics haussiers tirent la moyenne vers le haut. L'écart-type de 69 FCFA (CV de 4,5%) révèle une dispersion modérée en valeur relative, mais le kurtosis de 1,652 (leptokurtique) signale des queues épaisses, donc un risque de mouvements brusques et de pics de volatilité. La volatilité annualisée de 47,2% classe le titre dans la catégorie des valeurs à volatilité élevée (&gt;30%), ce qui est cohérent avec un marché peu liquide (volume moyen de 6 046 titres/jour) et une capitalisation modeste.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 FCFA), et le cours actuel (1 495 FCFA) évolue sous ces deux références. Cette configuration traduit une pression baissière de court terme, mais la décision affichée "Achat" suggère que la MM50 joue un rôle de support dynamique proche du cours, avec un potentiel de rebond technique si ce niveau tient.</w:t>
      </w:r>
    </w:p>
    <w:p>
      <w:pPr>
        <w:spacing w:after="120" w:line="276" w:lineRule="auto"/>
      </w:pPr>
      <w:r>
        <w:t>**Bandes de Bollinger** : Le cours (1 495 FCFA) se situe dans la partie basse de la bande, entre la borne inférieure (1 459,69 FCFA) et la borne supérieure (1 621,81 FCFA), sans franchissement des extrêmes. La décision "Neutre" reflète l'absence de signal directionnel fort, le titre évoluant dans un canal de volatilité normale sans excès de survente ni de surachat.</w:t>
      </w:r>
    </w:p>
    <w:p>
      <w:pPr>
        <w:spacing w:after="120" w:line="276" w:lineRule="auto"/>
      </w:pPr>
      <w:r>
        <w:t>**MACD** : La valeur du MACD (6,16) est inférieure à son signal (10,003), générant une configuration baissière avec un momentum négatif. La décision "Vente" confirme que la dynamique de court terme reste défavorable, le croisement MACD sous sa ligne de signal n'ayant pas encore été invalidé.</w:t>
      </w:r>
    </w:p>
    <w:p>
      <w:pPr>
        <w:spacing w:after="120" w:line="276" w:lineRule="auto"/>
      </w:pPr>
      <w:r>
        <w:t>**RSI** : À 49,533, le RSI se situe exactement en zone neutre (30-70), sans signal de surachat ni de survente. La décision "Neutre" indique que le titre n'est ni dans une phase d'épuisement haussier ni dans une capitulation baissière, laissant la porte ouverte à une reprise comme à une poursuite de la baisse.</w:t>
      </w:r>
    </w:p>
    <w:p>
      <w:pPr>
        <w:spacing w:after="120" w:line="276" w:lineRule="auto"/>
      </w:pPr>
      <w:r>
        <w:t>**Stochastique** : Le %K (34,615) est nettement inférieur au %D (57,692), avec un croisement baissier en cours. La décision "Neutre" masque une pression vendeuse sous-jacente, le %K en zone basse suggérant que le titre pourrait tester des supports avant un éventuel retournement.</w:t>
      </w:r>
    </w:p>
    <w:p>
      <w:pPr>
        <w:spacing w:after="120" w:line="276" w:lineRule="auto"/>
      </w:pPr>
      <w:r>
        <w:t>**Conclusion technique** : Les indicateurs sont majoritairement baissiers (MACD en vente, cours sous les MM, stochastique en croisement baissier), avec un RSI et des Bollinger neutres qui n'offrent pas de signal de retournement. La convergence des signaux négatifs plaide pour une prudence à court terme, le titre cherchant un point d'équilibre autour de 1 460-1 500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officiels fournissent des éléments exploitables. Le rapport du 31/12/2023 (analysé par MISTRAL) présente une version "consolidée" avec un CA de 125,4 Mds FCFA et un résultat net de 12,8 Mds FCFA, mais ce document semble erroné ou mal étiqueté, car un second rapport à la même date (31/12/2023) donne des chiffres bien plus modestes et cohérents avec la taille de l'entreprise : CA de 27,88 Mds FCFA en 2023 (contre 29,60 Mds en 2022, soit -6%) et résultat net de 1,01 Md FCFA (contre 3,86 Mds en 2022, soit -74%). Ce second rapport, plus fiable, révèle une dégradation marquée : la marge nette chute de 13,0% en 2022 à 3,6% en 2023, le résultat d'exploitation recule de 55%, et la perte financière s'explique par l'absence de dividendes de la filiale ghanéenne. Le rapport du 31/12/2022 (analysé par MISTRAL) confirme cette trajectoire : CA de 125,4 Mds FCFA (chiffre douteux) mais résultat net de 12,8 Mds FCFA, avec un ROE de 18,4% et un ratio dette nette/EBITDA de 1,6x — des chiffres qui semblent surestimés par rapport à la réalité opérationnelle décrite dans le rapport 2023. Le rapport du 31/12/2021 (analysé par GEMINI-VISION) est tronqué et ne permet pas d'extraire des données fiables. Le rapport T1 2023 (analysé par MISTRAL) offre un éclairage intéressant : CA de 7,65 Mds FCFA (+16,5%), résultat net de 855,65 M FCFA (+37,9%), marge nette de 11,2% — mais ces performances trimestrielles ne se sont pas confirmées sur l'année, le T1 ayant été suivi d'une dégradation. La politique de dividende est inexistante depuis 2022 (0 FCFA versé), la trésorerie (3,35 Mds FCFA en 2023) étant conservée pour financer la relance et faire face à la suspension de la cote BRVM (flottant insuffisant : 10,42% vs 15% requis). Le rachat par Sonoco Products Company (finalisé en décembre 2024) constitue un élément stratégique majeur, susceptible d'apporter des capitaux et une expertise, mais aussi un risque de dilution. En synthèse, les fondamentaux de SEMC sont fragiles : rentabilité en fort recul, absence de dividende, suspension de cote, et dépendance à des clients clés (AIRONE représentait 40% du CA Poisson en 2022). La recommandation fondamentale est de **CONSERVER avec vigilance**, en attendant la confirmation du redressement en 2024 (objectif de CA de 32 Mds FCFA, soit +18%) et les effets du rachat par Sonoco.</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appréhender faute de ratios fiables, mais le PER implicite élevé (~37x sur la base du résultat net 2023) suggère une surévaluation relative au regard des bénéfices actuels. Le comportement du cours (Partie 1) est clairement baissier (-16,94% sur 100 jours), avec une volatilité élevée (47,2%) et un kurtosis leptokurtique qui accroît le risque de pics brusques — des statistiques préoccupantes pour un investisseur averse au risque. Les signaux techniques (Partie 2) sont majoritairement négatifs (MACD en vente, cours sous les MM, stochastique baissier), sans divergence haussière visible, ce qui plaide pour une poursuite de la pression vendeuse à court terme. Les fondamentaux (Partie 3) sont fragiles : dégradation de la rentabilité en 2023, absence de dividende, suspension de la cote, mais des perspectives de redressement en 2024 (objectif CA +18%) et le rachat par Sonoco offrent des leviers potentiels. Les prédictions IA (J+1 à J+10) anticipent une poursuite de la baisse, avec un cours passant de 1 499 FCFA à 1 468 FCFA en 10 jours, ce qui confirme la tendance baissière actuelle et contredit tout espoir de rebond immédiat. Sur la base de cette synthèse globale, la recommandation finale est **CONSERVER** (avec un biais baissier à court terme), justifiée par la convergence des signaux techniques et prédictifs négatifs, mais tempérée par les perspectives de redressement fondamental et l'arrivée de Sonoco. Le niveau de confiance est **Moyen** (les données fondamentales étant partiellement contradictoires et les prédictions IA à court terme), et le niveau de risque global est **Élevé** (volatilité forte, liquidité faible, suspension de cote). L'horizon d'investissement optimal est **moyen terme (3-12 mois)**, en surveillant la levée de la suspension BRVM et la confirmation du plan de relance 2024.</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5,354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+11.14%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4.44% (Faible) — μ=37,651 FCFA, σ=1,671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β=0.5425 (Défensif) — Cov=0.000019, Var(idx)=0.000034, ρ=0.231,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σ_j=1.43%/j (Stable) — Vol. annualisée≈22.7%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37,155</w:t>
            </w:r>
          </w:p>
        </w:tc>
        <w:tc>
          <w:tcPr>
            <w:tcW w:type="dxa" w:w="1440"/>
            <w:shd w:fill="FAFAFA" w:val="clear"/>
          </w:tcPr>
          <w:p>
            <w:r>
              <w:rPr>
                <w:b/>
                <w:sz w:val="17"/>
              </w:rPr>
              <w:t>38,166</w:t>
            </w:r>
          </w:p>
        </w:tc>
        <w:tc>
          <w:tcPr>
            <w:tcW w:type="dxa" w:w="1440"/>
            <w:shd w:fill="FAFAFA" w:val="clear"/>
          </w:tcPr>
          <w:p>
            <w:r>
              <w:rPr>
                <w:sz w:val="17"/>
              </w:rPr>
              <w:t>39,177</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2026-09-18</w:t>
            </w:r>
          </w:p>
        </w:tc>
        <w:tc>
          <w:tcPr>
            <w:tcW w:type="dxa" w:w="1440"/>
            <w:shd w:fill="FFDCE0" w:val="clear"/>
          </w:tcPr>
          <w:p>
            <w:r>
              <w:rPr>
                <w:sz w:val="17"/>
              </w:rPr>
              <w:t>36,636</w:t>
            </w:r>
          </w:p>
        </w:tc>
        <w:tc>
          <w:tcPr>
            <w:tcW w:type="dxa" w:w="1440"/>
            <w:shd w:fill="FFDCE0" w:val="clear"/>
          </w:tcPr>
          <w:p>
            <w:r>
              <w:rPr>
                <w:b/>
                <w:sz w:val="17"/>
              </w:rPr>
              <w:t>38,062</w:t>
            </w:r>
          </w:p>
        </w:tc>
        <w:tc>
          <w:tcPr>
            <w:tcW w:type="dxa" w:w="1440"/>
            <w:shd w:fill="FFDCE0" w:val="clear"/>
          </w:tcPr>
          <w:p>
            <w:r>
              <w:rPr>
                <w:sz w:val="17"/>
              </w:rPr>
              <w:t>39,489</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36,202</w:t>
            </w:r>
          </w:p>
        </w:tc>
        <w:tc>
          <w:tcPr>
            <w:tcW w:type="dxa" w:w="1440"/>
            <w:shd w:fill="FFDCE0" w:val="clear"/>
          </w:tcPr>
          <w:p>
            <w:r>
              <w:rPr>
                <w:b/>
                <w:sz w:val="17"/>
              </w:rPr>
              <w:t>37,943</w:t>
            </w:r>
          </w:p>
        </w:tc>
        <w:tc>
          <w:tcPr>
            <w:tcW w:type="dxa" w:w="1440"/>
            <w:shd w:fill="FFDCE0" w:val="clear"/>
          </w:tcPr>
          <w:p>
            <w:r>
              <w:rPr>
                <w:sz w:val="17"/>
              </w:rPr>
              <w:t>39,685</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2026-09-22</w:t>
            </w:r>
          </w:p>
        </w:tc>
        <w:tc>
          <w:tcPr>
            <w:tcW w:type="dxa" w:w="1440"/>
            <w:shd w:fill="FFDCE0" w:val="clear"/>
          </w:tcPr>
          <w:p>
            <w:r>
              <w:rPr>
                <w:sz w:val="17"/>
              </w:rPr>
              <w:t>35,822</w:t>
            </w:r>
          </w:p>
        </w:tc>
        <w:tc>
          <w:tcPr>
            <w:tcW w:type="dxa" w:w="1440"/>
            <w:shd w:fill="FFDCE0" w:val="clear"/>
          </w:tcPr>
          <w:p>
            <w:r>
              <w:rPr>
                <w:b/>
                <w:sz w:val="17"/>
              </w:rPr>
              <w:t>37,827</w:t>
            </w:r>
          </w:p>
        </w:tc>
        <w:tc>
          <w:tcPr>
            <w:tcW w:type="dxa" w:w="1440"/>
            <w:shd w:fill="FFDCE0" w:val="clear"/>
          </w:tcPr>
          <w:p>
            <w:r>
              <w:rPr>
                <w:sz w:val="17"/>
              </w:rPr>
              <w:t>39,831</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35,481</w:t>
            </w:r>
          </w:p>
        </w:tc>
        <w:tc>
          <w:tcPr>
            <w:tcW w:type="dxa" w:w="1440"/>
            <w:shd w:fill="FFDCE0" w:val="clear"/>
          </w:tcPr>
          <w:p>
            <w:r>
              <w:rPr>
                <w:b/>
                <w:sz w:val="17"/>
              </w:rPr>
              <w:t>37,715</w:t>
            </w:r>
          </w:p>
        </w:tc>
        <w:tc>
          <w:tcPr>
            <w:tcW w:type="dxa" w:w="1440"/>
            <w:shd w:fill="FFDCE0" w:val="clear"/>
          </w:tcPr>
          <w:p>
            <w:r>
              <w:rPr>
                <w:sz w:val="17"/>
              </w:rPr>
              <w:t>39,950</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35,167</w:t>
            </w:r>
          </w:p>
        </w:tc>
        <w:tc>
          <w:tcPr>
            <w:tcW w:type="dxa" w:w="1440"/>
            <w:shd w:fill="FFDCE0" w:val="clear"/>
          </w:tcPr>
          <w:p>
            <w:r>
              <w:rPr>
                <w:b/>
                <w:sz w:val="17"/>
              </w:rPr>
              <w:t>37,608</w:t>
            </w:r>
          </w:p>
        </w:tc>
        <w:tc>
          <w:tcPr>
            <w:tcW w:type="dxa" w:w="1440"/>
            <w:shd w:fill="FFDCE0" w:val="clear"/>
          </w:tcPr>
          <w:p>
            <w:r>
              <w:rPr>
                <w:sz w:val="17"/>
              </w:rPr>
              <w:t>40,049</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34,874</w:t>
            </w:r>
          </w:p>
        </w:tc>
        <w:tc>
          <w:tcPr>
            <w:tcW w:type="dxa" w:w="1440"/>
            <w:shd w:fill="FFDCE0" w:val="clear"/>
          </w:tcPr>
          <w:p>
            <w:r>
              <w:rPr>
                <w:b/>
                <w:sz w:val="17"/>
              </w:rPr>
              <w:t>37,503</w:t>
            </w:r>
          </w:p>
        </w:tc>
        <w:tc>
          <w:tcPr>
            <w:tcW w:type="dxa" w:w="1440"/>
            <w:shd w:fill="FFDCE0" w:val="clear"/>
          </w:tcPr>
          <w:p>
            <w:r>
              <w:rPr>
                <w:sz w:val="17"/>
              </w:rPr>
              <w:t>40,133</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34,598</w:t>
            </w:r>
          </w:p>
        </w:tc>
        <w:tc>
          <w:tcPr>
            <w:tcW w:type="dxa" w:w="1440"/>
            <w:shd w:fill="FFDCE0" w:val="clear"/>
          </w:tcPr>
          <w:p>
            <w:r>
              <w:rPr>
                <w:b/>
                <w:sz w:val="17"/>
              </w:rPr>
              <w:t>37,401</w:t>
            </w:r>
          </w:p>
        </w:tc>
        <w:tc>
          <w:tcPr>
            <w:tcW w:type="dxa" w:w="1440"/>
            <w:shd w:fill="FFDCE0" w:val="clear"/>
          </w:tcPr>
          <w:p>
            <w:r>
              <w:rPr>
                <w:sz w:val="17"/>
              </w:rPr>
              <w:t>40,204</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34,336</w:t>
            </w:r>
          </w:p>
        </w:tc>
        <w:tc>
          <w:tcPr>
            <w:tcW w:type="dxa" w:w="1440"/>
            <w:shd w:fill="FFDCE0" w:val="clear"/>
          </w:tcPr>
          <w:p>
            <w:r>
              <w:rPr>
                <w:b/>
                <w:sz w:val="17"/>
              </w:rPr>
              <w:t>37,301</w:t>
            </w:r>
          </w:p>
        </w:tc>
        <w:tc>
          <w:tcPr>
            <w:tcW w:type="dxa" w:w="1440"/>
            <w:shd w:fill="FFDCE0" w:val="clear"/>
          </w:tcPr>
          <w:p>
            <w:r>
              <w:rPr>
                <w:sz w:val="17"/>
              </w:rPr>
              <w:t>40,266</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34,085</w:t>
            </w:r>
          </w:p>
        </w:tc>
        <w:tc>
          <w:tcPr>
            <w:tcW w:type="dxa" w:w="1440"/>
            <w:shd w:fill="FFDCE0" w:val="clear"/>
          </w:tcPr>
          <w:p>
            <w:r>
              <w:rPr>
                <w:b/>
                <w:sz w:val="17"/>
              </w:rPr>
              <w:t>37,202</w:t>
            </w:r>
          </w:p>
        </w:tc>
        <w:tc>
          <w:tcPr>
            <w:tcW w:type="dxa" w:w="1440"/>
            <w:shd w:fill="FFDCE0" w:val="clear"/>
          </w:tcPr>
          <w:p>
            <w:r>
              <w:rPr>
                <w:sz w:val="17"/>
              </w:rPr>
              <w:t>40,320</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1 210,22 milliards FCFA, SGBC figure parmi les poids lourds de la cote BRVM, ce qui en fait un titre incontournable pour les investisseurs institutionnels de la zone UEMOA. Le BPA de 3 258 FCFA par action traduit une capacité bénéficiaire solide, et le PER de 11,9x — légèrement supérieur à la moyenne BRVM (~8-12x) — indique que le marché valorise le titre à un niveau raisonnable, sans exubérance, cohérent avec la prime de qualité associée au leader bancaire ivoirien. Le P/B de 2,44x montre que le marché paie le titre plus de deux fois sa valeur comptable, une prime de croissance justifiée par un ROE supérieur à 20%. En revanche, l'EV/EBITDA de 24,7x apparaît très exigeant (&gt;15x), signalant que la valeur d'entreprise intègre déjà une forte anticipation de rentabilité future ; cet indicateur doit toutefois être interprété avec prudence pour une banque, où l'EBITDA est moins pertinent que le PNB.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SGBC affiche une progression totale de +11,14%, avec une dernière séance particulièrement dynamique (+2,91%), portant le cours à 38 900 FCFA. Le titre a évolué dans un range de 33 000 FCFA (plus bas) à 39 300 FCFA (plus haut), soit une amplitude d'environ 19%, traduisant une tendance nettement haussière portée par la solidité des fondamentaux. Les statistiques descriptives révèlent une moyenne de 37 651 FCFA légèrement inférieure à la médiane de 38 005 FCFA, signe d'une distribution asymétrique avec quelques séances de faiblesse tirant la moyenne vers le bas. L'écart-type de 1 680 FCFA (CV = 4,5%) indique une dispersion modérée du cours autour de sa tendance, tandis que le kurtosis de 0,685 (mésokurtique) suggère une distribution proche de la normale, sans risque excessif de pics extrêmes. Le skewness de -1,308 (asymétrie négative) confirme que le titre a passé davantage de journées au-dessus de sa moyenne, avec des baisses ponctuelles plus marquées que les hausses. La volatilité annualisée de 22,7% situe SGBC dans la catégorie des titres à volatilité modérée (15-30%), ce qui est rassurant pour un investisseur recherchant stabilité et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(38 517,5 FCFA) et la MM50 (38 449,6 FCFA) sont toutes deux inférieures au cours actuel (38 900 FCFA), et la MM20 est légèrement au-dessus de la MM50, configurant un croisement haussier classique. Cette configuration confirme la décision d'**Achat**, le titre évoluant au-dessus de ses supports mobiles dans une dynamique positive.</w:t>
      </w:r>
    </w:p>
    <w:p>
      <w:pPr>
        <w:spacing w:after="120" w:line="276" w:lineRule="auto"/>
      </w:pPr>
      <w:r>
        <w:t>**Bandes de Bollinger** : Le cours (38 900 FCFA) se situe entre la borne inférieure (37 547 FCFA) et la borne supérieure (39 488 FCFA), plus proche de cette dernière, sans la franchir. Cette position médiane-haute traduit une volatilité contenue et une absence de signal extrême, justifiant la décision **Neutre** — le titre n'est ni suracheté ni survendu selon ce critère.</w:t>
      </w:r>
    </w:p>
    <w:p>
      <w:pPr>
        <w:spacing w:after="120" w:line="276" w:lineRule="auto"/>
      </w:pPr>
      <w:r>
        <w:t>**MACD** : La valeur du MACD (34,607) est supérieure à son signal (28,088), avec un histogramme positif, confirmant un momentum haussier en cours. Cette divergence positive soutient la décision d'**Achat**, le croisement étant déjà effectué et la dynamique favorable.</w:t>
      </w:r>
    </w:p>
    <w:p>
      <w:pPr>
        <w:spacing w:after="120" w:line="276" w:lineRule="auto"/>
      </w:pPr>
      <w:r>
        <w:t>**RSI** : À 54,405, le RSI se situe dans la zone neutre (30-70), sans signal de surachat (&gt;70) ni de survente (&lt;30). Cette position équilibrée indique que le titre dispose encore d'un potentiel de hausse sans être techniquement tendu, justifiant la décision **Neutre**.</w:t>
      </w:r>
    </w:p>
    <w:p>
      <w:pPr>
        <w:spacing w:after="120" w:line="276" w:lineRule="auto"/>
      </w:pPr>
      <w:r>
        <w:t>**Stochastique** : Le %K (91,667) est nettement supérieur au %D (63,889), avec un %K proche de la zone de surachat (&gt;80). Ce positionnement suggère une possible correction à court terme, justifiant la décision **Vente** — signal de prudence face à un essoufflement potentiel.</w:t>
      </w:r>
    </w:p>
    <w:p>
      <w:pPr>
        <w:spacing w:after="120" w:line="276" w:lineRule="auto"/>
      </w:pPr>
      <w:r>
        <w:t>**Conclusion technique** : Les indicateurs sont majoritairement haussiers (MM, MACD) mais présentent des signaux de prudence (Stochastique en surachat, RSI neutre, Bollinger sans excès). La convergence MM/MACD soutient une tendance positive, mais le Stochastique invite à la vigilance sur un possible repli technique à court terme. Le titre reste globalement bien orienté, avec un biais acheteur tempéré par un risque de consolidation.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SGBC (exercice clos) affichent un Produit Net Bancaire (PNB) de 276,048 milliards FCFA, en croissance de +4,88% sur un an, confirmant la dynamique commerciale de la banque. Le résultat net s'établit à 101,352 milliards FCFA, franchissant pour la première fois le seuil symbolique des 100 milliards, avec une marge nette de 36,72% et un ROE exceptionnel de 20,47% (&gt;15% = excellent), témoignant d'une rentabilité des fonds propres très solide. Le coefficient d'exploitation de 38,75% (&lt;60% = banque efficace, &lt;50% = excellente) traduit une maîtrise remarquable des coûts, tandis que le coût du risque (provisions de 17,995 Mds FCFA rapportées aux charges financières de 47,775 Mds FCFA) reste contenu à environ 37,7%, reflétant un portefeuille de crédits globalement sain. La structure bilancielle est robuste : les dépôts clientèle (2 907,675 Mds FCFA) couvrent largement les créances clientèle (2 546,290 Mds FCFA), avec un ratio prêts/dépôts de 87,6%, en amélioration continue. Les capitaux propres de 495,113 Mds FCFA offrent une autonomie financière de 13,14%, et la solvabilité générale (115,12%) confirme la capacité de la banque à honorer ses engagements. Les rapports trimestriels de 2025 corroborent cette tendance : le T3 2025 (cumul 9 mois, publié le 30/09/2025) affiche un PNB de 201,0 Mds FCFA (+2,5%) et un résultat net de 83,3 Mds FCFA (+11,7%), avec un coefficient d'exploitation amélioré à 37,3% et un ratio prêts/dépôts de 84,6%. Le S1 2025 (30/06/2025) montrait déjà un résultat net de 53,1 Mds FCFA (+10,0%) et un ROE de 23,8%, bien que le taux de créances en souffrance (NPL) ait augmenté à 7,8% (contre 6,7%), nécessitant une vigilance accrue. Sur la base de ces rapports, on estime que l'exercice 2026 devrait maintenir une croissance à deux chiffres du résultat net, portée par la digitalisation, la maîtrise des coûts et la solidité du bilan. La notation AAA (Bloomfield) et la politique de dividende généreuse (1 863 FCFA/action en 2024, +8,4%) renforcent l'attrait du titre. En synthèse, SGBC présente des fondamentaux exceptionnels, avec une rentabilité élevée, une efficacité opérationnelle remarquable et une structure financière solide, malgré une vigilance sur la qualité du crédit (NPL en hausse).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(PER 11,9x, P/B 2,44x, EV/EBITDA 24,7x) apparaît raisonnable au regard de la qualité des fondamentaux, sans sous-évaluation flagrante mais sans surévaluation excessive. Le comportement du cours sur 100 jours (+11,14%, volatilité modérée de 22,7%, skewness négatif) est favorable, avec une tendance haussière soutenue et une distribution des rendements proche de la normale, bien que le kurtosis mésokurtique n'exclue pas des pics ponctuels. Les signaux techniques sont majoritairement haussiers (MM20 &gt; MM50, MACD &gt; Signal), mais le Stochastique en surachat (%K = 91,7) et le RSI neutre (54,4) suggèrent une possible consolidation à court terme, ce qui tempère l'élan acheteur. Les fondamentaux (PNB 276,0 Mds FCFA, RN 101,4 Mds FCFA, ROE 20,5%, coefficient d'exploitation 38,8%) sont excellents et confirment la solidité du leader bancaire ivoirien, avec des estimations 2026 favorables issues des rapports trimestriels 2025. Les prédictions IA pour les 10 prochains jours (38 166 → 37 715 FCFA) anticipent une légère correction baissière (-3,0% depuis le cours actuel), ce qui contredit partiellement les signaux techniques haussiers mais s'aligne sur le signal de vente du Stochastique. Compte tenu de cette divergence — fondamentaux solides et tendance de fond haussière, mais signaux techniques de court terme prudents et prédictions baissières —, la recommandation finale est **CONSERVER**, avec un niveau de confiance **Moyen** et un risque global **Faible**. L'horizon d'investissement optimal est le **moyen/long terme (3-12 mois et plus)**, afin de profiter de la croissance bénéficiaire et des dividendes, tout en laissant passer la consolidation technique attendue à court terme. Les investisseurs déjà positionnés peuvent conserver le titre pour son rendement et sa solidité, tandis que les nouveaux entrants pourraient attendre un repli vers 37 500-38 000 FCFA pour optimiser leur point d'entrée.</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184.59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4,702 titres</w:t>
            </w:r>
          </w:p>
        </w:tc>
        <w:tc>
          <w:tcPr>
            <w:tcW w:type="dxa" w:w="2268"/>
            <w:shd w:fill="FFF2CC" w:val="clear"/>
          </w:tcPr>
          <w:p>
            <w:r>
              <w:rPr>
                <w:b/>
                <w:color w:val="503200"/>
                <w:sz w:val="16"/>
              </w:rPr>
              <w:t xml:space="preserve">Cours actuel : </w:t>
            </w:r>
            <w:r>
              <w:rPr>
                <w:color w:val="000000"/>
                <w:sz w:val="17"/>
              </w:rPr>
              <w:t>2,930 FCFA</w:t>
            </w:r>
          </w:p>
          <w:p>
            <w:r>
              <w:rPr>
                <w:b/>
                <w:color w:val="503200"/>
                <w:sz w:val="16"/>
              </w:rPr>
              <w:t xml:space="preserve">Var. 100 jours : </w:t>
            </w:r>
            <w:r>
              <w:rPr>
                <w:b/>
                <w:color w:val="007800"/>
                <w:sz w:val="17"/>
              </w:rPr>
              <w:t>+50.64%</w:t>
            </w:r>
          </w:p>
          <w:p>
            <w:r>
              <w:rPr>
                <w:b/>
                <w:color w:val="503200"/>
                <w:sz w:val="16"/>
              </w:rPr>
              <w:t xml:space="preserve">Plus haut 100j : </w:t>
            </w:r>
            <w:r>
              <w:rPr>
                <w:color w:val="000000"/>
                <w:sz w:val="17"/>
              </w:rPr>
              <w:t>2,930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9.79% (Moyenne) — μ=2,185 FCFA, σ=214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β=0.8708 (Neutre (suit le marché)) — Cov=0.000030, Var(idx)=0.000034, ρ=0.237,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4,702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2026-09-17</w:t>
            </w:r>
          </w:p>
        </w:tc>
        <w:tc>
          <w:tcPr>
            <w:tcW w:type="dxa" w:w="1440"/>
            <w:shd w:fill="FFDCE0" w:val="clear"/>
          </w:tcPr>
          <w:p>
            <w:r>
              <w:rPr>
                <w:sz w:val="17"/>
              </w:rPr>
              <w:t>2,695</w:t>
            </w:r>
          </w:p>
        </w:tc>
        <w:tc>
          <w:tcPr>
            <w:tcW w:type="dxa" w:w="1440"/>
            <w:shd w:fill="FFDCE0" w:val="clear"/>
          </w:tcPr>
          <w:p>
            <w:r>
              <w:rPr>
                <w:b/>
                <w:sz w:val="17"/>
              </w:rPr>
              <w:t>2,802</w:t>
            </w:r>
          </w:p>
        </w:tc>
        <w:tc>
          <w:tcPr>
            <w:tcW w:type="dxa" w:w="1440"/>
            <w:shd w:fill="FFDCE0" w:val="clear"/>
          </w:tcPr>
          <w:p>
            <w:r>
              <w:rPr>
                <w:sz w:val="17"/>
              </w:rPr>
              <w:t>2,908</w:t>
            </w:r>
          </w:p>
        </w:tc>
        <w:tc>
          <w:tcPr>
            <w:tcW w:type="dxa" w:w="1440"/>
            <w:shd w:fill="FFDCE0" w:val="clear"/>
          </w:tcPr>
          <w:p>
            <w:r>
              <w:rPr>
                <w:b/>
                <w:color w:val="C00000"/>
                <w:sz w:val="17"/>
              </w:rPr>
              <w:t>-4.4%</w:t>
            </w:r>
          </w:p>
        </w:tc>
      </w:tr>
      <w:tr>
        <w:tc>
          <w:tcPr>
            <w:tcW w:type="dxa" w:w="1440"/>
            <w:shd w:fill="FFDCE0" w:val="clear"/>
          </w:tcPr>
          <w:p>
            <w:r>
              <w:rPr>
                <w:sz w:val="17"/>
              </w:rPr>
              <w:t>J+2  Moyenne</w:t>
            </w:r>
          </w:p>
        </w:tc>
        <w:tc>
          <w:tcPr>
            <w:tcW w:type="dxa" w:w="1440"/>
            <w:shd w:fill="FFDCE0" w:val="clear"/>
          </w:tcPr>
          <w:p>
            <w:r>
              <w:rPr>
                <w:sz w:val="17"/>
              </w:rPr>
              <w:t>2026-09-18</w:t>
            </w:r>
          </w:p>
        </w:tc>
        <w:tc>
          <w:tcPr>
            <w:tcW w:type="dxa" w:w="1440"/>
            <w:shd w:fill="FFDCE0" w:val="clear"/>
          </w:tcPr>
          <w:p>
            <w:r>
              <w:rPr>
                <w:sz w:val="17"/>
              </w:rPr>
              <w:t>2,553</w:t>
            </w:r>
          </w:p>
        </w:tc>
        <w:tc>
          <w:tcPr>
            <w:tcW w:type="dxa" w:w="1440"/>
            <w:shd w:fill="FFDCE0" w:val="clear"/>
          </w:tcPr>
          <w:p>
            <w:r>
              <w:rPr>
                <w:b/>
                <w:sz w:val="17"/>
              </w:rPr>
              <w:t>2,698</w:t>
            </w:r>
          </w:p>
        </w:tc>
        <w:tc>
          <w:tcPr>
            <w:tcW w:type="dxa" w:w="1440"/>
            <w:shd w:fill="FFDCE0" w:val="clear"/>
          </w:tcPr>
          <w:p>
            <w:r>
              <w:rPr>
                <w:sz w:val="17"/>
              </w:rPr>
              <w:t>2,844</w:t>
            </w:r>
          </w:p>
        </w:tc>
        <w:tc>
          <w:tcPr>
            <w:tcW w:type="dxa" w:w="1440"/>
            <w:shd w:fill="FFDCE0" w:val="clear"/>
          </w:tcPr>
          <w:p>
            <w:r>
              <w:rPr>
                <w:b/>
                <w:color w:val="C00000"/>
                <w:sz w:val="17"/>
              </w:rPr>
              <w:t>-7.9%</w:t>
            </w:r>
          </w:p>
        </w:tc>
      </w:tr>
      <w:tr>
        <w:tc>
          <w:tcPr>
            <w:tcW w:type="dxa" w:w="1440"/>
            <w:shd w:fill="FFDCE0" w:val="clear"/>
          </w:tcPr>
          <w:p>
            <w:r>
              <w:rPr>
                <w:sz w:val="17"/>
              </w:rPr>
              <w:t>J+3  Moyenne</w:t>
            </w:r>
          </w:p>
        </w:tc>
        <w:tc>
          <w:tcPr>
            <w:tcW w:type="dxa" w:w="1440"/>
            <w:shd w:fill="FFDCE0" w:val="clear"/>
          </w:tcPr>
          <w:p>
            <w:r>
              <w:rPr>
                <w:sz w:val="17"/>
              </w:rPr>
              <w:t>2026-09-21</w:t>
            </w:r>
          </w:p>
        </w:tc>
        <w:tc>
          <w:tcPr>
            <w:tcW w:type="dxa" w:w="1440"/>
            <w:shd w:fill="FFDCE0" w:val="clear"/>
          </w:tcPr>
          <w:p>
            <w:r>
              <w:rPr>
                <w:sz w:val="17"/>
              </w:rPr>
              <w:t>2,436</w:t>
            </w:r>
          </w:p>
        </w:tc>
        <w:tc>
          <w:tcPr>
            <w:tcW w:type="dxa" w:w="1440"/>
            <w:shd w:fill="FFDCE0" w:val="clear"/>
          </w:tcPr>
          <w:p>
            <w:r>
              <w:rPr>
                <w:b/>
                <w:sz w:val="17"/>
              </w:rPr>
              <w:t>2,608</w:t>
            </w:r>
          </w:p>
        </w:tc>
        <w:tc>
          <w:tcPr>
            <w:tcW w:type="dxa" w:w="1440"/>
            <w:shd w:fill="FFDCE0" w:val="clear"/>
          </w:tcPr>
          <w:p>
            <w:r>
              <w:rPr>
                <w:sz w:val="17"/>
              </w:rPr>
              <w:t>2,780</w:t>
            </w:r>
          </w:p>
        </w:tc>
        <w:tc>
          <w:tcPr>
            <w:tcW w:type="dxa" w:w="1440"/>
            <w:shd w:fill="FFDCE0" w:val="clear"/>
          </w:tcPr>
          <w:p>
            <w:r>
              <w:rPr>
                <w:b/>
                <w:color w:val="C00000"/>
                <w:sz w:val="17"/>
              </w:rPr>
              <w:t>-11.0%</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2,344</w:t>
            </w:r>
          </w:p>
        </w:tc>
        <w:tc>
          <w:tcPr>
            <w:tcW w:type="dxa" w:w="1440"/>
            <w:shd w:fill="FFDCE0" w:val="clear"/>
          </w:tcPr>
          <w:p>
            <w:r>
              <w:rPr>
                <w:b/>
                <w:sz w:val="17"/>
              </w:rPr>
              <w:t>2,537</w:t>
            </w:r>
          </w:p>
        </w:tc>
        <w:tc>
          <w:tcPr>
            <w:tcW w:type="dxa" w:w="1440"/>
            <w:shd w:fill="FFDCE0" w:val="clear"/>
          </w:tcPr>
          <w:p>
            <w:r>
              <w:rPr>
                <w:sz w:val="17"/>
              </w:rPr>
              <w:t>2,730</w:t>
            </w:r>
          </w:p>
        </w:tc>
        <w:tc>
          <w:tcPr>
            <w:tcW w:type="dxa" w:w="1440"/>
            <w:shd w:fill="FFDCE0" w:val="clear"/>
          </w:tcPr>
          <w:p>
            <w:r>
              <w:rPr>
                <w:b/>
                <w:color w:val="C00000"/>
                <w:sz w:val="17"/>
              </w:rPr>
              <w:t>-13.4%</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2,269</w:t>
            </w:r>
          </w:p>
        </w:tc>
        <w:tc>
          <w:tcPr>
            <w:tcW w:type="dxa" w:w="1440"/>
            <w:shd w:fill="FFDCE0" w:val="clear"/>
          </w:tcPr>
          <w:p>
            <w:r>
              <w:rPr>
                <w:b/>
                <w:sz w:val="17"/>
              </w:rPr>
              <w:t>2,480</w:t>
            </w:r>
          </w:p>
        </w:tc>
        <w:tc>
          <w:tcPr>
            <w:tcW w:type="dxa" w:w="1440"/>
            <w:shd w:fill="FFDCE0" w:val="clear"/>
          </w:tcPr>
          <w:p>
            <w:r>
              <w:rPr>
                <w:sz w:val="17"/>
              </w:rPr>
              <w:t>2,691</w:t>
            </w:r>
          </w:p>
        </w:tc>
        <w:tc>
          <w:tcPr>
            <w:tcW w:type="dxa" w:w="1440"/>
            <w:shd w:fill="FFDCE0" w:val="clear"/>
          </w:tcPr>
          <w:p>
            <w:r>
              <w:rPr>
                <w:b/>
                <w:color w:val="C00000"/>
                <w:sz w:val="17"/>
              </w:rPr>
              <w:t>-15.3%</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2,208</w:t>
            </w:r>
          </w:p>
        </w:tc>
        <w:tc>
          <w:tcPr>
            <w:tcW w:type="dxa" w:w="1440"/>
            <w:shd w:fill="FFDCE0" w:val="clear"/>
          </w:tcPr>
          <w:p>
            <w:r>
              <w:rPr>
                <w:b/>
                <w:sz w:val="17"/>
              </w:rPr>
              <w:t>2,435</w:t>
            </w:r>
          </w:p>
        </w:tc>
        <w:tc>
          <w:tcPr>
            <w:tcW w:type="dxa" w:w="1440"/>
            <w:shd w:fill="FFDCE0" w:val="clear"/>
          </w:tcPr>
          <w:p>
            <w:r>
              <w:rPr>
                <w:sz w:val="17"/>
              </w:rPr>
              <w:t>2,662</w:t>
            </w:r>
          </w:p>
        </w:tc>
        <w:tc>
          <w:tcPr>
            <w:tcW w:type="dxa" w:w="1440"/>
            <w:shd w:fill="FFDCE0" w:val="clear"/>
          </w:tcPr>
          <w:p>
            <w:r>
              <w:rPr>
                <w:b/>
                <w:color w:val="C00000"/>
                <w:sz w:val="17"/>
              </w:rPr>
              <w:t>-16.9%</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2,156</w:t>
            </w:r>
          </w:p>
        </w:tc>
        <w:tc>
          <w:tcPr>
            <w:tcW w:type="dxa" w:w="1440"/>
            <w:shd w:fill="FFDCE0" w:val="clear"/>
          </w:tcPr>
          <w:p>
            <w:r>
              <w:rPr>
                <w:b/>
                <w:sz w:val="17"/>
              </w:rPr>
              <w:t>2,398</w:t>
            </w:r>
          </w:p>
        </w:tc>
        <w:tc>
          <w:tcPr>
            <w:tcW w:type="dxa" w:w="1440"/>
            <w:shd w:fill="FFDCE0" w:val="clear"/>
          </w:tcPr>
          <w:p>
            <w:r>
              <w:rPr>
                <w:sz w:val="17"/>
              </w:rPr>
              <w:t>2,639</w:t>
            </w:r>
          </w:p>
        </w:tc>
        <w:tc>
          <w:tcPr>
            <w:tcW w:type="dxa" w:w="1440"/>
            <w:shd w:fill="FFDCE0" w:val="clear"/>
          </w:tcPr>
          <w:p>
            <w:r>
              <w:rPr>
                <w:b/>
                <w:color w:val="C00000"/>
                <w:sz w:val="17"/>
              </w:rPr>
              <w:t>-18.2%</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2,111</w:t>
            </w:r>
          </w:p>
        </w:tc>
        <w:tc>
          <w:tcPr>
            <w:tcW w:type="dxa" w:w="1440"/>
            <w:shd w:fill="FFDCE0" w:val="clear"/>
          </w:tcPr>
          <w:p>
            <w:r>
              <w:rPr>
                <w:b/>
                <w:sz w:val="17"/>
              </w:rPr>
              <w:t>2,365</w:t>
            </w:r>
          </w:p>
        </w:tc>
        <w:tc>
          <w:tcPr>
            <w:tcW w:type="dxa" w:w="1440"/>
            <w:shd w:fill="FFDCE0" w:val="clear"/>
          </w:tcPr>
          <w:p>
            <w:r>
              <w:rPr>
                <w:sz w:val="17"/>
              </w:rPr>
              <w:t>2,620</w:t>
            </w:r>
          </w:p>
        </w:tc>
        <w:tc>
          <w:tcPr>
            <w:tcW w:type="dxa" w:w="1440"/>
            <w:shd w:fill="FFDCE0" w:val="clear"/>
          </w:tcPr>
          <w:p>
            <w:r>
              <w:rPr>
                <w:b/>
                <w:color w:val="C00000"/>
                <w:sz w:val="17"/>
              </w:rPr>
              <w:t>-19.3%</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2,070</w:t>
            </w:r>
          </w:p>
        </w:tc>
        <w:tc>
          <w:tcPr>
            <w:tcW w:type="dxa" w:w="1440"/>
            <w:shd w:fill="FFDCE0" w:val="clear"/>
          </w:tcPr>
          <w:p>
            <w:r>
              <w:rPr>
                <w:b/>
                <w:sz w:val="17"/>
              </w:rPr>
              <w:t>2,337</w:t>
            </w:r>
          </w:p>
        </w:tc>
        <w:tc>
          <w:tcPr>
            <w:tcW w:type="dxa" w:w="1440"/>
            <w:shd w:fill="FFDCE0" w:val="clear"/>
          </w:tcPr>
          <w:p>
            <w:r>
              <w:rPr>
                <w:sz w:val="17"/>
              </w:rPr>
              <w:t>2,603</w:t>
            </w:r>
          </w:p>
        </w:tc>
        <w:tc>
          <w:tcPr>
            <w:tcW w:type="dxa" w:w="1440"/>
            <w:shd w:fill="FFDCE0" w:val="clear"/>
          </w:tcPr>
          <w:p>
            <w:r>
              <w:rPr>
                <w:b/>
                <w:color w:val="C00000"/>
                <w:sz w:val="17"/>
              </w:rPr>
              <w:t>-20.2%</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2,033</w:t>
            </w:r>
          </w:p>
        </w:tc>
        <w:tc>
          <w:tcPr>
            <w:tcW w:type="dxa" w:w="1440"/>
            <w:shd w:fill="FFDCE0" w:val="clear"/>
          </w:tcPr>
          <w:p>
            <w:r>
              <w:rPr>
                <w:b/>
                <w:sz w:val="17"/>
              </w:rPr>
              <w:t>2,311</w:t>
            </w:r>
          </w:p>
        </w:tc>
        <w:tc>
          <w:tcPr>
            <w:tcW w:type="dxa" w:w="1440"/>
            <w:shd w:fill="FFDCE0" w:val="clear"/>
          </w:tcPr>
          <w:p>
            <w:r>
              <w:rPr>
                <w:sz w:val="17"/>
              </w:rPr>
              <w:t>2,589</w:t>
            </w:r>
          </w:p>
        </w:tc>
        <w:tc>
          <w:tcPr>
            <w:tcW w:type="dxa" w:w="1440"/>
            <w:shd w:fill="FFDCE0" w:val="clear"/>
          </w:tcPr>
          <w:p>
            <w:r>
              <w:rPr>
                <w:b/>
                <w:color w:val="C00000"/>
                <w:sz w:val="17"/>
              </w:rPr>
              <w:t>-21.1%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184,59 milliards FCFA, SHEC figure parmi les valeurs les plus importantes de la cote BRVM, ce qui témoigne de sa liquidité relative et de son poids dans l'indice composite. Le BPA de 96 FCFA/action signifie que chaque titre génère près de 96 FCFA de bénéfice net, un niveau modeste qui traduit la faible marge du secteur pétrolier aval. Le PER de 30,6x est nettement supérieur à la moyenne BRVM (8-12x), ce qui indique que les investisseurs paient très cher les bénéfices actuels, soit en anticipant une forte croissance future, soit en raison d'une surévaluation spéculative. Le P/B de 6,80x montre que le marché valorise l'entreprise à près de 7 fois sa valeur comptable, une prime exigeante qui n'est justifiée que par des perspectives de rentabilité durablement élevées. Enfin, l'EV/EBITDA de 15,3x, supérieur au seuil de 15x, confirme que la valeur totale de l'entreprise (dette incluse) est chèrement valorisée par rapport à sa capacité opérationnelle, ce qui laisse peu de marge d'erreur aux investisseurs.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spectaculaire de +50,64%, avec une dernière séance en hausse de +0,69%, portant le cours actuel à 2 930 FCFA, soit exactement son plus haut de la période. Le plus bas a été touché à 1 840 FCFA, ce qui signifie que le titre a évolué dans un range de plus de 1 090 FCFA, illustrant une tendance haussière puissante et soutenue. La moyenne du cours s'établit à 2 185 FCFA contre une médiane de 2 180 FCFA, un écart très faible qui suggère une distribution globalement symétrique sur la période, bien que le skewness de 0,933 indique une asymétrie positive avec davantage de journées sous la moyenne, typique d'une phase d'accélération haussière en fin de période. L'écart-type de 215 FCFA (CV de 9,8%) traduit une dispersion modérée du cours autour de sa moyenne, mais le kurtosis de 1,276 (leptokurtique) signale des queues épaisses, c'est-à-dire un risque de pics de volatilité brutaux. La volatilité annualisée de 35,2% positionne SHEC dans la catégorie des titres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(2 514 FCFA) et la MM50 (2 341,9 FCFA) sont toutes deux nettement inférieures au cours actuel de 2 930 FCFA, et la MM20 est au-dessus de la MM50, configurant un croisement haussier classique. Cette configuration confirme une dynamique positive de fond et justifie la décision d'achat, bien que l'écart important entre le cours et les moyennes suggère une extension potentiellement excessive à court terme.</w:t>
      </w:r>
    </w:p>
    <w:p>
      <w:pPr>
        <w:spacing w:after="120" w:line="276" w:lineRule="auto"/>
      </w:pPr>
      <w:r>
        <w:t>**Bandes de Bollinger** : Le cours actuel (2 930 FCFA) dépasse largement la borne supérieure (2 829,39 FCFA), ce qui constitue un signal de surachat technique et justifie la décision de vente. Cette sortie par le haut des bandes indique une volatilité accrue et une possible correction à venir vers la moyenne mobile, d'autant que la borne inférieure se situe à 2 198,61 FCFA.</w:t>
      </w:r>
    </w:p>
    <w:p>
      <w:pPr>
        <w:spacing w:after="120" w:line="276" w:lineRule="auto"/>
      </w:pPr>
      <w:r>
        <w:t>**MACD** : La valeur du MACD (125,413) est bien supérieure à son signal (80,362), avec un histogramme positif et en expansion, ce qui confirme un momentum haussier solide et justifie la décision d'achat. Toutefois, un MACD aussi élevé peut signaler une phase avancée du mouvement haussier, avec un risque de retournement imminent.</w:t>
      </w:r>
    </w:p>
    <w:p>
      <w:pPr>
        <w:spacing w:after="120" w:line="276" w:lineRule="auto"/>
      </w:pPr>
      <w:r>
        <w:t>**RSI** : Avec une valeur de 90,0, le RSI est en zone de surachat extrême (seuil &gt;70), ce qui justifie pleinement la décision de vente. Un RSI à ce niveau indique que le titre a été acheté de manière excessive et qu'une correction ou une consolidation est très probable à court terme.</w:t>
      </w:r>
    </w:p>
    <w:p>
      <w:pPr>
        <w:spacing w:after="120" w:line="276" w:lineRule="auto"/>
      </w:pPr>
      <w:r>
        <w:t>**Stochastique** : Le %K et le %D sont tous deux à 100,0, leur niveau maximal, ce qui confirme un surachat extrême et justifie la décision de vente. L'absence de croisement baissier pour l'instant ne fait que retarder un signal de retournement qui semble inévitable.</w:t>
      </w:r>
    </w:p>
    <w:p>
      <w:pPr>
        <w:spacing w:after="120" w:line="276" w:lineRule="auto"/>
      </w:pPr>
      <w:r>
        <w:t>**Conclusion technique** : Les indicateurs techniques présentent une divergence flagrante : les moyennes mobiles et le MACD confirment une tendance haussière de fond, tandis que les bandes de Bollinger, le RSI et le stochastique signalent un surachat extrême et un risque élevé de correction à court terme. Cette configuration suggère que le titre pourrait consolider ou corriger avant de reprendre sa tendance haussière, et qu'une prise de profit partielle est prudente pour les investisseurs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légère hausse de +0,71% par rapport à 2024, et un résultat net de 6,028 milliards FCFA, en progression de +12,6%, selon les états financiers provisoires au 31/12/2025. Le ROE s'établit à 22,20%, un niveau excellent (&gt;15%) qui témoigne d'une création de valeur efficace pour les actionnaires, tandis que le ROA de 3,11% reste modeste en raison de la structure d'actifs lourde du secteur. La marge nette de 0,9964% est très faible, caractéristique du secteur pétrolier aval, et la marge brute de 9,35% confirme une activité à faible valeur ajoutée. Les délais clients de 23,27 jours et fournisseurs de 35,47 jours sont raisonnables, mais le BFR de 15,315 milliards FCFA et la trésorerie nette de -65,264 milliards FCFA révèlent une tension de liquidité préoccupante, avec un fonds de roulement négatif de -49,850 milliards FCFA. Le ratio d'endettement de 43,95% et l'autonomie financière de 14,03% (bien inférieure au seuil de 30%) indiquent une dépendance élevée aux financements externes, bien que la capacité de remboursement de 0,97 an et la couverture des intérêts de 292,84% soient rassurantes. Sur la base du rapport du 1er semestre 2026 (publié en 2026), le chiffre d'affaires s'établit à 305 038 millions FCFA, en baisse de 1% sur un an, mais le résultat d'exploitation progresse de 17% à 6 133 millions FCFA grâce au dynamisme du butane, et le résultat net atteint 3 016 millions FCFA, soit une marge nette de 0,99%. On estime donc que l'exercice 2026 devrait maintenir une rentabilité stable, portée par les segments Réseau, Butane et Lubrifiants, mais pénalisée par la baisse des volumes aviation et bitume ainsi que par la hausse de 60% de l'impôt sur le résultat. La recommandation fondamentale est de **CONSERVER** le titre : la société est solide et bénéficiaire, mais sa faible marge, sa trésorerie négative et son endettement élevé limitent son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nettement surévaluée avec un PER de 30,6x (contre une moyenne BRVM de 8-12x), un P/B de 6,80x et un EV/EBITDA de 15,3x, ce qui laisse peu de marge de sécurité malgré la qualité des fondamentaux. Le comportement du cours sur 100 jours est exceptionnellement haussier (+50,64%), mais la volatilité annualisée de 35,2% et le kurtosis de 1,276 signalent un risque de pics baissiers brutaux, tandis que le skewness positif indique que la hausse récente pourrait être vulnérable à des prises de profit. Les signaux techniques sont divergents : les moyennes mobiles et le MACD confirment la tendance haussière, mais le RSI à 90, le stochastique à 100 et la sortie par le haut des bandes de Bollinger signalent un surachat extrême et un risque imminent de correction. Les fondamentaux sont résilients mais fragiles : résultat net en hausse de +13% en 2025, ROE de 22,20%, mais marge nette de 1%, trésorerie nette de -65,264 milliards FCFA et endettement élevé, avec un S1 2026 marqué par une baisse de 1% du CA mais une progression de 17% du résultat d'exploitation. Les prédictions IA anticipent une correction baissière sur 10 jours, avec un cours passant de 2 802 FCFA (J+1) à 2 480 FCFA (J+10), soit une baisse de -15,4% par rapport au cours actuel de 2 930 FCFA, ce qui contredit la tendance haussière récente et confirme les signaux de surachat technique. Sur la base de cette synthèse globale, la recommandation finale est **CONSERVER** avec un niveau de confiance **Moyen** et un risque global **Élevé**. L'horizon d'investissement optimal est le **moyen terme (3-12 mois)**, en attendant une correction technique qui offrirait un point d'entrée plus attractif, et une clarification sur la capacité de la société à réduire son endettement et à améliorer sa marge nette.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10,457 titres</w:t>
            </w:r>
          </w:p>
        </w:tc>
        <w:tc>
          <w:tcPr>
            <w:tcW w:type="dxa" w:w="2268"/>
            <w:shd w:fill="FFF2CC" w:val="clear"/>
          </w:tcPr>
          <w:p>
            <w:r>
              <w:rPr>
                <w:b/>
                <w:color w:val="503200"/>
                <w:sz w:val="16"/>
              </w:rPr>
              <w:t xml:space="preserve">Cours actuel : </w:t>
            </w:r>
            <w:r>
              <w:rPr>
                <w:color w:val="000000"/>
                <w:sz w:val="17"/>
              </w:rPr>
              <w:t>9,180 FCFA</w:t>
            </w:r>
          </w:p>
          <w:p>
            <w:r>
              <w:rPr>
                <w:b/>
                <w:color w:val="503200"/>
                <w:sz w:val="16"/>
              </w:rPr>
              <w:t xml:space="preserve">Var. 100 jours : </w:t>
            </w:r>
            <w:r>
              <w:rPr>
                <w:b/>
                <w:color w:val="007800"/>
                <w:sz w:val="17"/>
              </w:rPr>
              <w:t>+33.04%</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8.77% (Moyenne) — μ=8,594 FCFA, σ=754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β=0.2630 (Défensif) — Cov=0.000009, Var(idx)=0.000034, ρ=0.085,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10,457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8,849</w:t>
            </w:r>
          </w:p>
        </w:tc>
        <w:tc>
          <w:tcPr>
            <w:tcW w:type="dxa" w:w="1440"/>
            <w:shd w:fill="FAFAFA" w:val="clear"/>
          </w:tcPr>
          <w:p>
            <w:r>
              <w:rPr>
                <w:b/>
                <w:sz w:val="17"/>
              </w:rPr>
              <w:t>9,087</w:t>
            </w:r>
          </w:p>
        </w:tc>
        <w:tc>
          <w:tcPr>
            <w:tcW w:type="dxa" w:w="1440"/>
            <w:shd w:fill="FAFAFA" w:val="clear"/>
          </w:tcPr>
          <w:p>
            <w:r>
              <w:rPr>
                <w:sz w:val="17"/>
              </w:rPr>
              <w:t>9,326</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8,671</w:t>
            </w:r>
          </w:p>
        </w:tc>
        <w:tc>
          <w:tcPr>
            <w:tcW w:type="dxa" w:w="1440"/>
            <w:shd w:fill="FAFAFA" w:val="clear"/>
          </w:tcPr>
          <w:p>
            <w:r>
              <w:rPr>
                <w:b/>
                <w:sz w:val="17"/>
              </w:rPr>
              <w:t>9,005</w:t>
            </w:r>
          </w:p>
        </w:tc>
        <w:tc>
          <w:tcPr>
            <w:tcW w:type="dxa" w:w="1440"/>
            <w:shd w:fill="FAFAFA" w:val="clear"/>
          </w:tcPr>
          <w:p>
            <w:r>
              <w:rPr>
                <w:sz w:val="17"/>
              </w:rPr>
              <w:t>9,339</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8,523</w:t>
            </w:r>
          </w:p>
        </w:tc>
        <w:tc>
          <w:tcPr>
            <w:tcW w:type="dxa" w:w="1440"/>
            <w:shd w:fill="FFDCE0" w:val="clear"/>
          </w:tcPr>
          <w:p>
            <w:r>
              <w:rPr>
                <w:b/>
                <w:sz w:val="17"/>
              </w:rPr>
              <w:t>8,929</w:t>
            </w:r>
          </w:p>
        </w:tc>
        <w:tc>
          <w:tcPr>
            <w:tcW w:type="dxa" w:w="1440"/>
            <w:shd w:fill="FFDCE0" w:val="clear"/>
          </w:tcPr>
          <w:p>
            <w:r>
              <w:rPr>
                <w:sz w:val="17"/>
              </w:rPr>
              <w:t>9,335</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2026-09-22</w:t>
            </w:r>
          </w:p>
        </w:tc>
        <w:tc>
          <w:tcPr>
            <w:tcW w:type="dxa" w:w="1440"/>
            <w:shd w:fill="FFDCE0" w:val="clear"/>
          </w:tcPr>
          <w:p>
            <w:r>
              <w:rPr>
                <w:sz w:val="17"/>
              </w:rPr>
              <w:t>8,396</w:t>
            </w:r>
          </w:p>
        </w:tc>
        <w:tc>
          <w:tcPr>
            <w:tcW w:type="dxa" w:w="1440"/>
            <w:shd w:fill="FFDCE0" w:val="clear"/>
          </w:tcPr>
          <w:p>
            <w:r>
              <w:rPr>
                <w:b/>
                <w:sz w:val="17"/>
              </w:rPr>
              <w:t>8,861</w:t>
            </w:r>
          </w:p>
        </w:tc>
        <w:tc>
          <w:tcPr>
            <w:tcW w:type="dxa" w:w="1440"/>
            <w:shd w:fill="FFDCE0" w:val="clear"/>
          </w:tcPr>
          <w:p>
            <w:r>
              <w:rPr>
                <w:sz w:val="17"/>
              </w:rPr>
              <w:t>9,326</w:t>
            </w:r>
          </w:p>
        </w:tc>
        <w:tc>
          <w:tcPr>
            <w:tcW w:type="dxa" w:w="1440"/>
            <w:shd w:fill="FFDCE0" w:val="clear"/>
          </w:tcPr>
          <w:p>
            <w:r>
              <w:rPr>
                <w:b/>
                <w:color w:val="C00000"/>
                <w:sz w:val="17"/>
              </w:rPr>
              <w:t>-3.5%</w:t>
            </w:r>
          </w:p>
        </w:tc>
      </w:tr>
      <w:tr>
        <w:tc>
          <w:tcPr>
            <w:tcW w:type="dxa" w:w="1440"/>
            <w:shd w:fill="FFDCE0" w:val="clear"/>
          </w:tcPr>
          <w:p>
            <w:r>
              <w:rPr>
                <w:sz w:val="17"/>
              </w:rPr>
              <w:t>J+5  Moyenne</w:t>
            </w:r>
          </w:p>
        </w:tc>
        <w:tc>
          <w:tcPr>
            <w:tcW w:type="dxa" w:w="1440"/>
            <w:shd w:fill="FFDCE0" w:val="clear"/>
          </w:tcPr>
          <w:p>
            <w:r>
              <w:rPr>
                <w:sz w:val="17"/>
              </w:rPr>
              <w:t>2026-09-23</w:t>
            </w:r>
          </w:p>
        </w:tc>
        <w:tc>
          <w:tcPr>
            <w:tcW w:type="dxa" w:w="1440"/>
            <w:shd w:fill="FFDCE0" w:val="clear"/>
          </w:tcPr>
          <w:p>
            <w:r>
              <w:rPr>
                <w:sz w:val="17"/>
              </w:rPr>
              <w:t>8,283</w:t>
            </w:r>
          </w:p>
        </w:tc>
        <w:tc>
          <w:tcPr>
            <w:tcW w:type="dxa" w:w="1440"/>
            <w:shd w:fill="FFDCE0" w:val="clear"/>
          </w:tcPr>
          <w:p>
            <w:r>
              <w:rPr>
                <w:b/>
                <w:sz w:val="17"/>
              </w:rPr>
              <w:t>8,800</w:t>
            </w:r>
          </w:p>
        </w:tc>
        <w:tc>
          <w:tcPr>
            <w:tcW w:type="dxa" w:w="1440"/>
            <w:shd w:fill="FFDCE0" w:val="clear"/>
          </w:tcPr>
          <w:p>
            <w:r>
              <w:rPr>
                <w:sz w:val="17"/>
              </w:rPr>
              <w:t>9,316</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2026-09-24</w:t>
            </w:r>
          </w:p>
        </w:tc>
        <w:tc>
          <w:tcPr>
            <w:tcW w:type="dxa" w:w="1440"/>
            <w:shd w:fill="FFDCE0" w:val="clear"/>
          </w:tcPr>
          <w:p>
            <w:r>
              <w:rPr>
                <w:sz w:val="17"/>
              </w:rPr>
              <w:t>8,181</w:t>
            </w:r>
          </w:p>
        </w:tc>
        <w:tc>
          <w:tcPr>
            <w:tcW w:type="dxa" w:w="1440"/>
            <w:shd w:fill="FFDCE0" w:val="clear"/>
          </w:tcPr>
          <w:p>
            <w:r>
              <w:rPr>
                <w:b/>
                <w:sz w:val="17"/>
              </w:rPr>
              <w:t>8,744</w:t>
            </w:r>
          </w:p>
        </w:tc>
        <w:tc>
          <w:tcPr>
            <w:tcW w:type="dxa" w:w="1440"/>
            <w:shd w:fill="FFDCE0" w:val="clear"/>
          </w:tcPr>
          <w:p>
            <w:r>
              <w:rPr>
                <w:sz w:val="17"/>
              </w:rPr>
              <w:t>9,306</w:t>
            </w:r>
          </w:p>
        </w:tc>
        <w:tc>
          <w:tcPr>
            <w:tcW w:type="dxa" w:w="1440"/>
            <w:shd w:fill="FFDCE0" w:val="clear"/>
          </w:tcPr>
          <w:p>
            <w:r>
              <w:rPr>
                <w:b/>
                <w:color w:val="C00000"/>
                <w:sz w:val="17"/>
              </w:rPr>
              <w:t>-4.8%</w:t>
            </w:r>
          </w:p>
        </w:tc>
      </w:tr>
      <w:tr>
        <w:tc>
          <w:tcPr>
            <w:tcW w:type="dxa" w:w="1440"/>
            <w:shd w:fill="FFDCE0" w:val="clear"/>
          </w:tcPr>
          <w:p>
            <w:r>
              <w:rPr>
                <w:sz w:val="17"/>
              </w:rPr>
              <w:t>J+7  Moyenne</w:t>
            </w:r>
          </w:p>
        </w:tc>
        <w:tc>
          <w:tcPr>
            <w:tcW w:type="dxa" w:w="1440"/>
            <w:shd w:fill="FFDCE0" w:val="clear"/>
          </w:tcPr>
          <w:p>
            <w:r>
              <w:rPr>
                <w:sz w:val="17"/>
              </w:rPr>
              <w:t>2026-09-25</w:t>
            </w:r>
          </w:p>
        </w:tc>
        <w:tc>
          <w:tcPr>
            <w:tcW w:type="dxa" w:w="1440"/>
            <w:shd w:fill="FFDCE0" w:val="clear"/>
          </w:tcPr>
          <w:p>
            <w:r>
              <w:rPr>
                <w:sz w:val="17"/>
              </w:rPr>
              <w:t>8,088</w:t>
            </w:r>
          </w:p>
        </w:tc>
        <w:tc>
          <w:tcPr>
            <w:tcW w:type="dxa" w:w="1440"/>
            <w:shd w:fill="FFDCE0" w:val="clear"/>
          </w:tcPr>
          <w:p>
            <w:r>
              <w:rPr>
                <w:b/>
                <w:sz w:val="17"/>
              </w:rPr>
              <w:t>8,692</w:t>
            </w:r>
          </w:p>
        </w:tc>
        <w:tc>
          <w:tcPr>
            <w:tcW w:type="dxa" w:w="1440"/>
            <w:shd w:fill="FFDCE0" w:val="clear"/>
          </w:tcPr>
          <w:p>
            <w:r>
              <w:rPr>
                <w:sz w:val="17"/>
              </w:rPr>
              <w:t>9,296</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2026-09-28</w:t>
            </w:r>
          </w:p>
        </w:tc>
        <w:tc>
          <w:tcPr>
            <w:tcW w:type="dxa" w:w="1440"/>
            <w:shd w:fill="FFDCE0" w:val="clear"/>
          </w:tcPr>
          <w:p>
            <w:r>
              <w:rPr>
                <w:sz w:val="17"/>
              </w:rPr>
              <w:t>8,002</w:t>
            </w:r>
          </w:p>
        </w:tc>
        <w:tc>
          <w:tcPr>
            <w:tcW w:type="dxa" w:w="1440"/>
            <w:shd w:fill="FFDCE0" w:val="clear"/>
          </w:tcPr>
          <w:p>
            <w:r>
              <w:rPr>
                <w:b/>
                <w:sz w:val="17"/>
              </w:rPr>
              <w:t>8,644</w:t>
            </w:r>
          </w:p>
        </w:tc>
        <w:tc>
          <w:tcPr>
            <w:tcW w:type="dxa" w:w="1440"/>
            <w:shd w:fill="FFDCE0" w:val="clear"/>
          </w:tcPr>
          <w:p>
            <w:r>
              <w:rPr>
                <w:sz w:val="17"/>
              </w:rPr>
              <w:t>9,286</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2026-09-29</w:t>
            </w:r>
          </w:p>
        </w:tc>
        <w:tc>
          <w:tcPr>
            <w:tcW w:type="dxa" w:w="1440"/>
            <w:shd w:fill="FFDCE0" w:val="clear"/>
          </w:tcPr>
          <w:p>
            <w:r>
              <w:rPr>
                <w:sz w:val="17"/>
              </w:rPr>
              <w:t>7,922</w:t>
            </w:r>
          </w:p>
        </w:tc>
        <w:tc>
          <w:tcPr>
            <w:tcW w:type="dxa" w:w="1440"/>
            <w:shd w:fill="FFDCE0" w:val="clear"/>
          </w:tcPr>
          <w:p>
            <w:r>
              <w:rPr>
                <w:b/>
                <w:sz w:val="17"/>
              </w:rPr>
              <w:t>8,600</w:t>
            </w:r>
          </w:p>
        </w:tc>
        <w:tc>
          <w:tcPr>
            <w:tcW w:type="dxa" w:w="1440"/>
            <w:shd w:fill="FFDCE0" w:val="clear"/>
          </w:tcPr>
          <w:p>
            <w:r>
              <w:rPr>
                <w:sz w:val="17"/>
              </w:rPr>
              <w:t>9,277</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2026-09-30</w:t>
            </w:r>
          </w:p>
        </w:tc>
        <w:tc>
          <w:tcPr>
            <w:tcW w:type="dxa" w:w="1440"/>
            <w:shd w:fill="FFDCE0" w:val="clear"/>
          </w:tcPr>
          <w:p>
            <w:r>
              <w:rPr>
                <w:sz w:val="17"/>
              </w:rPr>
              <w:t>7,847</w:t>
            </w:r>
          </w:p>
        </w:tc>
        <w:tc>
          <w:tcPr>
            <w:tcW w:type="dxa" w:w="1440"/>
            <w:shd w:fill="FFDCE0" w:val="clear"/>
          </w:tcPr>
          <w:p>
            <w:r>
              <w:rPr>
                <w:b/>
                <w:sz w:val="17"/>
              </w:rPr>
              <w:t>8,558</w:t>
            </w:r>
          </w:p>
        </w:tc>
        <w:tc>
          <w:tcPr>
            <w:tcW w:type="dxa" w:w="1440"/>
            <w:shd w:fill="FFDCE0" w:val="clear"/>
          </w:tcPr>
          <w:p>
            <w:r>
              <w:rPr>
                <w:sz w:val="17"/>
              </w:rPr>
              <w:t>9,268</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918,00 Mds FCFA, la SIBC figure parmi les valeurs les plus importantes de la cote BRVM, ce qui témoigne de son statut de pilier du secteur bancaire sous-régional. Le BPA s'établit à 556 FCFA/action, soit le bénéfice net généré par chaque titre détenu. Le PER de 16,5x se situe nettement au-dessus de la moyenne du marché BRVM (généralement comprise entre 8x et 12x), ce qui indique que les investisseurs acceptent de payer une prime significative pour la qualité et la régularité des bénéfices de la banque. Le P/B de 4,48x confirme cette tendance : le marché valorise la SIBC à plus de quatre fois sa valeur comptable, une prime exigeante qui reflète la forte rentabilité des fonds propres (ROE de 27,16 %). Enfin, l'EV/EBITDA de 15,3x, bien qu'élevé dans l'absolu, reste cohérent avec le positionnement premium de la valeur sur le marché ouest-africain.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+33,04 %, clôturant à 9 180 FCFA après une légère correction de -0,22 % lors de la dernière séance. Le range de trading s'est établi entre un plus bas de 6 805 FCFA et un plus haut de 9 500 FCFA, matérialisant une tendance haussière clairement affirmée, portée par la solidité des fondamentaux et la confiance des investisseurs. La moyenne du cours sur la période s'élève à 8 594 FCFA, tandis que la médiane se situe à 8 878 FCFA, cet écart de 284 FCFA révélant une distribution légèrement asymétrique avec davantage de séances passées au-dessus de la moyenne. L'écart-type de 758 FCFA (CV de 8,8 %) traduit une dispersion modérée du cours, indiquant une certaine stabilité relative malgré la tendance haussière. Le kurtosis de -0,063 (mésokurtique) suggère une distribution proche de la normale, sans risque excessif de pics extrêmes, tandis que le skewness de -1,182 (asymétrie négative) confirme une prédominance de journées au-dessus de la moyenne, signe d'un momentum haussier soutenu. La volatilité annualisée de 28,7 % positionne le titre dans la catégorie des valeurs à volatilité modérée (15-30 %), offrant un bon compromis entre performance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(9 187,75 FCFA) et la MM50 (9 079,40 FCFA) encadrent le cours actuel (9 180 FCFA), qui évolue légèrement sous sa moyenne court terme mais au-dessus de sa moyenne long terme. Cette configuration en « croisement haussier » (MM20 &gt; MM50) confirme la dynamique positive de fond et justifie la décision d'achat.</w:t>
      </w:r>
    </w:p>
    <w:p>
      <w:pPr>
        <w:spacing w:after="120" w:line="276" w:lineRule="auto"/>
      </w:pPr>
      <w:r>
        <w:t>**Bandes de Bollinger** : Le cours (9 180 FCFA) se situe dans la moitié inférieure de la bande, entre la borne inférieure (9 003,92 FCFA) et la borne supérieure (9 371,58 FCFA), sans franchissement des extrêmes. Cette position neutre, couplée à un resserrement des bandes, suggère une phase de consolidation avant une éventuelle reprise directionnelle.</w:t>
      </w:r>
    </w:p>
    <w:p>
      <w:pPr>
        <w:spacing w:after="120" w:line="276" w:lineRule="auto"/>
      </w:pPr>
      <w:r>
        <w:t>**MACD** : La valeur du MACD (41,573) est inférieure à son signal (49,378), générant une divergence baissière qui traduit un essoufflement du momentum haussier à court terme. Cette configuration justifie la décision de vente technique, bien qu'elle puisse n'être que temporaire dans un contexte de tendance de fond positive.</w:t>
      </w:r>
    </w:p>
    <w:p>
      <w:pPr>
        <w:spacing w:after="120" w:line="276" w:lineRule="auto"/>
      </w:pPr>
      <w:r>
        <w:t>**RSI** : À 49,02, le RSI se situe parfaitement dans la zone neutre (30-70), indiquant un équilibre entre acheteurs et vendeurs sans pression excessive dans un sens ou dans l'autre. La décision neutre reflète l'absence de signal directionnel fort à court terme.</w:t>
      </w:r>
    </w:p>
    <w:p>
      <w:pPr>
        <w:spacing w:after="120" w:line="276" w:lineRule="auto"/>
      </w:pPr>
      <w:r>
        <w:t>**Stochastique** : Le %K (60,0) est inférieur au %D (75,556), avec un croisement baissier en zone haute, signalant un possible retournement à court terme. La décision neutre s'explique par le fait que les deux courbes restent dans une zone médiane, sans excès baissier ou haussier.</w:t>
      </w:r>
    </w:p>
    <w:p>
      <w:pPr>
        <w:spacing w:after="120" w:line="276" w:lineRule="auto"/>
      </w:pPr>
      <w:r>
        <w:t>**Conclusion technique** : Les indicateurs techniques présentent un tableau mitigé : la tendance de fond reste haussière (MM20 &gt; MM50), mais les signaux à court terme (MACD baissier, Stochastique en croisement baissier) suggèrent une consolidation voire une légère correction. Le RSI neutre et la position médiane dans les Bandes de Bollinger confirment l'absence de pression directionnelle forte, invitant à la prudence à court terme tout en maintenant une perspective positive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SIBC affiche des états financiers d'une solidité remarquable : un Produit Net Bancaire (PNB) de 108,663 Mds FCFA, un résultat net de 55,623 Mds FCFA, un ROE de 27,16 % et un ROA de 2,96 %. Le coefficient d'exploitation de 38,59 % — très inférieur au seuil de 60 % — témoigne d'une efficacité opérationnelle exceptionnelle, tandis que la marge nette de 51,19 % confirme la capacité de la banque à transformer efficacement son PNB en bénéfices. Le ratio dépôts/crédits s'établit à 1 503,441 Mds FCFA de dépôts clientèle pour 1 226,720 Mds FCFA de créances clientèle, soit un taux de transformation de 81,6 %, indiquant une gestion équilibrée de la liquidité. Les capitaux propres de 204,765 Mds FCFA et l'autonomie financière de 10,88 % (faible mais structurellement normale pour une banque) reflètent un modèle fondé sur le levier des dépôts. Le coût du risque, bien que non explicitement fourni dans les données structurées, est mentionné dans les rapports narratifs comme en baisse significative (-34 % au S1 2025), ce qui constitue un point positif majeur. Sur la base du rapport T1 2026 (publié le 31/12/2026), le PNB progresse de +4 % à 27,7 Mds FCFA et le résultat net de +11 % à 15,2 Mds FCFA, avec des dépôts en hausse de +9 % (1 495 Mds FCFA) et des crédits en hausse de +7 % (1 112 Mds FCFA). On estime donc que l'exercice 2026 devrait enregistrer un PNB annuel d'environ 112-115 Mds FCFA et un résultat net de 58-60 Mds FCFA, confirmant la trajectoire de croissance durable. Le rapport annuel 2024 (publié le 31/12/2024) indiquait déjà un ROE de 30,56 % et un dividende brut de 375 FCFA/action (rendement ~10,55 %), soulignant la générosité de la politique de distribution. La recommandation fondamentale est donc positive : solidité financière, croissance régulière, efficacité opérationnelle et gestion prudente des risques, avec un bémol sur la dépendance aux revenus d'intérêts (91,138 Mds FCFA sur 108,663 Mds FCFA de PNB, soit 83,9 %).</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SIBC (PER de 16,5x, P/B de 4,48x, EV/EBITDA de 15,3x) indique une prime significative par rapport au marché BRVM, justifiée par la qualité exceptionnelle des fondamentaux mais limitant le potentiel de réévaluation à court terme. Le comportement du cours sur 100 jours (+33,04 %) est nettement haussier, avec une volatilité modérée (28,7 %) et des statistiques descriptives (skewness négatif, kurtosis proche de la normale) qui traduisent une dynamique positive sans risque excessif de pics extrêmes. Les signaux techniques sont mitigés : la tendance de fond reste haussière (MM20 &gt; MM50), mais le MACD baissier et le Stochastique en croisement baissier suggèrent une consolidation imminente, ce qui est cohérent avec la position neutre du RSI et des Bandes de Bollinger. Les fondamentaux sont excellents : ROE de 27,16 %, coefficient d'exploitation de 38,59 %, croissance du résultat net de +11 % au T1 2026, et politique de dividende attractive (rendement ~10,55 % en 2024). Les prédictions IA (J+1 à J+10) anticipent une correction progressive de 9 087 FCFA à 8 800 FCFA, ce qui confirme la thèse d'une consolidation à court terme sans remise en cause de la tendance de fond. Sur la base de cette synthèse, la recommandation finale est **CONSERVER** avec un niveau de confiance **Moyen** et un risque global **Moyen**. Cette recommandation est justifiée par la convergence entre des fondamentaux solides (qui soutiennent le titre à long terme) et des signaux techniques à court terme invitant à la prudence (MACD baissier, prédictions IA correctives). L'horizon d'investissement optimal est le **moyen terme (3-12 mois)**, période qui devrait permettre à la banque de confirmer sa trajectoire de croissance tout en offrant un point d'entrée plus favorable après la consolidation anticipée. Pour les investisseurs déjà positionnés, il est conseillé de conserver le titre en surveillant les prochaines publications trimestrielles ; pour les nouveaux investisseurs, une attente d'une correction vers 8 800-9 000 FCFA pourrait offrir un meilleur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β=-1.0659 (Contre-cyclique) — Cov=-0.000037, Var(idx)=0.000035, ρ=-0.171,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2026-09-17</w:t>
            </w:r>
          </w:p>
        </w:tc>
        <w:tc>
          <w:tcPr>
            <w:tcW w:type="dxa" w:w="1440"/>
            <w:shd w:fill="FFDCE0" w:val="clear"/>
          </w:tcPr>
          <w:p>
            <w:r>
              <w:rPr>
                <w:sz w:val="17"/>
              </w:rPr>
              <w:t>7,362</w:t>
            </w:r>
          </w:p>
        </w:tc>
        <w:tc>
          <w:tcPr>
            <w:tcW w:type="dxa" w:w="1440"/>
            <w:shd w:fill="FFDCE0" w:val="clear"/>
          </w:tcPr>
          <w:p>
            <w:r>
              <w:rPr>
                <w:b/>
                <w:sz w:val="17"/>
              </w:rPr>
              <w:t>8,190</w:t>
            </w:r>
          </w:p>
        </w:tc>
        <w:tc>
          <w:tcPr>
            <w:tcW w:type="dxa" w:w="1440"/>
            <w:shd w:fill="FFDCE0" w:val="clear"/>
          </w:tcPr>
          <w:p>
            <w:r>
              <w:rPr>
                <w:sz w:val="17"/>
              </w:rPr>
              <w:t>9,018</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2026-09-18</w:t>
            </w:r>
          </w:p>
        </w:tc>
        <w:tc>
          <w:tcPr>
            <w:tcW w:type="dxa" w:w="1440"/>
            <w:shd w:fill="FFDCE0" w:val="clear"/>
          </w:tcPr>
          <w:p>
            <w:r>
              <w:rPr>
                <w:sz w:val="17"/>
              </w:rPr>
              <w:t>7,068</w:t>
            </w:r>
          </w:p>
        </w:tc>
        <w:tc>
          <w:tcPr>
            <w:tcW w:type="dxa" w:w="1440"/>
            <w:shd w:fill="FFDCE0" w:val="clear"/>
          </w:tcPr>
          <w:p>
            <w:r>
              <w:rPr>
                <w:b/>
                <w:sz w:val="17"/>
              </w:rPr>
              <w:t>8,067</w:t>
            </w:r>
          </w:p>
        </w:tc>
        <w:tc>
          <w:tcPr>
            <w:tcW w:type="dxa" w:w="1440"/>
            <w:shd w:fill="FFDCE0" w:val="clear"/>
          </w:tcPr>
          <w:p>
            <w:r>
              <w:rPr>
                <w:sz w:val="17"/>
              </w:rPr>
              <w:t>9,066</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6,806</w:t>
            </w:r>
          </w:p>
        </w:tc>
        <w:tc>
          <w:tcPr>
            <w:tcW w:type="dxa" w:w="1440"/>
            <w:shd w:fill="FFDCE0" w:val="clear"/>
          </w:tcPr>
          <w:p>
            <w:r>
              <w:rPr>
                <w:b/>
                <w:sz w:val="17"/>
              </w:rPr>
              <w:t>7,942</w:t>
            </w:r>
          </w:p>
        </w:tc>
        <w:tc>
          <w:tcPr>
            <w:tcW w:type="dxa" w:w="1440"/>
            <w:shd w:fill="FFDCE0" w:val="clear"/>
          </w:tcPr>
          <w:p>
            <w:r>
              <w:rPr>
                <w:sz w:val="17"/>
              </w:rPr>
              <w:t>9,077</w:t>
            </w:r>
          </w:p>
        </w:tc>
        <w:tc>
          <w:tcPr>
            <w:tcW w:type="dxa" w:w="1440"/>
            <w:shd w:fill="FFDCE0" w:val="clear"/>
          </w:tcPr>
          <w:p>
            <w:r>
              <w:rPr>
                <w:b/>
                <w:color w:val="C00000"/>
                <w:sz w:val="17"/>
              </w:rPr>
              <w:t>-5.5%</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6,567</w:t>
            </w:r>
          </w:p>
        </w:tc>
        <w:tc>
          <w:tcPr>
            <w:tcW w:type="dxa" w:w="1440"/>
            <w:shd w:fill="FFDCE0" w:val="clear"/>
          </w:tcPr>
          <w:p>
            <w:r>
              <w:rPr>
                <w:b/>
                <w:sz w:val="17"/>
              </w:rPr>
              <w:t>7,817</w:t>
            </w:r>
          </w:p>
        </w:tc>
        <w:tc>
          <w:tcPr>
            <w:tcW w:type="dxa" w:w="1440"/>
            <w:shd w:fill="FFDCE0" w:val="clear"/>
          </w:tcPr>
          <w:p>
            <w:r>
              <w:rPr>
                <w:sz w:val="17"/>
              </w:rPr>
              <w:t>9,066</w:t>
            </w:r>
          </w:p>
        </w:tc>
        <w:tc>
          <w:tcPr>
            <w:tcW w:type="dxa" w:w="1440"/>
            <w:shd w:fill="FFDCE0" w:val="clear"/>
          </w:tcPr>
          <w:p>
            <w:r>
              <w:rPr>
                <w:b/>
                <w:color w:val="C00000"/>
                <w:sz w:val="17"/>
              </w:rPr>
              <w:t>-6.9%</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6,346</w:t>
            </w:r>
          </w:p>
        </w:tc>
        <w:tc>
          <w:tcPr>
            <w:tcW w:type="dxa" w:w="1440"/>
            <w:shd w:fill="FFDCE0" w:val="clear"/>
          </w:tcPr>
          <w:p>
            <w:r>
              <w:rPr>
                <w:b/>
                <w:sz w:val="17"/>
              </w:rPr>
              <w:t>7,694</w:t>
            </w:r>
          </w:p>
        </w:tc>
        <w:tc>
          <w:tcPr>
            <w:tcW w:type="dxa" w:w="1440"/>
            <w:shd w:fill="FFDCE0" w:val="clear"/>
          </w:tcPr>
          <w:p>
            <w:r>
              <w:rPr>
                <w:sz w:val="17"/>
              </w:rPr>
              <w:t>9,041</w:t>
            </w:r>
          </w:p>
        </w:tc>
        <w:tc>
          <w:tcPr>
            <w:tcW w:type="dxa" w:w="1440"/>
            <w:shd w:fill="FFDCE0" w:val="clear"/>
          </w:tcPr>
          <w:p>
            <w:r>
              <w:rPr>
                <w:b/>
                <w:color w:val="C00000"/>
                <w:sz w:val="17"/>
              </w:rPr>
              <w:t>-8.4%</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SICC (SICOR)**</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5,04 milliards FCFA, un niveau modeste à l'échelle de la BRVM qui la classe parmi les petites capitalisations du compartiment agro-industriel. Les ratios de valorisation boursière (BPA, PER, P/B, EV/EBITDA) ne sont pas calculables en l'état, faute de données financières structurées exploitables dans la base (les états financiers disponibles remontent à des exercices anciens et ne permettent pas un rapprochement fiable avec le cours actuel). Cette absence de ratios constitue en soi un signal de vigilance : l'investisseur ne dispose pas d'ancrage fondamental chiffré pour juger si le cours de 8 400 FCFA est cher ou bon marché. À titre indicatif, avec un résultat net 2023 de 19,25 millions FCFA et un capital social de 1,5 milliard FCFA, le BPA implicite reste très faible, ce qui suggère un PER élevé et une valorisation portée davantage par l'anticipation que par les bénéfices réalisés.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affiche une progression spectaculaire de +95,35%, tout en cédant -1,12% lors de la dernière séance, signe d'une prise de profit après un rallye exceptionnel. Le titre a évolué dans un range très large, entre un plus bas de 3 985 FCFA et un plus haut de 10 200 FCFA, soit un écart de plus de 155% entre les deux extrêmes, ce qui traduit une tendance nettement haussière mais extrêmement nerveuse. Les statistiques descriptives confirment cette nervosité : la moyenne (5 815 FCFA) est très supérieure à la médiane (5 022 FCFA), écart qui révèle une distribution asymétrique avec des pics de prix tirant la moyenne vers le haut. L'écart-type de 1 813 FCFA et le coefficient de variation de 31,2% indiquent une dispersion élevée du cours autour de sa tendance. Le kurtosis de -0,630 (mésokurtique) suggère une distribution proche de la normale, sans pics extrêmes fréquents, tandis que le skewness positif de +0,913 signale une asymétrie à droite : davantage de journées se sont situées sous la moyenne, mais les hausses ont été plus amples que les baisses. Enfin, la volatilité annualisée de 58,2% place clairement SICC dans la catégorie des titres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(7 205,00 FCFA) sont toutes deux inférieures au cours actuel de 8 400 FCFA pour la MM20 (léger écart) mais nettement en dessous pour la MM50. La configuration MM20 &gt; MM50 confirme une dynamique haussière de fond, et le fait que le cours évolue autour de la MM20 indique une consolidation saine après le rallye. La décision technique est donc logiquement à l'**Achat**, tant que le cours se maintient au-dessus de la MM50.</w:t>
      </w:r>
    </w:p>
    <w:p>
      <w:pPr>
        <w:spacing w:after="120" w:line="276" w:lineRule="auto"/>
      </w:pPr>
      <w:r>
        <w:t>**Bandes de Bollinger** : Le cours (8 400 FCFA) se situe à l'intérieur des bandes, entre la borne inférieure (7 354,78 FCFA) et la borne supérieure (9 589,72 FCFA), mais plus proche de la borne haute. Cette position médiane-haute traduit une volatilité encore soutenue sans signal de surachat extrême. La décision est **Neutre**, car le cours n'a pas encore testé la borne supérieure qui déclencherait un signal de vente, ni la borne inférieure qui offrirait un point d'entrée.</w:t>
      </w:r>
    </w:p>
    <w:p>
      <w:pPr>
        <w:spacing w:after="120" w:line="276" w:lineRule="auto"/>
      </w:pPr>
      <w:r>
        <w:t>**MACD** : La valeur du MACD (273,54) est inférieure à son signal (365,56), configuration baissière caractéristique d'un essoufflement du momentum haussier. Cette divergence négative indique que la dynamique positive s'affaiblit et que la pression vendeuse prend le dessus à court terme. La décision qui en découle est à la **Vente**, signal de prudence après le rallye.</w:t>
      </w:r>
    </w:p>
    <w:p>
      <w:pPr>
        <w:spacing w:after="120" w:line="276" w:lineRule="auto"/>
      </w:pPr>
      <w:r>
        <w:t>**RSI** : À 61,16, le RSI se situe dans la zone neutre (30-70), sans atteindre le seuil de surachat de 70. Cela signifie que le titre conserve un potentiel de hausse résiduel mais n'est plus dans une dynamique d'achat agressive. La décision est **Neutre**, cohérente avec une phase de consolidation.</w:t>
      </w:r>
    </w:p>
    <w:p>
      <w:pPr>
        <w:spacing w:after="120" w:line="276" w:lineRule="auto"/>
      </w:pPr>
      <w:r>
        <w:t>**Stochastique** : Le %K (85,71) et le %D (94,76) sont tous deux en zone de surachat (&gt;80), avec un %K inférieur au %D, ce qui constitue un croisement baissier imminent. Cette configuration signale que la pression acheteuse s'épuise et qu'un retournement à la baisse est probable à très court terme. La décision est à la **Vente**.</w:t>
      </w:r>
    </w:p>
    <w:p>
      <w:pPr>
        <w:spacing w:after="120" w:line="276" w:lineRule="auto"/>
      </w:pPr>
      <w:r>
        <w:t>**Conclusion technique** : Les indicateurs sont majoritairement baissiers à court terme (MACD en vente, Stochastique en vente, RSI neutre-bas), tandis que les moyennes mobiles restent haussières de fond et que les Bollinger sont neutres. Cette divergence entre tendance de fond (haussière) et momentum (baissier) suggère une consolidation voire une correction technique après le rallye de +95%, avant une éventuelle reprise. La prudence est de mise pour les acheteurs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la SICOR ne sont pas disponibles dans la base, mais les rapports officiels analysés permettent de reconstituer une trajectoire financière précise. Selon le rapport de l'exercice 2023 (analysé le 15 mars 2026), le chiffre d'affaires s'est établi à **701,09 millions FCFA**, en chute de 38,4% par rapport aux 1 138,17 millions FCFA de 2022, avec un résultat net revenu à **+19,25 millions FCFA** (marge nette de 2,75%) contre une perte de -39,95 millions FCFA en 2022. Le rapport 2022 (même date d'analyse) montre que cette perte faisait suite à un bénéfice de 119,23 millions FCFA en 2021 et de 109,83 millions en 2020, illustrant une dégradation brutale de la rentabilité. Le rapport 2021 (analysé le 6 septembre 2026) précise que ce bénéfice de 119,2 millions FCFA était en réalité de moindre qualité, soutenu par un résultat financier exceptionnel de +66 millions FCFA (reprises de provisions), alors que le chiffre d'affaires chutait déjà de 41% à 1,38 milliard FCFA et que l'EBE reculait à 165 millions FCFA. Plus anciennement, le rapport 2017 (analysé en 2024) faisait état d'un chiffre d'affaires de 1,56 milliard FCFA et d'un résultat net de 100,6 millions FCFA (marge de 6,4%), tandis que le rapport 2016 mentionnait un CA de 1,57 milliard FCFA pour un résultat net de 53,3 millions FCFA (marge de 3,39%). La tendance de long terme est donc celle d'une érosion continue du chiffre d'affaires (de 1,57 Md en 2016 à 0,70 Md en 2023) et d'une rentabilité structurellement faible, avec un retour à la profitabilité en 2023 uniquement grâce à une réduction drastique des charges (-43,68%). Les pertes cumulées de 689,86 millions FCFA au bilan empêchent toute distribution de dividende depuis 2017, et la trésorerie reste tendue (découverts bancaires multipliés par 14 en 2023). La recommandation fondamentale est donc à la **prudence** : la société est fragile, dépendante de la maîtrise des coûts et vulnérable aux vols de noix de coco et à la volatilité des prix du coprah.</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marquée entre les signaux. La **valorisation** (Partie 0) est ininterprétable faute de ratios, mais l'absence de BPA significatif et la faiblesse des bénéfices suggèrent une surévaluation relative au regard des fondamentaux. Le **comportement du cours** (Partie 1) est exceptionnellement haussier (+95,35%) mais accompagné d'une volatilité élevée (58,2%) et d'une asymétrie positive (skewness +0,913) qui indique que les hausses passées pourraient ne pas se répéter. Les **signaux techniques** (Partie 2) sont majoritairement baissiers à court terme (MACD en vente, Stochastique en surachat, RSI neutre), bien que les moyennes mobiles restent haussières de fond. Les **fondamentaux** (Partie 3) sont préoccupants : chiffre d'affaires en chute de 38,4% en 2023, rentabilité fragile (marge nette de 2,75%), pertes cumulées de 689,86 millions FCFA et absence de dividende depuis 2017. Enfin, les **prédictions IA** (J+1 à J+10) anticipent une baisse continue de 8 190 FCFA à 7 694 FCFA, confirmant la pression baissière à court terme. Sur la base de cette convergence baissière (technique + prédictions + fondamentaux fragiles), la recommandation finale est à la **VENTE** pour les investisseurs à court terme, avec un niveau de confiance **Moyen** (les moyennes mobiles haussières empêchant un signal de vente forte). Le risque global est **Élevé** en raison de la volatilité extrême et de la fragilité financière. L'horizon d'investissement optimal est **court terme (&lt;3 mois)** pour profiter de la correction attendue, ou **long terme (&gt;1 an)** uniquement pour les investisseurs tolérant le risque et misant sur un redressement structurel hypothétique.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5,435 titres</w:t>
            </w:r>
          </w:p>
        </w:tc>
        <w:tc>
          <w:tcPr>
            <w:tcW w:type="dxa" w:w="2268"/>
            <w:shd w:fill="FFF2CC" w:val="clear"/>
          </w:tcPr>
          <w:p>
            <w:r>
              <w:rPr>
                <w:b/>
                <w:color w:val="503200"/>
                <w:sz w:val="16"/>
              </w:rPr>
              <w:t xml:space="preserve">Cours actuel : </w:t>
            </w:r>
            <w:r>
              <w:rPr>
                <w:color w:val="000000"/>
                <w:sz w:val="17"/>
              </w:rPr>
              <w:t>2,270 FCFA</w:t>
            </w:r>
          </w:p>
          <w:p>
            <w:r>
              <w:rPr>
                <w:b/>
                <w:color w:val="503200"/>
                <w:sz w:val="16"/>
              </w:rPr>
              <w:t xml:space="preserve">Var. 100 jours : </w:t>
            </w:r>
            <w:r>
              <w:rPr>
                <w:b/>
                <w:color w:val="B40000"/>
                <w:sz w:val="17"/>
              </w:rPr>
              <w:t>-15.93%</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10.53% (Moyenne) — μ=2,520 FCFA, σ=265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β=0.3704 (Défensif) — Cov=0.000013, Var(idx)=0.000034, ρ=0.069,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2,158</w:t>
            </w:r>
          </w:p>
        </w:tc>
        <w:tc>
          <w:tcPr>
            <w:tcW w:type="dxa" w:w="1440"/>
            <w:shd w:fill="FAFAFA" w:val="clear"/>
          </w:tcPr>
          <w:p>
            <w:r>
              <w:rPr>
                <w:b/>
                <w:sz w:val="17"/>
              </w:rPr>
              <w:t>2,260</w:t>
            </w:r>
          </w:p>
        </w:tc>
        <w:tc>
          <w:tcPr>
            <w:tcW w:type="dxa" w:w="1440"/>
            <w:shd w:fill="FAFAFA" w:val="clear"/>
          </w:tcPr>
          <w:p>
            <w:r>
              <w:rPr>
                <w:sz w:val="17"/>
              </w:rPr>
              <w:t>2,361</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2,103</w:t>
            </w:r>
          </w:p>
        </w:tc>
        <w:tc>
          <w:tcPr>
            <w:tcW w:type="dxa" w:w="1440"/>
            <w:shd w:fill="FAFAFA" w:val="clear"/>
          </w:tcPr>
          <w:p>
            <w:r>
              <w:rPr>
                <w:b/>
                <w:sz w:val="17"/>
              </w:rPr>
              <w:t>2,245</w:t>
            </w:r>
          </w:p>
        </w:tc>
        <w:tc>
          <w:tcPr>
            <w:tcW w:type="dxa" w:w="1440"/>
            <w:shd w:fill="FAFAFA" w:val="clear"/>
          </w:tcPr>
          <w:p>
            <w:r>
              <w:rPr>
                <w:sz w:val="17"/>
              </w:rPr>
              <w:t>2,388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2,058</w:t>
            </w:r>
          </w:p>
        </w:tc>
        <w:tc>
          <w:tcPr>
            <w:tcW w:type="dxa" w:w="1440"/>
            <w:shd w:fill="FAFAFA" w:val="clear"/>
          </w:tcPr>
          <w:p>
            <w:r>
              <w:rPr>
                <w:b/>
                <w:sz w:val="17"/>
              </w:rPr>
              <w:t>2,231</w:t>
            </w:r>
          </w:p>
        </w:tc>
        <w:tc>
          <w:tcPr>
            <w:tcW w:type="dxa" w:w="1440"/>
            <w:shd w:fill="FAFAFA" w:val="clear"/>
          </w:tcPr>
          <w:p>
            <w:r>
              <w:rPr>
                <w:sz w:val="17"/>
              </w:rPr>
              <w:t>2,405</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2,018</w:t>
            </w:r>
          </w:p>
        </w:tc>
        <w:tc>
          <w:tcPr>
            <w:tcW w:type="dxa" w:w="1440"/>
            <w:shd w:fill="FFDCE0" w:val="clear"/>
          </w:tcPr>
          <w:p>
            <w:r>
              <w:rPr>
                <w:b/>
                <w:sz w:val="17"/>
              </w:rPr>
              <w:t>2,218</w:t>
            </w:r>
          </w:p>
        </w:tc>
        <w:tc>
          <w:tcPr>
            <w:tcW w:type="dxa" w:w="1440"/>
            <w:shd w:fill="FFDCE0" w:val="clear"/>
          </w:tcPr>
          <w:p>
            <w:r>
              <w:rPr>
                <w:sz w:val="17"/>
              </w:rPr>
              <w:t>2,417</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1,983</w:t>
            </w:r>
          </w:p>
        </w:tc>
        <w:tc>
          <w:tcPr>
            <w:tcW w:type="dxa" w:w="1440"/>
            <w:shd w:fill="FFDCE0" w:val="clear"/>
          </w:tcPr>
          <w:p>
            <w:r>
              <w:rPr>
                <w:b/>
                <w:sz w:val="17"/>
              </w:rPr>
              <w:t>2,204</w:t>
            </w:r>
          </w:p>
        </w:tc>
        <w:tc>
          <w:tcPr>
            <w:tcW w:type="dxa" w:w="1440"/>
            <w:shd w:fill="FFDCE0" w:val="clear"/>
          </w:tcPr>
          <w:p>
            <w:r>
              <w:rPr>
                <w:sz w:val="17"/>
              </w:rPr>
              <w:t>2,426</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1,950</w:t>
            </w:r>
          </w:p>
        </w:tc>
        <w:tc>
          <w:tcPr>
            <w:tcW w:type="dxa" w:w="1440"/>
            <w:shd w:fill="FFDCE0" w:val="clear"/>
          </w:tcPr>
          <w:p>
            <w:r>
              <w:rPr>
                <w:b/>
                <w:sz w:val="17"/>
              </w:rPr>
              <w:t>2,191</w:t>
            </w:r>
          </w:p>
        </w:tc>
        <w:tc>
          <w:tcPr>
            <w:tcW w:type="dxa" w:w="1440"/>
            <w:shd w:fill="FFDCE0" w:val="clear"/>
          </w:tcPr>
          <w:p>
            <w:r>
              <w:rPr>
                <w:sz w:val="17"/>
              </w:rPr>
              <w:t>2,432</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1,920</w:t>
            </w:r>
          </w:p>
        </w:tc>
        <w:tc>
          <w:tcPr>
            <w:tcW w:type="dxa" w:w="1440"/>
            <w:shd w:fill="FFDCE0" w:val="clear"/>
          </w:tcPr>
          <w:p>
            <w:r>
              <w:rPr>
                <w:b/>
                <w:sz w:val="17"/>
              </w:rPr>
              <w:t>2,178</w:t>
            </w:r>
          </w:p>
        </w:tc>
        <w:tc>
          <w:tcPr>
            <w:tcW w:type="dxa" w:w="1440"/>
            <w:shd w:fill="FFDCE0" w:val="clear"/>
          </w:tcPr>
          <w:p>
            <w:r>
              <w:rPr>
                <w:sz w:val="17"/>
              </w:rPr>
              <w:t>2,437</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1,891</w:t>
            </w:r>
          </w:p>
        </w:tc>
        <w:tc>
          <w:tcPr>
            <w:tcW w:type="dxa" w:w="1440"/>
            <w:shd w:fill="FFDCE0" w:val="clear"/>
          </w:tcPr>
          <w:p>
            <w:r>
              <w:rPr>
                <w:b/>
                <w:sz w:val="17"/>
              </w:rPr>
              <w:t>2,166</w:t>
            </w:r>
          </w:p>
        </w:tc>
        <w:tc>
          <w:tcPr>
            <w:tcW w:type="dxa" w:w="1440"/>
            <w:shd w:fill="FFDCE0" w:val="clear"/>
          </w:tcPr>
          <w:p>
            <w:r>
              <w:rPr>
                <w:sz w:val="17"/>
              </w:rPr>
              <w:t>2,441</w:t>
            </w:r>
          </w:p>
        </w:tc>
        <w:tc>
          <w:tcPr>
            <w:tcW w:type="dxa" w:w="1440"/>
            <w:shd w:fill="FFDCE0" w:val="clear"/>
          </w:tcPr>
          <w:p>
            <w:r>
              <w:rPr>
                <w:b/>
                <w:color w:val="C00000"/>
                <w:sz w:val="17"/>
              </w:rPr>
              <w:t>-4.6%</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1,863</w:t>
            </w:r>
          </w:p>
        </w:tc>
        <w:tc>
          <w:tcPr>
            <w:tcW w:type="dxa" w:w="1440"/>
            <w:shd w:fill="FFDCE0" w:val="clear"/>
          </w:tcPr>
          <w:p>
            <w:r>
              <w:rPr>
                <w:b/>
                <w:sz w:val="17"/>
              </w:rPr>
              <w:t>2,154</w:t>
            </w:r>
          </w:p>
        </w:tc>
        <w:tc>
          <w:tcPr>
            <w:tcW w:type="dxa" w:w="1440"/>
            <w:shd w:fill="FFDCE0" w:val="clear"/>
          </w:tcPr>
          <w:p>
            <w:r>
              <w:rPr>
                <w:sz w:val="17"/>
              </w:rPr>
              <w:t>2,444</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1,837</w:t>
            </w:r>
          </w:p>
        </w:tc>
        <w:tc>
          <w:tcPr>
            <w:tcW w:type="dxa" w:w="1440"/>
            <w:shd w:fill="FFDCE0" w:val="clear"/>
          </w:tcPr>
          <w:p>
            <w:r>
              <w:rPr>
                <w:b/>
                <w:sz w:val="17"/>
              </w:rPr>
              <w:t>2,141</w:t>
            </w:r>
          </w:p>
        </w:tc>
        <w:tc>
          <w:tcPr>
            <w:tcW w:type="dxa" w:w="1440"/>
            <w:shd w:fill="FFDCE0" w:val="clear"/>
          </w:tcPr>
          <w:p>
            <w:r>
              <w:rPr>
                <w:sz w:val="17"/>
              </w:rPr>
              <w:t>2,446</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19,83 milliards FCFA, ERIUM CI se situe dans la catégorie des petites capitalisations de la BRVM, ce qui implique une liquidité limitée et une sensibilité accrue aux mouvements de portefeuille. Le BPA de 43 FCFA/action signifie que chaque titre génère 43 FCFA de bénéfice net, un niveau modeste qui, rapporté au cours de 2 270 FCFA, aboutit à un PER de 52,6x — très largement supérieur à la moyenne du marché BRVM (8-12x), signalant que les investisseurs paient une prime spéculative très élevée par rapport aux bénéfices réellement dégagés. Le P/B de 6,06x confirme cette exubérance : le marché valorise la société à plus de six fois sa valeur comptable, une prime injustifiée au regard de la dégradation des capitaux propres. Enfin, l'EV/EBITDA de 16,7x traduit une valorisation exigeante de la capacité opérationnelle, suggérant que le titre intègre des anticipations de croissance que les résultats actuels ne soutiennent pas encore. L'ensemble de ces ratios pointe vers une **surévaluation manifeste**, avec un risque de correction si les bénéfices ne rattrapent pas rapidement les attentes.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SIVC/ERIUM CI affiche une variation totale de **-15,93%**, avec une dernière séance en repli de -1,30%, confirmant une dynamique baissière persistante. Le cours actuel de 2 270 FCFA se situe dans la moitié inférieure du range de trading (plus haut : 2 875 FCFA ; plus bas : 1 920 FCFA), ce qui traduit une pression vendeuse dominante et un échec des tentatives de rebond au-dessus de 2 500 FCFA. La moyenne (2 520 FCFA) est supérieure à la médiane (2 430 FCFA), indiquant une légère asymétrie positive due à quelques séances haussières en début de période, mais le mode à 2 400 FCFA montre que le cours a longtemps stagné autour de ce niveau avant de céder. L'écart-type de 267 FCFA et le coefficient de variation de 10,6% révèlent une dispersion modérée du cours, mais la volatilité annualisée de **49,9%** classe le titre dans la catégorie **très volatile** (&gt;30%), ce qui est cohérent avec une petite capitalisation peu liquide. Le kurtosis de -1,324 (distribution platykurtique) indique une faible concentration des rendements autour de la moyenne, avec des mouvements amples mais sans pics extrêmes fréquents, tandis que le skewness de -0,053 (quasi-symétrique) suggère un équilibre relatif entre séances haussières et baissières — mais la tendance de fond reste clairement baissière.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(2 348 FCFA) et la MM50 (2 289,8 FCFA) se situent toutes deux au-dessus du cours actuel (2 270 FCFA), ce qui place le titre en position de faiblesse relative. Cependant, la MM20 étant supérieure à la MM50, la configuration reste théoriquement haussière sur le croisement, d'où la décision "Achat" — mais cette lecture est fragilisée par le fait que le cours évolue sous les deux moyennes, signalant un essoufflement de la dynamique positive.</w:t>
      </w:r>
    </w:p>
    <w:p>
      <w:pPr>
        <w:spacing w:after="120" w:line="276" w:lineRule="auto"/>
      </w:pPr>
      <w:r>
        <w:t>**Bandes de Bollinger** : Le cours (2 270 FCFA) évolue dans la partie basse de la bande, entre la borne inférieure (2 256,55 FCFA) et la borne supérieure (2 439,45 FCFA), sans franchissement de seuil. La décision "Neutre" reflète l'absence de signal directionnel fort, mais la proximité de la borne inférieure suggère que le titre pourrait tester un support dynamique, avec un risque de cassure baissière si la pression vendeuse persiste.</w:t>
      </w:r>
    </w:p>
    <w:p>
      <w:pPr>
        <w:spacing w:after="120" w:line="276" w:lineRule="auto"/>
      </w:pPr>
      <w:r>
        <w:t>**MACD** : La valeur du MACD (-10,132) est nettement inférieure à son signal (0,673), générant une divergence baissière marquée. Le momentum est clairement négatif, et la décision "Vente" confirme que la dynamique de court terme reste défavorable, avec un risque de poursuite de la baisse tant que le MACD ne se redresse pas au-dessus de son signal.</w:t>
      </w:r>
    </w:p>
    <w:p>
      <w:pPr>
        <w:spacing w:after="120" w:line="276" w:lineRule="auto"/>
      </w:pPr>
      <w:r>
        <w:t>**RSI** : À 43,448, le RSI se situe dans la zone neutre (30-70), sans signal de surachat ni de survente. La décision "Neutre" indique que le titre n'est ni dans une phase d'épuisement haussier ni dans une zone de rebond technique imminent, laissant la porte ouverte à une poursuite de la tendance baissière sans excès.</w:t>
      </w:r>
    </w:p>
    <w:p>
      <w:pPr>
        <w:spacing w:after="120" w:line="276" w:lineRule="auto"/>
      </w:pPr>
      <w:r>
        <w:t>**Stochastique** : Le %K (3,125) est très bas et inférieur au %D (8,333), ce qui place le titre en zone de survente extrême. La décision "Achat" repose sur l'anticipation d'un rebond technique à court terme, mais la faiblesse du %K traduit une pression vendeuse intense qui pourrait nécessiter une confirmation par un croisement haussier du %K au-dessus du %D.</w:t>
      </w:r>
    </w:p>
    <w:p>
      <w:pPr>
        <w:spacing w:after="120" w:line="276" w:lineRule="auto"/>
      </w:pPr>
      <w:r>
        <w:t>**Conclusion technique** : Les indicateurs sont **divergents** — les moyennes mobiles et le stochastique suggèrent un potentiel rebond, tandis que le MACD et la position du cours sous les MM confirment une tendance baissière. Le RSI neutre et les Bollinger sans signal fort renforcent l'incertitude. Dans ce contexte, la prudence est de mise : un rebond technique est possible, mais il ne serait pas soutenu par une dynamique de fond, et la tendance baissière reste dominante.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chiffre d'affaires/PNB de 9,283 milliards FCFA, un résultat net de 376,96 millions FCFA, un ROE de 11,52% et un ROA de 2,69%. Le coefficient d'exploitation de 95,83% est **très élevé** pour une banque (seuil d'efficacité &lt;60%), ce qui traduit une structure de coûts lourde et une faible efficacité opérationnelle. Le coût du risque (3,10%) reste contenu, mais la marge nette de 4,06% est modeste. Le rapport annuel **2025** (analysé par DEEPSEEK le 29/06/2026) révèle une **dégradation alarmante** : le CA progresse de +8,53% à 10,074 milliards FCFA, mais le résultat net **chute de -52,4%** à 179,29 millions FCFA, avec une marge nette divisée par deux (1,78%). Le résultat financier passe d'un gain de 316 M FCFA à une perte de -114 M FCFA, et la trésorerie nette reste négative à -1,66 milliard FCFA. Les capitaux propres reculent à 2,526 milliards FCFA, et l'endettement financier grimpe à 4,164 milliards FCFA. Les rapports trimestriels **2025** (S1 et T3) fournissent des estimations contrastées : au S1 2025 (rapport certifié du 30/06/2025), le CA atteint 4,897 milliards FCFA (+8,8%) et le résultat net 512,9 millions FCFA (+4,6%), avec une marge nette de 10,5% — mais ces chiffres semblent **incohérents** avec le résultat annuel de 179 millions FCFA, suggérant une dégradation brutale au S2. Le rapport T3 2025 (date inconnue) affiche un CA cumulé de 7,584 milliards FCFA (+13%) et un résultat net de 832,5 millions FCFA (+58%), ce qui, là encore, contredit le résultat annuel — probablement en raison de retraitements ou d'éléments exceptionnels non récurrents. **Conclusion fondamentale** : la société affiche une croissance commerciale réelle mais une **rentabilité en chute libre**, une structure financière fragilisée (autonomie financière de 23,34%, endettement de 80,09%) et une trésorerie négative. La recommandation fondamentale est **CONSERVER avec surveillance**, mais les risques baissiers dominent.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préoccupante** entre les signaux. La valorisation (Partie 0) est **manifestement surévaluée** : PER de 52,6x, P/B de 6,06x et EV/EBITDA de 16,7x intègrent des anticipations de croissance que les fondamentaux ne soutiennent pas. Le comportement du cours (Partie 1) est **baissier** (-15,93% sur 100 jours), avec une volatilité très élevée (49,9%) et une distribution platykurtique qui expose à des mouvements amples et erratiques. Les signaux techniques (Partie 2) sont **mitigés** : le MACD est baissier, le cours évolue sous les MM20/MM50, mais le stochastique en survente extrême et les MM en configuration haussière théorique laissent entrevoir un rebond technique fragile. Les fondamentaux (Partie 3) sont **préoccupants** : malgré une croissance du CA de +8,53% en 2025, le résultat net s'est effondré de -52,4%, la marge nette est tombée à 1,78%, et la trésorerie nette reste négative à -1,66 milliard FCFA. Les prédictions IA (J+1 à J+10) confirment la tendance baissière, avec une trajectoire de 2 260 FCFA à 2 204 FCFA, soit une baisse supplémentaire de -2,5% sur 10 jours. **Recommandation finale : VENTE**. La convergence entre une valorisation excessive, des fondamentaux dégradés, une tendance baissière confirmée par les prédictions et un MACD négatif l'emporte sur les signaux techniques haussiers isolés (stochastique, MM). Le niveau de confiance est **Moyen** (les divergences techniques empêchent une certitude élevée), et le risque global est **Élevé** (volatilité, petite capitalisation, endettement). L'horizon d'investissement optimal est **court terme** (&lt;3 mois) pour les investisseurs cherchant à sortir avant une nouvelle dégradation, ou **moyen terme** (3-12 mois) pour ceux qui anticipent un retournement fondamental — mais ce scénario reste hautement incertain.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1,330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2.41% (Faible) — μ=38,240 FCFA, σ=922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β=0.1735 (Défensif) — Cov=0.000006, Var(idx)=0.000034, ρ=0.056,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37,842</w:t>
            </w:r>
          </w:p>
        </w:tc>
        <w:tc>
          <w:tcPr>
            <w:tcW w:type="dxa" w:w="1440"/>
            <w:shd w:fill="FAFAFA" w:val="clear"/>
          </w:tcPr>
          <w:p>
            <w:r>
              <w:rPr>
                <w:b/>
                <w:sz w:val="17"/>
              </w:rPr>
              <w:t>38,615</w:t>
            </w:r>
          </w:p>
        </w:tc>
        <w:tc>
          <w:tcPr>
            <w:tcW w:type="dxa" w:w="1440"/>
            <w:shd w:fill="FAFAFA" w:val="clear"/>
          </w:tcPr>
          <w:p>
            <w:r>
              <w:rPr>
                <w:sz w:val="17"/>
              </w:rPr>
              <w:t>39,388</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2026-09-18</w:t>
            </w:r>
          </w:p>
        </w:tc>
        <w:tc>
          <w:tcPr>
            <w:tcW w:type="dxa" w:w="1440"/>
            <w:shd w:fill="C6EFCE" w:val="clear"/>
          </w:tcPr>
          <w:p>
            <w:r>
              <w:rPr>
                <w:sz w:val="17"/>
              </w:rPr>
              <w:t>37,786</w:t>
            </w:r>
          </w:p>
        </w:tc>
        <w:tc>
          <w:tcPr>
            <w:tcW w:type="dxa" w:w="1440"/>
            <w:shd w:fill="C6EFCE" w:val="clear"/>
          </w:tcPr>
          <w:p>
            <w:r>
              <w:rPr>
                <w:b/>
                <w:sz w:val="17"/>
              </w:rPr>
              <w:t>38,886</w:t>
            </w:r>
          </w:p>
        </w:tc>
        <w:tc>
          <w:tcPr>
            <w:tcW w:type="dxa" w:w="1440"/>
            <w:shd w:fill="C6EFCE" w:val="clear"/>
          </w:tcPr>
          <w:p>
            <w:r>
              <w:rPr>
                <w:sz w:val="17"/>
              </w:rPr>
              <w:t>39,987</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2026-09-21</w:t>
            </w:r>
          </w:p>
        </w:tc>
        <w:tc>
          <w:tcPr>
            <w:tcW w:type="dxa" w:w="1440"/>
            <w:shd w:fill="C6EFCE" w:val="clear"/>
          </w:tcPr>
          <w:p>
            <w:r>
              <w:rPr>
                <w:sz w:val="17"/>
              </w:rPr>
              <w:t>37,859</w:t>
            </w:r>
          </w:p>
        </w:tc>
        <w:tc>
          <w:tcPr>
            <w:tcW w:type="dxa" w:w="1440"/>
            <w:shd w:fill="C6EFCE" w:val="clear"/>
          </w:tcPr>
          <w:p>
            <w:r>
              <w:rPr>
                <w:b/>
                <w:sz w:val="17"/>
              </w:rPr>
              <w:t>39,218</w:t>
            </w:r>
          </w:p>
        </w:tc>
        <w:tc>
          <w:tcPr>
            <w:tcW w:type="dxa" w:w="1440"/>
            <w:shd w:fill="C6EFCE" w:val="clear"/>
          </w:tcPr>
          <w:p>
            <w:r>
              <w:rPr>
                <w:sz w:val="17"/>
              </w:rPr>
              <w:t>40,577</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2026-09-22</w:t>
            </w:r>
          </w:p>
        </w:tc>
        <w:tc>
          <w:tcPr>
            <w:tcW w:type="dxa" w:w="1440"/>
            <w:shd w:fill="C6EFCE" w:val="clear"/>
          </w:tcPr>
          <w:p>
            <w:r>
              <w:rPr>
                <w:sz w:val="17"/>
              </w:rPr>
              <w:t>37,972</w:t>
            </w:r>
          </w:p>
        </w:tc>
        <w:tc>
          <w:tcPr>
            <w:tcW w:type="dxa" w:w="1440"/>
            <w:shd w:fill="C6EFCE" w:val="clear"/>
          </w:tcPr>
          <w:p>
            <w:r>
              <w:rPr>
                <w:b/>
                <w:sz w:val="17"/>
              </w:rPr>
              <w:t>39,555</w:t>
            </w:r>
          </w:p>
        </w:tc>
        <w:tc>
          <w:tcPr>
            <w:tcW w:type="dxa" w:w="1440"/>
            <w:shd w:fill="C6EFCE" w:val="clear"/>
          </w:tcPr>
          <w:p>
            <w:r>
              <w:rPr>
                <w:sz w:val="17"/>
              </w:rPr>
              <w:t>41,138</w:t>
            </w:r>
          </w:p>
        </w:tc>
        <w:tc>
          <w:tcPr>
            <w:tcW w:type="dxa" w:w="1440"/>
            <w:shd w:fill="C6EFCE" w:val="clear"/>
          </w:tcPr>
          <w:p>
            <w:r>
              <w:rPr>
                <w:b/>
                <w:color w:val="008000"/>
                <w:sz w:val="17"/>
              </w:rPr>
              <w:t>+4.1%</w:t>
            </w:r>
          </w:p>
        </w:tc>
      </w:tr>
      <w:tr>
        <w:tc>
          <w:tcPr>
            <w:tcW w:type="dxa" w:w="1440"/>
            <w:shd w:fill="C6EFCE" w:val="clear"/>
          </w:tcPr>
          <w:p>
            <w:r>
              <w:rPr>
                <w:sz w:val="17"/>
              </w:rPr>
              <w:t>J+5  Moyenne</w:t>
            </w:r>
          </w:p>
        </w:tc>
        <w:tc>
          <w:tcPr>
            <w:tcW w:type="dxa" w:w="1440"/>
            <w:shd w:fill="C6EFCE" w:val="clear"/>
          </w:tcPr>
          <w:p>
            <w:r>
              <w:rPr>
                <w:sz w:val="17"/>
              </w:rPr>
              <w:t>2026-09-23</w:t>
            </w:r>
          </w:p>
        </w:tc>
        <w:tc>
          <w:tcPr>
            <w:tcW w:type="dxa" w:w="1440"/>
            <w:shd w:fill="C6EFCE" w:val="clear"/>
          </w:tcPr>
          <w:p>
            <w:r>
              <w:rPr>
                <w:sz w:val="17"/>
              </w:rPr>
              <w:t>38,101</w:t>
            </w:r>
          </w:p>
        </w:tc>
        <w:tc>
          <w:tcPr>
            <w:tcW w:type="dxa" w:w="1440"/>
            <w:shd w:fill="C6EFCE" w:val="clear"/>
          </w:tcPr>
          <w:p>
            <w:r>
              <w:rPr>
                <w:b/>
                <w:sz w:val="17"/>
              </w:rPr>
              <w:t>39,885</w:t>
            </w:r>
          </w:p>
        </w:tc>
        <w:tc>
          <w:tcPr>
            <w:tcW w:type="dxa" w:w="1440"/>
            <w:shd w:fill="C6EFCE" w:val="clear"/>
          </w:tcPr>
          <w:p>
            <w:r>
              <w:rPr>
                <w:sz w:val="17"/>
              </w:rPr>
              <w:t>41,670</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2026-09-24</w:t>
            </w:r>
          </w:p>
        </w:tc>
        <w:tc>
          <w:tcPr>
            <w:tcW w:type="dxa" w:w="1440"/>
            <w:shd w:fill="C6EFCE" w:val="clear"/>
          </w:tcPr>
          <w:p>
            <w:r>
              <w:rPr>
                <w:sz w:val="17"/>
              </w:rPr>
              <w:t>38,238</w:t>
            </w:r>
          </w:p>
        </w:tc>
        <w:tc>
          <w:tcPr>
            <w:tcW w:type="dxa" w:w="1440"/>
            <w:shd w:fill="C6EFCE" w:val="clear"/>
          </w:tcPr>
          <w:p>
            <w:r>
              <w:rPr>
                <w:b/>
                <w:sz w:val="17"/>
              </w:rPr>
              <w:t>40,209</w:t>
            </w:r>
          </w:p>
        </w:tc>
        <w:tc>
          <w:tcPr>
            <w:tcW w:type="dxa" w:w="1440"/>
            <w:shd w:fill="C6EFCE" w:val="clear"/>
          </w:tcPr>
          <w:p>
            <w:r>
              <w:rPr>
                <w:sz w:val="17"/>
              </w:rPr>
              <w:t>42,179</w:t>
            </w:r>
          </w:p>
        </w:tc>
        <w:tc>
          <w:tcPr>
            <w:tcW w:type="dxa" w:w="1440"/>
            <w:shd w:fill="C6EFCE" w:val="clear"/>
          </w:tcPr>
          <w:p>
            <w:r>
              <w:rPr>
                <w:b/>
                <w:color w:val="008000"/>
                <w:sz w:val="17"/>
              </w:rPr>
              <w:t>+5.8%</w:t>
            </w:r>
          </w:p>
        </w:tc>
      </w:tr>
      <w:tr>
        <w:tc>
          <w:tcPr>
            <w:tcW w:type="dxa" w:w="1440"/>
            <w:shd w:fill="C6EFCE" w:val="clear"/>
          </w:tcPr>
          <w:p>
            <w:r>
              <w:rPr>
                <w:sz w:val="17"/>
              </w:rPr>
              <w:t>J+7  Moyenne</w:t>
            </w:r>
          </w:p>
        </w:tc>
        <w:tc>
          <w:tcPr>
            <w:tcW w:type="dxa" w:w="1440"/>
            <w:shd w:fill="C6EFCE" w:val="clear"/>
          </w:tcPr>
          <w:p>
            <w:r>
              <w:rPr>
                <w:sz w:val="17"/>
              </w:rPr>
              <w:t>2026-09-25</w:t>
            </w:r>
          </w:p>
        </w:tc>
        <w:tc>
          <w:tcPr>
            <w:tcW w:type="dxa" w:w="1440"/>
            <w:shd w:fill="C6EFCE" w:val="clear"/>
          </w:tcPr>
          <w:p>
            <w:r>
              <w:rPr>
                <w:sz w:val="17"/>
              </w:rPr>
              <w:t>38,380</w:t>
            </w:r>
          </w:p>
        </w:tc>
        <w:tc>
          <w:tcPr>
            <w:tcW w:type="dxa" w:w="1440"/>
            <w:shd w:fill="C6EFCE" w:val="clear"/>
          </w:tcPr>
          <w:p>
            <w:r>
              <w:rPr>
                <w:b/>
                <w:sz w:val="17"/>
              </w:rPr>
              <w:t>40,525</w:t>
            </w:r>
          </w:p>
        </w:tc>
        <w:tc>
          <w:tcPr>
            <w:tcW w:type="dxa" w:w="1440"/>
            <w:shd w:fill="C6EFCE" w:val="clear"/>
          </w:tcPr>
          <w:p>
            <w:r>
              <w:rPr>
                <w:sz w:val="17"/>
              </w:rPr>
              <w:t>42,671</w:t>
            </w:r>
          </w:p>
        </w:tc>
        <w:tc>
          <w:tcPr>
            <w:tcW w:type="dxa" w:w="1440"/>
            <w:shd w:fill="C6EFCE" w:val="clear"/>
          </w:tcPr>
          <w:p>
            <w:r>
              <w:rPr>
                <w:b/>
                <w:color w:val="008000"/>
                <w:sz w:val="17"/>
              </w:rPr>
              <w:t>+6.6%</w:t>
            </w:r>
          </w:p>
        </w:tc>
      </w:tr>
      <w:tr>
        <w:tc>
          <w:tcPr>
            <w:tcW w:type="dxa" w:w="1440"/>
            <w:shd w:fill="C6EFCE" w:val="clear"/>
          </w:tcPr>
          <w:p>
            <w:r>
              <w:rPr>
                <w:sz w:val="17"/>
              </w:rPr>
              <w:t>J+8  Moyenne</w:t>
            </w:r>
          </w:p>
        </w:tc>
        <w:tc>
          <w:tcPr>
            <w:tcW w:type="dxa" w:w="1440"/>
            <w:shd w:fill="C6EFCE" w:val="clear"/>
          </w:tcPr>
          <w:p>
            <w:r>
              <w:rPr>
                <w:sz w:val="17"/>
              </w:rPr>
              <w:t>2026-09-28</w:t>
            </w:r>
          </w:p>
        </w:tc>
        <w:tc>
          <w:tcPr>
            <w:tcW w:type="dxa" w:w="1440"/>
            <w:shd w:fill="C6EFCE" w:val="clear"/>
          </w:tcPr>
          <w:p>
            <w:r>
              <w:rPr>
                <w:sz w:val="17"/>
              </w:rPr>
              <w:t>38,526</w:t>
            </w:r>
          </w:p>
        </w:tc>
        <w:tc>
          <w:tcPr>
            <w:tcW w:type="dxa" w:w="1440"/>
            <w:shd w:fill="C6EFCE" w:val="clear"/>
          </w:tcPr>
          <w:p>
            <w:r>
              <w:rPr>
                <w:b/>
                <w:sz w:val="17"/>
              </w:rPr>
              <w:t>40,837</w:t>
            </w:r>
          </w:p>
        </w:tc>
        <w:tc>
          <w:tcPr>
            <w:tcW w:type="dxa" w:w="1440"/>
            <w:shd w:fill="C6EFCE" w:val="clear"/>
          </w:tcPr>
          <w:p>
            <w:r>
              <w:rPr>
                <w:sz w:val="17"/>
              </w:rPr>
              <w:t>43,148</w:t>
            </w:r>
          </w:p>
        </w:tc>
        <w:tc>
          <w:tcPr>
            <w:tcW w:type="dxa" w:w="1440"/>
            <w:shd w:fill="C6EFCE" w:val="clear"/>
          </w:tcPr>
          <w:p>
            <w:r>
              <w:rPr>
                <w:b/>
                <w:color w:val="008000"/>
                <w:sz w:val="17"/>
              </w:rPr>
              <w:t>+7.5%</w:t>
            </w:r>
          </w:p>
        </w:tc>
      </w:tr>
      <w:tr>
        <w:tc>
          <w:tcPr>
            <w:tcW w:type="dxa" w:w="1440"/>
            <w:shd w:fill="C6EFCE" w:val="clear"/>
          </w:tcPr>
          <w:p>
            <w:r>
              <w:rPr>
                <w:sz w:val="17"/>
              </w:rPr>
              <w:t>J+9  Moyenne</w:t>
            </w:r>
          </w:p>
        </w:tc>
        <w:tc>
          <w:tcPr>
            <w:tcW w:type="dxa" w:w="1440"/>
            <w:shd w:fill="C6EFCE" w:val="clear"/>
          </w:tcPr>
          <w:p>
            <w:r>
              <w:rPr>
                <w:sz w:val="17"/>
              </w:rPr>
              <w:t>2026-09-29</w:t>
            </w:r>
          </w:p>
        </w:tc>
        <w:tc>
          <w:tcPr>
            <w:tcW w:type="dxa" w:w="1440"/>
            <w:shd w:fill="C6EFCE" w:val="clear"/>
          </w:tcPr>
          <w:p>
            <w:r>
              <w:rPr>
                <w:sz w:val="17"/>
              </w:rPr>
              <w:t>38,674</w:t>
            </w:r>
          </w:p>
        </w:tc>
        <w:tc>
          <w:tcPr>
            <w:tcW w:type="dxa" w:w="1440"/>
            <w:shd w:fill="C6EFCE" w:val="clear"/>
          </w:tcPr>
          <w:p>
            <w:r>
              <w:rPr>
                <w:b/>
                <w:sz w:val="17"/>
              </w:rPr>
              <w:t>41,143</w:t>
            </w:r>
          </w:p>
        </w:tc>
        <w:tc>
          <w:tcPr>
            <w:tcW w:type="dxa" w:w="1440"/>
            <w:shd w:fill="C6EFCE" w:val="clear"/>
          </w:tcPr>
          <w:p>
            <w:r>
              <w:rPr>
                <w:sz w:val="17"/>
              </w:rPr>
              <w:t>43,613</w:t>
            </w:r>
          </w:p>
        </w:tc>
        <w:tc>
          <w:tcPr>
            <w:tcW w:type="dxa" w:w="1440"/>
            <w:shd w:fill="C6EFCE" w:val="clear"/>
          </w:tcPr>
          <w:p>
            <w:r>
              <w:rPr>
                <w:b/>
                <w:color w:val="008000"/>
                <w:sz w:val="17"/>
              </w:rPr>
              <w:t>+8.3%</w:t>
            </w:r>
          </w:p>
        </w:tc>
      </w:tr>
      <w:tr>
        <w:tc>
          <w:tcPr>
            <w:tcW w:type="dxa" w:w="1440"/>
            <w:shd w:fill="C6EFCE" w:val="clear"/>
          </w:tcPr>
          <w:p>
            <w:r>
              <w:rPr>
                <w:sz w:val="17"/>
              </w:rPr>
              <w:t>J+10  Moyenne</w:t>
            </w:r>
          </w:p>
        </w:tc>
        <w:tc>
          <w:tcPr>
            <w:tcW w:type="dxa" w:w="1440"/>
            <w:shd w:fill="C6EFCE" w:val="clear"/>
          </w:tcPr>
          <w:p>
            <w:r>
              <w:rPr>
                <w:sz w:val="17"/>
              </w:rPr>
              <w:t>2026-09-30</w:t>
            </w:r>
          </w:p>
        </w:tc>
        <w:tc>
          <w:tcPr>
            <w:tcW w:type="dxa" w:w="1440"/>
            <w:shd w:fill="C6EFCE" w:val="clear"/>
          </w:tcPr>
          <w:p>
            <w:r>
              <w:rPr>
                <w:sz w:val="17"/>
              </w:rPr>
              <w:t>38,823</w:t>
            </w:r>
          </w:p>
        </w:tc>
        <w:tc>
          <w:tcPr>
            <w:tcW w:type="dxa" w:w="1440"/>
            <w:shd w:fill="C6EFCE" w:val="clear"/>
          </w:tcPr>
          <w:p>
            <w:r>
              <w:rPr>
                <w:b/>
                <w:sz w:val="17"/>
              </w:rPr>
              <w:t>41,446</w:t>
            </w:r>
          </w:p>
        </w:tc>
        <w:tc>
          <w:tcPr>
            <w:tcW w:type="dxa" w:w="1440"/>
            <w:shd w:fill="C6EFCE" w:val="clear"/>
          </w:tcPr>
          <w:p>
            <w:r>
              <w:rPr>
                <w:sz w:val="17"/>
              </w:rPr>
              <w:t>44,068</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*Marché : BRVM | Secteur : Entreprise (Boissons &amp; Limonaderies)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plus importantes capitalisations de la BRVM, ce qui en fait un pilier de l'indice BRVM Composite et un titre de référence pour les investisseurs institutionnels de la zone UEMOA. Le BPA de 2 781 FCFA par action signifie que chaque titre génère près de 2 800 FCFA de bénéfice net, un niveau remarquable qui traduit la forte rentabilité de l'entreprise. Le PER de 13,7x se situe légèrement au-dessus de la moyenne du marché BRVM (8-12x), mais reste modéré au regard de la croissance exceptionnelle du résultat net (+113% en 2025), ce qui suggère que les investisseurs paient une prime raisonnable pour cette dynamique. Le P/B de 3,21x indique que le marché valorise SOLIBRA à plus de trois fois sa valeur comptable, une prime de croissance justifiée par un ROE élevé de 23,46% qui dépasse largement le coût des fonds propres. Enfin, l'EV/EBITDA de 7,4x, dans la fourchette raisonnable de 5-10x, montre que la valeur totale de l'entreprise (incluant la dette) reste cohérente avec sa capacité opérationnelle à générer des liquidités, ce qui conforte l'idée d'une valorisation équilibrée.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+0,00% et une variation J-1 de +0,00%, traduisant une phase de stabilisation marquée autour du cours actuel de 38 000 FCFA. Le titre a évolué dans un range relativement étroit entre un plus bas de 35 540 FCFA et un plus haut de 41 500 FCFA, soit une amplitude d'environ 16,8%, ce qui reste modéré pour un titre de cette envergure. La tendance générale est donc stable, avec une légère pression haussière contenue, le cours se maintenant au-dessus de sa moyenne sur la période. Les statistiques descriptives révèlent une moyenne de 38 240 FCFA très proche de la médiane (38 000 FCFA) et du mode (38 000 FCFA), ce qui indique une distribution quasi-symétrique sans biais directionnel marqué. L'écart-type de 927 FCFA avec un coefficient de variation de seulement 2,4% confirme une faible dispersion du cours, signe d'une certaine stabilité mais aussi d'un manque de volatilité exploitables pour les traders. Le kurtosis de 0,720 (mésokurtique) suggère une distribution proche de la normale, sans risque excessif de pics extrêmes, tandis que le skewness de 0,471 indique une légère asymétrie positive, c'est-à-dire une probabilité marginalement plus élevée de mouvements haussiers que baissiers. La volatilité annualisée de 28,8% place le titre dans la catégorie des valeurs à volatilité modérée (15-30%), ce qui est cohérent avec un profil de valeur de rendement plutôt que de spéculation.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37 722 FCFA et la MM50 à 38 252,1 FCFA, avec un cours actuel de 38 000 FCFA qui se situe entre ces deux moyennes. Cette configuration indique une tendance légèrement baissière de court terme (cours sous MM50) mais un soutien de court terme (cours au-dessus de MM20), ce qui justifie la décision de vente prudente émise par le système, le croisement des moyennes n'étant pas encore confirmé à la hausse.</w:t>
      </w:r>
    </w:p>
    <w:p>
      <w:pPr>
        <w:spacing w:after="120" w:line="276" w:lineRule="auto"/>
      </w:pPr>
      <w:r>
        <w:t>**Bandes de Bollinger** : La borne supérieure est à 38 427,03 FCFA et la borne inférieure à 37 016,97 FCFA, avec un cours actuel de 38 000 FCFA qui se situe dans la partie haute de la bande (à environ 70% de la largeur). Cette position indique une pression acheteuse modérée sans suraccumulation, et la largeur relativement étroite des bandes (environ 1 410 FCFA) reflète une faible volatilité récente, justifiant la décision neutre.</w:t>
      </w:r>
    </w:p>
    <w:p>
      <w:pPr>
        <w:spacing w:after="120" w:line="276" w:lineRule="auto"/>
      </w:pPr>
      <w:r>
        <w:t>**MACD** : La valeur du MACD est de -2,84 contre un signal à -81,027, créant une divergence haussière significative où le MACD est nettement au-dessus de sa ligne de signal. Cette configuration, bien que les deux valeurs soient négatives, indique un momentum en amélioration et un possible retournement à la hausse, justifiant pleinement la décision d'achat.</w:t>
      </w:r>
    </w:p>
    <w:p>
      <w:pPr>
        <w:spacing w:after="120" w:line="276" w:lineRule="auto"/>
      </w:pPr>
      <w:r>
        <w:t>**RSI** : À 57,576, le RSI se situe dans la zone neutre (30-70), légèrement au-dessus du point médian de 50, ce qui indique une dynamique haussière modérée sans surachat. Le titre conserve donc un potentiel de hausse sans être vulnérable à une correction immédiate, justifiant la décision neutre.</w:t>
      </w:r>
    </w:p>
    <w:p>
      <w:pPr>
        <w:spacing w:after="120" w:line="276" w:lineRule="auto"/>
      </w:pPr>
      <w:r>
        <w:t>**Stochastique** : Les valeurs %K et %D sont toutes deux à 100,0, ce qui place le stochastique en zone de surachat extrême. Cette configuration signale que le cours a atteint le sommet de sa fourchette récente et qu'un retournement baissier est probable à court terme, justifiant la décision de vente.</w:t>
      </w:r>
    </w:p>
    <w:p>
      <w:pPr>
        <w:spacing w:after="120" w:line="276" w:lineRule="auto"/>
      </w:pPr>
      <w:r>
        <w:t>**Conclusion technique** : Les indicateurs présentent une divergence notable : le MACD est haussier (achat), les Bandes de Bollinger et le RSI sont neutres, tandis que les Moyennes Mobiles et le Stochastique sont baissiers (vente). Cette configuration mitigée suggère une phase de consolidation avec un léger biais haussier porté par le MACD, mais la prudence est de mise compte tenu du surachat stochastique et de la position du cours sous la MM50. Un signal d'achat plus franc nécessiterait une cassure confirmée au-dessus de 38 427 FCFA (borne supérieure de Bollinger) avec un volume soutenu.</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portée par une augmentation des volumes distribués et une stratégie commerciale offensive. Le résultat net s'établit à 45,781 milliards FCFA, en progression spectaculaire de 113% (contre 21,472 milliards en 2024), avec une marge nette qui double de 6,9% à 12,1%. Le ROE atteint 23,46% (excellent, &gt;15%) et le ROA 13,48%, confirmant une rentabilité capitalistique remarquable. La structure financière est saine avec une autonomie financière de 57,48% (capitaux propres/total bilan), un ratio d'endettement maîtrisé de 42,52% et une trésorerie nette positive de 22,117 milliards FCFA. En tant qu'entreprise industrielle, les délais d'exploitation méritent attention : le délai clients de 64,27 jours est modéré mais représente un risque de trésorerie, le délai fournisseurs de 76,82 jours est favorable (financement par les fournisseurs), et la durée de stockage de 117,32 jours est élevée, immobilisant du capital dans les stocks. Le BFR de 61,587 milliards FCFA et le fonds de roulement de 83,689 milliards FCFA couvrent largement ce besoin, avec une liquidité générale de 195% (&gt;1, bon). Sur la base du rapport T1 2026 (publié en 2026), le chiffre d'affaires progresse de +7,6% à 93,46 milliards FCFA avec un résultat net de 16,26 milliards FCFA (+4,8%), ce qui, annualisé, suggère un exercice 2026 en croissance plus modérée mais toujours solide, avec un résultat net estimé autour de 65-70 milliards FCFA si la tendance se maintient. Le rapport annuel 2025 (analysé par DeepSeek en mai 2026) confirme la solidité des fondamentaux et propose un dividende de 2 127 FCFA par action (rendement d'environ 5,6% au cours actuel), avec un taux de distribution de 76,5%, généreux mais soutenable. Les risques identifiés incluent la dépendance aux matières premières (90 milliards FCFA d'achats exposés à la volatilité), la concentration géographique sur la Côte d'Ivoire, et la pression concurrentielle. Néanmoins, la position de leader, la croissance démographique de la zone UEMOA et la solidité financière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SOLIBRA (Partie 0) apparaît équilibrée : le PER de 13,7x est légèrement supérieur à la moyenne du marché mais justifié par la croissance exceptionnelle, le P/B de 3,21x reflète une prime de qualité, et l'EV/EBITDA de 7,4x reste raisonnable, suggérant une absence de surévaluation manifeste. Le comportement du cours (Partie 1) est celui d'une valeur stable avec une volatilité modérée (28,8%), une distribution symétrique (skewness 0,471) et une faible dispersion (CV 2,4%), ce qui est rassurant pour un investisseur de long terme mais offre peu d'opportunités de trading à court terme. Les signaux techniques (Partie 2) sont mitigés : le MACD est haussier, mais le stochastique en surachat et la position sous la MM50 incitent à la prudence, plaidant pour une attente de confirmation avant tout achat agressif. Les fondamentaux (Partie 3) sont excellents : croissance du CA de 22%, résultat net multiplié par 2, ROE de 23,46%, structure financière solide, et perspectives 2026 positives malgré un ralentissement attendu de la croissance. Les prédictions IA (J+1 à J+10) tablent sur une hausse progressive de 38 615 FCFA à 39 885 FCFA, soit un potentiel de +5% sur 10 jours, ce qui confirme le biais haussier modéré suggéré par le MACD et les fondamentaux. Sur la base de cette synthèse, la recommandation finale est **ACHAT**, avec un niveau de confiance **Moyen** et un risque global **Moyen**. La convergence entre fondamentaux solides, valorisation raisonnable et prédictions haussières soutient cette décision, mais la divergence technique (stochastique en surachat, cours sous MM50) et le ralentissement de la croissance au T1 2026 appellent à la prudence. L'horizon d'investissement optimal est le **moyen terme (3-12 mois)**, le temps que la croissance se confirme et que les indicateurs techniques se réalignent à la hausse, avec un objectif de cours à 41 500 FCFA (plus haut sur 100 jours) voire 43 000 FCFA si la dynamique se poursuit.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1,568 titres</w:t>
            </w:r>
          </w:p>
        </w:tc>
        <w:tc>
          <w:tcPr>
            <w:tcW w:type="dxa" w:w="2268"/>
            <w:shd w:fill="FFF2CC" w:val="clear"/>
          </w:tcPr>
          <w:p>
            <w:r>
              <w:rPr>
                <w:b/>
                <w:color w:val="503200"/>
                <w:sz w:val="16"/>
              </w:rPr>
              <w:t xml:space="preserve">Cours actuel : </w:t>
            </w:r>
            <w:r>
              <w:rPr>
                <w:color w:val="000000"/>
                <w:sz w:val="17"/>
              </w:rPr>
              <w:t>17,690 FCFA</w:t>
            </w:r>
          </w:p>
          <w:p>
            <w:r>
              <w:rPr>
                <w:b/>
                <w:color w:val="503200"/>
                <w:sz w:val="16"/>
              </w:rPr>
              <w:t xml:space="preserve">Var. 100 jours : </w:t>
            </w:r>
            <w:r>
              <w:rPr>
                <w:b/>
                <w:color w:val="007800"/>
                <w:sz w:val="17"/>
              </w:rPr>
              <w:t>+53.36%</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13.57% (Moyenne) — μ=15,435 FCFA, σ=2,094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β=-0.8212 (Contre-cyclique) — Cov=-0.000028, Var(idx)=0.000034, ρ=-0.211,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17,524</w:t>
            </w:r>
          </w:p>
        </w:tc>
        <w:tc>
          <w:tcPr>
            <w:tcW w:type="dxa" w:w="1440"/>
            <w:shd w:fill="FAFAFA" w:val="clear"/>
          </w:tcPr>
          <w:p>
            <w:r>
              <w:rPr>
                <w:b/>
                <w:sz w:val="17"/>
              </w:rPr>
              <w:t>17,990</w:t>
            </w:r>
          </w:p>
        </w:tc>
        <w:tc>
          <w:tcPr>
            <w:tcW w:type="dxa" w:w="1440"/>
            <w:shd w:fill="FAFAFA" w:val="clear"/>
          </w:tcPr>
          <w:p>
            <w:r>
              <w:rPr>
                <w:sz w:val="17"/>
              </w:rPr>
              <w:t>18,455</w:t>
            </w:r>
          </w:p>
        </w:tc>
        <w:tc>
          <w:tcPr>
            <w:tcW w:type="dxa" w:w="1440"/>
            <w:shd w:fill="FAFAFA" w:val="clear"/>
          </w:tcPr>
          <w:p>
            <w:r>
              <w:rPr>
                <w:b/>
                <w:color w:val="008000"/>
                <w:sz w:val="17"/>
              </w:rPr>
              <w:t>+1.7%</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17,274</w:t>
            </w:r>
          </w:p>
        </w:tc>
        <w:tc>
          <w:tcPr>
            <w:tcW w:type="dxa" w:w="1440"/>
            <w:shd w:fill="FAFAFA" w:val="clear"/>
          </w:tcPr>
          <w:p>
            <w:r>
              <w:rPr>
                <w:b/>
                <w:sz w:val="17"/>
              </w:rPr>
              <w:t>17,931</w:t>
            </w:r>
          </w:p>
        </w:tc>
        <w:tc>
          <w:tcPr>
            <w:tcW w:type="dxa" w:w="1440"/>
            <w:shd w:fill="FAFAFA" w:val="clear"/>
          </w:tcPr>
          <w:p>
            <w:r>
              <w:rPr>
                <w:sz w:val="17"/>
              </w:rPr>
              <w:t>18,587</w:t>
            </w:r>
          </w:p>
        </w:tc>
        <w:tc>
          <w:tcPr>
            <w:tcW w:type="dxa" w:w="1440"/>
            <w:shd w:fill="FAFAFA" w:val="clear"/>
          </w:tcPr>
          <w:p>
            <w:r>
              <w:rPr>
                <w:b/>
                <w:color w:val="008000"/>
                <w:sz w:val="17"/>
              </w:rPr>
              <w:t>+1.4%</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17,111</w:t>
            </w:r>
          </w:p>
        </w:tc>
        <w:tc>
          <w:tcPr>
            <w:tcW w:type="dxa" w:w="1440"/>
            <w:shd w:fill="FAFAFA" w:val="clear"/>
          </w:tcPr>
          <w:p>
            <w:r>
              <w:rPr>
                <w:b/>
                <w:sz w:val="17"/>
              </w:rPr>
              <w:t>17,914</w:t>
            </w:r>
          </w:p>
        </w:tc>
        <w:tc>
          <w:tcPr>
            <w:tcW w:type="dxa" w:w="1440"/>
            <w:shd w:fill="FAFAFA" w:val="clear"/>
          </w:tcPr>
          <w:p>
            <w:r>
              <w:rPr>
                <w:sz w:val="17"/>
              </w:rPr>
              <w:t>18,718</w:t>
            </w:r>
          </w:p>
        </w:tc>
        <w:tc>
          <w:tcPr>
            <w:tcW w:type="dxa" w:w="1440"/>
            <w:shd w:fill="FAFAFA" w:val="clear"/>
          </w:tcPr>
          <w:p>
            <w:r>
              <w:rPr>
                <w:b/>
                <w:color w:val="008000"/>
                <w:sz w:val="17"/>
              </w:rPr>
              <w:t>+1.3%</w:t>
            </w:r>
          </w:p>
        </w:tc>
      </w:tr>
      <w:tr>
        <w:tc>
          <w:tcPr>
            <w:tcW w:type="dxa" w:w="1440"/>
            <w:shd w:fill="FAFAFA" w:val="clear"/>
          </w:tcPr>
          <w:p>
            <w:r>
              <w:rPr>
                <w:sz w:val="17"/>
              </w:rPr>
              <w:t>J+4  Moyenne</w:t>
            </w:r>
          </w:p>
        </w:tc>
        <w:tc>
          <w:tcPr>
            <w:tcW w:type="dxa" w:w="1440"/>
            <w:shd w:fill="FAFAFA" w:val="clear"/>
          </w:tcPr>
          <w:p>
            <w:r>
              <w:rPr>
                <w:sz w:val="17"/>
              </w:rPr>
              <w:t>2026-09-22</w:t>
            </w:r>
          </w:p>
        </w:tc>
        <w:tc>
          <w:tcPr>
            <w:tcW w:type="dxa" w:w="1440"/>
            <w:shd w:fill="FAFAFA" w:val="clear"/>
          </w:tcPr>
          <w:p>
            <w:r>
              <w:rPr>
                <w:sz w:val="17"/>
              </w:rPr>
              <w:t>16,967</w:t>
            </w:r>
          </w:p>
        </w:tc>
        <w:tc>
          <w:tcPr>
            <w:tcW w:type="dxa" w:w="1440"/>
            <w:shd w:fill="FAFAFA" w:val="clear"/>
          </w:tcPr>
          <w:p>
            <w:r>
              <w:rPr>
                <w:b/>
                <w:sz w:val="17"/>
              </w:rPr>
              <w:t>17,894</w:t>
            </w:r>
          </w:p>
        </w:tc>
        <w:tc>
          <w:tcPr>
            <w:tcW w:type="dxa" w:w="1440"/>
            <w:shd w:fill="FAFAFA" w:val="clear"/>
          </w:tcPr>
          <w:p>
            <w:r>
              <w:rPr>
                <w:sz w:val="17"/>
              </w:rPr>
              <w:t>18,820</w:t>
            </w:r>
          </w:p>
        </w:tc>
        <w:tc>
          <w:tcPr>
            <w:tcW w:type="dxa" w:w="1440"/>
            <w:shd w:fill="FAFAFA" w:val="clear"/>
          </w:tcPr>
          <w:p>
            <w:r>
              <w:rPr>
                <w:b/>
                <w:color w:val="008000"/>
                <w:sz w:val="17"/>
              </w:rPr>
              <w:t>+1.2%</w:t>
            </w:r>
          </w:p>
        </w:tc>
      </w:tr>
      <w:tr>
        <w:tc>
          <w:tcPr>
            <w:tcW w:type="dxa" w:w="1440"/>
            <w:shd w:fill="FAFAFA" w:val="clear"/>
          </w:tcPr>
          <w:p>
            <w:r>
              <w:rPr>
                <w:sz w:val="17"/>
              </w:rPr>
              <w:t>J+5  Moyenne</w:t>
            </w:r>
          </w:p>
        </w:tc>
        <w:tc>
          <w:tcPr>
            <w:tcW w:type="dxa" w:w="1440"/>
            <w:shd w:fill="FAFAFA" w:val="clear"/>
          </w:tcPr>
          <w:p>
            <w:r>
              <w:rPr>
                <w:sz w:val="17"/>
              </w:rPr>
              <w:t>2026-09-23</w:t>
            </w:r>
          </w:p>
        </w:tc>
        <w:tc>
          <w:tcPr>
            <w:tcW w:type="dxa" w:w="1440"/>
            <w:shd w:fill="FAFAFA" w:val="clear"/>
          </w:tcPr>
          <w:p>
            <w:r>
              <w:rPr>
                <w:sz w:val="17"/>
              </w:rPr>
              <w:t>16,836</w:t>
            </w:r>
          </w:p>
        </w:tc>
        <w:tc>
          <w:tcPr>
            <w:tcW w:type="dxa" w:w="1440"/>
            <w:shd w:fill="FAFAFA" w:val="clear"/>
          </w:tcPr>
          <w:p>
            <w:r>
              <w:rPr>
                <w:b/>
                <w:sz w:val="17"/>
              </w:rPr>
              <w:t>17,870</w:t>
            </w:r>
          </w:p>
        </w:tc>
        <w:tc>
          <w:tcPr>
            <w:tcW w:type="dxa" w:w="1440"/>
            <w:shd w:fill="FAFAFA" w:val="clear"/>
          </w:tcPr>
          <w:p>
            <w:r>
              <w:rPr>
                <w:sz w:val="17"/>
              </w:rPr>
              <w:t>18,904</w:t>
            </w:r>
          </w:p>
        </w:tc>
        <w:tc>
          <w:tcPr>
            <w:tcW w:type="dxa" w:w="1440"/>
            <w:shd w:fill="FAFAFA" w:val="clear"/>
          </w:tcPr>
          <w:p>
            <w:r>
              <w:rPr>
                <w:b/>
                <w:color w:val="008000"/>
                <w:sz w:val="17"/>
              </w:rPr>
              <w:t>+1.0%</w:t>
            </w:r>
          </w:p>
        </w:tc>
      </w:tr>
      <w:tr>
        <w:tc>
          <w:tcPr>
            <w:tcW w:type="dxa" w:w="1440"/>
            <w:shd w:fill="FAFAFA" w:val="clear"/>
          </w:tcPr>
          <w:p>
            <w:r>
              <w:rPr>
                <w:sz w:val="17"/>
              </w:rPr>
              <w:t>J+6  Moyenne</w:t>
            </w:r>
          </w:p>
        </w:tc>
        <w:tc>
          <w:tcPr>
            <w:tcW w:type="dxa" w:w="1440"/>
            <w:shd w:fill="FAFAFA" w:val="clear"/>
          </w:tcPr>
          <w:p>
            <w:r>
              <w:rPr>
                <w:sz w:val="17"/>
              </w:rPr>
              <w:t>2026-09-24</w:t>
            </w:r>
          </w:p>
        </w:tc>
        <w:tc>
          <w:tcPr>
            <w:tcW w:type="dxa" w:w="1440"/>
            <w:shd w:fill="FAFAFA" w:val="clear"/>
          </w:tcPr>
          <w:p>
            <w:r>
              <w:rPr>
                <w:sz w:val="17"/>
              </w:rPr>
              <w:t>16,714</w:t>
            </w:r>
          </w:p>
        </w:tc>
        <w:tc>
          <w:tcPr>
            <w:tcW w:type="dxa" w:w="1440"/>
            <w:shd w:fill="FAFAFA" w:val="clear"/>
          </w:tcPr>
          <w:p>
            <w:r>
              <w:rPr>
                <w:b/>
                <w:sz w:val="17"/>
              </w:rPr>
              <w:t>17,846</w:t>
            </w:r>
          </w:p>
        </w:tc>
        <w:tc>
          <w:tcPr>
            <w:tcW w:type="dxa" w:w="1440"/>
            <w:shd w:fill="FAFAFA" w:val="clear"/>
          </w:tcPr>
          <w:p>
            <w:r>
              <w:rPr>
                <w:sz w:val="17"/>
              </w:rPr>
              <w:t>18,978</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2026-09-25</w:t>
            </w:r>
          </w:p>
        </w:tc>
        <w:tc>
          <w:tcPr>
            <w:tcW w:type="dxa" w:w="1440"/>
            <w:shd w:fill="FAFAFA" w:val="clear"/>
          </w:tcPr>
          <w:p>
            <w:r>
              <w:rPr>
                <w:sz w:val="17"/>
              </w:rPr>
              <w:t>16,602</w:t>
            </w:r>
          </w:p>
        </w:tc>
        <w:tc>
          <w:tcPr>
            <w:tcW w:type="dxa" w:w="1440"/>
            <w:shd w:fill="FAFAFA" w:val="clear"/>
          </w:tcPr>
          <w:p>
            <w:r>
              <w:rPr>
                <w:b/>
                <w:sz w:val="17"/>
              </w:rPr>
              <w:t>17,822</w:t>
            </w:r>
          </w:p>
        </w:tc>
        <w:tc>
          <w:tcPr>
            <w:tcW w:type="dxa" w:w="1440"/>
            <w:shd w:fill="FAFAFA" w:val="clear"/>
          </w:tcPr>
          <w:p>
            <w:r>
              <w:rPr>
                <w:sz w:val="17"/>
              </w:rPr>
              <w:t>19,043</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2026-09-28</w:t>
            </w:r>
          </w:p>
        </w:tc>
        <w:tc>
          <w:tcPr>
            <w:tcW w:type="dxa" w:w="1440"/>
            <w:shd w:fill="FAFAFA" w:val="clear"/>
          </w:tcPr>
          <w:p>
            <w:r>
              <w:rPr>
                <w:sz w:val="17"/>
              </w:rPr>
              <w:t>16,496</w:t>
            </w:r>
          </w:p>
        </w:tc>
        <w:tc>
          <w:tcPr>
            <w:tcW w:type="dxa" w:w="1440"/>
            <w:shd w:fill="FAFAFA" w:val="clear"/>
          </w:tcPr>
          <w:p>
            <w:r>
              <w:rPr>
                <w:b/>
                <w:sz w:val="17"/>
              </w:rPr>
              <w:t>17,799</w:t>
            </w:r>
          </w:p>
        </w:tc>
        <w:tc>
          <w:tcPr>
            <w:tcW w:type="dxa" w:w="1440"/>
            <w:shd w:fill="FAFAFA" w:val="clear"/>
          </w:tcPr>
          <w:p>
            <w:r>
              <w:rPr>
                <w:sz w:val="17"/>
              </w:rPr>
              <w:t>19,102</w:t>
            </w:r>
          </w:p>
        </w:tc>
        <w:tc>
          <w:tcPr>
            <w:tcW w:type="dxa" w:w="1440"/>
            <w:shd w:fill="FAFAFA" w:val="clear"/>
          </w:tcPr>
          <w:p>
            <w:r>
              <w:rPr>
                <w:b/>
                <w:color w:val="008000"/>
                <w:sz w:val="17"/>
              </w:rPr>
              <w:t>+0.6%</w:t>
            </w:r>
          </w:p>
        </w:tc>
      </w:tr>
      <w:tr>
        <w:tc>
          <w:tcPr>
            <w:tcW w:type="dxa" w:w="1440"/>
            <w:shd w:fill="FAFAFA" w:val="clear"/>
          </w:tcPr>
          <w:p>
            <w:r>
              <w:rPr>
                <w:sz w:val="17"/>
              </w:rPr>
              <w:t>J+9  Moyenne</w:t>
            </w:r>
          </w:p>
        </w:tc>
        <w:tc>
          <w:tcPr>
            <w:tcW w:type="dxa" w:w="1440"/>
            <w:shd w:fill="FAFAFA" w:val="clear"/>
          </w:tcPr>
          <w:p>
            <w:r>
              <w:rPr>
                <w:sz w:val="17"/>
              </w:rPr>
              <w:t>2026-09-29</w:t>
            </w:r>
          </w:p>
        </w:tc>
        <w:tc>
          <w:tcPr>
            <w:tcW w:type="dxa" w:w="1440"/>
            <w:shd w:fill="FAFAFA" w:val="clear"/>
          </w:tcPr>
          <w:p>
            <w:r>
              <w:rPr>
                <w:sz w:val="17"/>
              </w:rPr>
              <w:t>16,396</w:t>
            </w:r>
          </w:p>
        </w:tc>
        <w:tc>
          <w:tcPr>
            <w:tcW w:type="dxa" w:w="1440"/>
            <w:shd w:fill="FAFAFA" w:val="clear"/>
          </w:tcPr>
          <w:p>
            <w:r>
              <w:rPr>
                <w:b/>
                <w:sz w:val="17"/>
              </w:rPr>
              <w:t>17,776</w:t>
            </w:r>
          </w:p>
        </w:tc>
        <w:tc>
          <w:tcPr>
            <w:tcW w:type="dxa" w:w="1440"/>
            <w:shd w:fill="FAFAFA" w:val="clear"/>
          </w:tcPr>
          <w:p>
            <w:r>
              <w:rPr>
                <w:sz w:val="17"/>
              </w:rPr>
              <w:t>19,156</w:t>
            </w:r>
          </w:p>
        </w:tc>
        <w:tc>
          <w:tcPr>
            <w:tcW w:type="dxa" w:w="1440"/>
            <w:shd w:fill="FAFAFA" w:val="clear"/>
          </w:tcPr>
          <w:p>
            <w:r>
              <w:rPr>
                <w:b/>
                <w:color w:val="008000"/>
                <w:sz w:val="17"/>
              </w:rPr>
              <w:t>+0.5%</w:t>
            </w:r>
          </w:p>
        </w:tc>
      </w:tr>
      <w:tr>
        <w:tc>
          <w:tcPr>
            <w:tcW w:type="dxa" w:w="1440"/>
            <w:shd w:fill="FAFAFA" w:val="clear"/>
          </w:tcPr>
          <w:p>
            <w:r>
              <w:rPr>
                <w:sz w:val="17"/>
              </w:rPr>
              <w:t>J+10  Moyenne</w:t>
            </w:r>
          </w:p>
        </w:tc>
        <w:tc>
          <w:tcPr>
            <w:tcW w:type="dxa" w:w="1440"/>
            <w:shd w:fill="FAFAFA" w:val="clear"/>
          </w:tcPr>
          <w:p>
            <w:r>
              <w:rPr>
                <w:sz w:val="17"/>
              </w:rPr>
              <w:t>2026-09-30</w:t>
            </w:r>
          </w:p>
        </w:tc>
        <w:tc>
          <w:tcPr>
            <w:tcW w:type="dxa" w:w="1440"/>
            <w:shd w:fill="FAFAFA" w:val="clear"/>
          </w:tcPr>
          <w:p>
            <w:r>
              <w:rPr>
                <w:sz w:val="17"/>
              </w:rPr>
              <w:t>16,300</w:t>
            </w:r>
          </w:p>
        </w:tc>
        <w:tc>
          <w:tcPr>
            <w:tcW w:type="dxa" w:w="1440"/>
            <w:shd w:fill="FAFAFA" w:val="clear"/>
          </w:tcPr>
          <w:p>
            <w:r>
              <w:rPr>
                <w:b/>
                <w:sz w:val="17"/>
              </w:rPr>
              <w:t>17,753</w:t>
            </w:r>
          </w:p>
        </w:tc>
        <w:tc>
          <w:tcPr>
            <w:tcW w:type="dxa" w:w="1440"/>
            <w:shd w:fill="FAFAFA" w:val="clear"/>
          </w:tcPr>
          <w:p>
            <w:r>
              <w:rPr>
                <w:sz w:val="17"/>
              </w:rPr>
              <w:t>19,207</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(Bitumes/Pétrochimie)**</w:t>
      </w:r>
    </w:p>
    <w:p>
      <w:pPr>
        <w:spacing w:after="120" w:line="276" w:lineRule="auto"/>
      </w:pPr>
      <w:r>
        <w:t>---</w:t>
      </w:r>
    </w:p>
    <w:p>
      <w:pPr>
        <w:spacing w:after="120" w:line="276" w:lineRule="auto"/>
      </w:pPr>
      <w:r>
        <w:t>## PARTIE 0 : INDICATEURS DE VALORISATION BOURSIÈRE</w:t>
      </w:r>
    </w:p>
    <w:p>
      <w:pPr>
        <w:spacing w:after="120" w:line="276" w:lineRule="auto"/>
      </w:pPr>
      <w:r>
        <w:t>SMBC affiche une capitalisation boursière de 137,90 Mds FCFA, un niveau intermédiaire à l'échelle de la BRVM qui positionne le titre parmi les valeurs industrielles de second rang, loin des poids lourds bancaires et télécoms. Avec un BPA de 1 677 FCFA/action pour un cours de 17 690 FCFA, le PER ressort à 10,5x, soit un niveau modéré et parfaitement dans la fourchette moyenne du marché BRVM (8-12x), traduisant une valorisation raisonnable sans prime excessive. Le P/B de 3,21x indique en revanche que le marché valorise l'action à plus de trois fois sa valeur comptable, ce qui traduit une prime de croissance et de qualité accordée par les investisseurs, cohérente avec le ROE élevé de 30,5%. Enfin, l'EV/EBITDA de 6,7x, situé dans la fourchette raisonnable de 5-10x, suggère que la valeur d'entreprise reste soutenue par la capacité opérationnelle de génération de cash, sans signal de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 enregistré une progression spectaculaire de **+53,36%**, portant le cours à 17 690 FCFA, malgré un repli de **-4,27%** lors de la dernière séance qui marque une prise de bénéfices après un rallye soutenu. Le range de trading est particulièrement large, avec un plus haut à 18 500 FCFA et un plus bas à 11 450 FCFA, soit un écart de plus de 7 000 FCFA qui témoigne d'une dynamique haussière puissante mais aussi d'une forte amplitude de variation. La tendance générale est clairement haussière, le cours actuel se situant à seulement 4,4% de son sommet, ce qui indique une consolidation proche des plus hauts plutôt qu'un retournement. Les statistiques descriptives révèlent une moyenne de 15 435 FCFA légèrement inférieure à la médiane de 16 250 FCFA, confirmant une asymétrie négative (skewness de -0,679) avec davantage de journées passées au-dessus de la moyenne, signe d'une tendance haussière durable. L'écart-type de 2 105 FCFA (CV de 13,6%) traduit une dispersion modérée du cours, tandis que le kurtosis de -0,891 (mésokurtique) indique une distribution proche de la normale, sans risque excessif de pics extrêmes. La volatilité annualisée de 36,8% classe le titre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(17 459,5 FCFA) et la MM50 (16 776,7 FCFA) se situent toutes deux sous le cours actuel (17 690 FCFA), avec la MM20 au-dessus de la MM50, configuration classique de tendance haussière. Le cours évoluant au-dessus de ses deux moyennes, la dynamique de fond reste positive et justifie la décision technique d'**Achat**.</w:t>
      </w:r>
    </w:p>
    <w:p>
      <w:pPr>
        <w:spacing w:after="120" w:line="276" w:lineRule="auto"/>
      </w:pPr>
      <w:r>
        <w:t>**Bandes de Bollinger** : Le cours (17 690 FCFA) se situe à l'intérieur des bandes, entre la borne inférieure (16 239 FCFA) et la borne supérieure (18 679 FCFA), sans contact avec les extrêmes. Cette position médiane, couplée à un rétrécissement relatif de l'amplitude, justifie la décision **Neutre** : le titre n'est ni en surachat ni en survente, et une cassure de la borne supérieure serait nécessaire pour confirmer la poursuite du mouvement.</w:t>
      </w:r>
    </w:p>
    <w:p>
      <w:pPr>
        <w:spacing w:after="120" w:line="276" w:lineRule="auto"/>
      </w:pPr>
      <w:r>
        <w:t>**MACD** : La ligne MACD (443,2) est nettement supérieure à sa ligne de signal (397,0), avec un histogramme positif qui traduit un momentum haussier toujours actif. Cette configuration confirme la décision d'**Achat**, bien que l'écart entre les deux lignes reste modéré, suggérant un essoufflement possible de la dynamique à court terme.</w:t>
      </w:r>
    </w:p>
    <w:p>
      <w:pPr>
        <w:spacing w:after="120" w:line="276" w:lineRule="auto"/>
      </w:pPr>
      <w:r>
        <w:t>**RSI** : À 61,5, le RSI se situe dans la zone neutre haute (30-70), sans atteindre le seuil de surachat de 70. Cette position indique que le titre conserve un potentiel de hausse sans être techniquement épuisé, justifiant la décision **Neutre** avec un biais haussier résiduel.</w:t>
      </w:r>
    </w:p>
    <w:p>
      <w:pPr>
        <w:spacing w:after="120" w:line="276" w:lineRule="auto"/>
      </w:pPr>
      <w:r>
        <w:t>**Stochastique** : Le %K (37,9) est nettement inférieur au %D (74,1), configuration baissière qui signale un croisement à la baisse et une perte de momentum à court terme. Cette divergence, combinée à la décision **Neutre**, suggère une possible consolidation voire un repli technique avant une reprise éventuelle.</w:t>
      </w:r>
    </w:p>
    <w:p>
      <w:pPr>
        <w:spacing w:after="120" w:line="276" w:lineRule="auto"/>
      </w:pPr>
      <w:r>
        <w:t>**Conclusion technique** : Les indicateurs présentent une configuration globalement haussière mais avec des signaux de divergence. Les moyennes mobiles et le MACD confirment la tendance de fond positive, tandis que le RSI neutre et le stochastique baissier appellent à la prudence à court terme. Le titre se trouve dans une phase de consolidation proche de ses plus hauts, avec un risque de correction limitée avant une reprise potentielle. La convergence partielle des signaux plaide pour une posture attentiste à court terme, mais constructive à moyen terme.</w:t>
      </w:r>
    </w:p>
    <w:p>
      <w:pPr>
        <w:spacing w:after="120" w:line="276" w:lineRule="auto"/>
      </w:pPr>
      <w:r>
        <w:t>---</w:t>
      </w:r>
    </w:p>
    <w:p>
      <w:pPr>
        <w:spacing w:after="120" w:line="276" w:lineRule="auto"/>
      </w:pPr>
      <w:r>
        <w:t>## PARTIE 3 : ANALYSE FONDAMENTALE</w:t>
      </w:r>
    </w:p>
    <w:p>
      <w:pPr>
        <w:spacing w:after="120" w:line="276" w:lineRule="auto"/>
      </w:pPr>
      <w:r>
        <w:t>En 2025, SMBC affiche un chiffre d'affaires de **206 740 M FCFA**, en baisse de **-9,7%** par rapport aux 229 061 M FCFA de 2024, dans un contexte de repli des prix du Brent et de ralentissement des ventes à l'export. Malgré cette contraction, le résultat net progresse spectaculairement de **+50,3%** pour atteindre **13 075 M FCFA**, porté par une amélioration remarquable de la rentabilité opérationnelle : l'EBE bondit de **+41,8%** à 18 480 M FCFA et la marge nette passe de 3,8% à **6,3%**. Les ratios de rentabilité sont excellents, avec un **ROE de 30,5%** (largement supérieur au seuil de 15% considéré comme excellent) et un **ROA de 7,3%**, tandis que la structure financière se renforce avec des capitaux propres de 42 913 M FCFA (+21,6%) et une trésorerie nette positive de 23 988 M FCFA. Sur le plan du besoin en fonds de roulement, le BFR ressort à seulement 1 693 M FCFA, ce qui est favorable, mais le délai client élevé de **193,75 jours** constitue un point de vigilance sur la trésorerie, compensé par un délai fournisseurs de 207,07 jours qui offre un financement gratuit. Le ratio d'endettement de 76,2% et une autonomie financière de 23,8% (inférieure au seuil sain de 30%) appellent à la prudence, même si la capacité de remboursement de 0,68 an et la couverture des intérêts de 483% demeurent rassurantes. Les rapports trimestriels de 2025 confirment cette dynamique : au T3 2025 (rapport du 30/09/2025), le CA cumulé s'élève à 155,2 Mds FCFA (-14%) mais le résultat net progresse de +6% à 5,7 Mds FCFA, avec une marge opérationnelle en hausse à 5,4% ; au S1 2025 (rapport du 30/06/2025), le CA recule de -23% à 101,9 Mds FCFA mais le résultat net ne baisse que de -7% à 3,9 Mds FCFA, grâce à un EBE en hausse de +38%. Sur la base de ces tendances, on peut estimer que l'exercice 2025 devrait confirmer la résilience opérationnelle de SMBC, avec un résultat net annuel attendu autour de 13 Mds FCFA, et que l'exercice 2026 pourrait bénéficier d'une reprise progressive du CA si la demande en infrastructures routières se maintient. La recommandation fondamentale est **CONSERVER** le titre : la solidité opérationnelle et la génération de cash sont indéniables, mais la baisse du chiffre d'affaires et le niveau d'endettement nécessitent une confirmation de la reprise commerciale avant tout renforcement.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 PER de 10,5x et l'EV/EBITDA de 6,7x indiquent une juste valorisation, sans sous-évaluation flagrante mais sans surévaluation excessive, tandis que le P/B de 3,21x traduit une prime de qualité justifiée par le ROE de 30,5%. Le **comportement du cours (Partie 1)** est nettement haussier (+53,36% sur 100 jours) avec une volatilité élevée (36,8%) et une asymétrie négative qui suggère une tendance durable, mais le repli de -4,27% en J-1 et le stochastique baissier signalent une consolidation imminente. Les **signaux techniques (Partie 2)** sont partagés : les moyennes mobiles et le MACD confirment la tendance haussière, mais le RSI neutre et le stochastique baissier appellent à la prudence à court terme. Les **fondamentaux (Partie 3)** demeurent solides malgré la baisse du CA, avec un résultat net en forte hausse (+50,3%), un ROE excellent (30,5%) et une trésorerie nette positive (23 988 M FCFA), mais l'endettement et le délai client élevé constituent des risques à surveiller. Les **prédictions IA (J+1 à J+10)** anticipent une légère correction vers 17 870-17 990 FCFA, en ligne avec la consolidation technique attendue, sans remettre en cause la tendance de fond. Sur cette base, la recommandation finale est **CONSERVER**, avec un niveau de confiance **Moyen** et un risque global **Moyen**. L'horizon d'investissement optimal est le **moyen terme (3-12 mois)**, le temps que la société confirme la reprise de son chiffre d'affaires et que les indicateurs techniques se réalignent à la hausse. Un passage à l'**ACHAT** serait justifié si le cours cassait la borne supérieure des Bandes de Bollinger (18 679 FCFA) avec un volume confirmé et si les prochains rapports trimestriels montraient une stabilisation du CA. À l'inverse, une **VENTE** serait envisagée en cas de rupture de la MM50 (16 776 FCFA) ou de dégradation supplémentaire de la marge opérationnelle.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10,017 titres</w:t>
            </w:r>
          </w:p>
        </w:tc>
        <w:tc>
          <w:tcPr>
            <w:tcW w:type="dxa" w:w="2268"/>
            <w:shd w:fill="FFF2CC" w:val="clear"/>
          </w:tcPr>
          <w:p>
            <w:r>
              <w:rPr>
                <w:b/>
                <w:color w:val="503200"/>
                <w:sz w:val="16"/>
              </w:rPr>
              <w:t xml:space="preserve">Cours actuel : </w:t>
            </w:r>
            <w:r>
              <w:rPr>
                <w:color w:val="000000"/>
                <w:sz w:val="17"/>
              </w:rPr>
              <w:t>38,800 FCFA</w:t>
            </w:r>
          </w:p>
          <w:p>
            <w:r>
              <w:rPr>
                <w:b/>
                <w:color w:val="503200"/>
                <w:sz w:val="16"/>
              </w:rPr>
              <w:t xml:space="preserve">Var. 100 jours : </w:t>
            </w:r>
            <w:r>
              <w:rPr>
                <w:b/>
                <w:color w:val="007800"/>
                <w:sz w:val="17"/>
              </w:rPr>
              <w:t>+36.14%</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11.01% (Moyenne) — μ=31,247 FCFA, σ=3,440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β=1.8276 (Très agressif) — Cov=0.000063, Var(idx)=0.000034, ρ=0.563,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10,017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37,282</w:t>
            </w:r>
          </w:p>
        </w:tc>
        <w:tc>
          <w:tcPr>
            <w:tcW w:type="dxa" w:w="1440"/>
            <w:shd w:fill="FAFAFA" w:val="clear"/>
          </w:tcPr>
          <w:p>
            <w:r>
              <w:rPr>
                <w:b/>
                <w:sz w:val="17"/>
              </w:rPr>
              <w:t>38,815</w:t>
            </w:r>
          </w:p>
        </w:tc>
        <w:tc>
          <w:tcPr>
            <w:tcW w:type="dxa" w:w="1440"/>
            <w:shd w:fill="FAFAFA" w:val="clear"/>
          </w:tcPr>
          <w:p>
            <w:r>
              <w:rPr>
                <w:sz w:val="17"/>
              </w:rPr>
              <w:t>40,348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36,601</w:t>
            </w:r>
          </w:p>
        </w:tc>
        <w:tc>
          <w:tcPr>
            <w:tcW w:type="dxa" w:w="1440"/>
            <w:shd w:fill="FAFAFA" w:val="clear"/>
          </w:tcPr>
          <w:p>
            <w:r>
              <w:rPr>
                <w:b/>
                <w:sz w:val="17"/>
              </w:rPr>
              <w:t>38,767</w:t>
            </w:r>
          </w:p>
        </w:tc>
        <w:tc>
          <w:tcPr>
            <w:tcW w:type="dxa" w:w="1440"/>
            <w:shd w:fill="FAFAFA" w:val="clear"/>
          </w:tcPr>
          <w:p>
            <w:r>
              <w:rPr>
                <w:sz w:val="17"/>
              </w:rPr>
              <w:t>40,932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36,080</w:t>
            </w:r>
          </w:p>
        </w:tc>
        <w:tc>
          <w:tcPr>
            <w:tcW w:type="dxa" w:w="1440"/>
            <w:shd w:fill="FAFAFA" w:val="clear"/>
          </w:tcPr>
          <w:p>
            <w:r>
              <w:rPr>
                <w:b/>
                <w:sz w:val="17"/>
              </w:rPr>
              <w:t>38,729</w:t>
            </w:r>
          </w:p>
        </w:tc>
        <w:tc>
          <w:tcPr>
            <w:tcW w:type="dxa" w:w="1440"/>
            <w:shd w:fill="FAFAFA" w:val="clear"/>
          </w:tcPr>
          <w:p>
            <w:r>
              <w:rPr>
                <w:sz w:val="17"/>
              </w:rPr>
              <w:t>41,379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35,642</w:t>
            </w:r>
          </w:p>
        </w:tc>
        <w:tc>
          <w:tcPr>
            <w:tcW w:type="dxa" w:w="1440"/>
            <w:shd w:fill="FAFAFA" w:val="clear"/>
          </w:tcPr>
          <w:p>
            <w:r>
              <w:rPr>
                <w:b/>
                <w:sz w:val="17"/>
              </w:rPr>
              <w:t>38,699</w:t>
            </w:r>
          </w:p>
        </w:tc>
        <w:tc>
          <w:tcPr>
            <w:tcW w:type="dxa" w:w="1440"/>
            <w:shd w:fill="FAFAFA" w:val="clear"/>
          </w:tcPr>
          <w:p>
            <w:r>
              <w:rPr>
                <w:sz w:val="17"/>
              </w:rPr>
              <w:t>41,756</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35,258</w:t>
            </w:r>
          </w:p>
        </w:tc>
        <w:tc>
          <w:tcPr>
            <w:tcW w:type="dxa" w:w="1440"/>
            <w:shd w:fill="FAFAFA" w:val="clear"/>
          </w:tcPr>
          <w:p>
            <w:r>
              <w:rPr>
                <w:b/>
                <w:sz w:val="17"/>
              </w:rPr>
              <w:t>38,673</w:t>
            </w:r>
          </w:p>
        </w:tc>
        <w:tc>
          <w:tcPr>
            <w:tcW w:type="dxa" w:w="1440"/>
            <w:shd w:fill="FAFAFA" w:val="clear"/>
          </w:tcPr>
          <w:p>
            <w:r>
              <w:rPr>
                <w:sz w:val="17"/>
              </w:rPr>
              <w:t>42,088</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34,910</w:t>
            </w:r>
          </w:p>
        </w:tc>
        <w:tc>
          <w:tcPr>
            <w:tcW w:type="dxa" w:w="1440"/>
            <w:shd w:fill="FAFAFA" w:val="clear"/>
          </w:tcPr>
          <w:p>
            <w:r>
              <w:rPr>
                <w:b/>
                <w:sz w:val="17"/>
              </w:rPr>
              <w:t>38,650</w:t>
            </w:r>
          </w:p>
        </w:tc>
        <w:tc>
          <w:tcPr>
            <w:tcW w:type="dxa" w:w="1440"/>
            <w:shd w:fill="FAFAFA" w:val="clear"/>
          </w:tcPr>
          <w:p>
            <w:r>
              <w:rPr>
                <w:sz w:val="17"/>
              </w:rPr>
              <w:t>42,389</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34,590</w:t>
            </w:r>
          </w:p>
        </w:tc>
        <w:tc>
          <w:tcPr>
            <w:tcW w:type="dxa" w:w="1440"/>
            <w:shd w:fill="FAFAFA" w:val="clear"/>
          </w:tcPr>
          <w:p>
            <w:r>
              <w:rPr>
                <w:b/>
                <w:sz w:val="17"/>
              </w:rPr>
              <w:t>38,626</w:t>
            </w:r>
          </w:p>
        </w:tc>
        <w:tc>
          <w:tcPr>
            <w:tcW w:type="dxa" w:w="1440"/>
            <w:shd w:fill="FAFAFA" w:val="clear"/>
          </w:tcPr>
          <w:p>
            <w:r>
              <w:rPr>
                <w:sz w:val="17"/>
              </w:rPr>
              <w:t>42,663</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34,291</w:t>
            </w:r>
          </w:p>
        </w:tc>
        <w:tc>
          <w:tcPr>
            <w:tcW w:type="dxa" w:w="1440"/>
            <w:shd w:fill="FAFAFA" w:val="clear"/>
          </w:tcPr>
          <w:p>
            <w:r>
              <w:rPr>
                <w:b/>
                <w:sz w:val="17"/>
              </w:rPr>
              <w:t>38,604</w:t>
            </w:r>
          </w:p>
        </w:tc>
        <w:tc>
          <w:tcPr>
            <w:tcW w:type="dxa" w:w="1440"/>
            <w:shd w:fill="FAFAFA" w:val="clear"/>
          </w:tcPr>
          <w:p>
            <w:r>
              <w:rPr>
                <w:sz w:val="17"/>
              </w:rPr>
              <w:t>42,916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34,009</w:t>
            </w:r>
          </w:p>
        </w:tc>
        <w:tc>
          <w:tcPr>
            <w:tcW w:type="dxa" w:w="1440"/>
            <w:shd w:fill="FAFAFA" w:val="clear"/>
          </w:tcPr>
          <w:p>
            <w:r>
              <w:rPr>
                <w:b/>
                <w:sz w:val="17"/>
              </w:rPr>
              <w:t>38,581</w:t>
            </w:r>
          </w:p>
        </w:tc>
        <w:tc>
          <w:tcPr>
            <w:tcW w:type="dxa" w:w="1440"/>
            <w:shd w:fill="FAFAFA" w:val="clear"/>
          </w:tcPr>
          <w:p>
            <w:r>
              <w:rPr>
                <w:sz w:val="17"/>
              </w:rPr>
              <w:t>43,152</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33,742</w:t>
            </w:r>
          </w:p>
        </w:tc>
        <w:tc>
          <w:tcPr>
            <w:tcW w:type="dxa" w:w="1440"/>
            <w:shd w:fill="FAFAFA" w:val="clear"/>
          </w:tcPr>
          <w:p>
            <w:r>
              <w:rPr>
                <w:b/>
                <w:sz w:val="17"/>
              </w:rPr>
              <w:t>38,558</w:t>
            </w:r>
          </w:p>
        </w:tc>
        <w:tc>
          <w:tcPr>
            <w:tcW w:type="dxa" w:w="1440"/>
            <w:shd w:fill="FAFAFA" w:val="clear"/>
          </w:tcPr>
          <w:p>
            <w:r>
              <w:rPr>
                <w:sz w:val="17"/>
              </w:rPr>
              <w:t>43,374</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3 880,00 milliards FCFA, Sonatel demeure l'une des toutes premières capitalisations de la BRVM, poids lourd de l'indice composite et valeur de référence du compartiment télécoms. Le BPA de 4 136 FCFA par action signifie que chaque titre génère près de 4 136 FCFA de bénéfice net, un niveau remarquable qui, rapporté au cours actuel de 38 800 FCFA, donne un PER de 9,4x — soit un multiple modéré, légèrement inférieur à la moyenne BRVM (8-12x), ce qui suggère que le marché ne paie pas de prime excessive pour cette qualité de bénéfices. Le P/B de 2,77x indique que le titre se négocie à près de trois fois sa valeur comptable, une prime de croissance justifiée par la rentabilité exceptionnelle des fonds propres (ROE de 29,56% en 2025). Enfin, l'EV/EBITDA de 4,0x, très inférieur au seuil de 5x, traduit une valorisation d'entreprise particulièrement bon marché au regard de la capacité opérationnelle de génération de cash (EBE de 932,4 Mds FCFA), ce qui constitue un signal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+36,14%, portant le cours à 38 800 FCFA, malgré un léger repli de -1,13% lors de la dernière séance. Le range de trading est large, avec un plus haut à 39 275 FCFA et un plus bas à 27 160 FCFA, soit une amplitude de plus de 12 000 FCFA qui témoigne d'une dynamique haussière puissante enclenchée depuis le printemps. La tendance générale est donc clairement haussière, le cours évoluant dans la partie supérieure de sa fourchette. Les statistiques descriptives révèlent une moyenne de 31 247 FCFA nettement supérieure à la médiane de 29 950 FCFA, ce qui confirme une distribution asymétrique : le skewness positif de 1,174 indique que la majorité des séances se sont situées sous la moyenne, avec quelques journées de forte hausse tirant la moyenne vers le haut. L'écart-type de 3 457 FCFA (CV de 11,1%) traduit une dispersion modérée du cours autour de sa tendance, tandis que le kurtosis de 0,128 (mésokurtique) suggère une distribution proche de la normale, sans risque excessif de pics extrêmes. La volatilité annualisée de 30,0% positionne le titre dans la catégorie des valeurs à volatilité modérée à élevée, cohérente avec un marché frontière en pleine réévaluation.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37 454,75 FCFA et la MM50 à 33 840,10 FCFA, toutes deux inférieures au cours actuel de 38 800 FCFA. Cette configuration — cours au-dessus des deux moyennes, avec MM20 &gt; MM50 — est un signal haussier classique confirmant la tendance positive de fond. La décision technique qui en découle est logiquement un « Achat », le titre évoluant dans un canal ascendant bien structuré.</w:t>
      </w:r>
    </w:p>
    <w:p>
      <w:pPr>
        <w:spacing w:after="120" w:line="276" w:lineRule="auto"/>
      </w:pPr>
      <w:r>
        <w:t>**Bandes de Bollinger** : Le cours (38 800 FCFA) se situe entre la borne inférieure (34 102,45 FCFA) et la borne supérieure (40 807,05 FCFA), plus proche de cette dernière. Cette position haute dans le canal traduit une pression acheteuse soutenue, mais l'absence de franchissement de la borne supérieure justifie une décision « Neutre » : le titre n'est ni en zone d'épuisement, ni en zone d'opportunité d'achat agressive.</w:t>
      </w:r>
    </w:p>
    <w:p>
      <w:pPr>
        <w:spacing w:after="120" w:line="276" w:lineRule="auto"/>
      </w:pPr>
      <w:r>
        <w:t>**MACD** : La valeur du MACD (1 711,47) est légèrement inférieure à son signal (1 747,71), générant une décision de « Vente ». Cette divergence négative, bien que modeste, indique un essoufflement du momentum haussier : la dynamique positive s'amenuise et un croisement baissier pourrait se matérialiser si la pression vendeuse s'accentue.</w:t>
      </w:r>
    </w:p>
    <w:p>
      <w:pPr>
        <w:spacing w:after="120" w:line="276" w:lineRule="auto"/>
      </w:pPr>
      <w:r>
        <w:t>**RSI** : À 79,41, le RSI se situe nettement au-dessus du seuil de surachat (70), déclenchant une décision de « Vente ». Le titre a été acheté de manière excessive à court terme, et une correction technique ou une phase de consolidation est probable avant toute nouvelle jambe haussière.</w:t>
      </w:r>
    </w:p>
    <w:p>
      <w:pPr>
        <w:spacing w:after="120" w:line="276" w:lineRule="auto"/>
      </w:pPr>
      <w:r>
        <w:t>**Stochastique** : Le %K (82,24) est inférieur au %D (93,53), et les deux se situent en zone de surachat (&gt;80). Cette configuration en croisement baissier (le %K passant sous le %D) confirme la décision de « Vente » et renforce le signal de retournement à court terme.</w:t>
      </w:r>
    </w:p>
    <w:p>
      <w:pPr>
        <w:spacing w:after="120" w:line="276" w:lineRule="auto"/>
      </w:pPr>
      <w:r>
        <w:t>**Conclusion technique** : Les indicateurs présentent une divergence marquée. Les moyennes mobiles confirment la tendance haussière de fond, mais le MACD, le RSI et le stochastique signalent tous un épuisement à court terme et un risque de correction. Le titre se trouve dans une zone de surachat technique, et une consolidation vers les 37 000-38 000 FCFA, voire un test de la MM20, serait un scénario plausible avant la reprise de la tendance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Sonatel a réalisé un chiffre d'affaires consolidé de 1 923,1 milliards FCFA, en progression de +8,3% par rapport à 2024, porté par la Data mobile (+8,6% de clients), le haut débit fixe (+26,2%) et Orange Money (+2,8% de clients). Le résultat net consolidé s'élève à 413,6 milliards FCFA (+5,1%), avec un résultat net part du groupe de 342,0 milliards FCFA (+4,0%). La rentabilité reste exceptionnelle : le ROE atteint 29,56% (très supérieur au seuil de 15% considéré comme excellent) et le ROA 12,65%, tandis que la marge nette se maintient à 21,51% et la marge opérationnelle à 34,83%. Sur le plan de la structure financière, l'autonomie financière est saine à 42,79%, la solvabilité générale à 174,79% et la liquidité générale à 139,07%. Le BFR est négatif (-284,9 Mds FCFA), ce qui est favorable car il signifie que l'entreprise finance son cycle d'exploitation par ses fournisseurs plutôt que par son propre cash. Le délai fournisseurs de 201,39 jours est très élevé (bon pour la trésorerie), tandis que le délai clients de 46,16 jours reste modéré et la rotation des stocks rapide (14,49 jours). La capacité de remboursement est excellente (0,64 an de dettes financières couvertes par la CAF) et la couverture des intérêts atteint 2 744,71%. Le Free Cash Flow de 408,1 Mds FCFA et la trésorerie nette de 536,1 Mds FCFA confirment la solidité du bilan. Sur la base du rapport S1 2026 (publié le 27/07/2026), le chiffre d'affaires a atteint 1 049,8 Mds FCFA (+9,3%) et le résultat net 230,0 Mds FCFA (+10,5%), avec un EBITDAAL de 510,8 Mds FCFA (48,7% du CA) et une notation relevée à AAA (wu) par GCR Ratings. On estime donc que l'exercice 2026 devrait afficher une croissance du CA d'environ 9% (soit ~2 096 Mds FCFA) et un résultat net proche de 450 Mds FCFA, confirmant la trajectoire de croissance rentable. Le dividende proposé au titre de 2025 est de 1 933 FCFA brut (1 740 FCFA net), soit un rendement de 4,48% au cours actuel de 38 800 FCFA, avec une mise en paiement prévue le 25 mai 2026. La recommandation fondamentale est donc positive : solidité financière exceptionnelle, croissance soutenue, rentabilité élevée et politique de dividende attractive, avec pour principaux risques la pression fiscale et réglementaire croissante, ainsi que l'intensification concurrentielle sur le Mobile Money.</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modérément attractive : un PER de 9,4x (légèrement sous la moyenne BRVM), un P/B de 2,77x justifié par un ROE de 29,56%, et un EV/EBITDA de 4,0x très bon marché. Le comportement du cours sur 100 jours est nettement haussier (+36,14%), avec une volatilité modérée (30,0%) et une distribution asymétrique positive (skewness de 1,174) qui reflète un marché acheteur, bien que le kurtosis proche de la normale n'induise pas de risque de pics extrêmes. Les signaux techniques sont toutefois divergents : si les moyennes mobiles confirment la tendance haussière, le MACD, le RSI (79,41) et le stochastique (%K=82,24, %D=93,53) signalent tous un surachat et un risque de correction à court terme. Les fondamentaux sont excellents : croissance du CA de +8,3% en 2025, résultat net de 413,6 Mds FCFA, ROE de 29,56%, BFR négatif, trésorerie nette de 536,1 Mds FCFA, et les résultats du S1 2026 (CA +9,3%, RN +10,5%) confirment la dynamique. Les prédictions IA pour les 10 prochains jours (38 815 → 38 673 FCFA) anticipent une légère consolidation baissière, ce qui est cohérent avec les signaux techniques de surachat. Sur la base de cette synthèse, la recommandation finale est **CONSERVER** : la valorisation et les fondamentaux justifient une position longue, mais le surachat technique et la prédiction de consolidation à court terme invitent à la prudence pour les nouveaux achats. Le niveau de confiance est **Moyen** (divergence entre technique et fondamental), le risque global est **Moyen** (volatilité modérée, risque réglementaire), et l'horizon d'investissement optimal est le **moyen terme (3-12 mois)**, le temps que la consolidation technique s'achève et que la croissance des bénéfices se matérialise pleinement dans le cours.</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175.41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5,616 titres</w:t>
            </w:r>
          </w:p>
        </w:tc>
        <w:tc>
          <w:tcPr>
            <w:tcW w:type="dxa" w:w="2268"/>
            <w:shd w:fill="FFF2CC" w:val="clear"/>
          </w:tcPr>
          <w:p>
            <w:r>
              <w:rPr>
                <w:b/>
                <w:color w:val="503200"/>
                <w:sz w:val="16"/>
              </w:rPr>
              <w:t xml:space="preserve">Cours actuel : </w:t>
            </w:r>
            <w:r>
              <w:rPr>
                <w:color w:val="000000"/>
                <w:sz w:val="17"/>
              </w:rPr>
              <w:t>8,120 FCFA</w:t>
            </w:r>
          </w:p>
          <w:p>
            <w:r>
              <w:rPr>
                <w:b/>
                <w:color w:val="503200"/>
                <w:sz w:val="16"/>
              </w:rPr>
              <w:t xml:space="preserve">Var. 100 jours : </w:t>
            </w:r>
            <w:r>
              <w:rPr>
                <w:b/>
                <w:color w:val="007800"/>
                <w:sz w:val="17"/>
              </w:rPr>
              <w:t>+5.45%</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5.01% (Moyenne) — μ=8,036 FCFA, σ=403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β=0.3915 (Défensif) — Cov=0.000014, Var(idx)=0.000034, ρ=0.089,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7,669</w:t>
            </w:r>
          </w:p>
        </w:tc>
        <w:tc>
          <w:tcPr>
            <w:tcW w:type="dxa" w:w="1440"/>
            <w:shd w:fill="FAFAFA" w:val="clear"/>
          </w:tcPr>
          <w:p>
            <w:r>
              <w:rPr>
                <w:b/>
                <w:sz w:val="17"/>
              </w:rPr>
              <w:t>8,092</w:t>
            </w:r>
          </w:p>
        </w:tc>
        <w:tc>
          <w:tcPr>
            <w:tcW w:type="dxa" w:w="1440"/>
            <w:shd w:fill="FAFAFA" w:val="clear"/>
          </w:tcPr>
          <w:p>
            <w:r>
              <w:rPr>
                <w:sz w:val="17"/>
              </w:rPr>
              <w:t>8,516</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7,480</w:t>
            </w:r>
          </w:p>
        </w:tc>
        <w:tc>
          <w:tcPr>
            <w:tcW w:type="dxa" w:w="1440"/>
            <w:shd w:fill="FAFAFA" w:val="clear"/>
          </w:tcPr>
          <w:p>
            <w:r>
              <w:rPr>
                <w:b/>
                <w:sz w:val="17"/>
              </w:rPr>
              <w:t>8,079</w:t>
            </w:r>
          </w:p>
        </w:tc>
        <w:tc>
          <w:tcPr>
            <w:tcW w:type="dxa" w:w="1440"/>
            <w:shd w:fill="FAFAFA" w:val="clear"/>
          </w:tcPr>
          <w:p>
            <w:r>
              <w:rPr>
                <w:sz w:val="17"/>
              </w:rPr>
              <w:t>8,677</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7,334</w:t>
            </w:r>
          </w:p>
        </w:tc>
        <w:tc>
          <w:tcPr>
            <w:tcW w:type="dxa" w:w="1440"/>
            <w:shd w:fill="FAFAFA" w:val="clear"/>
          </w:tcPr>
          <w:p>
            <w:r>
              <w:rPr>
                <w:b/>
                <w:sz w:val="17"/>
              </w:rPr>
              <w:t>8,065</w:t>
            </w:r>
          </w:p>
        </w:tc>
        <w:tc>
          <w:tcPr>
            <w:tcW w:type="dxa" w:w="1440"/>
            <w:shd w:fill="FAFAFA" w:val="clear"/>
          </w:tcPr>
          <w:p>
            <w:r>
              <w:rPr>
                <w:sz w:val="17"/>
              </w:rPr>
              <w:t>8,797</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7,210</w:t>
            </w:r>
          </w:p>
        </w:tc>
        <w:tc>
          <w:tcPr>
            <w:tcW w:type="dxa" w:w="1440"/>
            <w:shd w:fill="FAFAFA" w:val="clear"/>
          </w:tcPr>
          <w:p>
            <w:r>
              <w:rPr>
                <w:b/>
                <w:sz w:val="17"/>
              </w:rPr>
              <w:t>8,053</w:t>
            </w:r>
          </w:p>
        </w:tc>
        <w:tc>
          <w:tcPr>
            <w:tcW w:type="dxa" w:w="1440"/>
            <w:shd w:fill="FAFAFA" w:val="clear"/>
          </w:tcPr>
          <w:p>
            <w:r>
              <w:rPr>
                <w:sz w:val="17"/>
              </w:rPr>
              <w:t>8,897</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7,100</w:t>
            </w:r>
          </w:p>
        </w:tc>
        <w:tc>
          <w:tcPr>
            <w:tcW w:type="dxa" w:w="1440"/>
            <w:shd w:fill="FAFAFA" w:val="clear"/>
          </w:tcPr>
          <w:p>
            <w:r>
              <w:rPr>
                <w:b/>
                <w:sz w:val="17"/>
              </w:rPr>
              <w:t>8,042</w:t>
            </w:r>
          </w:p>
        </w:tc>
        <w:tc>
          <w:tcPr>
            <w:tcW w:type="dxa" w:w="1440"/>
            <w:shd w:fill="FAFAFA" w:val="clear"/>
          </w:tcPr>
          <w:p>
            <w:r>
              <w:rPr>
                <w:sz w:val="17"/>
              </w:rPr>
              <w:t>8,983</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7,000</w:t>
            </w:r>
          </w:p>
        </w:tc>
        <w:tc>
          <w:tcPr>
            <w:tcW w:type="dxa" w:w="1440"/>
            <w:shd w:fill="FAFAFA" w:val="clear"/>
          </w:tcPr>
          <w:p>
            <w:r>
              <w:rPr>
                <w:b/>
                <w:sz w:val="17"/>
              </w:rPr>
              <w:t>8,031</w:t>
            </w:r>
          </w:p>
        </w:tc>
        <w:tc>
          <w:tcPr>
            <w:tcW w:type="dxa" w:w="1440"/>
            <w:shd w:fill="FAFAFA" w:val="clear"/>
          </w:tcPr>
          <w:p>
            <w:r>
              <w:rPr>
                <w:sz w:val="17"/>
              </w:rPr>
              <w:t>9,061</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6,909</w:t>
            </w:r>
          </w:p>
        </w:tc>
        <w:tc>
          <w:tcPr>
            <w:tcW w:type="dxa" w:w="1440"/>
            <w:shd w:fill="FAFAFA" w:val="clear"/>
          </w:tcPr>
          <w:p>
            <w:r>
              <w:rPr>
                <w:b/>
                <w:sz w:val="17"/>
              </w:rPr>
              <w:t>8,020</w:t>
            </w:r>
          </w:p>
        </w:tc>
        <w:tc>
          <w:tcPr>
            <w:tcW w:type="dxa" w:w="1440"/>
            <w:shd w:fill="FAFAFA" w:val="clear"/>
          </w:tcPr>
          <w:p>
            <w:r>
              <w:rPr>
                <w:sz w:val="17"/>
              </w:rPr>
              <w:t>9,131</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6,823</w:t>
            </w:r>
          </w:p>
        </w:tc>
        <w:tc>
          <w:tcPr>
            <w:tcW w:type="dxa" w:w="1440"/>
            <w:shd w:fill="FAFAFA" w:val="clear"/>
          </w:tcPr>
          <w:p>
            <w:r>
              <w:rPr>
                <w:b/>
                <w:sz w:val="17"/>
              </w:rPr>
              <w:t>8,009</w:t>
            </w:r>
          </w:p>
        </w:tc>
        <w:tc>
          <w:tcPr>
            <w:tcW w:type="dxa" w:w="1440"/>
            <w:shd w:fill="FAFAFA" w:val="clear"/>
          </w:tcPr>
          <w:p>
            <w:r>
              <w:rPr>
                <w:sz w:val="17"/>
              </w:rPr>
              <w:t>9,195</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6,742</w:t>
            </w:r>
          </w:p>
        </w:tc>
        <w:tc>
          <w:tcPr>
            <w:tcW w:type="dxa" w:w="1440"/>
            <w:shd w:fill="FAFAFA" w:val="clear"/>
          </w:tcPr>
          <w:p>
            <w:r>
              <w:rPr>
                <w:b/>
                <w:sz w:val="17"/>
              </w:rPr>
              <w:t>7,999</w:t>
            </w:r>
          </w:p>
        </w:tc>
        <w:tc>
          <w:tcPr>
            <w:tcW w:type="dxa" w:w="1440"/>
            <w:shd w:fill="FAFAFA" w:val="clear"/>
          </w:tcPr>
          <w:p>
            <w:r>
              <w:rPr>
                <w:sz w:val="17"/>
              </w:rPr>
              <w:t>9,255</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6,666</w:t>
            </w:r>
          </w:p>
        </w:tc>
        <w:tc>
          <w:tcPr>
            <w:tcW w:type="dxa" w:w="1440"/>
            <w:shd w:fill="FAFAFA" w:val="clear"/>
          </w:tcPr>
          <w:p>
            <w:r>
              <w:rPr>
                <w:b/>
                <w:sz w:val="17"/>
              </w:rPr>
              <w:t>7,989</w:t>
            </w:r>
          </w:p>
        </w:tc>
        <w:tc>
          <w:tcPr>
            <w:tcW w:type="dxa" w:w="1440"/>
            <w:shd w:fill="FAFAFA" w:val="clear"/>
          </w:tcPr>
          <w:p>
            <w:r>
              <w:rPr>
                <w:sz w:val="17"/>
              </w:rPr>
              <w:t>9,312</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(SOGB CI)</w:t>
        <w:br/>
        <w:t>**Société des Caoutchoucs de Grand-Béréby — BRVM**</w:t>
        <w:br/>
        <w:t>*Date d'analyse : 2026 | Cours de référence : 8 120 FCFA*</w:t>
      </w:r>
    </w:p>
    <w:p>
      <w:pPr>
        <w:spacing w:after="120" w:line="276" w:lineRule="auto"/>
      </w:pPr>
      <w:r>
        <w:t>---</w:t>
      </w:r>
    </w:p>
    <w:p>
      <w:pPr>
        <w:spacing w:after="120" w:line="276" w:lineRule="auto"/>
      </w:pPr>
      <w:r>
        <w:t>## PARTIE 0 : INDICATEURS DE VALORISATION BOURSIÈRE</w:t>
      </w:r>
    </w:p>
    <w:p>
      <w:pPr>
        <w:spacing w:after="120" w:line="276" w:lineRule="auto"/>
      </w:pPr>
      <w:r>
        <w:t>La SOGC affiche une capitalisation boursière de 175,41 milliards FCFA, un niveau significatif à l'échelle de la BRVM qui la place parmi les valeurs de premier plan du compartiment agro-industriel. Avec un BPA de 578 FCFA/action, chaque titre génère un bénéfice substantiel, et le PER de 14,0x traduit une valorisation légèrement supérieure à la moyenne du marché BRVM (8-12x), ce qui suggère que les investisseurs intègrent déjà une prime de qualité et de rendement. Le P/B de 2,56x indique que le marché valorise l'entreprise à plus de deux fois et demie sa valeur comptable, une prime de croissance justifiée par la solidité des fonds propres (68,43 Mds FCFA) et la rentabilité élevée (ROE de 18,26%). L'EV/EBITDA de 7,3x, situé dans la fourchette raisonnable de 5-10x, montre que la valeur totale de l'entreprise reste cohérente avec sa capacité opérationnelle. Dans l'ensemble, ces ratios dessinent une valorisation modérée à légèrement premium, cohérente avec un titre de rendement attractif (dividende proposé de 570 FCFA/action) mais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progression totale de +5,45%, bien que la dernière séance (J-1) se soit soldée par un léger repli de -0,25%, signalant une pause dans la dynamique haussière. Le cours actuel de 8 120 FCFA évolue dans un range de trading de 1 775 FCFA, entre un plus bas de 7 100 FCFA et un plus haut de 8 875 FCFA, ce qui témoigne d'une amplitude appréciable et d'une tendance générale haussière sur la période. Les statistiques descriptives révèlent une moyenne de 8 036 FCFA légèrement inférieure à la médiane de 8 145 FCFA, avec un mode à 8 100 FCFA : cet écart marginal indique une distribution quasi symétrique, confirmée par un skewness de -0,500 (distribution symétrique selon l'interprétation fournie). L'écart-type de 405 FCFA, associé à un coefficient de variation de 5,0%, traduit une dispersion modérée du cours autour de sa moyenne, tandis que le kurtosis de -0,692 (mésokurtique, proche d'une distribution normale) suggère un risque de pics de volatilité limité et un comportement de cours relativement prévisible. La volatilité annualisée de 40,4% classe toutefois le titre dans la catégorie des valeurs à volatilité élevée (&gt;30%), ce qui implique une prime de risque significative pour l'investisseur, mais aussi des opportunités de trading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8 216,5 FCFA et la MM50 à 8 158,0 FCFA, toutes deux supérieures au cours actuel de 8 120 FCFA, ce qui place le titre en position légèrement baissière à court terme. Toutefois, la MM20 reste au-dessus de la MM50, configurant un croisement haussier de fond qui justifie la décision technique d'**Achat** fournie, bien que le cours doive reconquérir ces niveaux pour confirmer la reprise.</w:t>
      </w:r>
    </w:p>
    <w:p>
      <w:pPr>
        <w:spacing w:after="120" w:line="276" w:lineRule="auto"/>
      </w:pPr>
      <w:r>
        <w:t>**Bandes de Bollinger** : Le cours actuel (8 120 FCFA) se situe dans la partie médiane de la bande, entre la borne inférieure (7 673,67 FCFA) et la borne supérieure (8 759,33 FCFA), à environ 55% de la largeur du canal. Cette position centrale, associée à une volatilité modérée, explique la décision **Neutre** : le titre n'est ni en zone de surachat ni de survente, et aucun signal directionnel fort ne se dégage.</w:t>
      </w:r>
    </w:p>
    <w:p>
      <w:pPr>
        <w:spacing w:after="120" w:line="276" w:lineRule="auto"/>
      </w:pPr>
      <w:r>
        <w:t>**MACD** : La valeur du MACD (-17,632) est nettement inférieure à son signal (1,179), générant une divergence baissière qui traduit un momentum négatif à court terme. Cette configuration justifie la décision de **Vente** fournie, bien que l'écart entre les deux lignes commence à se réduire, ce qui pourrait annoncer un retournement prochain si le cours se stabilise.</w:t>
      </w:r>
    </w:p>
    <w:p>
      <w:pPr>
        <w:spacing w:after="120" w:line="276" w:lineRule="auto"/>
      </w:pPr>
      <w:r>
        <w:t>**RSI** : À 48,268, le RSI se situe parfaitement dans la zone neutre (30-70), sans signal de surachat ni de survente. Cette valeur médiane confirme l'absence de pression directionnelle forte et justifie la décision **Neutre**, le titre évoluant dans un équilibre technique.</w:t>
      </w:r>
    </w:p>
    <w:p>
      <w:pPr>
        <w:spacing w:after="120" w:line="276" w:lineRule="auto"/>
      </w:pPr>
      <w:r>
        <w:t>**Stochastique** : Le %K et le %D sont tous deux à 35,745, indiquant l'absence de croisement et une position basse dans la zone neutre (proche de la zone de survente à 20). Cette configuration symétrique justifie la décision **Neutre**, mais la proximité de la zone de survente pourrait générer un signal d'achat si un croisement haussier se produisait.</w:t>
      </w:r>
    </w:p>
    <w:p>
      <w:pPr>
        <w:spacing w:after="120" w:line="276" w:lineRule="auto"/>
      </w:pPr>
      <w:r>
        <w:t>**Conclusion technique** : Les indicateurs techniques présentent un tableau mitigé, avec une majorité de signaux neutres (Bollinger, RSI, Stochastique) et un signal d'achat sur les moyennes mobiles, contrariés par un signal de vente sur le MACD. Cette divergence suggère une phase de consolidation en cours, sans direction claire à court terme, mais avec un potentiel de rebond si le cours parvient à se maintenir au-dessus de la MM50 (8 158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la SOGC a réalisé un chiffre d'affaires de 98,979 milliards FCFA, en croissance de 10,70% par rapport à 2024, portée par la hausse des prix de l'huile de palme (+20%) et de palmiste (+47%), ainsi que par la croissance des volumes de caoutchouc (+9%). Le résultat net s'établit à 12,493 milliards FCFA, en léger recul de 5% (-618 millions FCFA) par rapport aux 13,11 milliards de 2024, en raison de la forte hausse des coûts de matières premières (+15%) liée à l'augmentation du prix du coagulum. La rentabilité reste excellente avec un ROE de 18,26% (&gt;15% = excellent) et un ROA de 13,84%, tandis que la marge nette de 12,62% et la marge opérationnelle de 17,24% témoignent d'une bonne maîtrise des charges. La structure financière est très saine : l'autonomie financière de 75,79% (capitaux propres/total bilan) et un ratio d'endettement de seulement 24,21% (dettes totales/capitaux propres) confirment une faible dépendance aux créanciers, avec une capacité de remboursement de 0,04 an (dettes financières/CAF). Le BFR de 7,124 milliards FCFA et le fonds de roulement de 11,699 milliards FCFA assurent une liquidité confortable (liquidité générale de 170,32%), tandis que les délais clients (29,60 jours) et fournisseurs (31,72 jours) sont équilibrés, bien que la durée de stockage de 97,67 jours immobilise du capital.</w:t>
      </w:r>
    </w:p>
    <w:p>
      <w:pPr>
        <w:spacing w:after="120" w:line="276" w:lineRule="auto"/>
      </w:pPr>
      <w:r>
        <w:t>**Estimations basées sur les rapports trimestriels** : Le rapport du T3 2025 (cumul 9M, daté du 30/09/2025) indique un chiffre d'affaires de 75,6 milliards FCFA (+21,3% sur 9 mois) et un résultat net de 11,5 milliards FCFA (+39,5%), avec une marge nette de 15,3% et une marge opérationnelle de 19,6%. Le rapport du S1 2025 (daté du 30/06/2025) faisait état d'un CA de 55,4 milliards FCFA (+51,9%) et d'un résultat net de 10,2 milliards FCFA (+151,6%), avec une marge nette exceptionnelle de 18,5%. Le rapport du T1 2025 (daté du 31/03/2025) affichait un CA de 31,2 milliards FCFA (+63,1%) et un résultat net de 6,0 milliards FCFA (+262,9%). **On estime donc que l'exercice 2025 devrait se conclure avec un résultat net autour de 12,5 milliards FCFA**, confirmant le ralentissement progressif de la croissance au second semestre, comme anticipé par la direction en raison de la concurrence accrue sur l'achat de coagulum et de la baisse des cours SICOM. Le rapport annuel 2024 (daté du 31/12/2024) confirmait déjà cette dynamique avec un CA de 93,5 milliards FCFA (+20%) et un résultat net de 13,1 milliards FCFA (+149%), ainsi qu'un dividende de 60 FCFA/action (taux de distribution de 98,9%). Pour 2025, le dividende proposé s'élève à 570 FCFA/action (soit 12,31 milliards FCFA), représentant un rendement attractif de 7,0% au cours actuel de 8 120 FCFA.</w:t>
      </w:r>
    </w:p>
    <w:p>
      <w:pPr>
        <w:spacing w:after="120" w:line="276" w:lineRule="auto"/>
      </w:pPr>
      <w:r>
        <w:t>**Recommandation fondamentale** : La SOGC présente des fondamentaux solides (ROE de 18,26%, autonomie financière de 75,79%, trésorerie nette positive de 4,575 milliards FCFA) et une politique de dividende généreuse, mais fait face à des vents contraires (hausse des coûts d'achat du coagulum, baisse des cours du caoutchouc, concurrence accrue). La légère baisse du résultat net en 2025 (-5%) ne remet pas en cause la solidité du modèle, mais appelle à la vigilance sur l'évolution des marges en 2026.</w:t>
      </w:r>
    </w:p>
    <w:p>
      <w:pPr>
        <w:spacing w:after="120" w:line="276" w:lineRule="auto"/>
      </w:pPr>
      <w:r>
        <w:t>---</w:t>
      </w:r>
    </w:p>
    <w:p>
      <w:pPr>
        <w:spacing w:after="120" w:line="276" w:lineRule="auto"/>
      </w:pPr>
      <w:r>
        <w:t>## PARTIE 4 : CONCLUSION D'INVESTISSEMENT</w:t>
      </w:r>
    </w:p>
    <w:p>
      <w:pPr>
        <w:spacing w:after="120" w:line="276" w:lineRule="auto"/>
      </w:pPr>
      <w:r>
        <w:t>La valorisation de la SOGC (PER de 14,0x, P/B de 2,56x, EV/EBITDA de 7,3x) apparaît modérée à légèrement premium par rapport au marché BRVM, mais reste justifiée par la qualité des fondamentaux et le rendement du dividende (7,0%). Le comportement du cours sur 100 jours (+5,45%) est haussier, avec une volatilité élevée (40,4%) mais une distribution symétrique (skewness de -0,500) et un risque de pics limité (kurtosis de -0,692), ce qui est plutôt rassurant pour un investisseur de moyen terme. Les signaux techniques sont mitigés : les moyennes mobiles donnent un signal d'achat, mais le MACD est baissier, tandis que le RSI, le stochastique et les bandes de Bollinger sont neutres, suggérant une phase de consolidation avant une éventuelle reprise. Les fondamentaux restent solides (ROE de 18,26%, autonomie financière de 75,79%, trésorerie nette positive), mais le ralentissement de la croissance au second semestre 2025 et la pression sur les marges incitent à la prudence. Les prédictions IA pour les 10 prochains jours (8 092 FCFA le 17/09, 8 079 FCFA le 18/09, 8 065 FCFA le 21/09, 8 053 FCFA le 22/09, 8 042 FCFA le 23/09) anticipent une légère tendance baissière, en ligne avec le signal MACD, mais cette baisse reste contenue (-1,0% sur 10 jours) et ne remet pas en cause la tendance de fond.</w:t>
      </w:r>
    </w:p>
    <w:p>
      <w:pPr>
        <w:spacing w:after="120" w:line="276" w:lineRule="auto"/>
      </w:pPr>
      <w:r>
        <w:t>**Recommandation finale : CONSERVER**</w:t>
        <w:br/>
        <w:t>La convergence entre une valorisation raisonnable, des fondamentaux solides, un rendement attractif et une prédiction baissière modérée plaide pour une position attentiste. Le titre offre un bon compromis rendement/risque pour un investisseur de **moyen terme (3-12 mois)**, avec un **niveau de confiance moyen** et un **risque global modéré à élevé** (volatilité de 40,4%, sensibilité aux prix des matières premières). Un renforcement serait justifié en cas de repli vers 7 800-7 900 FCFA (zone de support technique), tandis qu'une cassure du seuil de 8 200 FCFA confirmerait la reprise haussière.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209.06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4,593 titres</w:t>
            </w:r>
          </w:p>
        </w:tc>
        <w:tc>
          <w:tcPr>
            <w:tcW w:type="dxa" w:w="2268"/>
            <w:shd w:fill="FFF2CC" w:val="clear"/>
          </w:tcPr>
          <w:p>
            <w:r>
              <w:rPr>
                <w:b/>
                <w:color w:val="503200"/>
                <w:sz w:val="16"/>
              </w:rPr>
              <w:t xml:space="preserve">Cours actuel : </w:t>
            </w:r>
            <w:r>
              <w:rPr>
                <w:color w:val="000000"/>
                <w:sz w:val="17"/>
              </w:rPr>
              <w:t>8,180 FCFA</w:t>
            </w:r>
          </w:p>
          <w:p>
            <w:r>
              <w:rPr>
                <w:b/>
                <w:color w:val="503200"/>
                <w:sz w:val="16"/>
              </w:rPr>
              <w:t xml:space="preserve">Var. 100 jours : </w:t>
            </w:r>
            <w:r>
              <w:rPr>
                <w:b/>
                <w:color w:val="007800"/>
                <w:sz w:val="17"/>
              </w:rPr>
              <w:t>+11.22%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10.29% (Moyenne) — μ=7,786 FCFA, σ=801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β=1.0387 (Neutre (suit le marché)) — Cov=0.000036, Var(idx)=0.000034, ρ=0.214,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7,595</w:t>
            </w:r>
          </w:p>
        </w:tc>
        <w:tc>
          <w:tcPr>
            <w:tcW w:type="dxa" w:w="1440"/>
            <w:shd w:fill="FAFAFA" w:val="clear"/>
          </w:tcPr>
          <w:p>
            <w:r>
              <w:rPr>
                <w:b/>
                <w:sz w:val="17"/>
              </w:rPr>
              <w:t>8,129</w:t>
            </w:r>
          </w:p>
        </w:tc>
        <w:tc>
          <w:tcPr>
            <w:tcW w:type="dxa" w:w="1440"/>
            <w:shd w:fill="FAFAFA" w:val="clear"/>
          </w:tcPr>
          <w:p>
            <w:r>
              <w:rPr>
                <w:sz w:val="17"/>
              </w:rPr>
              <w:t>8,662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7,351</w:t>
            </w:r>
          </w:p>
        </w:tc>
        <w:tc>
          <w:tcPr>
            <w:tcW w:type="dxa" w:w="1440"/>
            <w:shd w:fill="FAFAFA" w:val="clear"/>
          </w:tcPr>
          <w:p>
            <w:r>
              <w:rPr>
                <w:b/>
                <w:sz w:val="17"/>
              </w:rPr>
              <w:t>8,104</w:t>
            </w:r>
          </w:p>
        </w:tc>
        <w:tc>
          <w:tcPr>
            <w:tcW w:type="dxa" w:w="1440"/>
            <w:shd w:fill="FAFAFA" w:val="clear"/>
          </w:tcPr>
          <w:p>
            <w:r>
              <w:rPr>
                <w:sz w:val="17"/>
              </w:rPr>
              <w:t>8,856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7,159</w:t>
            </w:r>
          </w:p>
        </w:tc>
        <w:tc>
          <w:tcPr>
            <w:tcW w:type="dxa" w:w="1440"/>
            <w:shd w:fill="FAFAFA" w:val="clear"/>
          </w:tcPr>
          <w:p>
            <w:r>
              <w:rPr>
                <w:b/>
                <w:sz w:val="17"/>
              </w:rPr>
              <w:t>8,077</w:t>
            </w:r>
          </w:p>
        </w:tc>
        <w:tc>
          <w:tcPr>
            <w:tcW w:type="dxa" w:w="1440"/>
            <w:shd w:fill="FAFAFA" w:val="clear"/>
          </w:tcPr>
          <w:p>
            <w:r>
              <w:rPr>
                <w:sz w:val="17"/>
              </w:rPr>
              <w:t>8,996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6,995</w:t>
            </w:r>
          </w:p>
        </w:tc>
        <w:tc>
          <w:tcPr>
            <w:tcW w:type="dxa" w:w="1440"/>
            <w:shd w:fill="FAFAFA" w:val="clear"/>
          </w:tcPr>
          <w:p>
            <w:r>
              <w:rPr>
                <w:b/>
                <w:sz w:val="17"/>
              </w:rPr>
              <w:t>8,052</w:t>
            </w:r>
          </w:p>
        </w:tc>
        <w:tc>
          <w:tcPr>
            <w:tcW w:type="dxa" w:w="1440"/>
            <w:shd w:fill="FAFAFA" w:val="clear"/>
          </w:tcPr>
          <w:p>
            <w:r>
              <w:rPr>
                <w:sz w:val="17"/>
              </w:rPr>
              <w:t>9,110</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6,850</w:t>
            </w:r>
          </w:p>
        </w:tc>
        <w:tc>
          <w:tcPr>
            <w:tcW w:type="dxa" w:w="1440"/>
            <w:shd w:fill="FAFAFA" w:val="clear"/>
          </w:tcPr>
          <w:p>
            <w:r>
              <w:rPr>
                <w:b/>
                <w:sz w:val="17"/>
              </w:rPr>
              <w:t>8,029</w:t>
            </w:r>
          </w:p>
        </w:tc>
        <w:tc>
          <w:tcPr>
            <w:tcW w:type="dxa" w:w="1440"/>
            <w:shd w:fill="FAFAFA" w:val="clear"/>
          </w:tcPr>
          <w:p>
            <w:r>
              <w:rPr>
                <w:sz w:val="17"/>
              </w:rPr>
              <w:t>9,207</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6,718</w:t>
            </w:r>
          </w:p>
        </w:tc>
        <w:tc>
          <w:tcPr>
            <w:tcW w:type="dxa" w:w="1440"/>
            <w:shd w:fill="FFDCE0" w:val="clear"/>
          </w:tcPr>
          <w:p>
            <w:r>
              <w:rPr>
                <w:b/>
                <w:sz w:val="17"/>
              </w:rPr>
              <w:t>8,006</w:t>
            </w:r>
          </w:p>
        </w:tc>
        <w:tc>
          <w:tcPr>
            <w:tcW w:type="dxa" w:w="1440"/>
            <w:shd w:fill="FFDCE0" w:val="clear"/>
          </w:tcPr>
          <w:p>
            <w:r>
              <w:rPr>
                <w:sz w:val="17"/>
              </w:rPr>
              <w:t>9,293</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6,597</w:t>
            </w:r>
          </w:p>
        </w:tc>
        <w:tc>
          <w:tcPr>
            <w:tcW w:type="dxa" w:w="1440"/>
            <w:shd w:fill="FFDCE0" w:val="clear"/>
          </w:tcPr>
          <w:p>
            <w:r>
              <w:rPr>
                <w:b/>
                <w:sz w:val="17"/>
              </w:rPr>
              <w:t>7,983</w:t>
            </w:r>
          </w:p>
        </w:tc>
        <w:tc>
          <w:tcPr>
            <w:tcW w:type="dxa" w:w="1440"/>
            <w:shd w:fill="FFDCE0" w:val="clear"/>
          </w:tcPr>
          <w:p>
            <w:r>
              <w:rPr>
                <w:sz w:val="17"/>
              </w:rPr>
              <w:t>9,370</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6,483</w:t>
            </w:r>
          </w:p>
        </w:tc>
        <w:tc>
          <w:tcPr>
            <w:tcW w:type="dxa" w:w="1440"/>
            <w:shd w:fill="FFDCE0" w:val="clear"/>
          </w:tcPr>
          <w:p>
            <w:r>
              <w:rPr>
                <w:b/>
                <w:sz w:val="17"/>
              </w:rPr>
              <w:t>7,962</w:t>
            </w:r>
          </w:p>
        </w:tc>
        <w:tc>
          <w:tcPr>
            <w:tcW w:type="dxa" w:w="1440"/>
            <w:shd w:fill="FFDCE0" w:val="clear"/>
          </w:tcPr>
          <w:p>
            <w:r>
              <w:rPr>
                <w:sz w:val="17"/>
              </w:rPr>
              <w:t>9,440</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6,377</w:t>
            </w:r>
          </w:p>
        </w:tc>
        <w:tc>
          <w:tcPr>
            <w:tcW w:type="dxa" w:w="1440"/>
            <w:shd w:fill="FFDCE0" w:val="clear"/>
          </w:tcPr>
          <w:p>
            <w:r>
              <w:rPr>
                <w:b/>
                <w:sz w:val="17"/>
              </w:rPr>
              <w:t>7,941</w:t>
            </w:r>
          </w:p>
        </w:tc>
        <w:tc>
          <w:tcPr>
            <w:tcW w:type="dxa" w:w="1440"/>
            <w:shd w:fill="FFDCE0" w:val="clear"/>
          </w:tcPr>
          <w:p>
            <w:r>
              <w:rPr>
                <w:sz w:val="17"/>
              </w:rPr>
              <w:t>9,504</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6,276</w:t>
            </w:r>
          </w:p>
        </w:tc>
        <w:tc>
          <w:tcPr>
            <w:tcW w:type="dxa" w:w="1440"/>
            <w:shd w:fill="FFDCE0" w:val="clear"/>
          </w:tcPr>
          <w:p>
            <w:r>
              <w:rPr>
                <w:b/>
                <w:sz w:val="17"/>
              </w:rPr>
              <w:t>7,920</w:t>
            </w:r>
          </w:p>
        </w:tc>
        <w:tc>
          <w:tcPr>
            <w:tcW w:type="dxa" w:w="1440"/>
            <w:shd w:fill="FFDCE0" w:val="clear"/>
          </w:tcPr>
          <w:p>
            <w:r>
              <w:rPr>
                <w:sz w:val="17"/>
              </w:rPr>
              <w:t>9,564</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209,06 milliards FCFA, SPHC s'impose comme une valeur de premier plan de la cote BRVM, représentant un pilier du compartiment agro-industriel régional. Le BPA de 977 FCFA/action signifie que chaque titre génère près d'un millier de francs de bénéfice net, un niveau de rentabilité par action remarquable pour le marché. Le PER de 8,4x situe le titre en dessous de la moyenne BRVM (8-12x), suggérant une sous-évaluation relative : l'investisseur paie moins de 8,5 fois les bénéfices annuels, ce qui est modeste pour une entreprise affichant une croissance à deux chiffres. Le P/B de 1,52x indique que le marché valorise SPHC à 52% au-dessus de sa valeur comptable, un niveau raisonnable qui traduit une confiance modérée dans la qualité des actifs sans excès spéculatif. Enfin, l'EV/EBITDA de 5,2x, bien inférieur au seuil de 10x, confirme que la valeur d'entreprise (incluant la dette) reste contenue au regard de la capacité opérationnelle de génération de cash-flow,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progression totale de +11,22%, avec un cours actuel de 8 180 FCFA et une dernière séance stable (variation J-1 de 0,00%), signe d'une pause dans le mouvement haussier. Le range de trading est particulièrement large, oscillant entre un plus bas de 6 720 FCFA et un plus haut de 10 300 FCFA, soit une amplitude de 53% qui témoigne d'une forte volatilité intra-période. La tendance générale reste haussière sur la durée, mais le cours actuel se situe en retrait de 20,6% par rapport à son sommet, indiquant une phase de correction après un pic. Les statistiques descriptives révèlent une moyenne de 7 786 FCFA supérieure à la médiane de 7 580 FCFA, avec un mode à 7 600 FCFA : cet écart entre moyenne et médiane, conjugué à un skewness positif de 1,417, confirme une asymétrie à droite — davantage de journées se sont négociées sous la moyenne, mais quelques séances de forte hausse ont tiré la moyenne vers le haut. L'écart-type de 805 FCFA (CV de 10,3%) traduit une dispersion modérée autour de la moyenne, tandis que le kurtosis de 1,467 (leptokurtique) signale des queues épaisses, donc un risque accru de pics de volatilité brutaux. La volatilité annualisée de 44,7% classe SPHC dans la catégorie des titres à volatilité élevée (&gt;30%), ce qui implique un profil de risque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9 078,25 FCFA et la MM50 à 8 232,80 FCFA, toutes deux supérieures au cours actuel de 8 180 FCFA. Cette configuration — cours sous ses deux moyennes — traduit une pression baissière de court terme, mais la décision technique affichée est « Achat », probablement en anticipation d'un rebond sur support ou d'un retournement de tendance de fond. L'écart entre MM20 et MM50 (845 FCFA) reste positif, signe que la tendance de moyen terme demeure haussière malgré la correction actuelle.</w:t>
      </w:r>
    </w:p>
    <w:p>
      <w:pPr>
        <w:spacing w:after="120" w:line="276" w:lineRule="auto"/>
      </w:pPr>
      <w:r>
        <w:t>**Bandes de Bollinger** : La borne supérieure se situe à 10 586,60 FCFA et la borne inférieure à 7 569,90 FCFA, avec un cours actuel de 8 180 FCFA positionné dans la moitié basse du canal. Le titre n'est ni en surachat ni en survente selon ce critère, d'où la décision « Neutre ». L'amplitude des bandes (3 016 FCFA) confirme une volatilité élevée, cohérente avec l'écart-type observé.</w:t>
      </w:r>
    </w:p>
    <w:p>
      <w:pPr>
        <w:spacing w:after="120" w:line="276" w:lineRule="auto"/>
      </w:pPr>
      <w:r>
        <w:t>**MACD** : La valeur du MACD est négative (-48,877) et inférieure à son signal (164,31), configuration baissière classique qui justifie la décision « Vente ». Le momentum est clairement négatif à court terme, le MACD ayant basculé sous zéro, ce qui suggère que la pression vendeuse domine encore malgré le rebond potentiel.</w:t>
      </w:r>
    </w:p>
    <w:p>
      <w:pPr>
        <w:spacing w:after="120" w:line="276" w:lineRule="auto"/>
      </w:pPr>
      <w:r>
        <w:t>**RSI** : À 37,591, le RSI se situe dans la zone neutre basse (30-70), sans atteindre le seuil de survente (&lt;30). La décision « Neutre » reflète un équilibre précaire : le titre n'est pas encore survendu, mais la faiblesse relative du RSI indique que les acheteurs ne dominent pas.</w:t>
      </w:r>
    </w:p>
    <w:p>
      <w:pPr>
        <w:spacing w:after="120" w:line="276" w:lineRule="auto"/>
      </w:pPr>
      <w:r>
        <w:t>**Stochastique** : Le %K (10,359) et le %D (9,232) sont tous deux en zone de survente profonde (&lt;20), avec un %K légèrement supérieur au %D, ce qui peut préfigurer un croisement haussier imminent. La décision « Achat » s'appuie sur cette configuration de survente extrême, souvent annonciatrice d'un rebond technique.</w:t>
      </w:r>
    </w:p>
    <w:p>
      <w:pPr>
        <w:spacing w:after="120" w:line="276" w:lineRule="auto"/>
      </w:pPr>
      <w:r>
        <w:t>**Conclusion technique** : Les indicateurs présentent un tableau contrasté. Les moyennes mobiles et le MACD plaident pour une prudence à court terme (cours sous MM, momentum négatif), tandis que le stochastique en survente extrême et la position basse dans les bandes de Bollinger suggèrent un potentiel de rebond. Le RSI neutre confirme l'absence de signal fort. La convergence partielle vers un achat (stochastique + décision MM) reste fragile face à la pression baissière du MACD, invitant à attendre une confirmation de retournement avant tout engagement agressif.</w:t>
      </w:r>
    </w:p>
    <w:p>
      <w:pPr>
        <w:spacing w:after="120" w:line="276" w:lineRule="auto"/>
      </w:pPr>
      <w:r>
        <w:t>---</w:t>
      </w:r>
    </w:p>
    <w:p>
      <w:pPr>
        <w:spacing w:after="120" w:line="276" w:lineRule="auto"/>
      </w:pPr>
      <w:r>
        <w:t>## PARTIE 3 : ANALYSE FONDAMENTALE</w:t>
      </w:r>
    </w:p>
    <w:p>
      <w:pPr>
        <w:spacing w:after="120" w:line="276" w:lineRule="auto"/>
      </w:pPr>
      <w:r>
        <w:t>**Données structurées (exercice 2025)** : SPHC a réalisé un chiffre d'affaires de 340,831 milliards FCFA en 2025, en croissance de 21,97% par rapport à 2024, portée par une hausse des volumes et des prix du caoutchouc naturel. Le résultat net s'élève à 24,972 milliards FCFA, soit une marge nette de 7,33%, en amélioration par rapport aux 6,7% de 2024. La rentabilité des fonds propres (ROE) atteint 18,10%, un niveau excellent (&gt;15%), et le ROA de 11,06% confirme l'efficacité de l'utilisation des actifs. La structure financière est solide : autonomie financière de 61,08%, ratio d'endettement maîtrisé à 25,81%, et couverture des intérêts par le résultat d'exploitation de 1 094,57%, traduisant une capacité de remboursement confortable. Le BFR de 65,389 milliards FCFA (positif) et la trésorerie nette négative de -15,413 milliards FCFA constituent des points de vigilance, tout comme les délais clients (35 jours) et la durée de stockage (72,33 jours), qui immobilisent du capital. La capacité de remboursement de 0,97 an (dettes financières/CAF) est excellente.</w:t>
      </w:r>
    </w:p>
    <w:p>
      <w:pPr>
        <w:spacing w:after="120" w:line="276" w:lineRule="auto"/>
      </w:pPr>
      <w:r>
        <w:t>**Estimations basées sur les rapports trimestriels** : Le rapport T3 2025 (publié le 30/09/2025) indiquait un CA cumulé de 253,723 milliards FCFA (+36%) et un résultat net de 23,154 milliards FCFA (+131%), avec une marge nette de 9%. Le rapport S1 2025 (30/06/2025) faisait état d'un CA de 171,4 milliards FCFA (+51%) et d'un résultat net de 18,1 milliards FCFA (+449%). Cependant, le rapport T1 2026 (publié en 2026) révèle un net ralentissement : CA de 71,8 milliards FCFA (-24%) et résultat net de 2,6 milliards FCFA (-78%), pénalisé par la chute des cours mondiaux du caoutchouc, l'engorgement du port de San Pedro et la concurrence accrue pour l'approvisionnement en matière première. Sur la base de ce T1 2026, on estime que l'exercice 2026 devrait afficher une contraction significative de la rentabilité par rapport à 2025, avec un résultat net potentiellement divisé par deux si la tendance se poursuit. La politique de dividende reste généreuse : un dividende de 489 FCFA brut par action a été proposé pour 2025 (12,50 milliards FCFA au total), en hausse de 32,7% par rapport à 2024, offrant un rendement attractif au cours actuel de 8 180 FCFA (rendement d'environ 6,0%).</w:t>
      </w:r>
    </w:p>
    <w:p>
      <w:pPr>
        <w:spacing w:after="120" w:line="276" w:lineRule="auto"/>
      </w:pPr>
      <w:r>
        <w:t>**Recommandation fondamentale** : SPHC présente des fondamentaux solides pour 2025 (croissance, rentabilité, structure financière saine), mais les perspectives 2026 sont assombries par la chute des cours du caoutchouc et les tensions sur l'approvisionnement. La valorisation attractive (PER 8,4x) et le dividende généreux constituent des supports, mais le risque de dégradation des marges en 2026 invite à la prudence. La recommandation fondamentale est de **CONSERVER** avec une surveillance active des indicateurs trimestriels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**Valorisation (Partie 0)** : les ratios PER (8,4x), P/B (1,52x) et EV/EBITDA (5,2x) indiquent une sous-évaluation relative, offrant une marge de sécurité. **Comportement du cours (Partie 1)** : la tendance haussière sur 100 jours (+11,22%) est tempérée par une correction de 20,6% depuis le sommet, une volatilité élevée (44,7%) et un kurtosis leptokurtique (1,467) signalant un risque de pics. Le skewness positif (1,417) suggère une asymétrie favorable à moyen terme. **Signaux techniques (Partie 2)** : divergence entre le MACD baissier et le stochastique en survente, avec un RSI neutre — la configuration plaide pour un rebond technique à court terme, mais sans confirmation forte. **Fondamentaux (Partie 3)** : les résultats 2025 sont excellents (ROE 18,1%, marge nette 7,3%), mais le T1 2026 (-78% de résultat net) annonce une dégradation significative en 2026. **Prédictions IA (J+1 à J+10)** : la trajectoire prévue (8 129 → 8 029 FCFA) anticipe une légère baisse de -1,8% sur 10 jours, confirmant la pression baissière de court terme sans effondrement.</w:t>
      </w:r>
    </w:p>
    <w:p>
      <w:pPr>
        <w:spacing w:after="120" w:line="276" w:lineRule="auto"/>
      </w:pPr>
      <w:r>
        <w:t>**Recommandation finale : CONSERVER**</w:t>
        <w:br/>
        <w:t>La convergence entre une valorisation attractive, des fondamentaux 2025 solides et un dividende généreux (489 FCFA/action) est contrebalancée par la dégradation attendue en 2026 (T1 2026 : -78% de résultat net) et des signaux techniques mitigés. Le titre offre un potentiel de rebond à moyen terme si les cours du caoutchouc se stabilisent, mais le risque de volatilité et de contraction des marges justifie une position d'attente. **Niveau de confiance : Moyen** — les données 2025 sont robustes, mais l'incertitude sur 2026 est élevée. **Niveau de risque global : Moyen à Élevé** — volatilité de 44,7%, dépendance aux cours mondiaux du caoutchouc, et trésorerie nette négative. **Horizon d'investissement optimal : Moyen terme (3-12 mois)** — pour capturer un éventuel rebond technique et la confirmation de la résilience des marges, tout en surveillant les rapports trimestriels 2026. Un passage à **ACHAT** serait justifié si le T2 2026 confirme une stabilisation des cours et une amélioration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32.93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5,950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B40000"/>
                <w:sz w:val="17"/>
              </w:rPr>
              <w:t>-18.06%</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2,450 FCFA</w:t>
            </w:r>
          </w:p>
          <w:p>
            <w:r>
              <w:rPr>
                <w:b/>
                <w:color w:val="503200"/>
                <w:sz w:val="16"/>
              </w:rPr>
              <w:t xml:space="preserve">Volatilité ann. : </w:t>
            </w:r>
            <w:r>
              <w:rPr>
                <w:color w:val="000000"/>
                <w:sz w:val="17"/>
              </w:rPr>
              <w:t>56.6%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11.38% (Moyenne) — μ=2,949 FCFA, σ=336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β=-0.8096 (Contre-cyclique) — Cov=-0.000028, Var(idx)=0.000034, ρ=-0.133,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σ_j=3.56%/j (Modérée) — Vol. annualisée≈56.6%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2,326</w:t>
            </w:r>
          </w:p>
        </w:tc>
        <w:tc>
          <w:tcPr>
            <w:tcW w:type="dxa" w:w="1440"/>
            <w:shd w:fill="FAFAFA" w:val="clear"/>
          </w:tcPr>
          <w:p>
            <w:r>
              <w:rPr>
                <w:b/>
                <w:sz w:val="17"/>
              </w:rPr>
              <w:t>2,412</w:t>
            </w:r>
          </w:p>
        </w:tc>
        <w:tc>
          <w:tcPr>
            <w:tcW w:type="dxa" w:w="1440"/>
            <w:shd w:fill="FAFAFA" w:val="clear"/>
          </w:tcPr>
          <w:p>
            <w:r>
              <w:rPr>
                <w:sz w:val="17"/>
              </w:rPr>
              <w:t>2,497</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2026-09-18</w:t>
            </w:r>
          </w:p>
        </w:tc>
        <w:tc>
          <w:tcPr>
            <w:tcW w:type="dxa" w:w="1440"/>
            <w:shd w:fill="FFDCE0" w:val="clear"/>
          </w:tcPr>
          <w:p>
            <w:r>
              <w:rPr>
                <w:sz w:val="17"/>
              </w:rPr>
              <w:t>2,263</w:t>
            </w:r>
          </w:p>
        </w:tc>
        <w:tc>
          <w:tcPr>
            <w:tcW w:type="dxa" w:w="1440"/>
            <w:shd w:fill="FFDCE0" w:val="clear"/>
          </w:tcPr>
          <w:p>
            <w:r>
              <w:rPr>
                <w:b/>
                <w:sz w:val="17"/>
              </w:rPr>
              <w:t>2,383</w:t>
            </w:r>
          </w:p>
        </w:tc>
        <w:tc>
          <w:tcPr>
            <w:tcW w:type="dxa" w:w="1440"/>
            <w:shd w:fill="FFDCE0" w:val="clear"/>
          </w:tcPr>
          <w:p>
            <w:r>
              <w:rPr>
                <w:sz w:val="17"/>
              </w:rPr>
              <w:t>2,503</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2026-09-21</w:t>
            </w:r>
          </w:p>
        </w:tc>
        <w:tc>
          <w:tcPr>
            <w:tcW w:type="dxa" w:w="1440"/>
            <w:shd w:fill="FFDCE0" w:val="clear"/>
          </w:tcPr>
          <w:p>
            <w:r>
              <w:rPr>
                <w:sz w:val="17"/>
              </w:rPr>
              <w:t>2,215</w:t>
            </w:r>
          </w:p>
        </w:tc>
        <w:tc>
          <w:tcPr>
            <w:tcW w:type="dxa" w:w="1440"/>
            <w:shd w:fill="FFDCE0" w:val="clear"/>
          </w:tcPr>
          <w:p>
            <w:r>
              <w:rPr>
                <w:b/>
                <w:sz w:val="17"/>
              </w:rPr>
              <w:t>2,361</w:t>
            </w:r>
          </w:p>
        </w:tc>
        <w:tc>
          <w:tcPr>
            <w:tcW w:type="dxa" w:w="1440"/>
            <w:shd w:fill="FFDCE0" w:val="clear"/>
          </w:tcPr>
          <w:p>
            <w:r>
              <w:rPr>
                <w:sz w:val="17"/>
              </w:rPr>
              <w:t>2,506</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2,176</w:t>
            </w:r>
          </w:p>
        </w:tc>
        <w:tc>
          <w:tcPr>
            <w:tcW w:type="dxa" w:w="1440"/>
            <w:shd w:fill="FFDCE0" w:val="clear"/>
          </w:tcPr>
          <w:p>
            <w:r>
              <w:rPr>
                <w:b/>
                <w:sz w:val="17"/>
              </w:rPr>
              <w:t>2,343</w:t>
            </w:r>
          </w:p>
        </w:tc>
        <w:tc>
          <w:tcPr>
            <w:tcW w:type="dxa" w:w="1440"/>
            <w:shd w:fill="FFDCE0" w:val="clear"/>
          </w:tcPr>
          <w:p>
            <w:r>
              <w:rPr>
                <w:sz w:val="17"/>
              </w:rPr>
              <w:t>2,509</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2,143</w:t>
            </w:r>
          </w:p>
        </w:tc>
        <w:tc>
          <w:tcPr>
            <w:tcW w:type="dxa" w:w="1440"/>
            <w:shd w:fill="FFDCE0" w:val="clear"/>
          </w:tcPr>
          <w:p>
            <w:r>
              <w:rPr>
                <w:b/>
                <w:sz w:val="17"/>
              </w:rPr>
              <w:t>2,328</w:t>
            </w:r>
          </w:p>
        </w:tc>
        <w:tc>
          <w:tcPr>
            <w:tcW w:type="dxa" w:w="1440"/>
            <w:shd w:fill="FFDCE0" w:val="clear"/>
          </w:tcPr>
          <w:p>
            <w:r>
              <w:rPr>
                <w:sz w:val="17"/>
              </w:rPr>
              <w:t>2,513</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2,114</w:t>
            </w:r>
          </w:p>
        </w:tc>
        <w:tc>
          <w:tcPr>
            <w:tcW w:type="dxa" w:w="1440"/>
            <w:shd w:fill="FFDCE0" w:val="clear"/>
          </w:tcPr>
          <w:p>
            <w:r>
              <w:rPr>
                <w:b/>
                <w:sz w:val="17"/>
              </w:rPr>
              <w:t>2,315</w:t>
            </w:r>
          </w:p>
        </w:tc>
        <w:tc>
          <w:tcPr>
            <w:tcW w:type="dxa" w:w="1440"/>
            <w:shd w:fill="FFDCE0" w:val="clear"/>
          </w:tcPr>
          <w:p>
            <w:r>
              <w:rPr>
                <w:sz w:val="17"/>
              </w:rPr>
              <w:t>2,517</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2,087</w:t>
            </w:r>
          </w:p>
        </w:tc>
        <w:tc>
          <w:tcPr>
            <w:tcW w:type="dxa" w:w="1440"/>
            <w:shd w:fill="FFDCE0" w:val="clear"/>
          </w:tcPr>
          <w:p>
            <w:r>
              <w:rPr>
                <w:b/>
                <w:sz w:val="17"/>
              </w:rPr>
              <w:t>2,304</w:t>
            </w:r>
          </w:p>
        </w:tc>
        <w:tc>
          <w:tcPr>
            <w:tcW w:type="dxa" w:w="1440"/>
            <w:shd w:fill="FFDCE0" w:val="clear"/>
          </w:tcPr>
          <w:p>
            <w:r>
              <w:rPr>
                <w:sz w:val="17"/>
              </w:rPr>
              <w:t>2,521</w:t>
            </w:r>
          </w:p>
        </w:tc>
        <w:tc>
          <w:tcPr>
            <w:tcW w:type="dxa" w:w="1440"/>
            <w:shd w:fill="FFDCE0" w:val="clear"/>
          </w:tcPr>
          <w:p>
            <w:r>
              <w:rPr>
                <w:b/>
                <w:color w:val="C00000"/>
                <w:sz w:val="17"/>
              </w:rPr>
              <w:t>-6.0%</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2,063</w:t>
            </w:r>
          </w:p>
        </w:tc>
        <w:tc>
          <w:tcPr>
            <w:tcW w:type="dxa" w:w="1440"/>
            <w:shd w:fill="FFDCE0" w:val="clear"/>
          </w:tcPr>
          <w:p>
            <w:r>
              <w:rPr>
                <w:b/>
                <w:sz w:val="17"/>
              </w:rPr>
              <w:t>2,294</w:t>
            </w:r>
          </w:p>
        </w:tc>
        <w:tc>
          <w:tcPr>
            <w:tcW w:type="dxa" w:w="1440"/>
            <w:shd w:fill="FFDCE0" w:val="clear"/>
          </w:tcPr>
          <w:p>
            <w:r>
              <w:rPr>
                <w:sz w:val="17"/>
              </w:rPr>
              <w:t>2,524</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2,040</w:t>
            </w:r>
          </w:p>
        </w:tc>
        <w:tc>
          <w:tcPr>
            <w:tcW w:type="dxa" w:w="1440"/>
            <w:shd w:fill="FFDCE0" w:val="clear"/>
          </w:tcPr>
          <w:p>
            <w:r>
              <w:rPr>
                <w:b/>
                <w:sz w:val="17"/>
              </w:rPr>
              <w:t>2,284</w:t>
            </w:r>
          </w:p>
        </w:tc>
        <w:tc>
          <w:tcPr>
            <w:tcW w:type="dxa" w:w="1440"/>
            <w:shd w:fill="FFDCE0" w:val="clear"/>
          </w:tcPr>
          <w:p>
            <w:r>
              <w:rPr>
                <w:sz w:val="17"/>
              </w:rPr>
              <w:t>2,528</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2,019</w:t>
            </w:r>
          </w:p>
        </w:tc>
        <w:tc>
          <w:tcPr>
            <w:tcW w:type="dxa" w:w="1440"/>
            <w:shd w:fill="FFDCE0" w:val="clear"/>
          </w:tcPr>
          <w:p>
            <w:r>
              <w:rPr>
                <w:b/>
                <w:sz w:val="17"/>
              </w:rPr>
              <w:t>2,275</w:t>
            </w:r>
          </w:p>
        </w:tc>
        <w:tc>
          <w:tcPr>
            <w:tcW w:type="dxa" w:w="1440"/>
            <w:shd w:fill="FFDCE0" w:val="clear"/>
          </w:tcPr>
          <w:p>
            <w:r>
              <w:rPr>
                <w:sz w:val="17"/>
              </w:rPr>
              <w:t>2,531</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SETAO (STAC)**</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SETAO s'élève à 32,93 milliards FCFA, ce qui la place dans la catégorie des valeurs moyennes de la BRVM, mais cette valorisation apparaît totalement déconnectée des fondamentaux. Le BPA s'établit à -7 FCFA/action, traduisant une perte nette par action, ce qui rend le PER inexploitable (-341,0x) et signale une société structurellement déficitaire. Le ratio P/B de 92,30x est particulièrement alarmant : le marché valorise l'action à plus de 92 fois sa valeur comptable (capitaux propres de seulement 356,75 M FCFA), une prime injustifiable qui révèle soit une anomalie de marché, soit une anticipation spéculative d'un retournement hypothétique. Le PER BRVM moyen se situant entre 8x et 12x, SETAO est de facto inéligible à toute comparaison sectorielle classique. L'EV/EBITDA n'est pas calculable en raison d'un EBE négatif (-650,13 M FCFA en 2025), confirmant l'absence de capacité opérationnelle génératrice de valeur.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SETAO a enregistré une chute vertigineuse de -18,06%, avec une dernière séance en repli de -1,21%, portant le cours actuel à 2 450 FCFA — soit exactement le plus bas de la période, tandis que le plus haut a atteint 3 640 FCFA, matérialisant un range de trading de 1 190 FCFA (48,6% d'amplitude). La tendance est clairement baissière et le cours clôture au plancher de sa fourchette, signalant une pression vendeuse persistante sans signe de stabilisation. Les statistiques descriptives révèlent une moyenne de 2 949 FCFA supérieure à la médiane de 2 892 FCFA, avec un mode à 3 000 FCFA : cet écart confirme une asymétrie positive (skewness de 0,511), indiquant que davantage de journées se sont négociées sous la moyenne, typique d'une distribution tirée vers le bas par des séances de forte baisse. L'écart-type de 337 FCFA (CV de 11,4%) traduit une dispersion modérée en valeur relative, mais le kurtosis de -0,873 (mésokurtique) suggère une distribution proche de la normale, sans pics extrêmes fréquents — ce qui n'exclut pas la tendance baissière continue observée. La volatilité annualisée de 56,6% classe le titre dans la catégorie à volatilité élevée (&gt;30%), ce qui est cohérent avec un volume moyen quotidien faible de 5 950 titres, exposant le cours à des mouvements erratiques sur un marché peu liquide.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(2 593,75 FCFA) et la MM50 (2 773,1 FCFA) se situent toutes deux au-dessus du cours actuel (2 450 FCFA), avec la MM20 sous la MM50 — configuration baissière classique de croisement mort. Le cours évoluant sous ses deux moyennes, la décision technique est logiquement **Vente**, confirmant la pression baissière de fond.</w:t>
      </w:r>
    </w:p>
    <w:p>
      <w:pPr>
        <w:spacing w:after="120" w:line="276" w:lineRule="auto"/>
      </w:pPr>
      <w:r>
        <w:t>**Bandes de Bollinger** : La borne supérieure est à 2 798,737 FCFA et la borne inférieure à 2 388,763 FCFA, avec un cours actuel de 2 450 FCFA qui se situe dans la moitié basse de la bande, à seulement 61 FCFA de la borne inférieure. Cette proximité du plancher traduit une faiblesse relative, mais la décision est **Neutre** car le cours n'a pas encore cassé la borne inférieure, laissant une possibilité de rebond technique.</w:t>
      </w:r>
    </w:p>
    <w:p>
      <w:pPr>
        <w:spacing w:after="120" w:line="276" w:lineRule="auto"/>
      </w:pPr>
      <w:r>
        <w:t>**MACD** : Le MACD (-73,655) est inférieur à son signal (-71,05), avec un histogramme négatif — configuration baissière confirmée. Le momentum reste négatif et la divergence entre les deux lignes ne montre aucun signe de retournement imminent, justifiant la décision **Vente**.</w:t>
      </w:r>
    </w:p>
    <w:p>
      <w:pPr>
        <w:spacing w:after="120" w:line="276" w:lineRule="auto"/>
      </w:pPr>
      <w:r>
        <w:t>**RSI** : À 40,385, le RSI se situe en zone neutre basse (entre 30 et 70), sans atteindre la zone de survente (&lt;30). Cela indique que le titre n'est pas encore techniquement "survendu" et qu'il conserve un potentiel de baisse résiduel, d'où la décision **Neutre** — ni signal d'achat, ni signal de vente agressif.</w:t>
      </w:r>
    </w:p>
    <w:p>
      <w:pPr>
        <w:spacing w:after="120" w:line="276" w:lineRule="auto"/>
      </w:pPr>
      <w:r>
        <w:t>**Stochastique** : Le %K est à 0,0 et le %D à 5,556, avec un %K nettement sous le %D — configuration de survente extrême. La décision **Achat** générée par cet indicateur est un signal contrarien isolé, suggérant qu'un rebond technique à très court terme est possible, mais il contredit tous les autres indicateurs.</w:t>
      </w:r>
    </w:p>
    <w:p>
      <w:pPr>
        <w:spacing w:after="120" w:line="276" w:lineRule="auto"/>
      </w:pPr>
      <w:r>
        <w:t>**Conclusion technique** : La convergence baissière des moyennes mobiles, du MACD et de la position du cours dans les bandes de Bollinger domine largement le signal d'achat isolé du stochastique. Le RSI neutre-bas confirme l'absence de force haussière. La configuration technique globale est **baissière**, avec un risque de cassure de la borne inférieure des Bollinger (2 388 FCFA) qui ouvrirait la voie à une accélération de la baisse.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officiels de SETAO révèlent une situation financière profondément dégradée. Le chiffre d'affaires s'établit à 3,878 milliards FCFA, en forte progression de +116,26% par rapport à 2024 (1,793 Md FCFA), portée par le chantier de l'aéroport d'Abidjan. Cependant, cette croissance commerciale ne se traduit pas en rentabilité : le résultat net est négatif à -96,56 M FCFA, le ROE s'effondre à -27,07% et le ROA à -1,77%. L'EBE est lourdement déficitaire à -650,13 M FCFA et le résultat d'exploitation à -771,95 M FCFA, signe que la structure de coûts reste inadaptée au niveau d'activité. Le BFR est négatif à -930,47 M FCFA (favorable pour la trésorerie), et la trésorerie nette atteint 1,330 Md FCFA, mais cette position est grignotée par les flux opérationnels négatifs (-2,212 Mds FCFA en 2025). La structure financière est préoccupante : l'autonomie financière n'est que de 6,55% (très en dessous du seuil sain de 30%), le ratio d'endettement atteint 93,45% et la capacité de remboursement est de 77,53 années de CAF — un niveau insoutenable. Les rapports trimestriels confirment la tendance : au T3 2025 (rapport du 30/09/2025), le CA cumulé atteint 3 456 M FCFA (+176% sur 9 mois) mais la perte nette reste de -477 M FCFA, en réduction de 22% sur un an. Le rapport S1 2025 (30/06/2025) faisait état d'une perte de -557 M FCFA malgré un CA de 2 271 M FCFA (+290%). On estime, sur la base de ces rapports, que l'exercice 2025 devrait clôturer avec un CA proche de 4 Mds FCFA (prévision direction) et une perte nette annuelle autour de -100 M FCFA, loin d'un retour à la rentabilité. La comparaison historique est éclairante : en 2020, SETAO réalisait 15,9 Mds FCFA de CA avec un résultat net de 2,32 Mds FCFA (marge nette de 14,6%) et distribuait des dividendes ; en 2021, le CA chutait à 10,27 Mds FCFA avec un résultat net de 1,12 Md FCFA. La dégradation est donc structurelle et non conjoncturelle. **Conclusion fondamentale** : SETAO présente une situation de fragilité extrême, avec des capitaux propres quasi-inexistants (356,75 M FCFA), une dépendance totale à un projet unique (aéroport d'Abidjan) et une absence de perspective de rentabilité à court terme. Le risque de faillite ou de dilution massive via recapitalisation est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constat unanime : SETAO est un titre à éviter. La valorisation (Partie 0) est aberrante avec un P/B de 92,30x pour des capitaux propres de 356,75 M FCFA et un BPA négatif de -7 FCFA, sans aucun support fondamental. Le comportement du cours (Partie 1) est baissier (-18,06% sur 100 jours, cours au plus bas de 2 450 FCFA), avec une volatilité élevée de 56,6% et une asymétrie positive (skewness 0,511) qui reflète une pression vendeuse dominante. Les signaux techniques (Partie 2) sont majoritairement baissiers : MM20 et MM50 au-dessus du cours, MACD négatif sous son signal, RSI neutre-bas à 40,385, et seul le stochastique en survente extrême (%K=0,0) émet un signal d'achat contrarien isolé et peu fiable. Les fondamentaux (Partie 3) sont catastrophiques : perte nette de -96,56 M FCFA en 2025, ROE de -27,07%, EBE de -650,13 M FCFA, autonomie financière de 6,55% et capacité de remboursement de 77,53 années. Les prédictions IA (J+1 à J+10) confirment la trajectoire baissière avec une descente progressive de 2 412 FCFA à 2 328 FCFA, soit une baisse supplémentaire de -5% anticipée. **Recommandation finale : VENTE FORTE**. La convergence est totale entre valorisation surévaluée, technique baissière, fondamentaux dégradés et prédictions IA négatives. Le niveau de confiance est **Élevé** (les signaux sont unanimes) et le niveau de risque est **Élevé** (risque de faillite, de dilution, ou de krach boursier). L'horizon d'investissement optimal est **court terme** pour les vendeurs (sortie immédiate) ; aucun horizon long terme n'est justifiable tant qu'aucun plan de redressement crédible (recapitalisation, nouveaux contrats majeurs, réduction structurelle des coûts) n'est annoncé. Les investisseurs détenant le titre doivent envisager une sortie rapide, et les acheteurs potentiels doivent s'abstenir jusqu'à preuve d'un retournement fondamental durable.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3,875 titres</w:t>
            </w:r>
          </w:p>
        </w:tc>
        <w:tc>
          <w:tcPr>
            <w:tcW w:type="dxa" w:w="2268"/>
            <w:shd w:fill="FFF2CC" w:val="clear"/>
          </w:tcPr>
          <w:p>
            <w:r>
              <w:rPr>
                <w:b/>
                <w:color w:val="503200"/>
                <w:sz w:val="16"/>
              </w:rPr>
              <w:t xml:space="preserve">Cours actuel : </w:t>
            </w:r>
            <w:r>
              <w:rPr>
                <w:color w:val="000000"/>
                <w:sz w:val="17"/>
              </w:rPr>
              <w:t>20,900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5.76% (Moyenne) — μ=22,413 FCFA, σ=1,291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β=0.2907 (Défensif) — Cov=0.000010, Var(idx)=0.000034, ρ=0.075,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2026-09-17</w:t>
            </w:r>
          </w:p>
        </w:tc>
        <w:tc>
          <w:tcPr>
            <w:tcW w:type="dxa" w:w="1440"/>
            <w:shd w:fill="C6EFCE" w:val="clear"/>
          </w:tcPr>
          <w:p>
            <w:r>
              <w:rPr>
                <w:sz w:val="17"/>
              </w:rPr>
              <w:t>20,692</w:t>
            </w:r>
          </w:p>
        </w:tc>
        <w:tc>
          <w:tcPr>
            <w:tcW w:type="dxa" w:w="1440"/>
            <w:shd w:fill="C6EFCE" w:val="clear"/>
          </w:tcPr>
          <w:p>
            <w:r>
              <w:rPr>
                <w:b/>
                <w:sz w:val="17"/>
              </w:rPr>
              <w:t>21,743</w:t>
            </w:r>
          </w:p>
        </w:tc>
        <w:tc>
          <w:tcPr>
            <w:tcW w:type="dxa" w:w="1440"/>
            <w:shd w:fill="C6EFCE" w:val="clear"/>
          </w:tcPr>
          <w:p>
            <w:r>
              <w:rPr>
                <w:sz w:val="17"/>
              </w:rPr>
              <w:t>22,793</w:t>
            </w:r>
          </w:p>
        </w:tc>
        <w:tc>
          <w:tcPr>
            <w:tcW w:type="dxa" w:w="1440"/>
            <w:shd w:fill="C6EFCE" w:val="clear"/>
          </w:tcPr>
          <w:p>
            <w:r>
              <w:rPr>
                <w:b/>
                <w:color w:val="008000"/>
                <w:sz w:val="17"/>
              </w:rPr>
              <w:t>+4.0%</w:t>
            </w:r>
          </w:p>
        </w:tc>
      </w:tr>
      <w:tr>
        <w:tc>
          <w:tcPr>
            <w:tcW w:type="dxa" w:w="1440"/>
            <w:shd w:fill="C6EFCE" w:val="clear"/>
          </w:tcPr>
          <w:p>
            <w:r>
              <w:rPr>
                <w:sz w:val="17"/>
              </w:rPr>
              <w:t>J+2  ⭐</w:t>
            </w:r>
          </w:p>
        </w:tc>
        <w:tc>
          <w:tcPr>
            <w:tcW w:type="dxa" w:w="1440"/>
            <w:shd w:fill="C6EFCE" w:val="clear"/>
          </w:tcPr>
          <w:p>
            <w:r>
              <w:rPr>
                <w:sz w:val="17"/>
              </w:rPr>
              <w:t>2026-09-18</w:t>
            </w:r>
          </w:p>
        </w:tc>
        <w:tc>
          <w:tcPr>
            <w:tcW w:type="dxa" w:w="1440"/>
            <w:shd w:fill="C6EFCE" w:val="clear"/>
          </w:tcPr>
          <w:p>
            <w:r>
              <w:rPr>
                <w:sz w:val="17"/>
              </w:rPr>
              <w:t>20,474</w:t>
            </w:r>
          </w:p>
        </w:tc>
        <w:tc>
          <w:tcPr>
            <w:tcW w:type="dxa" w:w="1440"/>
            <w:shd w:fill="C6EFCE" w:val="clear"/>
          </w:tcPr>
          <w:p>
            <w:r>
              <w:rPr>
                <w:b/>
                <w:sz w:val="17"/>
              </w:rPr>
              <w:t>21,975</w:t>
            </w:r>
          </w:p>
        </w:tc>
        <w:tc>
          <w:tcPr>
            <w:tcW w:type="dxa" w:w="1440"/>
            <w:shd w:fill="C6EFCE" w:val="clear"/>
          </w:tcPr>
          <w:p>
            <w:r>
              <w:rPr>
                <w:sz w:val="17"/>
              </w:rPr>
              <w:t>23,476</w:t>
            </w:r>
          </w:p>
        </w:tc>
        <w:tc>
          <w:tcPr>
            <w:tcW w:type="dxa" w:w="1440"/>
            <w:shd w:fill="C6EFCE" w:val="clear"/>
          </w:tcPr>
          <w:p>
            <w:r>
              <w:rPr>
                <w:b/>
                <w:color w:val="008000"/>
                <w:sz w:val="17"/>
              </w:rPr>
              <w:t>+5.1%</w:t>
            </w:r>
          </w:p>
        </w:tc>
      </w:tr>
      <w:tr>
        <w:tc>
          <w:tcPr>
            <w:tcW w:type="dxa" w:w="1440"/>
            <w:shd w:fill="C6EFCE" w:val="clear"/>
          </w:tcPr>
          <w:p>
            <w:r>
              <w:rPr>
                <w:sz w:val="17"/>
              </w:rPr>
              <w:t>J+3  ⭐</w:t>
            </w:r>
          </w:p>
        </w:tc>
        <w:tc>
          <w:tcPr>
            <w:tcW w:type="dxa" w:w="1440"/>
            <w:shd w:fill="C6EFCE" w:val="clear"/>
          </w:tcPr>
          <w:p>
            <w:r>
              <w:rPr>
                <w:sz w:val="17"/>
              </w:rPr>
              <w:t>2026-09-21</w:t>
            </w:r>
          </w:p>
        </w:tc>
        <w:tc>
          <w:tcPr>
            <w:tcW w:type="dxa" w:w="1440"/>
            <w:shd w:fill="C6EFCE" w:val="clear"/>
          </w:tcPr>
          <w:p>
            <w:r>
              <w:rPr>
                <w:sz w:val="17"/>
              </w:rPr>
              <w:t>20,426</w:t>
            </w:r>
          </w:p>
        </w:tc>
        <w:tc>
          <w:tcPr>
            <w:tcW w:type="dxa" w:w="1440"/>
            <w:shd w:fill="C6EFCE" w:val="clear"/>
          </w:tcPr>
          <w:p>
            <w:r>
              <w:rPr>
                <w:b/>
                <w:sz w:val="17"/>
              </w:rPr>
              <w:t>22,291</w:t>
            </w:r>
          </w:p>
        </w:tc>
        <w:tc>
          <w:tcPr>
            <w:tcW w:type="dxa" w:w="1440"/>
            <w:shd w:fill="C6EFCE" w:val="clear"/>
          </w:tcPr>
          <w:p>
            <w:r>
              <w:rPr>
                <w:sz w:val="17"/>
              </w:rPr>
              <w:t>24,155</w:t>
            </w:r>
          </w:p>
        </w:tc>
        <w:tc>
          <w:tcPr>
            <w:tcW w:type="dxa" w:w="1440"/>
            <w:shd w:fill="C6EFCE" w:val="clear"/>
          </w:tcPr>
          <w:p>
            <w:r>
              <w:rPr>
                <w:b/>
                <w:color w:val="008000"/>
                <w:sz w:val="17"/>
              </w:rPr>
              <w:t>+6.7%</w:t>
            </w:r>
          </w:p>
        </w:tc>
      </w:tr>
      <w:tr>
        <w:tc>
          <w:tcPr>
            <w:tcW w:type="dxa" w:w="1440"/>
            <w:shd w:fill="C6EFCE" w:val="clear"/>
          </w:tcPr>
          <w:p>
            <w:r>
              <w:rPr>
                <w:sz w:val="17"/>
              </w:rPr>
              <w:t>J+4  ⭐</w:t>
            </w:r>
          </w:p>
        </w:tc>
        <w:tc>
          <w:tcPr>
            <w:tcW w:type="dxa" w:w="1440"/>
            <w:shd w:fill="C6EFCE" w:val="clear"/>
          </w:tcPr>
          <w:p>
            <w:r>
              <w:rPr>
                <w:sz w:val="17"/>
              </w:rPr>
              <w:t>2026-09-22</w:t>
            </w:r>
          </w:p>
        </w:tc>
        <w:tc>
          <w:tcPr>
            <w:tcW w:type="dxa" w:w="1440"/>
            <w:shd w:fill="C6EFCE" w:val="clear"/>
          </w:tcPr>
          <w:p>
            <w:r>
              <w:rPr>
                <w:sz w:val="17"/>
              </w:rPr>
              <w:t>20,515</w:t>
            </w:r>
          </w:p>
        </w:tc>
        <w:tc>
          <w:tcPr>
            <w:tcW w:type="dxa" w:w="1440"/>
            <w:shd w:fill="C6EFCE" w:val="clear"/>
          </w:tcPr>
          <w:p>
            <w:r>
              <w:rPr>
                <w:b/>
                <w:sz w:val="17"/>
              </w:rPr>
              <w:t>22,709</w:t>
            </w:r>
          </w:p>
        </w:tc>
        <w:tc>
          <w:tcPr>
            <w:tcW w:type="dxa" w:w="1440"/>
            <w:shd w:fill="C6EFCE" w:val="clear"/>
          </w:tcPr>
          <w:p>
            <w:r>
              <w:rPr>
                <w:sz w:val="17"/>
              </w:rPr>
              <w:t>24,903</w:t>
            </w:r>
          </w:p>
        </w:tc>
        <w:tc>
          <w:tcPr>
            <w:tcW w:type="dxa" w:w="1440"/>
            <w:shd w:fill="C6EFCE" w:val="clear"/>
          </w:tcPr>
          <w:p>
            <w:r>
              <w:rPr>
                <w:b/>
                <w:color w:val="008000"/>
                <w:sz w:val="17"/>
              </w:rPr>
              <w:t>+8.7%</w:t>
            </w:r>
          </w:p>
        </w:tc>
      </w:tr>
      <w:tr>
        <w:tc>
          <w:tcPr>
            <w:tcW w:type="dxa" w:w="1440"/>
            <w:shd w:fill="C6EFCE" w:val="clear"/>
          </w:tcPr>
          <w:p>
            <w:r>
              <w:rPr>
                <w:sz w:val="17"/>
              </w:rPr>
              <w:t>J+5  ⭐</w:t>
            </w:r>
          </w:p>
        </w:tc>
        <w:tc>
          <w:tcPr>
            <w:tcW w:type="dxa" w:w="1440"/>
            <w:shd w:fill="C6EFCE" w:val="clear"/>
          </w:tcPr>
          <w:p>
            <w:r>
              <w:rPr>
                <w:sz w:val="17"/>
              </w:rPr>
              <w:t>2026-09-23</w:t>
            </w:r>
          </w:p>
        </w:tc>
        <w:tc>
          <w:tcPr>
            <w:tcW w:type="dxa" w:w="1440"/>
            <w:shd w:fill="C6EFCE" w:val="clear"/>
          </w:tcPr>
          <w:p>
            <w:r>
              <w:rPr>
                <w:sz w:val="17"/>
              </w:rPr>
              <w:t>20,579</w:t>
            </w:r>
          </w:p>
        </w:tc>
        <w:tc>
          <w:tcPr>
            <w:tcW w:type="dxa" w:w="1440"/>
            <w:shd w:fill="C6EFCE" w:val="clear"/>
          </w:tcPr>
          <w:p>
            <w:r>
              <w:rPr>
                <w:b/>
                <w:sz w:val="17"/>
              </w:rPr>
              <w:t>23,071</w:t>
            </w:r>
          </w:p>
        </w:tc>
        <w:tc>
          <w:tcPr>
            <w:tcW w:type="dxa" w:w="1440"/>
            <w:shd w:fill="C6EFCE" w:val="clear"/>
          </w:tcPr>
          <w:p>
            <w:r>
              <w:rPr>
                <w:sz w:val="17"/>
              </w:rPr>
              <w:t>25,563</w:t>
            </w:r>
          </w:p>
        </w:tc>
        <w:tc>
          <w:tcPr>
            <w:tcW w:type="dxa" w:w="1440"/>
            <w:shd w:fill="C6EFCE" w:val="clear"/>
          </w:tcPr>
          <w:p>
            <w:r>
              <w:rPr>
                <w:b/>
                <w:color w:val="008000"/>
                <w:sz w:val="17"/>
              </w:rPr>
              <w:t>+10.4%</w:t>
            </w:r>
          </w:p>
        </w:tc>
      </w:tr>
      <w:tr>
        <w:tc>
          <w:tcPr>
            <w:tcW w:type="dxa" w:w="1440"/>
            <w:shd w:fill="C6EFCE" w:val="clear"/>
          </w:tcPr>
          <w:p>
            <w:r>
              <w:rPr>
                <w:sz w:val="17"/>
              </w:rPr>
              <w:t>J+6  ⭐</w:t>
            </w:r>
          </w:p>
        </w:tc>
        <w:tc>
          <w:tcPr>
            <w:tcW w:type="dxa" w:w="1440"/>
            <w:shd w:fill="C6EFCE" w:val="clear"/>
          </w:tcPr>
          <w:p>
            <w:r>
              <w:rPr>
                <w:sz w:val="17"/>
              </w:rPr>
              <w:t>2026-09-24</w:t>
            </w:r>
          </w:p>
        </w:tc>
        <w:tc>
          <w:tcPr>
            <w:tcW w:type="dxa" w:w="1440"/>
            <w:shd w:fill="C6EFCE" w:val="clear"/>
          </w:tcPr>
          <w:p>
            <w:r>
              <w:rPr>
                <w:sz w:val="17"/>
              </w:rPr>
              <w:t>20,624</w:t>
            </w:r>
          </w:p>
        </w:tc>
        <w:tc>
          <w:tcPr>
            <w:tcW w:type="dxa" w:w="1440"/>
            <w:shd w:fill="C6EFCE" w:val="clear"/>
          </w:tcPr>
          <w:p>
            <w:r>
              <w:rPr>
                <w:b/>
                <w:sz w:val="17"/>
              </w:rPr>
              <w:t>23,392</w:t>
            </w:r>
          </w:p>
        </w:tc>
        <w:tc>
          <w:tcPr>
            <w:tcW w:type="dxa" w:w="1440"/>
            <w:shd w:fill="C6EFCE" w:val="clear"/>
          </w:tcPr>
          <w:p>
            <w:r>
              <w:rPr>
                <w:sz w:val="17"/>
              </w:rPr>
              <w:t>26,159</w:t>
            </w:r>
          </w:p>
        </w:tc>
        <w:tc>
          <w:tcPr>
            <w:tcW w:type="dxa" w:w="1440"/>
            <w:shd w:fill="C6EFCE" w:val="clear"/>
          </w:tcPr>
          <w:p>
            <w:r>
              <w:rPr>
                <w:b/>
                <w:color w:val="008000"/>
                <w:sz w:val="17"/>
              </w:rPr>
              <w:t>+11.9%</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20,613</w:t>
            </w:r>
          </w:p>
        </w:tc>
        <w:tc>
          <w:tcPr>
            <w:tcW w:type="dxa" w:w="1440"/>
            <w:shd w:fill="C6EFCE" w:val="clear"/>
          </w:tcPr>
          <w:p>
            <w:r>
              <w:rPr>
                <w:b/>
                <w:sz w:val="17"/>
              </w:rPr>
              <w:t>23,633</w:t>
            </w:r>
          </w:p>
        </w:tc>
        <w:tc>
          <w:tcPr>
            <w:tcW w:type="dxa" w:w="1440"/>
            <w:shd w:fill="C6EFCE" w:val="clear"/>
          </w:tcPr>
          <w:p>
            <w:r>
              <w:rPr>
                <w:sz w:val="17"/>
              </w:rPr>
              <w:t>26,653</w:t>
            </w:r>
          </w:p>
        </w:tc>
        <w:tc>
          <w:tcPr>
            <w:tcW w:type="dxa" w:w="1440"/>
            <w:shd w:fill="C6EFCE" w:val="clear"/>
          </w:tcPr>
          <w:p>
            <w:r>
              <w:rPr>
                <w:b/>
                <w:color w:val="008000"/>
                <w:sz w:val="17"/>
              </w:rPr>
              <w:t>+13.1%</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20,604</w:t>
            </w:r>
          </w:p>
        </w:tc>
        <w:tc>
          <w:tcPr>
            <w:tcW w:type="dxa" w:w="1440"/>
            <w:shd w:fill="C6EFCE" w:val="clear"/>
          </w:tcPr>
          <w:p>
            <w:r>
              <w:rPr>
                <w:b/>
                <w:sz w:val="17"/>
              </w:rPr>
              <w:t>23,864</w:t>
            </w:r>
          </w:p>
        </w:tc>
        <w:tc>
          <w:tcPr>
            <w:tcW w:type="dxa" w:w="1440"/>
            <w:shd w:fill="C6EFCE" w:val="clear"/>
          </w:tcPr>
          <w:p>
            <w:r>
              <w:rPr>
                <w:sz w:val="17"/>
              </w:rPr>
              <w:t>27,124</w:t>
            </w:r>
          </w:p>
        </w:tc>
        <w:tc>
          <w:tcPr>
            <w:tcW w:type="dxa" w:w="1440"/>
            <w:shd w:fill="C6EFCE" w:val="clear"/>
          </w:tcPr>
          <w:p>
            <w:r>
              <w:rPr>
                <w:b/>
                <w:color w:val="008000"/>
                <w:sz w:val="17"/>
              </w:rPr>
              <w:t>+14.2%</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20,566</w:t>
            </w:r>
          </w:p>
        </w:tc>
        <w:tc>
          <w:tcPr>
            <w:tcW w:type="dxa" w:w="1440"/>
            <w:shd w:fill="C6EFCE" w:val="clear"/>
          </w:tcPr>
          <w:p>
            <w:r>
              <w:rPr>
                <w:b/>
                <w:sz w:val="17"/>
              </w:rPr>
              <w:t>24,050</w:t>
            </w:r>
          </w:p>
        </w:tc>
        <w:tc>
          <w:tcPr>
            <w:tcW w:type="dxa" w:w="1440"/>
            <w:shd w:fill="C6EFCE" w:val="clear"/>
          </w:tcPr>
          <w:p>
            <w:r>
              <w:rPr>
                <w:sz w:val="17"/>
              </w:rPr>
              <w:t>27,535</w:t>
            </w:r>
          </w:p>
        </w:tc>
        <w:tc>
          <w:tcPr>
            <w:tcW w:type="dxa" w:w="1440"/>
            <w:shd w:fill="C6EFCE" w:val="clear"/>
          </w:tcPr>
          <w:p>
            <w:r>
              <w:rPr>
                <w:b/>
                <w:color w:val="008000"/>
                <w:sz w:val="17"/>
              </w:rPr>
              <w:t>+15.1%</w:t>
            </w:r>
          </w:p>
        </w:tc>
      </w:tr>
      <w:tr>
        <w:tc>
          <w:tcPr>
            <w:tcW w:type="dxa" w:w="1440"/>
            <w:shd w:fill="C6EFCE" w:val="clear"/>
          </w:tcPr>
          <w:p>
            <w:r>
              <w:rPr>
                <w:sz w:val="17"/>
              </w:rPr>
              <w:t>J+10  ⭐</w:t>
            </w:r>
          </w:p>
        </w:tc>
        <w:tc>
          <w:tcPr>
            <w:tcW w:type="dxa" w:w="1440"/>
            <w:shd w:fill="C6EFCE" w:val="clear"/>
          </w:tcPr>
          <w:p>
            <w:r>
              <w:rPr>
                <w:sz w:val="17"/>
              </w:rPr>
              <w:t>2026-09-30</w:t>
            </w:r>
          </w:p>
        </w:tc>
        <w:tc>
          <w:tcPr>
            <w:tcW w:type="dxa" w:w="1440"/>
            <w:shd w:fill="C6EFCE" w:val="clear"/>
          </w:tcPr>
          <w:p>
            <w:r>
              <w:rPr>
                <w:sz w:val="17"/>
              </w:rPr>
              <w:t>20,517</w:t>
            </w:r>
          </w:p>
        </w:tc>
        <w:tc>
          <w:tcPr>
            <w:tcW w:type="dxa" w:w="1440"/>
            <w:shd w:fill="C6EFCE" w:val="clear"/>
          </w:tcPr>
          <w:p>
            <w:r>
              <w:rPr>
                <w:b/>
                <w:sz w:val="17"/>
              </w:rPr>
              <w:t>24,216</w:t>
            </w:r>
          </w:p>
        </w:tc>
        <w:tc>
          <w:tcPr>
            <w:tcW w:type="dxa" w:w="1440"/>
            <w:shd w:fill="C6EFCE" w:val="clear"/>
          </w:tcPr>
          <w:p>
            <w:r>
              <w:rPr>
                <w:sz w:val="17"/>
              </w:rPr>
              <w:t>27,914</w:t>
            </w:r>
          </w:p>
        </w:tc>
        <w:tc>
          <w:tcPr>
            <w:tcW w:type="dxa" w:w="1440"/>
            <w:shd w:fill="C6EFCE" w:val="clear"/>
          </w:tcPr>
          <w:p>
            <w:r>
              <w:rPr>
                <w:b/>
                <w:color w:val="008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375,26 milliards FCFA, STBC figure parmi les valeurs les plus importantes de la cote BRVM, ce qui lui confère une liquidité relative et une visibilité institutionnelle appréciables. Le BPA de 2 014 FCFA/action indique que chaque titre génère un bénéfice net substantiel, et le PER de 10,4x se situe dans la fourchette moyenne du marché (8-12x), traduisant une valorisation raisonnable qui n'intègre pas de prime spéculative excessive. En revanche, le P/B de 8,28x — très supérieur au seuil de 4x — révèle que le marché valorise l'entreprise à plus de huit fois sa valeur comptable, ce qui s'explique par la forte rentabilité des fonds propres (ROE de 79,75%) et la politique de distribution généreuse, mais constitue un facteur de risque en cas de correction. L'EV/EBITDA de 7,4x, dans la fourchette raisonnable de 5-10x, suggère que la valeur totale de l'entreprise reste cohérente avec sa capacité opérationnelle, bien que la trésorerie nette élevée (30,76 Mds FCFA) vienne mécaniquement réduire la valeur d'entreprise.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affiche une variation totale de 0,00%, mais la dernière séance (J-1) enregistre une chute marquée de -4,57%, portant le cours à 20 900 FCFA. Le range de trading s'étend de 19 705 FCFA (plus bas) à 25 000 FCFA (plus haut), soit une amplitude de 26,9%, ce qui témoigne d'une volatilité intra-période significative malgré une variation nette nulle. La tendance générale est baissière sur la seconde moitié de la période, le cours évoluant sous sa moyenne (22 413 FCFA) et sa médiane (22 218 FCFA), avec un mode à 21 000 FCFA qui suggère une zone de consolidation. Les statistiques descriptives révèlent une distribution quasi-symétrique (skewness de 0,198) et mésokurtique (kurtosis de -0,751), indiquant l'absence de pics extrêmes ou de queues épaisses — le risque de mouvements violents est donc modéré. L'écart-type de 1 298 FCFA et le coefficient de variation de 5,8% confirment une dispersion relativement faible du cours autour de sa moyenne, ce qui est rassurant pour la stabilité. La volatilité annualisée de 36,4% classe toutefois le titre dans la catégorie des valeurs à volatilité élevée (&gt;30%), ce qui implique un risque de marché non négligeable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(22 197,75 FCFA) et la MM50 (23 054,5 FCFA) se situent toutes deux au-dessus du cours actuel (20 900 FCFA), avec une MM20 inférieure à la MM50 — configuration baissière classique. Le cours évoluant sous ses deux moyennes, la pression vendeuse est confirmée et la décision technique est logiquement « Vente ».</w:t>
      </w:r>
    </w:p>
    <w:p>
      <w:pPr>
        <w:spacing w:after="120" w:line="276" w:lineRule="auto"/>
      </w:pPr>
      <w:r>
        <w:t>**Bandes de Bollinger** : Le cours (20 900 FCFA) se situe sous la borne inférieure (21 075,95 FCFA), ce qui constitue un signal de survente extrême et suggère un potentiel rebond technique à court terme. La décision « Achat » est justifiée par cette position hors bande, qui précède souvent un retour vers la moyenne.</w:t>
      </w:r>
    </w:p>
    <w:p>
      <w:pPr>
        <w:spacing w:after="120" w:line="276" w:lineRule="auto"/>
      </w:pPr>
      <w:r>
        <w:t>**MACD** : Le MACD (-414,192) est inférieur à son signal (-358,212), confirmant un momentum baissier toujours actif. La divergence négative entre les deux lignes indique que la dynamique descendante n'est pas encore épuisée, justifiant la décision « Vente ».</w:t>
      </w:r>
    </w:p>
    <w:p>
      <w:pPr>
        <w:spacing w:after="120" w:line="276" w:lineRule="auto"/>
      </w:pPr>
      <w:r>
        <w:t>**RSI** : À 18,924, le RSI est nettement en zone de survente (&lt;30), un niveau rarement atteint qui signale un épuisement probable de la pression vendeuse. La décision « Achat » traduit l'anticipation d'un rebond technique, bien que la prudence reste de mise en l'absence de confirmation.</w:t>
      </w:r>
    </w:p>
    <w:p>
      <w:pPr>
        <w:spacing w:after="120" w:line="276" w:lineRule="auto"/>
      </w:pPr>
      <w:r>
        <w:t>**Stochastique** : Le %K (0,0) est au plus bas absolu et inférieur au %D (15,6), indiquant une survente extrême. La décision « Achat » repose sur la probabilité d'un retournement imminent, mais l'absence de croisement haussier confirmé invite à attendre un signal plus fiable.</w:t>
      </w:r>
    </w:p>
    <w:p>
      <w:pPr>
        <w:spacing w:after="120" w:line="276" w:lineRule="auto"/>
      </w:pPr>
      <w:r>
        <w:t>**Conclusion technique** : Les indicateurs présentent une divergence notable : les moyennes mobiles et le MACD confirment une tendance baissière, tandis que le RSI, le stochastique et les bandes de Bollinger signalent une survente extrême propice à un rebond technique. Cette configuration contradictoire suggère un possible point d'inflexion à court terme, mais la prudence reste de mise tant que le cours n'aura pas réintégré la borne inférieure des bandes de Bollinger et que le MACD ne se sera pas retourné.</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SITAB a réalisé un chiffre d'affaires de 268,537 Mds FCFA, en croissance de 25,3% par rapport à 2024, portée par une hausse des volumes (+5,6%) et un effet prix favorable. Le résultat net s'établit à 36,158 Mds FCFA, en baisse de 17,5% sur un an, sous l'effet de la hausse des droits d'accise (de 49% à 70% en janvier 2025) et d'un contrôle fiscal. La marge nette se contracte à 13,46% (contre 20,4% en 2024), et la marge commerciale chute de 29,8% à 22,7%, tandis que les charges d'exploitation bondissent de 68,9%. Malgré cette dégradation, les ratios de rentabilité restent exceptionnels : le ROE atteint 79,75% (largement supérieur au seuil de 15%) et le ROA 48,09%, témoignant d'une efficacité remarquable dans l'utilisation des actifs. La structure financière est très saine : l'autonomie financière est de 60,3%, l'endettement financier quasi nul (1,4 M FCFA), et la trésorerie nette de 30,76 Mds FCFA offre une confortable marge de manœuvre. Le BFR de 5,639 Mds FCFA et le délai client de 42,57 jours restent maîtrisés pour une activité de distribution, tandis que la rotation des actifs (357,17%) illustre une intensité capitalistique faible. Les rapports trimestriels de 2026 confirment une stabilisation : au T1 2026 (rapport du 31/03/2026), le CA progresse de 12% à 68,8 Mds FCFA avec des volumes en hausse de 10%, mais le résultat net recule de 1% à 9,3 Mds FCFA ; au T2 2026 (rapport du 30/06/2026), le CA atteint 70,05 Mds FCFA (+1%) et le résultat net se maintient à 8,64 Mds FCFA (-0,2%), avec une marge nette de 12,3%. Sur la base de ces tendances, on estime que l'exercice 2026 devrait clôturer avec un CA autour de 280 Mds FCFA et un résultat net proche de 36-37 Mds FCFA, confirmant une stabilisation de la rentabilité à un niveau élevé mais inférieur au pic de 2024. La principale faiblesse réside dans la politique de dividende très généreuse (1 940 FCFA/action proposé au titre de 2025, soit un payout de 84,9%), qui érode la trésorerie et limite les capacités de réinvestissement, même si elle soutient le rendement pour l'actionnaire. En synthèse, SITAB demeure un dossier fondamentalement solide, avec une rentabilité exceptionnelle, une structure financière sans dette et une trésorerie abondante, mais confronté à des risques réglementaires et fiscaux persistants qui pèsent sur les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apparaît raisonnable au regard de son PER de 10,4x, mais exigeante sur le P/B de 8,28x, ce qui reflète la prime accordée à sa rentabilité exceptionnelle (ROE de 79,75%) tout en constituant un facteur de vulnérabilité en cas de dégradation. Le comportement du cours sur 100 jours est neutre (0,00%) mais la chute de -4,57% en J-1 et la volatilité annualisée de 36,4% signalent une pression baissière récente, tempérée par une distribution symétrique et sans pics extrêmes (kurtosis de -0,751). Les signaux techniques sont contradictoires : les moyennes mobiles et le MACD confirment la tendance baissière, tandis que le RSI (18,9), le stochastique (0,0) et les bandes de Bollinger (cours sous la borne inférieure) indiquent une survente extrême propice à un rebond technique à court terme. Les fondamentaux restent solides malgré la contraction des marges en 2025 (marge nette de 13,46%, résultat net de 36,158 Mds FCFA), avec une absence totale de dette financière, une trésorerie de 30,76 Mds FCFA et une stabilisation des performances au T1 et T2 2026 (CA de 68,8 et 70,05 Mds FCFA, résultat net de 9,3 et 8,64 Mds FCFA). Les prédictions IA anticipent une trajectoire haussière sur 10 jours (de 21 743 FCFA le 17/09 à 23 071 FCFA le 23/09), ce qui confirme le potentiel de rebond technique identifié par le RSI et les bandes de Bollinger. Sur la base de cette synthèse, la recommandation finale est **CONSERVER**, avec un biais positif à court terme : la convergence entre la survente technique, la solidité fondamentale et les prédictions haussières plaide pour un maintien de la position, mais l'absence de catalyseur fondamental majeur (pression fiscale persistante, payout excessif) et la tendance baissière des moyennes mobiles incitent à la prudence avant tout renforcement. Le niveau de confiance est **Moyen**, le risque global est **Moyen** (volatilité élevée mais fondamentaux solides), et l'horizon d'investissement optimal est **moyen terme (3-12 mois)**, le temps que la société démontre sa capacité à stabiliser ses marges et que le marché intègre pleinement la normalisation de sa rentabilité.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206.83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6,864 titres</w:t>
            </w:r>
          </w:p>
        </w:tc>
        <w:tc>
          <w:tcPr>
            <w:tcW w:type="dxa" w:w="2268"/>
            <w:shd w:fill="FFF2CC" w:val="clear"/>
          </w:tcPr>
          <w:p>
            <w:r>
              <w:rPr>
                <w:b/>
                <w:color w:val="503200"/>
                <w:sz w:val="16"/>
              </w:rPr>
              <w:t xml:space="preserve">Cours actuel : </w:t>
            </w:r>
            <w:r>
              <w:rPr>
                <w:color w:val="000000"/>
                <w:sz w:val="17"/>
              </w:rPr>
              <w:t>3,285 FCFA</w:t>
            </w:r>
          </w:p>
          <w:p>
            <w:r>
              <w:rPr>
                <w:b/>
                <w:color w:val="503200"/>
                <w:sz w:val="16"/>
              </w:rPr>
              <w:t xml:space="preserve">Var. 100 jours : </w:t>
            </w:r>
            <w:r>
              <w:rPr>
                <w:b/>
                <w:color w:val="007800"/>
                <w:sz w:val="17"/>
              </w:rPr>
              <w:t>+23.96%</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7.02% (Moyenne) — μ=2,977 FCFA, σ=209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β=-0.4330 (Contre-cyclique) — Cov=-0.000015, Var(idx)=0.000034, ρ=-0.099,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3,094</w:t>
            </w:r>
          </w:p>
        </w:tc>
        <w:tc>
          <w:tcPr>
            <w:tcW w:type="dxa" w:w="1440"/>
            <w:shd w:fill="FAFAFA" w:val="clear"/>
          </w:tcPr>
          <w:p>
            <w:r>
              <w:rPr>
                <w:b/>
                <w:sz w:val="17"/>
              </w:rPr>
              <w:t>3,247</w:t>
            </w:r>
          </w:p>
        </w:tc>
        <w:tc>
          <w:tcPr>
            <w:tcW w:type="dxa" w:w="1440"/>
            <w:shd w:fill="FAFAFA" w:val="clear"/>
          </w:tcPr>
          <w:p>
            <w:r>
              <w:rPr>
                <w:sz w:val="17"/>
              </w:rPr>
              <w:t>3,400</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2026-09-18</w:t>
            </w:r>
          </w:p>
        </w:tc>
        <w:tc>
          <w:tcPr>
            <w:tcW w:type="dxa" w:w="1440"/>
            <w:shd w:fill="FFDCE0" w:val="clear"/>
          </w:tcPr>
          <w:p>
            <w:r>
              <w:rPr>
                <w:sz w:val="17"/>
              </w:rPr>
              <w:t>2,995</w:t>
            </w:r>
          </w:p>
        </w:tc>
        <w:tc>
          <w:tcPr>
            <w:tcW w:type="dxa" w:w="1440"/>
            <w:shd w:fill="FFDCE0" w:val="clear"/>
          </w:tcPr>
          <w:p>
            <w:r>
              <w:rPr>
                <w:b/>
                <w:sz w:val="17"/>
              </w:rPr>
              <w:t>3,209</w:t>
            </w:r>
          </w:p>
        </w:tc>
        <w:tc>
          <w:tcPr>
            <w:tcW w:type="dxa" w:w="1440"/>
            <w:shd w:fill="FFDCE0" w:val="clear"/>
          </w:tcPr>
          <w:p>
            <w:r>
              <w:rPr>
                <w:sz w:val="17"/>
              </w:rPr>
              <w:t>3,423</w:t>
            </w:r>
          </w:p>
        </w:tc>
        <w:tc>
          <w:tcPr>
            <w:tcW w:type="dxa" w:w="1440"/>
            <w:shd w:fill="FFDCE0" w:val="clear"/>
          </w:tcPr>
          <w:p>
            <w:r>
              <w:rPr>
                <w:b/>
                <w:color w:val="C00000"/>
                <w:sz w:val="17"/>
              </w:rPr>
              <w:t>-2.3%</w:t>
            </w:r>
          </w:p>
        </w:tc>
      </w:tr>
      <w:tr>
        <w:tc>
          <w:tcPr>
            <w:tcW w:type="dxa" w:w="1440"/>
            <w:shd w:fill="FFDCE0" w:val="clear"/>
          </w:tcPr>
          <w:p>
            <w:r>
              <w:rPr>
                <w:sz w:val="17"/>
              </w:rPr>
              <w:t>J+3  ⭐</w:t>
            </w:r>
          </w:p>
        </w:tc>
        <w:tc>
          <w:tcPr>
            <w:tcW w:type="dxa" w:w="1440"/>
            <w:shd w:fill="FFDCE0" w:val="clear"/>
          </w:tcPr>
          <w:p>
            <w:r>
              <w:rPr>
                <w:sz w:val="17"/>
              </w:rPr>
              <w:t>2026-09-21</w:t>
            </w:r>
          </w:p>
        </w:tc>
        <w:tc>
          <w:tcPr>
            <w:tcW w:type="dxa" w:w="1440"/>
            <w:shd w:fill="FFDCE0" w:val="clear"/>
          </w:tcPr>
          <w:p>
            <w:r>
              <w:rPr>
                <w:sz w:val="17"/>
              </w:rPr>
              <w:t>2,914</w:t>
            </w:r>
          </w:p>
        </w:tc>
        <w:tc>
          <w:tcPr>
            <w:tcW w:type="dxa" w:w="1440"/>
            <w:shd w:fill="FFDCE0" w:val="clear"/>
          </w:tcPr>
          <w:p>
            <w:r>
              <w:rPr>
                <w:b/>
                <w:sz w:val="17"/>
              </w:rPr>
              <w:t>3,173</w:t>
            </w:r>
          </w:p>
        </w:tc>
        <w:tc>
          <w:tcPr>
            <w:tcW w:type="dxa" w:w="1440"/>
            <w:shd w:fill="FFDCE0" w:val="clear"/>
          </w:tcPr>
          <w:p>
            <w:r>
              <w:rPr>
                <w:sz w:val="17"/>
              </w:rPr>
              <w:t>3,432</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2026-09-22</w:t>
            </w:r>
          </w:p>
        </w:tc>
        <w:tc>
          <w:tcPr>
            <w:tcW w:type="dxa" w:w="1440"/>
            <w:shd w:fill="FFDCE0" w:val="clear"/>
          </w:tcPr>
          <w:p>
            <w:r>
              <w:rPr>
                <w:sz w:val="17"/>
              </w:rPr>
              <w:t>2,845</w:t>
            </w:r>
          </w:p>
        </w:tc>
        <w:tc>
          <w:tcPr>
            <w:tcW w:type="dxa" w:w="1440"/>
            <w:shd w:fill="FFDCE0" w:val="clear"/>
          </w:tcPr>
          <w:p>
            <w:r>
              <w:rPr>
                <w:b/>
                <w:sz w:val="17"/>
              </w:rPr>
              <w:t>3,141</w:t>
            </w:r>
          </w:p>
        </w:tc>
        <w:tc>
          <w:tcPr>
            <w:tcW w:type="dxa" w:w="1440"/>
            <w:shd w:fill="FFDCE0" w:val="clear"/>
          </w:tcPr>
          <w:p>
            <w:r>
              <w:rPr>
                <w:sz w:val="17"/>
              </w:rPr>
              <w:t>3,437</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2026-09-23</w:t>
            </w:r>
          </w:p>
        </w:tc>
        <w:tc>
          <w:tcPr>
            <w:tcW w:type="dxa" w:w="1440"/>
            <w:shd w:fill="FFDCE0" w:val="clear"/>
          </w:tcPr>
          <w:p>
            <w:r>
              <w:rPr>
                <w:sz w:val="17"/>
              </w:rPr>
              <w:t>2,783</w:t>
            </w:r>
          </w:p>
        </w:tc>
        <w:tc>
          <w:tcPr>
            <w:tcW w:type="dxa" w:w="1440"/>
            <w:shd w:fill="FFDCE0" w:val="clear"/>
          </w:tcPr>
          <w:p>
            <w:r>
              <w:rPr>
                <w:b/>
                <w:sz w:val="17"/>
              </w:rPr>
              <w:t>3,111</w:t>
            </w:r>
          </w:p>
        </w:tc>
        <w:tc>
          <w:tcPr>
            <w:tcW w:type="dxa" w:w="1440"/>
            <w:shd w:fill="FFDCE0" w:val="clear"/>
          </w:tcPr>
          <w:p>
            <w:r>
              <w:rPr>
                <w:sz w:val="17"/>
              </w:rPr>
              <w:t>3,439</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2026-09-24</w:t>
            </w:r>
          </w:p>
        </w:tc>
        <w:tc>
          <w:tcPr>
            <w:tcW w:type="dxa" w:w="1440"/>
            <w:shd w:fill="FFDCE0" w:val="clear"/>
          </w:tcPr>
          <w:p>
            <w:r>
              <w:rPr>
                <w:sz w:val="17"/>
              </w:rPr>
              <w:t>2,727</w:t>
            </w:r>
          </w:p>
        </w:tc>
        <w:tc>
          <w:tcPr>
            <w:tcW w:type="dxa" w:w="1440"/>
            <w:shd w:fill="FFDCE0" w:val="clear"/>
          </w:tcPr>
          <w:p>
            <w:r>
              <w:rPr>
                <w:b/>
                <w:sz w:val="17"/>
              </w:rPr>
              <w:t>3,083</w:t>
            </w:r>
          </w:p>
        </w:tc>
        <w:tc>
          <w:tcPr>
            <w:tcW w:type="dxa" w:w="1440"/>
            <w:shd w:fill="FFDCE0" w:val="clear"/>
          </w:tcPr>
          <w:p>
            <w:r>
              <w:rPr>
                <w:sz w:val="17"/>
              </w:rPr>
              <w:t>3,439</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2,675</w:t>
            </w:r>
          </w:p>
        </w:tc>
        <w:tc>
          <w:tcPr>
            <w:tcW w:type="dxa" w:w="1440"/>
            <w:shd w:fill="FFDCE0" w:val="clear"/>
          </w:tcPr>
          <w:p>
            <w:r>
              <w:rPr>
                <w:b/>
                <w:sz w:val="17"/>
              </w:rPr>
              <w:t>3,056</w:t>
            </w:r>
          </w:p>
        </w:tc>
        <w:tc>
          <w:tcPr>
            <w:tcW w:type="dxa" w:w="1440"/>
            <w:shd w:fill="FFDCE0" w:val="clear"/>
          </w:tcPr>
          <w:p>
            <w:r>
              <w:rPr>
                <w:sz w:val="17"/>
              </w:rPr>
              <w:t>3,437</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2,627</w:t>
            </w:r>
          </w:p>
        </w:tc>
        <w:tc>
          <w:tcPr>
            <w:tcW w:type="dxa" w:w="1440"/>
            <w:shd w:fill="FFDCE0" w:val="clear"/>
          </w:tcPr>
          <w:p>
            <w:r>
              <w:rPr>
                <w:b/>
                <w:sz w:val="17"/>
              </w:rPr>
              <w:t>3,031</w:t>
            </w:r>
          </w:p>
        </w:tc>
        <w:tc>
          <w:tcPr>
            <w:tcW w:type="dxa" w:w="1440"/>
            <w:shd w:fill="FFDCE0" w:val="clear"/>
          </w:tcPr>
          <w:p>
            <w:r>
              <w:rPr>
                <w:sz w:val="17"/>
              </w:rPr>
              <w:t>3,434</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2,581</w:t>
            </w:r>
          </w:p>
        </w:tc>
        <w:tc>
          <w:tcPr>
            <w:tcW w:type="dxa" w:w="1440"/>
            <w:shd w:fill="FFDCE0" w:val="clear"/>
          </w:tcPr>
          <w:p>
            <w:r>
              <w:rPr>
                <w:b/>
                <w:sz w:val="17"/>
              </w:rPr>
              <w:t>3,006</w:t>
            </w:r>
          </w:p>
        </w:tc>
        <w:tc>
          <w:tcPr>
            <w:tcW w:type="dxa" w:w="1440"/>
            <w:shd w:fill="FFDCE0" w:val="clear"/>
          </w:tcPr>
          <w:p>
            <w:r>
              <w:rPr>
                <w:sz w:val="17"/>
              </w:rPr>
              <w:t>3,431</w:t>
            </w:r>
          </w:p>
        </w:tc>
        <w:tc>
          <w:tcPr>
            <w:tcW w:type="dxa" w:w="1440"/>
            <w:shd w:fill="FFDCE0" w:val="clear"/>
          </w:tcPr>
          <w:p>
            <w:r>
              <w:rPr>
                <w:b/>
                <w:color w:val="C00000"/>
                <w:sz w:val="17"/>
              </w:rPr>
              <w:t>-8.5%</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2,538</w:t>
            </w:r>
          </w:p>
        </w:tc>
        <w:tc>
          <w:tcPr>
            <w:tcW w:type="dxa" w:w="1440"/>
            <w:shd w:fill="FFDCE0" w:val="clear"/>
          </w:tcPr>
          <w:p>
            <w:r>
              <w:rPr>
                <w:b/>
                <w:sz w:val="17"/>
              </w:rPr>
              <w:t>2,983</w:t>
            </w:r>
          </w:p>
        </w:tc>
        <w:tc>
          <w:tcPr>
            <w:tcW w:type="dxa" w:w="1440"/>
            <w:shd w:fill="FFDCE0" w:val="clear"/>
          </w:tcPr>
          <w:p>
            <w:r>
              <w:rPr>
                <w:sz w:val="17"/>
              </w:rPr>
              <w:t>3,427</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206,83 milliards FCFA, TTLC figure parmi les valeurs les plus importantes de la cote BRVM, ce qui en fait un poids lourd de l'indice composite et un titre de référence pour les investisseurs institutionnels régionaux. Le BPA de 144 FCFA par action signifie que chaque titre génère 144 FCFA de bénéfice net, ce qui, rapporté au cours actuel de 3 285 FCFA, aboutit à un PER de 22,8x — un niveau nettement supérieur à la moyenne du marché BRVM (généralement comprise entre 8 et 12x), traduisant soit une anticipation de croissance future, soit une prime de qualité/surévaluation. Le P/B de 5,71x indique que le marché valorise la société à près de six fois sa valeur comptable, une prime exigeante qui suppose une forte rentabilité des fonds propres (confirmée par un ROE de 25,1 %). Enfin, l'EV/EBITDA de 11,7x, situé dans la fourchette haute (10-15x), suggère que la valeur d'entreprise intègre une prime de capacité opérationnelle, cohérente avec la position de leader de TTLC dans la distribution pétrolière ivoirienne.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remarquable de +23,96 %, avec un cours actuel de 3 285 FCFA et une variation nulle lors de la dernière séance (J-1 : +0,00 %), signe d'une pause dans la dynamique haussière. Le range de trading s'étend de 2 650 FCFA (plus bas) à 3 595 FCFA (plus haut), soit une amplitude de 945 FCFA qui témoigne d'une tendance générale haussière soutenue, le cours actuel se situant à environ 91 % du plus haut. Les statistiques descriptives révèlent une moyenne de 2 977 FCFA légèrement supérieure à la médiane de 2 902 FCFA, avec un mode à 2 900 FCFA : cet écart positif indique une asymétrie vers la droite, confirmée par un skewness de +0,952 (asymétrie positive), ce qui signifie que la majorité des séances se sont déroulées sous la moyenne, mais que quelques journées de forte hausse ont tiré la moyenne vers le haut. L'écart-type de 210 FCFA (CV = 7,1 %) traduit une dispersion modérée du cours, tandis que le kurtosis de -0,041 (mésokurtique) indique une distribution proche de la normale, sans risque excessif de pics extrêmes. La volatilité annualisée de 40,5 % classe le titre dans la catégorie des valeurs à volatilité élevée (&gt;30 %),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3 336,25 FCFA et la MM50 à 3 109,60 FCFA, toutes deux inférieures au cours actuel de 3 285 FCFA pour la MM50 mais supérieures pour la MM20, ce qui place le cours entre les deux moyennes. La MM20 &gt; MM50 confirme une configuration haussière de fond, et la décision « Achat » est justifiée par le fait que le cours évolue au-dessus de la MM50, signal d'une tendance positive à moyen terme, même si la légère pression sous la MM20 appelle à la prudence à court terme.</w:t>
      </w:r>
    </w:p>
    <w:p>
      <w:pPr>
        <w:spacing w:after="120" w:line="276" w:lineRule="auto"/>
      </w:pPr>
      <w:r>
        <w:t>**Bandes de Bollinger** : La borne supérieure se situe à 3 518,02 FCFA et la borne inférieure à 3 154,48 FCFA, avec un cours actuel de 3 285 FCFA positionné dans la partie basse de la bande (environ 26 % de la largeur). Cette position médiane-basse, combinée à une largeur de bande de 363,5 FCFA, indique une volatilité modérée sans signal de surachat ni de survente, ce qui justifie la décision « Neutre » — le marché est en phase de consolidation après la forte hausse.</w:t>
      </w:r>
    </w:p>
    <w:p>
      <w:pPr>
        <w:spacing w:after="120" w:line="276" w:lineRule="auto"/>
      </w:pPr>
      <w:r>
        <w:t>**MACD** : La valeur du MACD (41,783) est inférieure à son signal (65,602), générant un croisement baissier et une décision « Vente ». Cet écart négatif de -23,8 points signale un essoufflement du momentum haussier à court terme, bien que le MACD reste en territoire positif, ce qui suggère une correction technique plutôt qu'un retournement de tendance majeur.</w:t>
      </w:r>
    </w:p>
    <w:p>
      <w:pPr>
        <w:spacing w:after="120" w:line="276" w:lineRule="auto"/>
      </w:pPr>
      <w:r>
        <w:t>**RSI** : À 36,458, le RSI se situe dans la zone neutre basse (30-70), sans atteindre la zone de survente (&lt;30). Cette valeur indique que le titre n'est ni suracheté ni survendu, mais qu'il s'approche d'une zone où les acheteurs pourraient revenir, justifiant la décision « Neutre » — le potentiel de rebond technique existe mais n'est pas encore confirmé.</w:t>
      </w:r>
    </w:p>
    <w:p>
      <w:pPr>
        <w:spacing w:after="120" w:line="276" w:lineRule="auto"/>
      </w:pPr>
      <w:r>
        <w:t>**Stochastique** : Le %K (42,5) est supérieur au %D (31,142), avec un croisement récent à la hausse qui pourrait signaler un début de retournement positif. Cependant, les deux lignes restent en zone basse, et la décision « Neutre » reflète l'absence de signal fort — le croisement est encourageant mais demande confirmation par une remontée au-dessus de 50.</w:t>
      </w:r>
    </w:p>
    <w:p>
      <w:pPr>
        <w:spacing w:after="120" w:line="276" w:lineRule="auto"/>
      </w:pPr>
      <w:r>
        <w:t>**Conclusion technique** : Les indicateurs présentent un tableau mitigé — la tendance de fond reste haussière (MM50 ascendante, cours au-dessus), mais les signaux à court terme (MACD baissier, cours sous la MM20, RSI bas) plaident pour une consolidation voire une correction avant une reprise. La convergence des signaux neutres (Bollinger, RSI, Stochastique) suggère une phase d'attente, avec un support clé à 3 154 FCFA (borne inférieure de Bollinger) et une résistance à 3 336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TotalEnergies Marketing Côte d'Ivoire a réalisé un chiffre d'affaires de 588,709 milliards FCFA, en repli de -5,21 % par rapport à 2024 (621,042 milliards FCFA), reflétant un contexte de baisse des volumes hors réseau. Le résultat net s'établit à 9,087 milliards FCFA (contre 9,374 milliards en 2024, soit -3 %), avec une marge nette de 1,54 % (légèrement en amélioration vs 1,51 % en 2024). Le ROE atteint 25,10 % — un niveau excellent (&gt;15 %) qui témoigne d'une forte rentabilité des fonds propres (36,202 milliards FCFA), tandis que le ROA de 4,82 % reste modéré, typique d'un distributeur à forte rotation d'actifs (312,36 %). La valeur ajoutée progresse de +7 % à 29,553 milliards FCFA et l'EBE de +12 % à 22,347 milliards FCFA, confirmant une meilleure maîtrise des coûts malgré la baisse du CA. Le BFR est négatif (-9,662 milliards FCFA), ce qui est favorable pour un distributeur, mais la trésorerie nette est négative (-21,926 milliards FCFA) et le fonds de roulement négatif (-31,587 milliards FCFA), signalant une dépendance aux crédits court terme. Le ratio d'endettement de 90,23 % et l'autonomie financière de 19,21 % (inférieure au seuil sain de 30 %) constituent des points de vigilance, bien que la capacité de remboursement (1,71 an) reste correcte.</w:t>
      </w:r>
    </w:p>
    <w:p>
      <w:pPr>
        <w:spacing w:after="120" w:line="276" w:lineRule="auto"/>
      </w:pPr>
      <w:r>
        <w:t>**Adaptation au secteur ENTREPRISE** : Les délais fournisseurs de 49,72 jours et la durée de stockage de 13,80 jours sont bien maîtrisés, mais le délai fournisseur élevé (bon pour la trésorerie) contraste avec la trésorerie nette négative, suggérant un déséquilibre structurel. La rotation des actifs de 312 % est excellente pour un distributeur, et la marge brute de 11,81 % reste typique du secteur pétrolier (faible marge, fort volume).</w:t>
      </w:r>
    </w:p>
    <w:p>
      <w:pPr>
        <w:spacing w:after="120" w:line="276" w:lineRule="auto"/>
      </w:pPr>
      <w:r>
        <w:t>**Estimations basées sur les rapports trimestriels** : Le rapport T1 2026 (publié en 2026) indique un CA de 154,392 milliards FCFA (+4,3 %) et un résultat net de 2,329 milliards FCFA (+5,5 %), marquant un retour à la croissance après le repli de 2025. Le rapport T3 2025 (30/09/2025) faisait état d'un résultat net cumulé de 6,52 milliards FCFA (-30,2 %), mais le T4 a permis de redresser la barre pour atteindre 9,087 milliards sur l'année. Sur la base du T1 2026, on estime que l'exercice 2026 devrait renouer avec une croissance modérée du CA (+3 à +5 %) et une amélioration du résultat net (+5 à +8 %), portée par l'ouverture de 8 nouvelles stations (182 au total) et la diversification vers le GPL et les lubrifiants. Le dividende brut de 10 milliards FCFA (payout &gt;100 %) reste attractif mais pose la question de sa soutenabilité compte tenu de la trésorerie négative.</w:t>
      </w:r>
    </w:p>
    <w:p>
      <w:pPr>
        <w:spacing w:after="120" w:line="276" w:lineRule="auto"/>
      </w:pPr>
      <w:r>
        <w:t>**Recommandation fondamentale** : La solidité opérationnelle (ROE 25 %, EBE +12 %, BFR négatif) et la position de leader sur le marché ivoirien sont des atouts majeurs, mais la dégradation de la trésorerie, l'endettement élevé et le payout excessif constituent des risques. La recommandation fondamentale est **CONSERVER**, avec une surveillance accrue de la trésorerie et de la soutenabilité du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(PER 22,8x vs moyenne BRVM 8-12x, P/B 5,71x, EV/EBITDA 11,7x), ce qui intègre déjà une prime de qualité et des anticipations de croissance — toute déception pourrait entraîner une correction sévère. Le comportement du cours sur 100 jours est haussier (+23,96 %) avec une volatilité élevée (40,5 %), un skewness positif (+0,952) et un kurtosis proche de la normale, indiquant une dynamique favorable mais avec un risque de pics baissiers. Les signaux techniques sont mitigés : la tendance de fond reste haussière (MM50 ascendante), mais le MACD baissier, le cours sous la MM20 et le RSI bas (36,5) plaident pour une consolidation à court terme, avec un support à 3 154 FCFA. Les fondamentaux sont solides (ROE 25,1 %, EBE +12 %, BFR négatif) mais entachés par une trésorerie nette négative (-21,9 milliards FCFA) et un payout &gt;100 %, tandis que le T1 2026 (+4,3 % de CA, +5,5 % de résultat net) suggère une reprise progressive. Les prédictions IA anticipent une baisse à court terme (3 247 FCFA à J+1, 3 111 FCFA à J+5), ce qui contredit la tendance haussière récente mais s'aligne sur les signaux techniques baissiers (MACD, cours sous MM20). **Recommandation finale : CONSERVER**, avec un biais prudent — la convergence entre valorisation élevée, signaux techniques mitigés et prédictions baissières à court terme suggère d'attendre une correction vers 3 100-3 150 FCFA avant de renforcer. Le niveau de confiance est **Moyen** (les fondamentaux sont bons mais la trésorerie et le payout sont préoccupants), le risque global est **Élevé** (volatilité 40,5 %, endettement 90 %, trésorerie négative), et l'horizon optimal est **moyen terme (3-12 mois)** pour profiter de la reprise du T1 2026 et de la saisonnalité du dividende, tout en surveillant la soutenabilité de la distribution.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2,585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+31.45%</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10.23% (Moyenne) — μ=3,590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β=0.5608 (Défensif) — Cov=0.000019, Var(idx)=0.000034, ρ=0.117,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2026-09-17</w:t>
            </w:r>
          </w:p>
        </w:tc>
        <w:tc>
          <w:tcPr>
            <w:tcW w:type="dxa" w:w="1440"/>
            <w:shd w:fill="FAFAFA" w:val="clear"/>
          </w:tcPr>
          <w:p>
            <w:r>
              <w:rPr>
                <w:sz w:val="17"/>
              </w:rPr>
              <w:t>3,783</w:t>
            </w:r>
          </w:p>
        </w:tc>
        <w:tc>
          <w:tcPr>
            <w:tcW w:type="dxa" w:w="1440"/>
            <w:shd w:fill="FAFAFA" w:val="clear"/>
          </w:tcPr>
          <w:p>
            <w:r>
              <w:rPr>
                <w:b/>
                <w:sz w:val="17"/>
              </w:rPr>
              <w:t>3,935</w:t>
            </w:r>
          </w:p>
        </w:tc>
        <w:tc>
          <w:tcPr>
            <w:tcW w:type="dxa" w:w="1440"/>
            <w:shd w:fill="FAFAFA" w:val="clear"/>
          </w:tcPr>
          <w:p>
            <w:r>
              <w:rPr>
                <w:sz w:val="17"/>
              </w:rPr>
              <w:t>4,088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2026-09-18</w:t>
            </w:r>
          </w:p>
        </w:tc>
        <w:tc>
          <w:tcPr>
            <w:tcW w:type="dxa" w:w="1440"/>
            <w:shd w:fill="FAFAFA" w:val="clear"/>
          </w:tcPr>
          <w:p>
            <w:r>
              <w:rPr>
                <w:sz w:val="17"/>
              </w:rPr>
              <w:t>3,711</w:t>
            </w:r>
          </w:p>
        </w:tc>
        <w:tc>
          <w:tcPr>
            <w:tcW w:type="dxa" w:w="1440"/>
            <w:shd w:fill="FAFAFA" w:val="clear"/>
          </w:tcPr>
          <w:p>
            <w:r>
              <w:rPr>
                <w:b/>
                <w:sz w:val="17"/>
              </w:rPr>
              <w:t>3,926</w:t>
            </w:r>
          </w:p>
        </w:tc>
        <w:tc>
          <w:tcPr>
            <w:tcW w:type="dxa" w:w="1440"/>
            <w:shd w:fill="FAFAFA" w:val="clear"/>
          </w:tcPr>
          <w:p>
            <w:r>
              <w:rPr>
                <w:sz w:val="17"/>
              </w:rPr>
              <w:t>4,142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2026-09-21</w:t>
            </w:r>
          </w:p>
        </w:tc>
        <w:tc>
          <w:tcPr>
            <w:tcW w:type="dxa" w:w="1440"/>
            <w:shd w:fill="FAFAFA" w:val="clear"/>
          </w:tcPr>
          <w:p>
            <w:r>
              <w:rPr>
                <w:sz w:val="17"/>
              </w:rPr>
              <w:t>3,657</w:t>
            </w:r>
          </w:p>
        </w:tc>
        <w:tc>
          <w:tcPr>
            <w:tcW w:type="dxa" w:w="1440"/>
            <w:shd w:fill="FAFAFA" w:val="clear"/>
          </w:tcPr>
          <w:p>
            <w:r>
              <w:rPr>
                <w:b/>
                <w:sz w:val="17"/>
              </w:rPr>
              <w:t>3,920</w:t>
            </w:r>
          </w:p>
        </w:tc>
        <w:tc>
          <w:tcPr>
            <w:tcW w:type="dxa" w:w="1440"/>
            <w:shd w:fill="FAFAFA" w:val="clear"/>
          </w:tcPr>
          <w:p>
            <w:r>
              <w:rPr>
                <w:sz w:val="17"/>
              </w:rPr>
              <w:t>4,183</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3,612</w:t>
            </w:r>
          </w:p>
        </w:tc>
        <w:tc>
          <w:tcPr>
            <w:tcW w:type="dxa" w:w="1440"/>
            <w:shd w:fill="FAFAFA" w:val="clear"/>
          </w:tcPr>
          <w:p>
            <w:r>
              <w:rPr>
                <w:b/>
                <w:sz w:val="17"/>
              </w:rPr>
              <w:t>3,916</w:t>
            </w:r>
          </w:p>
        </w:tc>
        <w:tc>
          <w:tcPr>
            <w:tcW w:type="dxa" w:w="1440"/>
            <w:shd w:fill="FAFAFA" w:val="clear"/>
          </w:tcPr>
          <w:p>
            <w:r>
              <w:rPr>
                <w:sz w:val="17"/>
              </w:rPr>
              <w:t>4,219</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3,572</w:t>
            </w:r>
          </w:p>
        </w:tc>
        <w:tc>
          <w:tcPr>
            <w:tcW w:type="dxa" w:w="1440"/>
            <w:shd w:fill="FAFAFA" w:val="clear"/>
          </w:tcPr>
          <w:p>
            <w:r>
              <w:rPr>
                <w:b/>
                <w:sz w:val="17"/>
              </w:rPr>
              <w:t>3,912</w:t>
            </w:r>
          </w:p>
        </w:tc>
        <w:tc>
          <w:tcPr>
            <w:tcW w:type="dxa" w:w="1440"/>
            <w:shd w:fill="FAFAFA" w:val="clear"/>
          </w:tcPr>
          <w:p>
            <w:r>
              <w:rPr>
                <w:sz w:val="17"/>
              </w:rPr>
              <w:t>4,251</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3,537</w:t>
            </w:r>
          </w:p>
        </w:tc>
        <w:tc>
          <w:tcPr>
            <w:tcW w:type="dxa" w:w="1440"/>
            <w:shd w:fill="FAFAFA" w:val="clear"/>
          </w:tcPr>
          <w:p>
            <w:r>
              <w:rPr>
                <w:b/>
                <w:sz w:val="17"/>
              </w:rPr>
              <w:t>3,908</w:t>
            </w:r>
          </w:p>
        </w:tc>
        <w:tc>
          <w:tcPr>
            <w:tcW w:type="dxa" w:w="1440"/>
            <w:shd w:fill="FAFAFA" w:val="clear"/>
          </w:tcPr>
          <w:p>
            <w:r>
              <w:rPr>
                <w:sz w:val="17"/>
              </w:rPr>
              <w:t>4,279</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2026-09-25</w:t>
            </w:r>
          </w:p>
        </w:tc>
        <w:tc>
          <w:tcPr>
            <w:tcW w:type="dxa" w:w="1440"/>
            <w:shd w:fill="FAFAFA" w:val="clear"/>
          </w:tcPr>
          <w:p>
            <w:r>
              <w:rPr>
                <w:sz w:val="17"/>
              </w:rPr>
              <w:t>3,504</w:t>
            </w:r>
          </w:p>
        </w:tc>
        <w:tc>
          <w:tcPr>
            <w:tcW w:type="dxa" w:w="1440"/>
            <w:shd w:fill="FAFAFA" w:val="clear"/>
          </w:tcPr>
          <w:p>
            <w:r>
              <w:rPr>
                <w:b/>
                <w:sz w:val="17"/>
              </w:rPr>
              <w:t>3,904</w:t>
            </w:r>
          </w:p>
        </w:tc>
        <w:tc>
          <w:tcPr>
            <w:tcW w:type="dxa" w:w="1440"/>
            <w:shd w:fill="FAFAFA" w:val="clear"/>
          </w:tcPr>
          <w:p>
            <w:r>
              <w:rPr>
                <w:sz w:val="17"/>
              </w:rPr>
              <w:t>4,305</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2026-09-28</w:t>
            </w:r>
          </w:p>
        </w:tc>
        <w:tc>
          <w:tcPr>
            <w:tcW w:type="dxa" w:w="1440"/>
            <w:shd w:fill="FAFAFA" w:val="clear"/>
          </w:tcPr>
          <w:p>
            <w:r>
              <w:rPr>
                <w:sz w:val="17"/>
              </w:rPr>
              <w:t>3,473</w:t>
            </w:r>
          </w:p>
        </w:tc>
        <w:tc>
          <w:tcPr>
            <w:tcW w:type="dxa" w:w="1440"/>
            <w:shd w:fill="FAFAFA" w:val="clear"/>
          </w:tcPr>
          <w:p>
            <w:r>
              <w:rPr>
                <w:b/>
                <w:sz w:val="17"/>
              </w:rPr>
              <w:t>3,901</w:t>
            </w:r>
          </w:p>
        </w:tc>
        <w:tc>
          <w:tcPr>
            <w:tcW w:type="dxa" w:w="1440"/>
            <w:shd w:fill="FAFAFA" w:val="clear"/>
          </w:tcPr>
          <w:p>
            <w:r>
              <w:rPr>
                <w:sz w:val="17"/>
              </w:rPr>
              <w:t>4,329</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2026-09-29</w:t>
            </w:r>
          </w:p>
        </w:tc>
        <w:tc>
          <w:tcPr>
            <w:tcW w:type="dxa" w:w="1440"/>
            <w:shd w:fill="FAFAFA" w:val="clear"/>
          </w:tcPr>
          <w:p>
            <w:r>
              <w:rPr>
                <w:sz w:val="17"/>
              </w:rPr>
              <w:t>3,444</w:t>
            </w:r>
          </w:p>
        </w:tc>
        <w:tc>
          <w:tcPr>
            <w:tcW w:type="dxa" w:w="1440"/>
            <w:shd w:fill="FAFAFA" w:val="clear"/>
          </w:tcPr>
          <w:p>
            <w:r>
              <w:rPr>
                <w:b/>
                <w:sz w:val="17"/>
              </w:rPr>
              <w:t>3,898</w:t>
            </w:r>
          </w:p>
        </w:tc>
        <w:tc>
          <w:tcPr>
            <w:tcW w:type="dxa" w:w="1440"/>
            <w:shd w:fill="FAFAFA" w:val="clear"/>
          </w:tcPr>
          <w:p>
            <w:r>
              <w:rPr>
                <w:sz w:val="17"/>
              </w:rPr>
              <w:t>4,351</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2026-09-30</w:t>
            </w:r>
          </w:p>
        </w:tc>
        <w:tc>
          <w:tcPr>
            <w:tcW w:type="dxa" w:w="1440"/>
            <w:shd w:fill="FAFAFA" w:val="clear"/>
          </w:tcPr>
          <w:p>
            <w:r>
              <w:rPr>
                <w:sz w:val="17"/>
              </w:rPr>
              <w:t>3,417</w:t>
            </w:r>
          </w:p>
        </w:tc>
        <w:tc>
          <w:tcPr>
            <w:tcW w:type="dxa" w:w="1440"/>
            <w:shd w:fill="FAFAFA" w:val="clear"/>
          </w:tcPr>
          <w:p>
            <w:r>
              <w:rPr>
                <w:b/>
                <w:sz w:val="17"/>
              </w:rPr>
              <w:t>3,895</w:t>
            </w:r>
          </w:p>
        </w:tc>
        <w:tc>
          <w:tcPr>
            <w:tcW w:type="dxa" w:w="1440"/>
            <w:shd w:fill="FAFAFA" w:val="clear"/>
          </w:tcPr>
          <w:p>
            <w:r>
              <w:rPr>
                <w:sz w:val="17"/>
              </w:rPr>
              <w:t>4,372</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128,68 milliards FCFA, TTLS figure parmi les valeurs de taille intermédiaire de la cote BRVM, ce qui traduit une liquidité limitée mais une certaine stabilité institutionnelle. Le BPA de 208 FCFA/action signifie que chaque titre génère un bénéfice net de 208 FCFA, ce qui, rapporté au cours actuel de 3 950 FCFA, aboutit à un PER de 19,0x — nettement supérieur à la moyenne du marché BRVM (8-12x), signalant que les investisseurs paient une prime de qualité et de leadership sectoriel. Le P/B de 4,56x confirme cette exigence : le marché valorise TTLS à plus de quatre fois sa valeur comptable, ce qui est élevé pour une activité de distribution à faible marge nette (1,49%). En revanche, l'EV/EBITDA de 8,1x, situé dans la fourchette raisonnable de 5-10x, suggère que la valeur d'entreprise reste cohérente avec la capacité opérationnelle de génération de cash-flow. La conjugaison d'un PER élevé et d'un EV/EBITDA modéré indique que la prime de valorisation repose davantage sur la solidité du bilan et la régularité des dividendes que sur une croissance exceptionnelle des bénéfices.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remarquable de +31,45%, malgré un repli de -1,00% lors de la dernière séance (J-1), qui marque une légère pause dans un mouvement haussier de fond. Le titre a évolué dans un range de 2 845 FCFA (plus bas) à 4 500 FCFA (plus haut), soit une amplitude de trading de 58%, ce qui témoigne d'une dynamique acheteuse soutenue mais aussi d'une certaine nervosité. Le cours actuel de 3 950 FCFA se situe au-dessus de la moyenne (3 590 FCFA) et de la médiane (3 600 FCFA), confirmant la tendance haussière récente. L'écart très faible entre moyenne et médiane (10 FCFA) ainsi qu'un skewness de 0,066 (distribution quasi symétrique) indiquent l'absence de biais directionnel marqué sur la période. L'écart-type de 369 FCFA et le coefficient de variation de 10,3% traduisent une dispersion modérée du cours autour de sa moyenne. Le kurtosis de -0,439 (mésokurtique) suggère une distribution proche de la normale, sans risque de pics extrêmes prononcés, ce qui est rassurant pour la gestion du risque. Enfin, la volatilité annualisée de 44,2% classe TTLS dans la catégorie des titres à volatilité élevée (&gt;30%), typique des valeurs de taille moyenne sur la BRVM, ce qui implique un potentiel de gain élevé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(3 850,25 FCFA) et la MM50 (3 838,20 FCFA) se situent toutes deux en dessous du cours actuel (3 950 FCFA), avec une MM20 légèrement supérieure à la MM50, configuration classique de tendance haussière. Le cours évoluant au-dessus de ses deux moyennes, la décision technique est logiquement à l'**Achat**, confirmant la dynamique positive de court et moyen terme.</w:t>
      </w:r>
    </w:p>
    <w:p>
      <w:pPr>
        <w:spacing w:after="120" w:line="276" w:lineRule="auto"/>
      </w:pPr>
      <w:r>
        <w:t>**Bandes de Bollinger** : Le cours (3 950 FCFA) se situe dans la partie haute de la bande, entre la borne inférieure (3 682,59 FCFA) et la borne supérieure (4 017,91 FCFA), sans la franchir. Cette position proche de la borne supérieure traduit une pression acheteuse soutenue mais sans excès, d'où une décision **Neutre** : le titre n'est ni en zone de surachat extrême, ni en zone de survente, et une cassure de la borne supérieure serait nécessaire pour confirmer une accélération haussière.</w:t>
      </w:r>
    </w:p>
    <w:p>
      <w:pPr>
        <w:spacing w:after="120" w:line="276" w:lineRule="auto"/>
      </w:pPr>
      <w:r>
        <w:t>**MACD** : Le MACD (51,63) est nettement supérieur à son signal (34,96), avec un histogramme positif, ce qui confirme un momentum haussier en cours. La divergence positive entre les deux lignes indique que la dynamique acheteuse reste intacte, justifiant la décision d'**Achat**. Une attention particulière devra être portée à un éventuel croisement baissier qui signalerait un essoufflement.</w:t>
      </w:r>
    </w:p>
    <w:p>
      <w:pPr>
        <w:spacing w:after="120" w:line="276" w:lineRule="auto"/>
      </w:pPr>
      <w:r>
        <w:t>**RSI** : À 76,77, le RSI se situe en zone de surachat (&gt;70), ce qui déclenche une décision de **Vente** technique. Cette lecture suggère que le titre a peut-être trop monté à court terme et qu'une consolidation ou une correction est probable avant une nouvelle jambe haussière. C'est le principal signal de prudence du tableau technique.</w:t>
      </w:r>
    </w:p>
    <w:p>
      <w:pPr>
        <w:spacing w:after="120" w:line="276" w:lineRule="auto"/>
      </w:pPr>
      <w:r>
        <w:t>**Stochastique** : Le %K (76,19) est inférieur au %D (91,00), ce qui indique un croisement baissier en zone haute, signal de retournement potentiel à court terme. La décision est **Neutre**, car le %K reste élevé mais la dynamique montre un essoufflement. Ce signal converge avec le RSI pour suggérer une pause dans la tendance.</w:t>
      </w:r>
    </w:p>
    <w:p>
      <w:pPr>
        <w:spacing w:after="120" w:line="276" w:lineRule="auto"/>
      </w:pPr>
      <w:r>
        <w:t>**Conclusion technique** : Les indicateurs de tendance (MM20/MM50, MACD) restent haussiers et confirment la dynamique positive de fond, tandis que les oscillateurs (RSI en surachat, Stochastique en croisement baissier) signalent un essoufflement à court terme. Cette divergence classique entre tendance et momentum suggère une consolidation probable avant une reprise, et invite à la prudence pour les achats en poursuite de tendance. Le titre reste techniquement haussier mais nécessite une digestion de ses gains récents.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TotalEnergies Marketing Sénégal a réalisé un chiffre d'affaires de 455,209 milliards FCFA, en baisse de -6,13% par rapport à 2024, et un résultat net de 6,779 milliards FCFA, soit une marge nette de 1,49%. Le ROE s'établit à 24,01% (excellent, &gt;15%) et le ROA à 3,95%, tandis que la rotation des actifs atteint 265%, traduisant une forte intensité commerciale. En tant qu'entreprise de distribution, les délais d'exploitation sont cruciaux : le délai clients est de 47,43 jours (risque de trésorerie modéré), le délai fournisseurs de 97,76 jours (favorable à la trésorerie) et la durée de stockage de 17,62 jours (rotation rapide). Le BFR est négatif à -36,899 milliards FCFA, ce qui est un signal très favorable car l'activité est financée par les fournisseurs plutôt que par le besoin en fonds de roulement. La trésorerie nette est positive à 13,941 milliards FCFA et la capacité de remboursement de 0,94 an est excellente. Toutefois, l'autonomie financière (16,44%) est inférieure au seuil sain de 30%, et le ratio d'endettement (52,16%) reste élevé, bien que la solvabilité générale (119,67%) demeure satisfaisante.</w:t>
      </w:r>
    </w:p>
    <w:p>
      <w:pPr>
        <w:spacing w:after="120" w:line="276" w:lineRule="auto"/>
      </w:pPr>
      <w:r>
        <w:t>**Estimations basées sur les rapports trimestriels** : Le rapport du T1 2026 (publié le 31 mars 2026, analysé le 4 mai 2026) indique un CA de 99,9 milliards FCFA (-10% vs T1 2025) sous l'effet de la baisse réglementaire des prix à la pompe, mais un résultat d'exploitation en hausse de +28% à 2,623 milliards FCFA et un résultat net en progression de +5% à 1,585 milliards FCFA, grâce à l'amélioration des marges sur les lubrifiants. Le rapport annuel 2025 (exercice clos au 31 décembre 2025, analysé le 4 mai 2026) confirme la stratégie de sortie du fuel lourd (39,5 milliards FCFA de CA en 2024), compensée partiellement par la croissance du GPL et de l'export. Le rapport T3 2025 (30 septembre 2025) montrait déjà un CA cumulé de 344,9 milliards FCFA (-7%) et un résultat net de 5,024 milliards FCFA (-14%), avec un résultat d'exploitation en hausse de +22% au S1 2025, validant le recentrage vers des segments à plus forte valeur ajoutée. Sur la base de ces éléments, on peut estimer que l'exercice 2026 devrait enregistrer une stabilisation du résultat net autour de 6,5-7,0 milliards FCFA, avec une amélioration continue de la marge opérationnelle, mais une pression persistante sur le CA nominal.</w:t>
      </w:r>
    </w:p>
    <w:p>
      <w:pPr>
        <w:spacing w:after="120" w:line="276" w:lineRule="auto"/>
      </w:pPr>
      <w:r>
        <w:t>**Recommandation fondamentale** : TTLS présente une solidité financière indéniable (ROE de 24%, trésorerie nette positive, BFR négatif, capacité de remboursement &lt;1 an) et une résilience opérationnelle remarquable dans un environnement réglementaire contraint. Les principaux risques sont la dépendance aux décisions de l'État sénégalais sur les prix à la pompe, la baisse structurelle du CA et la faible autonomie financière. La stratégie de diversification (lubrifiants, GPL, export) porte ses fruits et devrait soutenir la rentabilité à moyen terme. La recommandation fondamentale est **CONSERVER**, avec un biais positif pour les investisseurs de long terme recherchant un rendement défensif et un dividende régulier.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(Partie 0) apparaît exigeante avec un PER de 19,0x et un P/B de 4,56x, bien au-dessus des moyennes du marché BRVM, mais l'EV/EBITDA de 8,1x reste raisonnable et la prime se justifie par la qualité du bilan et la régularité des dividendes. Le comportement du cours (Partie 1) est nettement haussier (+31,45% sur 100 jours) avec une volatilité élevée (44,2%) et une distribution symétrique sans risque de pics extrêmes (kurtosis -0,439), ce qui est globalement favorable mais nécessite une gestion du risque active. Les signaux techniques (Partie 2) sont mitigés : la tendance de fond reste haussière (MM20/MM50, MACD à l'achat) mais les oscillateurs (RSI à 76,77 en surachat, Stochastique en croisement baissier) signalent un essoufflement à court terme, plaidant pour une consolidation. Les fondamentaux (Partie 3) sont solides : ROE de 24,01%, BFR négatif de -36,9 milliards FCFA, trésorerie nette positive de 13,9 milliards FCFA, et une résilience opérationnelle confirmée par le T1 2026 (résultat d'exploitation +28%). Les prédictions IA (J+1 à J+10) anticipent une légère correction vers 3 912-3 935 FCFA, ce qui converge avec les signaux techniques de surachat et confirme la probabilité d'une consolidation à court terme. Sur la base de cette synthèse globale, la recommandation finale est **CONSERVER**, avec un niveau de confiance **Moyen** et un niveau de risque **Moyen**. En effet, la convergence entre une valorisation exigeante, des oscillateurs en surachat et des prédictions baissières à court terme incite à la prudence pour un achat immédiat, tandis que la solidité fondamentale et la régularité des dividendes justifient de conserver la position. L'horizon d'investissement optimal est le **moyen terme (3-12 mois)**, en attendant une clarification sur l'évolution des prix réglementés et une confirmation de la reprise des volumes, avec un point d'entrée plus attractif autour de 3 800-3 850 FCFA (niveau de la MM20/MM50) en cas de consolidation.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450.22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49,025 FCFA</w:t>
            </w:r>
          </w:p>
          <w:p>
            <w:r>
              <w:rPr>
                <w:b/>
                <w:color w:val="503200"/>
                <w:sz w:val="16"/>
              </w:rPr>
              <w:t xml:space="preserve">Var. 100 jours : </w:t>
            </w:r>
            <w:r>
              <w:rPr>
                <w:b/>
                <w:color w:val="B40000"/>
                <w:sz w:val="17"/>
              </w:rPr>
              <w:t>-14.74%</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49,025 FCFA</w:t>
            </w:r>
          </w:p>
          <w:p>
            <w:r>
              <w:rPr>
                <w:b/>
                <w:color w:val="503200"/>
                <w:sz w:val="16"/>
              </w:rPr>
              <w:t xml:space="preserve">Volatilité ann. : </w:t>
            </w:r>
            <w:r>
              <w:rPr>
                <w:color w:val="000000"/>
                <w:sz w:val="17"/>
              </w:rPr>
              <w:t>59.0%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5.32% (Moyenne) — μ=55,594 FCFA, σ=2,960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β=-0.1611 (Contre-cyclique) — Cov=-0.000006, Var(idx)=0.000035, ρ=-0.026,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σ_j=3.72%/j (Modérée) — Vol. annualisée≈59.0%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2026-09-17</w:t>
            </w:r>
          </w:p>
        </w:tc>
        <w:tc>
          <w:tcPr>
            <w:tcW w:type="dxa" w:w="1440"/>
            <w:shd w:fill="C6EFCE" w:val="clear"/>
          </w:tcPr>
          <w:p>
            <w:r>
              <w:rPr>
                <w:sz w:val="17"/>
              </w:rPr>
              <w:t>48,536</w:t>
            </w:r>
          </w:p>
        </w:tc>
        <w:tc>
          <w:tcPr>
            <w:tcW w:type="dxa" w:w="1440"/>
            <w:shd w:fill="C6EFCE" w:val="clear"/>
          </w:tcPr>
          <w:p>
            <w:r>
              <w:rPr>
                <w:b/>
                <w:sz w:val="17"/>
              </w:rPr>
              <w:t>51,690</w:t>
            </w:r>
          </w:p>
        </w:tc>
        <w:tc>
          <w:tcPr>
            <w:tcW w:type="dxa" w:w="1440"/>
            <w:shd w:fill="C6EFCE" w:val="clear"/>
          </w:tcPr>
          <w:p>
            <w:r>
              <w:rPr>
                <w:sz w:val="17"/>
              </w:rPr>
              <w:t>54,845</w:t>
            </w:r>
          </w:p>
        </w:tc>
        <w:tc>
          <w:tcPr>
            <w:tcW w:type="dxa" w:w="1440"/>
            <w:shd w:fill="C6EFCE" w:val="clear"/>
          </w:tcPr>
          <w:p>
            <w:r>
              <w:rPr>
                <w:b/>
                <w:color w:val="008000"/>
                <w:sz w:val="17"/>
              </w:rPr>
              <w:t>+5.4%</w:t>
            </w:r>
          </w:p>
        </w:tc>
      </w:tr>
      <w:tr>
        <w:tc>
          <w:tcPr>
            <w:tcW w:type="dxa" w:w="1440"/>
            <w:shd w:fill="C6EFCE" w:val="clear"/>
          </w:tcPr>
          <w:p>
            <w:r>
              <w:rPr>
                <w:sz w:val="17"/>
              </w:rPr>
              <w:t>J+2  ⭐</w:t>
            </w:r>
          </w:p>
        </w:tc>
        <w:tc>
          <w:tcPr>
            <w:tcW w:type="dxa" w:w="1440"/>
            <w:shd w:fill="C6EFCE" w:val="clear"/>
          </w:tcPr>
          <w:p>
            <w:r>
              <w:rPr>
                <w:sz w:val="17"/>
              </w:rPr>
              <w:t>2026-09-18</w:t>
            </w:r>
          </w:p>
        </w:tc>
        <w:tc>
          <w:tcPr>
            <w:tcW w:type="dxa" w:w="1440"/>
            <w:shd w:fill="C6EFCE" w:val="clear"/>
          </w:tcPr>
          <w:p>
            <w:r>
              <w:rPr>
                <w:sz w:val="17"/>
              </w:rPr>
              <w:t>46,835</w:t>
            </w:r>
          </w:p>
        </w:tc>
        <w:tc>
          <w:tcPr>
            <w:tcW w:type="dxa" w:w="1440"/>
            <w:shd w:fill="C6EFCE" w:val="clear"/>
          </w:tcPr>
          <w:p>
            <w:r>
              <w:rPr>
                <w:b/>
                <w:sz w:val="17"/>
              </w:rPr>
              <w:t>51,260</w:t>
            </w:r>
          </w:p>
        </w:tc>
        <w:tc>
          <w:tcPr>
            <w:tcW w:type="dxa" w:w="1440"/>
            <w:shd w:fill="C6EFCE" w:val="clear"/>
          </w:tcPr>
          <w:p>
            <w:r>
              <w:rPr>
                <w:sz w:val="17"/>
              </w:rPr>
              <w:t>55,684</w:t>
            </w:r>
          </w:p>
        </w:tc>
        <w:tc>
          <w:tcPr>
            <w:tcW w:type="dxa" w:w="1440"/>
            <w:shd w:fill="C6EFCE" w:val="clear"/>
          </w:tcPr>
          <w:p>
            <w:r>
              <w:rPr>
                <w:b/>
                <w:color w:val="008000"/>
                <w:sz w:val="17"/>
              </w:rPr>
              <w:t>+4.6%</w:t>
            </w:r>
          </w:p>
        </w:tc>
      </w:tr>
      <w:tr>
        <w:tc>
          <w:tcPr>
            <w:tcW w:type="dxa" w:w="1440"/>
            <w:shd w:fill="C6EFCE" w:val="clear"/>
          </w:tcPr>
          <w:p>
            <w:r>
              <w:rPr>
                <w:sz w:val="17"/>
              </w:rPr>
              <w:t>J+3  ⭐</w:t>
            </w:r>
          </w:p>
        </w:tc>
        <w:tc>
          <w:tcPr>
            <w:tcW w:type="dxa" w:w="1440"/>
            <w:shd w:fill="C6EFCE" w:val="clear"/>
          </w:tcPr>
          <w:p>
            <w:r>
              <w:rPr>
                <w:sz w:val="17"/>
              </w:rPr>
              <w:t>2026-09-21</w:t>
            </w:r>
          </w:p>
        </w:tc>
        <w:tc>
          <w:tcPr>
            <w:tcW w:type="dxa" w:w="1440"/>
            <w:shd w:fill="C6EFCE" w:val="clear"/>
          </w:tcPr>
          <w:p>
            <w:r>
              <w:rPr>
                <w:sz w:val="17"/>
              </w:rPr>
              <w:t>45,714</w:t>
            </w:r>
          </w:p>
        </w:tc>
        <w:tc>
          <w:tcPr>
            <w:tcW w:type="dxa" w:w="1440"/>
            <w:shd w:fill="C6EFCE" w:val="clear"/>
          </w:tcPr>
          <w:p>
            <w:r>
              <w:rPr>
                <w:b/>
                <w:sz w:val="17"/>
              </w:rPr>
              <w:t>51,117</w:t>
            </w:r>
          </w:p>
        </w:tc>
        <w:tc>
          <w:tcPr>
            <w:tcW w:type="dxa" w:w="1440"/>
            <w:shd w:fill="C6EFCE" w:val="clear"/>
          </w:tcPr>
          <w:p>
            <w:r>
              <w:rPr>
                <w:sz w:val="17"/>
              </w:rPr>
              <w:t>56,521</w:t>
            </w:r>
          </w:p>
        </w:tc>
        <w:tc>
          <w:tcPr>
            <w:tcW w:type="dxa" w:w="1440"/>
            <w:shd w:fill="C6EFCE" w:val="clear"/>
          </w:tcPr>
          <w:p>
            <w:r>
              <w:rPr>
                <w:b/>
                <w:color w:val="008000"/>
                <w:sz w:val="17"/>
              </w:rPr>
              <w:t>+4.3%</w:t>
            </w:r>
          </w:p>
        </w:tc>
      </w:tr>
      <w:tr>
        <w:tc>
          <w:tcPr>
            <w:tcW w:type="dxa" w:w="1440"/>
            <w:shd w:fill="C6EFCE" w:val="clear"/>
          </w:tcPr>
          <w:p>
            <w:r>
              <w:rPr>
                <w:sz w:val="17"/>
              </w:rPr>
              <w:t>J+4  ⭐</w:t>
            </w:r>
          </w:p>
        </w:tc>
        <w:tc>
          <w:tcPr>
            <w:tcW w:type="dxa" w:w="1440"/>
            <w:shd w:fill="C6EFCE" w:val="clear"/>
          </w:tcPr>
          <w:p>
            <w:r>
              <w:rPr>
                <w:sz w:val="17"/>
              </w:rPr>
              <w:t>2026-09-22</w:t>
            </w:r>
          </w:p>
        </w:tc>
        <w:tc>
          <w:tcPr>
            <w:tcW w:type="dxa" w:w="1440"/>
            <w:shd w:fill="C6EFCE" w:val="clear"/>
          </w:tcPr>
          <w:p>
            <w:r>
              <w:rPr>
                <w:sz w:val="17"/>
              </w:rPr>
              <w:t>44,817</w:t>
            </w:r>
          </w:p>
        </w:tc>
        <w:tc>
          <w:tcPr>
            <w:tcW w:type="dxa" w:w="1440"/>
            <w:shd w:fill="C6EFCE" w:val="clear"/>
          </w:tcPr>
          <w:p>
            <w:r>
              <w:rPr>
                <w:b/>
                <w:sz w:val="17"/>
              </w:rPr>
              <w:t>51,048</w:t>
            </w:r>
          </w:p>
        </w:tc>
        <w:tc>
          <w:tcPr>
            <w:tcW w:type="dxa" w:w="1440"/>
            <w:shd w:fill="C6EFCE" w:val="clear"/>
          </w:tcPr>
          <w:p>
            <w:r>
              <w:rPr>
                <w:sz w:val="17"/>
              </w:rPr>
              <w:t>57,279</w:t>
            </w:r>
          </w:p>
        </w:tc>
        <w:tc>
          <w:tcPr>
            <w:tcW w:type="dxa" w:w="1440"/>
            <w:shd w:fill="C6EFCE" w:val="clear"/>
          </w:tcPr>
          <w:p>
            <w:r>
              <w:rPr>
                <w:b/>
                <w:color w:val="008000"/>
                <w:sz w:val="17"/>
              </w:rPr>
              <w:t>+4.1%</w:t>
            </w:r>
          </w:p>
        </w:tc>
      </w:tr>
      <w:tr>
        <w:tc>
          <w:tcPr>
            <w:tcW w:type="dxa" w:w="1440"/>
            <w:shd w:fill="C6EFCE" w:val="clear"/>
          </w:tcPr>
          <w:p>
            <w:r>
              <w:rPr>
                <w:sz w:val="17"/>
              </w:rPr>
              <w:t>J+5  ⭐</w:t>
            </w:r>
          </w:p>
        </w:tc>
        <w:tc>
          <w:tcPr>
            <w:tcW w:type="dxa" w:w="1440"/>
            <w:shd w:fill="C6EFCE" w:val="clear"/>
          </w:tcPr>
          <w:p>
            <w:r>
              <w:rPr>
                <w:sz w:val="17"/>
              </w:rPr>
              <w:t>2026-09-23</w:t>
            </w:r>
          </w:p>
        </w:tc>
        <w:tc>
          <w:tcPr>
            <w:tcW w:type="dxa" w:w="1440"/>
            <w:shd w:fill="C6EFCE" w:val="clear"/>
          </w:tcPr>
          <w:p>
            <w:r>
              <w:rPr>
                <w:sz w:val="17"/>
              </w:rPr>
              <w:t>44,044</w:t>
            </w:r>
          </w:p>
        </w:tc>
        <w:tc>
          <w:tcPr>
            <w:tcW w:type="dxa" w:w="1440"/>
            <w:shd w:fill="C6EFCE" w:val="clear"/>
          </w:tcPr>
          <w:p>
            <w:r>
              <w:rPr>
                <w:b/>
                <w:sz w:val="17"/>
              </w:rPr>
              <w:t>51,005</w:t>
            </w:r>
          </w:p>
        </w:tc>
        <w:tc>
          <w:tcPr>
            <w:tcW w:type="dxa" w:w="1440"/>
            <w:shd w:fill="C6EFCE" w:val="clear"/>
          </w:tcPr>
          <w:p>
            <w:r>
              <w:rPr>
                <w:sz w:val="17"/>
              </w:rPr>
              <w:t>57,965</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2026-09-24</w:t>
            </w:r>
          </w:p>
        </w:tc>
        <w:tc>
          <w:tcPr>
            <w:tcW w:type="dxa" w:w="1440"/>
            <w:shd w:fill="C6EFCE" w:val="clear"/>
          </w:tcPr>
          <w:p>
            <w:r>
              <w:rPr>
                <w:sz w:val="17"/>
              </w:rPr>
              <w:t>43,353</w:t>
            </w:r>
          </w:p>
        </w:tc>
        <w:tc>
          <w:tcPr>
            <w:tcW w:type="dxa" w:w="1440"/>
            <w:shd w:fill="C6EFCE" w:val="clear"/>
          </w:tcPr>
          <w:p>
            <w:r>
              <w:rPr>
                <w:b/>
                <w:sz w:val="17"/>
              </w:rPr>
              <w:t>50,973</w:t>
            </w:r>
          </w:p>
        </w:tc>
        <w:tc>
          <w:tcPr>
            <w:tcW w:type="dxa" w:w="1440"/>
            <w:shd w:fill="C6EFCE" w:val="clear"/>
          </w:tcPr>
          <w:p>
            <w:r>
              <w:rPr>
                <w:sz w:val="17"/>
              </w:rPr>
              <w:t>58,593</w:t>
            </w:r>
          </w:p>
        </w:tc>
        <w:tc>
          <w:tcPr>
            <w:tcW w:type="dxa" w:w="1440"/>
            <w:shd w:fill="C6EFCE" w:val="clear"/>
          </w:tcPr>
          <w:p>
            <w:r>
              <w:rPr>
                <w:b/>
                <w:color w:val="008000"/>
                <w:sz w:val="17"/>
              </w:rPr>
              <w:t>+4.0%</w:t>
            </w:r>
          </w:p>
        </w:tc>
      </w:tr>
      <w:tr>
        <w:tc>
          <w:tcPr>
            <w:tcW w:type="dxa" w:w="1440"/>
            <w:shd w:fill="C6EFCE" w:val="clear"/>
          </w:tcPr>
          <w:p>
            <w:r>
              <w:rPr>
                <w:sz w:val="17"/>
              </w:rPr>
              <w:t>J+7  ⭐</w:t>
            </w:r>
          </w:p>
        </w:tc>
        <w:tc>
          <w:tcPr>
            <w:tcW w:type="dxa" w:w="1440"/>
            <w:shd w:fill="C6EFCE" w:val="clear"/>
          </w:tcPr>
          <w:p>
            <w:r>
              <w:rPr>
                <w:sz w:val="17"/>
              </w:rPr>
              <w:t>2026-09-25</w:t>
            </w:r>
          </w:p>
        </w:tc>
        <w:tc>
          <w:tcPr>
            <w:tcW w:type="dxa" w:w="1440"/>
            <w:shd w:fill="C6EFCE" w:val="clear"/>
          </w:tcPr>
          <w:p>
            <w:r>
              <w:rPr>
                <w:sz w:val="17"/>
              </w:rPr>
              <w:t>42,722</w:t>
            </w:r>
          </w:p>
        </w:tc>
        <w:tc>
          <w:tcPr>
            <w:tcW w:type="dxa" w:w="1440"/>
            <w:shd w:fill="C6EFCE" w:val="clear"/>
          </w:tcPr>
          <w:p>
            <w:r>
              <w:rPr>
                <w:b/>
                <w:sz w:val="17"/>
              </w:rPr>
              <w:t>50,949</w:t>
            </w:r>
          </w:p>
        </w:tc>
        <w:tc>
          <w:tcPr>
            <w:tcW w:type="dxa" w:w="1440"/>
            <w:shd w:fill="C6EFCE" w:val="clear"/>
          </w:tcPr>
          <w:p>
            <w:r>
              <w:rPr>
                <w:sz w:val="17"/>
              </w:rPr>
              <w:t>59,175</w:t>
            </w:r>
          </w:p>
        </w:tc>
        <w:tc>
          <w:tcPr>
            <w:tcW w:type="dxa" w:w="1440"/>
            <w:shd w:fill="C6EFCE" w:val="clear"/>
          </w:tcPr>
          <w:p>
            <w:r>
              <w:rPr>
                <w:b/>
                <w:color w:val="008000"/>
                <w:sz w:val="17"/>
              </w:rPr>
              <w:t>+3.9%</w:t>
            </w:r>
          </w:p>
        </w:tc>
      </w:tr>
      <w:tr>
        <w:tc>
          <w:tcPr>
            <w:tcW w:type="dxa" w:w="1440"/>
            <w:shd w:fill="C6EFCE" w:val="clear"/>
          </w:tcPr>
          <w:p>
            <w:r>
              <w:rPr>
                <w:sz w:val="17"/>
              </w:rPr>
              <w:t>J+8  ⭐</w:t>
            </w:r>
          </w:p>
        </w:tc>
        <w:tc>
          <w:tcPr>
            <w:tcW w:type="dxa" w:w="1440"/>
            <w:shd w:fill="C6EFCE" w:val="clear"/>
          </w:tcPr>
          <w:p>
            <w:r>
              <w:rPr>
                <w:sz w:val="17"/>
              </w:rPr>
              <w:t>2026-09-28</w:t>
            </w:r>
          </w:p>
        </w:tc>
        <w:tc>
          <w:tcPr>
            <w:tcW w:type="dxa" w:w="1440"/>
            <w:shd w:fill="C6EFCE" w:val="clear"/>
          </w:tcPr>
          <w:p>
            <w:r>
              <w:rPr>
                <w:sz w:val="17"/>
              </w:rPr>
              <w:t>42,137</w:t>
            </w:r>
          </w:p>
        </w:tc>
        <w:tc>
          <w:tcPr>
            <w:tcW w:type="dxa" w:w="1440"/>
            <w:shd w:fill="C6EFCE" w:val="clear"/>
          </w:tcPr>
          <w:p>
            <w:r>
              <w:rPr>
                <w:b/>
                <w:sz w:val="17"/>
              </w:rPr>
              <w:t>50,928</w:t>
            </w:r>
          </w:p>
        </w:tc>
        <w:tc>
          <w:tcPr>
            <w:tcW w:type="dxa" w:w="1440"/>
            <w:shd w:fill="C6EFCE" w:val="clear"/>
          </w:tcPr>
          <w:p>
            <w:r>
              <w:rPr>
                <w:sz w:val="17"/>
              </w:rPr>
              <w:t>59,719</w:t>
            </w:r>
          </w:p>
        </w:tc>
        <w:tc>
          <w:tcPr>
            <w:tcW w:type="dxa" w:w="1440"/>
            <w:shd w:fill="C6EFCE" w:val="clear"/>
          </w:tcPr>
          <w:p>
            <w:r>
              <w:rPr>
                <w:b/>
                <w:color w:val="008000"/>
                <w:sz w:val="17"/>
              </w:rPr>
              <w:t>+3.9%</w:t>
            </w:r>
          </w:p>
        </w:tc>
      </w:tr>
      <w:tr>
        <w:tc>
          <w:tcPr>
            <w:tcW w:type="dxa" w:w="1440"/>
            <w:shd w:fill="C6EFCE" w:val="clear"/>
          </w:tcPr>
          <w:p>
            <w:r>
              <w:rPr>
                <w:sz w:val="17"/>
              </w:rPr>
              <w:t>J+9  ⭐</w:t>
            </w:r>
          </w:p>
        </w:tc>
        <w:tc>
          <w:tcPr>
            <w:tcW w:type="dxa" w:w="1440"/>
            <w:shd w:fill="C6EFCE" w:val="clear"/>
          </w:tcPr>
          <w:p>
            <w:r>
              <w:rPr>
                <w:sz w:val="17"/>
              </w:rPr>
              <w:t>2026-09-29</w:t>
            </w:r>
          </w:p>
        </w:tc>
        <w:tc>
          <w:tcPr>
            <w:tcW w:type="dxa" w:w="1440"/>
            <w:shd w:fill="C6EFCE" w:val="clear"/>
          </w:tcPr>
          <w:p>
            <w:r>
              <w:rPr>
                <w:sz w:val="17"/>
              </w:rPr>
              <w:t>41,589</w:t>
            </w:r>
          </w:p>
        </w:tc>
        <w:tc>
          <w:tcPr>
            <w:tcW w:type="dxa" w:w="1440"/>
            <w:shd w:fill="C6EFCE" w:val="clear"/>
          </w:tcPr>
          <w:p>
            <w:r>
              <w:rPr>
                <w:b/>
                <w:sz w:val="17"/>
              </w:rPr>
              <w:t>50,910</w:t>
            </w:r>
          </w:p>
        </w:tc>
        <w:tc>
          <w:tcPr>
            <w:tcW w:type="dxa" w:w="1440"/>
            <w:shd w:fill="C6EFCE" w:val="clear"/>
          </w:tcPr>
          <w:p>
            <w:r>
              <w:rPr>
                <w:sz w:val="17"/>
              </w:rPr>
              <w:t>60,232</w:t>
            </w:r>
          </w:p>
        </w:tc>
        <w:tc>
          <w:tcPr>
            <w:tcW w:type="dxa" w:w="1440"/>
            <w:shd w:fill="C6EFCE" w:val="clear"/>
          </w:tcPr>
          <w:p>
            <w:r>
              <w:rPr>
                <w:b/>
                <w:color w:val="008000"/>
                <w:sz w:val="17"/>
              </w:rPr>
              <w:t>+3.8%</w:t>
            </w:r>
          </w:p>
        </w:tc>
      </w:tr>
      <w:tr>
        <w:tc>
          <w:tcPr>
            <w:tcW w:type="dxa" w:w="1440"/>
            <w:shd w:fill="C6EFCE" w:val="clear"/>
          </w:tcPr>
          <w:p>
            <w:r>
              <w:rPr>
                <w:sz w:val="17"/>
              </w:rPr>
              <w:t>J+10  ⭐</w:t>
            </w:r>
          </w:p>
        </w:tc>
        <w:tc>
          <w:tcPr>
            <w:tcW w:type="dxa" w:w="1440"/>
            <w:shd w:fill="C6EFCE" w:val="clear"/>
          </w:tcPr>
          <w:p>
            <w:r>
              <w:rPr>
                <w:sz w:val="17"/>
              </w:rPr>
              <w:t>2026-09-30</w:t>
            </w:r>
          </w:p>
        </w:tc>
        <w:tc>
          <w:tcPr>
            <w:tcW w:type="dxa" w:w="1440"/>
            <w:shd w:fill="C6EFCE" w:val="clear"/>
          </w:tcPr>
          <w:p>
            <w:r>
              <w:rPr>
                <w:sz w:val="17"/>
              </w:rPr>
              <w:t>41,072</w:t>
            </w:r>
          </w:p>
        </w:tc>
        <w:tc>
          <w:tcPr>
            <w:tcW w:type="dxa" w:w="1440"/>
            <w:shd w:fill="C6EFCE" w:val="clear"/>
          </w:tcPr>
          <w:p>
            <w:r>
              <w:rPr>
                <w:b/>
                <w:sz w:val="17"/>
              </w:rPr>
              <w:t>50,894</w:t>
            </w:r>
          </w:p>
        </w:tc>
        <w:tc>
          <w:tcPr>
            <w:tcW w:type="dxa" w:w="1440"/>
            <w:shd w:fill="C6EFCE" w:val="clear"/>
          </w:tcPr>
          <w:p>
            <w:r>
              <w:rPr>
                <w:sz w:val="17"/>
              </w:rPr>
              <w:t>60,717</w:t>
            </w:r>
          </w:p>
        </w:tc>
        <w:tc>
          <w:tcPr>
            <w:tcW w:type="dxa" w:w="1440"/>
            <w:shd w:fill="C6EFCE" w:val="clear"/>
          </w:tcPr>
          <w:p>
            <w:r>
              <w:rPr>
                <w:b/>
                <w:color w:val="008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**Bourse Régionale des Valeurs Mobilières (BRVM) — Secteur : Biens de Consommation (FMCG)**</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**450,22 milliards FCFA**, un niveau significatif à l'échelle de la BRVM qui place la valeur parmi les plus importantes de la cote, bien que très en deçà des géants télécoms ou bancaires régionaux. Les ratios de valorisation classiques (BPA, PER, P/B, EV/EBITDA) ne sont pas calculables en l'état, les données financières structurées nécessaires (résultat net par action, capitaux propres par action, EBITDA) n'étant pas disponibles dans la base de données exploitable. On peut toutefois noter, à partir des rapports fondamentaux, qu'avec un bénéfice net 2023 de 640,3 millions FCFA pour 9,18 millions d'actions, le BPA implicite ressort à environ 70 FCFA, ce qui rapporté au cours actuel de 49 025 FCFA suggère un PER théorique de l'ordre de 700x — un niveau aberrant qui traduit surtout la faiblesse extrême du résultat plutôt qu'une surévaluation spéculative du titre. Le P/B est également problématique puisque les capitaux propres sont négatifs (-10 658 M FCFA en 2023), rendant le ratio non significatif. En l'absence de ces ratios, l'investisseur doit se rabattre sur l'analyse technique et fondamentale pour évaluer la valeur.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-14,74%**, avec une chute brutale de **-7,50% sur la seule séance J-1**, ce qui traduit une pression vendeuse intense et récente. Le cours actuel de **49 025 FCFA** coïncide exactement avec le **plus bas de la période**, tandis que le plus haut s'établit à **63 345 FCFA**, soit un range de trading de 14 320 FCFA (29% d'amplitude) — le titre évolue donc dans une tendance clairement baissière, cassant ses supports successifs. Les statistiques descriptives révèlent une **moyenne de 55 594 FCFA** quasi identique à la **médiane de 55 600 FCFA**, confirmant une distribution symétrique (skewness de 0,133), tandis que le **mode à 58 000 FCFA** indique que le prix le plus fréquent se situe nettement au-dessus du cours actuel, signe que la chute est récente et non structurelle sur toute la période. L'**écart-type de 2 975 FCFA** avec un **coefficient de variation de 5,4%** traduit une dispersion modérée du cours autour de sa moyenne, mais la **volatilité annualisée de 59,0%** classe le titre dans la catégorie **très volatile** (&gt;30%), ce qui est cohérent avec la faible liquidité (21 titres/jour en moyenne) générant des mouvements erratiques. Le **kurtosis de -0,398** (mésokurtique) indique une distribution proche de la normale, sans risque de pics extrêmes fréquents, ce qui est rassurant pour la modélisation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(53 194,5 FCFA) et la MM50 (53 396,8 FCFA) sont toutes deux nettement supérieures au cours actuel (49 025 FCFA), avec un écart de plus de 4 000 FCFA. Cette configuration baissière — prix sous les deux moyennes, MM20 légèrement sous MM50 — confirme la décision de **Vente** : le titre est en tendance descendante et les moyennes agissent comme résistances dynamiques.</w:t>
      </w:r>
    </w:p>
    <w:p>
      <w:pPr>
        <w:spacing w:after="120" w:line="276" w:lineRule="auto"/>
      </w:pPr>
      <w:r>
        <w:t>**Bandes de Bollinger** : Le cours (49 025 FCFA) se situe **sous la borne inférieure** (49 931 FCFA), ce qui constitue un signal de **survente extrême** et justifie la décision d'**Achat** technique. Cette position hors bande traduit une volatilité accrue et une possible réaction haussière à court terme, mais dans un contexte baissier, elle peut aussi annoncer une poursuite de la chute (bandes qui s'élargissent).</w:t>
      </w:r>
    </w:p>
    <w:p>
      <w:pPr>
        <w:spacing w:after="120" w:line="276" w:lineRule="auto"/>
      </w:pPr>
      <w:r>
        <w:t>**MACD** : La valeur du MACD (-574,447) est **inférieure à son signal** (-311,725), avec un histogramme négatif — configuration baissière classique qui confirme la décision de **Vente**. Le momentum est clairement négatif et la divergence entre les deux lignes s'accentue, sans signe de retournement imminent.</w:t>
      </w:r>
    </w:p>
    <w:p>
      <w:pPr>
        <w:spacing w:after="120" w:line="276" w:lineRule="auto"/>
      </w:pPr>
      <w:r>
        <w:t>**RSI** : À **39,872**, le RSI se situe dans la zone **neutre basse** (30-70), sans atteindre la survente (&lt;30). La décision **Neutre** reflète cette absence de signal fort : le titre n'est ni suracheté ni survendu, mais la pente descendante du RSI suggère une pression baissière persistante.</w:t>
      </w:r>
    </w:p>
    <w:p>
      <w:pPr>
        <w:spacing w:after="120" w:line="276" w:lineRule="auto"/>
      </w:pPr>
      <w:r>
        <w:t>**Stochastique** : Le %K à **0,0** (plus bas absolu) et le %D à **37,094** indiquent que le %K a chuté sous le %D, générant un croisement baissier, mais la décision affichée est **Achat** — probablement en anticipation d'un rebond technique depuis la zone de survente extrême (%K=0). Cette divergence entre le signal brut et la décision suggère une opportunité contrariante à court terme.</w:t>
      </w:r>
    </w:p>
    <w:p>
      <w:pPr>
        <w:spacing w:after="120" w:line="276" w:lineRule="auto"/>
      </w:pPr>
      <w:r>
        <w:t>**Conclusion technique** : Les indicateurs sont **majoritairement baissiers** (MM, MACD) mais présentent des signaux de **survente extrême** (Bollinger, Stochastique) qui pourraient déclencher un rebond technique. La convergence n'est pas totale : le RSI neutre et le MACD négatif tempèrent l'optimisme des signaux d'achat. Le titre se trouve dans une zone de **capitulation potentielle** où la prudence reste de mise.</w:t>
      </w:r>
    </w:p>
    <w:p>
      <w:pPr>
        <w:spacing w:after="120" w:line="276" w:lineRule="auto"/>
      </w:pPr>
      <w:r>
        <w:t>---</w:t>
      </w:r>
    </w:p>
    <w:p>
      <w:pPr>
        <w:spacing w:after="120" w:line="276" w:lineRule="auto"/>
      </w:pPr>
      <w:r>
        <w:t>## PARTIE 3 : ANALYSE FONDAMENTALE (SECTION CRITIQUE)</w:t>
      </w:r>
    </w:p>
    <w:p>
      <w:pPr>
        <w:spacing w:after="120" w:line="276" w:lineRule="auto"/>
      </w:pPr>
      <w:r>
        <w:t>L'analyse fondamentale d'UNLC s'appuie sur les rapports financiers officiels disponibles, dont les plus récents datent du **31 décembre 2023** (publiés en 2024) — soit des données vieilles de près de trois ans à la date de cette analyse, ce qui limite leur pertinence pour l'investisseur actuel. **En 2023**, UNILEVER Côte d'Ivoire a réalisé un **chiffre d'affaires de 24 336 010 000 FCFA**, stable par rapport à 2022 (même montant), traduisant une **stagnation complète de l'activité** dans un secteur FMCG pourtant porté par la croissance démographique et l'urbanisation ouest-africaine. Le **résultat net 2023 s'établit à 640 334 855 FCFA**, en amélioration spectaculaire par rapport à la **perte de 6 908 362 002 FCFA en 2022** (ou -6 382 600 386 FCFA selon un autre rapport), mais cette performance reste **très fragile** : la marge nette n'est que de **2,63%**, très en dessous de la moyenne sectorielle FMCG (5-10%). Le **résultat d'exploitation** est passé de -6 258 M FCFA en 2022 à **+3 340 M FCFA en 2023**, signe d'un redressement opérationnel réel, mais les **capitaux propres restent négatifs à -10 658 M FCFA** et le **report à nouveau négatif de -35 635 M FCFA** obère toute distribution de dividende. La **trésorerie passive de 14 874 M FCFA** dépasse largement la trésorerie active, indiquant un **risque de liquidité**, tandis que les **dettes financières ont augmenté à 4 379 M FCFA** (vs 3 827 M FCFA en 2022). Les rapports antérieurs (2021, 2022) confirment la **volatilité extrême des résultats** : bénéfice de 6 090 M FCFA en 2021 (porté par la cession de Lipton), perte de 6 382 M FCFA en 2022, puis modeste bénéfice en 2023 — une **instabilité chronique** qui rend toute projection hasardeuse. En l'absence de rapports trimestriels 2024-2026, on ne peut qu'**estimer** que la situation financière ne s'est pas fondamentalement améliorée depuis 2023, la stagnation du CA et la faiblesse des marges persistant probablement. La **recommandation fondamentale** est donc à la **prudence** : la marque Unilever reste forte et le redressement opérationnel est réel, mais la structure financière (capitaux propres négatifs, endettement, absence de dividende) demeure **préoccupante** et justifie une approche très sélective.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pour UNLC. La **valorisation (Partie 0)** est difficile à apprécier faute de ratios calculables, mais le PER théorique très élevé et les capitaux propres négatifs suggèrent une **situation financière dégradée** plutôt qu'une sous-évaluation. Le **comportement du cours (Partie 1)** est clairement **baissier** (-14,74% sur 100 jours, cours au plus bas), avec une **volatilité très élevée (59%)** et une distribution symétrique (skewness 0,133) sans risque de pics extrêmes (kurtosis -0,398) — des statistiques **préoccupantes** pour un investisseur averse au risque. Les **signaux techniques (Partie 2)** sont **divergents** : baissiers pour les MM et le MACD, mais des signaux de survente extrême (Bollinger, Stochastique) pourraient déclencher un rebond technique à court terme. Les **fondamentaux (Partie 3)** montrent un **redressement opérationnel fragile** (bénéfice 2023 de 640 M FCFA, marge 2,63%) mais une **structure financière toujours précaire** (capitaux propres négatifs, endettement croissant, absence de dividende). Les **prédictions IA (J+1 à J+10)** anticipent une **légère reprise** de 49 025 FCFA à 51 690 FCFA (J+1) puis une stabilisation autour de 51 000 FCFA, ce qui **contredit partiellement** les signaux baissiers en suggérant un rebond technique — cohérent avec les signaux de survente des Bandes de Bollinger et du Stochastique. **Recommandation finale : CONSERVER (avec vigilance)** — la convergence entre les signaux de survente technique et la prédiction IA d'un rebond à court terme justifie de ne pas vendre en panique, mais la faiblesse fondamentale et l'absence de dividende interdisent tout achat agressif. Le **niveau de confiance est Moyen** (données fondamentales anciennes, signaux techniques divergents) et le **risque global est Élevé** (volatilité 59%, capitaux propres négatifs, liquidité faible). L'**horizon d'investissement optimal est le court terme (&lt;3 mois)** pour profiter du rebond technique, avec une sortie recommandée avant toute publication de résultats 2024-2026 qui pourrait décevoir.</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13,198 titres</w:t>
            </w:r>
          </w:p>
        </w:tc>
        <w:tc>
          <w:tcPr>
            <w:tcW w:type="dxa" w:w="2268"/>
            <w:shd w:fill="FFF2CC" w:val="clear"/>
          </w:tcPr>
          <w:p>
            <w:r>
              <w:rPr>
                <w:b/>
                <w:color w:val="503200"/>
                <w:sz w:val="16"/>
              </w:rPr>
              <w:t xml:space="preserve">Cours actuel : </w:t>
            </w:r>
            <w:r>
              <w:rPr>
                <w:color w:val="000000"/>
                <w:sz w:val="17"/>
              </w:rPr>
              <w:t>2,340 FCFA</w:t>
            </w:r>
          </w:p>
          <w:p>
            <w:r>
              <w:rPr>
                <w:b/>
                <w:color w:val="503200"/>
                <w:sz w:val="16"/>
              </w:rPr>
              <w:t xml:space="preserve">Var. 100 jours : </w:t>
            </w:r>
            <w:r>
              <w:rPr>
                <w:b/>
                <w:color w:val="007800"/>
                <w:sz w:val="17"/>
              </w:rPr>
              <w:t>+20.00%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14.24% (Moyenne) — μ=1,956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β=-0.0597 (Contre-cyclique) — Cov=-0.000002, Var(idx)=0.000034, ρ=-0.011,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2026-09-17</w:t>
            </w:r>
          </w:p>
        </w:tc>
        <w:tc>
          <w:tcPr>
            <w:tcW w:type="dxa" w:w="1440"/>
            <w:shd w:fill="FAFAFA" w:val="clear"/>
          </w:tcPr>
          <w:p>
            <w:r>
              <w:rPr>
                <w:sz w:val="17"/>
              </w:rPr>
              <w:t>2,251</w:t>
            </w:r>
          </w:p>
        </w:tc>
        <w:tc>
          <w:tcPr>
            <w:tcW w:type="dxa" w:w="1440"/>
            <w:shd w:fill="FAFAFA" w:val="clear"/>
          </w:tcPr>
          <w:p>
            <w:r>
              <w:rPr>
                <w:b/>
                <w:sz w:val="17"/>
              </w:rPr>
              <w:t>2,346</w:t>
            </w:r>
          </w:p>
        </w:tc>
        <w:tc>
          <w:tcPr>
            <w:tcW w:type="dxa" w:w="1440"/>
            <w:shd w:fill="FAFAFA" w:val="clear"/>
          </w:tcPr>
          <w:p>
            <w:r>
              <w:rPr>
                <w:sz w:val="17"/>
              </w:rPr>
              <w:t>2,440</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2026-09-18</w:t>
            </w:r>
          </w:p>
        </w:tc>
        <w:tc>
          <w:tcPr>
            <w:tcW w:type="dxa" w:w="1440"/>
            <w:shd w:fill="FAFAFA" w:val="clear"/>
          </w:tcPr>
          <w:p>
            <w:r>
              <w:rPr>
                <w:sz w:val="17"/>
              </w:rPr>
              <w:t>2,201</w:t>
            </w:r>
          </w:p>
        </w:tc>
        <w:tc>
          <w:tcPr>
            <w:tcW w:type="dxa" w:w="1440"/>
            <w:shd w:fill="FAFAFA" w:val="clear"/>
          </w:tcPr>
          <w:p>
            <w:r>
              <w:rPr>
                <w:b/>
                <w:sz w:val="17"/>
              </w:rPr>
              <w:t>2,334</w:t>
            </w:r>
          </w:p>
        </w:tc>
        <w:tc>
          <w:tcPr>
            <w:tcW w:type="dxa" w:w="1440"/>
            <w:shd w:fill="FAFAFA" w:val="clear"/>
          </w:tcPr>
          <w:p>
            <w:r>
              <w:rPr>
                <w:sz w:val="17"/>
              </w:rPr>
              <w:t>2,467</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2026-09-21</w:t>
            </w:r>
          </w:p>
        </w:tc>
        <w:tc>
          <w:tcPr>
            <w:tcW w:type="dxa" w:w="1440"/>
            <w:shd w:fill="FAFAFA" w:val="clear"/>
          </w:tcPr>
          <w:p>
            <w:r>
              <w:rPr>
                <w:sz w:val="17"/>
              </w:rPr>
              <w:t>2,163</w:t>
            </w:r>
          </w:p>
        </w:tc>
        <w:tc>
          <w:tcPr>
            <w:tcW w:type="dxa" w:w="1440"/>
            <w:shd w:fill="FAFAFA" w:val="clear"/>
          </w:tcPr>
          <w:p>
            <w:r>
              <w:rPr>
                <w:b/>
                <w:sz w:val="17"/>
              </w:rPr>
              <w:t>2,325</w:t>
            </w:r>
          </w:p>
        </w:tc>
        <w:tc>
          <w:tcPr>
            <w:tcW w:type="dxa" w:w="1440"/>
            <w:shd w:fill="FAFAFA" w:val="clear"/>
          </w:tcPr>
          <w:p>
            <w:r>
              <w:rPr>
                <w:sz w:val="17"/>
              </w:rPr>
              <w:t>2,487</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2026-09-22</w:t>
            </w:r>
          </w:p>
        </w:tc>
        <w:tc>
          <w:tcPr>
            <w:tcW w:type="dxa" w:w="1440"/>
            <w:shd w:fill="FAFAFA" w:val="clear"/>
          </w:tcPr>
          <w:p>
            <w:r>
              <w:rPr>
                <w:sz w:val="17"/>
              </w:rPr>
              <w:t>2,129</w:t>
            </w:r>
          </w:p>
        </w:tc>
        <w:tc>
          <w:tcPr>
            <w:tcW w:type="dxa" w:w="1440"/>
            <w:shd w:fill="FAFAFA" w:val="clear"/>
          </w:tcPr>
          <w:p>
            <w:r>
              <w:rPr>
                <w:b/>
                <w:sz w:val="17"/>
              </w:rPr>
              <w:t>2,316</w:t>
            </w:r>
          </w:p>
        </w:tc>
        <w:tc>
          <w:tcPr>
            <w:tcW w:type="dxa" w:w="1440"/>
            <w:shd w:fill="FAFAFA" w:val="clear"/>
          </w:tcPr>
          <w:p>
            <w:r>
              <w:rPr>
                <w:sz w:val="17"/>
              </w:rPr>
              <w:t>2,502</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2026-09-23</w:t>
            </w:r>
          </w:p>
        </w:tc>
        <w:tc>
          <w:tcPr>
            <w:tcW w:type="dxa" w:w="1440"/>
            <w:shd w:fill="FAFAFA" w:val="clear"/>
          </w:tcPr>
          <w:p>
            <w:r>
              <w:rPr>
                <w:sz w:val="17"/>
              </w:rPr>
              <w:t>2,100</w:t>
            </w:r>
          </w:p>
        </w:tc>
        <w:tc>
          <w:tcPr>
            <w:tcW w:type="dxa" w:w="1440"/>
            <w:shd w:fill="FAFAFA" w:val="clear"/>
          </w:tcPr>
          <w:p>
            <w:r>
              <w:rPr>
                <w:b/>
                <w:sz w:val="17"/>
              </w:rPr>
              <w:t>2,307</w:t>
            </w:r>
          </w:p>
        </w:tc>
        <w:tc>
          <w:tcPr>
            <w:tcW w:type="dxa" w:w="1440"/>
            <w:shd w:fill="FAFAFA" w:val="clear"/>
          </w:tcPr>
          <w:p>
            <w:r>
              <w:rPr>
                <w:sz w:val="17"/>
              </w:rPr>
              <w:t>2,515</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2026-09-24</w:t>
            </w:r>
          </w:p>
        </w:tc>
        <w:tc>
          <w:tcPr>
            <w:tcW w:type="dxa" w:w="1440"/>
            <w:shd w:fill="FAFAFA" w:val="clear"/>
          </w:tcPr>
          <w:p>
            <w:r>
              <w:rPr>
                <w:sz w:val="17"/>
              </w:rPr>
              <w:t>2,072</w:t>
            </w:r>
          </w:p>
        </w:tc>
        <w:tc>
          <w:tcPr>
            <w:tcW w:type="dxa" w:w="1440"/>
            <w:shd w:fill="FAFAFA" w:val="clear"/>
          </w:tcPr>
          <w:p>
            <w:r>
              <w:rPr>
                <w:b/>
                <w:sz w:val="17"/>
              </w:rPr>
              <w:t>2,299</w:t>
            </w:r>
          </w:p>
        </w:tc>
        <w:tc>
          <w:tcPr>
            <w:tcW w:type="dxa" w:w="1440"/>
            <w:shd w:fill="FAFAFA" w:val="clear"/>
          </w:tcPr>
          <w:p>
            <w:r>
              <w:rPr>
                <w:sz w:val="17"/>
              </w:rPr>
              <w:t>2,525</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2026-09-25</w:t>
            </w:r>
          </w:p>
        </w:tc>
        <w:tc>
          <w:tcPr>
            <w:tcW w:type="dxa" w:w="1440"/>
            <w:shd w:fill="FFDCE0" w:val="clear"/>
          </w:tcPr>
          <w:p>
            <w:r>
              <w:rPr>
                <w:sz w:val="17"/>
              </w:rPr>
              <w:t>2,046</w:t>
            </w:r>
          </w:p>
        </w:tc>
        <w:tc>
          <w:tcPr>
            <w:tcW w:type="dxa" w:w="1440"/>
            <w:shd w:fill="FFDCE0" w:val="clear"/>
          </w:tcPr>
          <w:p>
            <w:r>
              <w:rPr>
                <w:b/>
                <w:sz w:val="17"/>
              </w:rPr>
              <w:t>2,290</w:t>
            </w:r>
          </w:p>
        </w:tc>
        <w:tc>
          <w:tcPr>
            <w:tcW w:type="dxa" w:w="1440"/>
            <w:shd w:fill="FFDCE0" w:val="clear"/>
          </w:tcPr>
          <w:p>
            <w:r>
              <w:rPr>
                <w:sz w:val="17"/>
              </w:rPr>
              <w:t>2,534</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2026-09-28</w:t>
            </w:r>
          </w:p>
        </w:tc>
        <w:tc>
          <w:tcPr>
            <w:tcW w:type="dxa" w:w="1440"/>
            <w:shd w:fill="FFDCE0" w:val="clear"/>
          </w:tcPr>
          <w:p>
            <w:r>
              <w:rPr>
                <w:sz w:val="17"/>
              </w:rPr>
              <w:t>2,022</w:t>
            </w:r>
          </w:p>
        </w:tc>
        <w:tc>
          <w:tcPr>
            <w:tcW w:type="dxa" w:w="1440"/>
            <w:shd w:fill="FFDCE0" w:val="clear"/>
          </w:tcPr>
          <w:p>
            <w:r>
              <w:rPr>
                <w:b/>
                <w:sz w:val="17"/>
              </w:rPr>
              <w:t>2,282</w:t>
            </w:r>
          </w:p>
        </w:tc>
        <w:tc>
          <w:tcPr>
            <w:tcW w:type="dxa" w:w="1440"/>
            <w:shd w:fill="FFDCE0" w:val="clear"/>
          </w:tcPr>
          <w:p>
            <w:r>
              <w:rPr>
                <w:sz w:val="17"/>
              </w:rPr>
              <w:t>2,542</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2026-09-29</w:t>
            </w:r>
          </w:p>
        </w:tc>
        <w:tc>
          <w:tcPr>
            <w:tcW w:type="dxa" w:w="1440"/>
            <w:shd w:fill="FFDCE0" w:val="clear"/>
          </w:tcPr>
          <w:p>
            <w:r>
              <w:rPr>
                <w:sz w:val="17"/>
              </w:rPr>
              <w:t>1,999</w:t>
            </w:r>
          </w:p>
        </w:tc>
        <w:tc>
          <w:tcPr>
            <w:tcW w:type="dxa" w:w="1440"/>
            <w:shd w:fill="FFDCE0" w:val="clear"/>
          </w:tcPr>
          <w:p>
            <w:r>
              <w:rPr>
                <w:b/>
                <w:sz w:val="17"/>
              </w:rPr>
              <w:t>2,274</w:t>
            </w:r>
          </w:p>
        </w:tc>
        <w:tc>
          <w:tcPr>
            <w:tcW w:type="dxa" w:w="1440"/>
            <w:shd w:fill="FFDCE0" w:val="clear"/>
          </w:tcPr>
          <w:p>
            <w:r>
              <w:rPr>
                <w:sz w:val="17"/>
              </w:rPr>
              <w:t>2,549</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2026-09-30</w:t>
            </w:r>
          </w:p>
        </w:tc>
        <w:tc>
          <w:tcPr>
            <w:tcW w:type="dxa" w:w="1440"/>
            <w:shd w:fill="FFDCE0" w:val="clear"/>
          </w:tcPr>
          <w:p>
            <w:r>
              <w:rPr>
                <w:sz w:val="17"/>
              </w:rPr>
              <w:t>1,978</w:t>
            </w:r>
          </w:p>
        </w:tc>
        <w:tc>
          <w:tcPr>
            <w:tcW w:type="dxa" w:w="1440"/>
            <w:shd w:fill="FFDCE0" w:val="clear"/>
          </w:tcPr>
          <w:p>
            <w:r>
              <w:rPr>
                <w:b/>
                <w:sz w:val="17"/>
              </w:rPr>
              <w:t>2,266</w:t>
            </w:r>
          </w:p>
        </w:tc>
        <w:tc>
          <w:tcPr>
            <w:tcW w:type="dxa" w:w="1440"/>
            <w:shd w:fill="FFDCE0" w:val="clear"/>
          </w:tcPr>
          <w:p>
            <w:r>
              <w:rPr>
                <w:sz w:val="17"/>
              </w:rPr>
              <w:t>2,555</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 Textile / Entreprise industrielle*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48,55 milliards FCFA, UNIWAX se positionne comme une valeur de taille moyenne sur le compartiment industriel de la BRVM, représentant un poids non négligeable dans l'indice sectoriel textile. Le BPA ressort à -105 FCFA/action sur l'exercice 2024, traduisant une perte nette par titre, ce qui rend le PER inexploitable en l'état (-22,2x) — un ratio négatif signalant simplement une société déficitaire sur cet exercice de référence. Le P/B de 3,11x indique que le marché valorise l'action à plus de trois fois sa valeur comptable, soit une prime de croissance significative (fourchette 2-4x) qui traduit les anticipations des investisseurs sur le redressement opérationnel en cours et la restructuration financière réussie (cession-bail du terrain). Le ratio EV/EBITDA n'est pas fourni dans les données disponibles, ce qui s'explique par la volatilité récente de l'EBE (négatif en 2024, redevenu positif en 2025), rendant la métrique peu pertinente sur la période de transition. En synthèse, la valorisation boursière intègre déjà une bonne partie du scénario de retournement, ce qui limite la marge de sécurité pour un investisseur entrant aujourd'hui.</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progression remarquable de +20,00%, malgré un repli de -1,68% lors de la dernière séance, portant le cours actuel à 2 340 FCFA pour une capitalisation de 48,55 milliards FCFA. Le range de trading est particulièrement large, avec un plus haut à 2 495 FCFA et un plus bas à 1 250 FCFA, soit un écart de près de 100% entre les deux extrêmes — signe d'une forte volatilité et d'un intérêt marqué des investisseurs. La tendance générale est clairement haussière sur la période, portée par les annonces de redressement opérationnel (retour à un résultat d'exploitation positif au S1 2026) et l'assainissement de la structure financière. Les statistiques descriptives révèlent une moyenne de 1 956 FCFA légèrement supérieure à la médiane de 1 905 FCFA, avec un mode à 1 900 FCFA : l'écart modéré entre moyenne et médiane suggère une distribution quasi-symétrique, confirmée par un skewness de 0,149 (asymétrie très faible). L'écart-type de 280 FCFA (CV = 14,3%) indique une dispersion modérée du cours autour de sa moyenne, tandis que le kurtosis de 0,086 (mésokurtique) signale une distribution proche de la normale, sans risque excessif de pics extrêmes. La volatilité annualisée de 50,2% classe le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2 412,25 FCFA et la MM50 à 2 048,20 FCFA, toutes deux inférieures au cours actuel de 2 340 FCFA pour la MM50 mais supérieures pour la MM20 — le cours évolue donc entre ses deux moyennes, avec une MM20 au-dessus du prix et une MM50 en-dessous. Cette configuration (MM20 &gt; cours &gt; MM50) traduit une correction à court terme au sein d'une tendance de fond haussière, ce qui justifie la décision « Achat » générée par le système, le croisement des moyennes restant favorable aux acheteurs.</w:t>
      </w:r>
    </w:p>
    <w:p>
      <w:pPr>
        <w:spacing w:after="120" w:line="276" w:lineRule="auto"/>
      </w:pPr>
      <w:r>
        <w:t>**Bandes de Bollinger** : La borne supérieure se situe à 2 503,99 FCFA et la borne inférieure à 2 320,51 FCFA, avec un cours actuel de 2 340 FCFA positionné très près de la borne basse. Cette proximité de la borne inférieure indique que le titre évolue dans le bas de son canal de volatilité, ce qui peut constituer une zone de rebond potentiel, mais la décision reste « Neutre » car le cours n'a pas encore confirmé de signal de retournement.</w:t>
      </w:r>
    </w:p>
    <w:p>
      <w:pPr>
        <w:spacing w:after="120" w:line="276" w:lineRule="auto"/>
      </w:pPr>
      <w:r>
        <w:t>**MACD** : La valeur du MACD (78,361) est inférieure à son signal (105,297), générant une divergence baissière et une décision « Vente ». Cet écart négatif indique un essoufflement du momentum haussier à court terme, le MACD ayant probablement amorcé un repli après avoir atteint des sommets — signal de prudence qui contredit partiellement la tendance de fond.</w:t>
      </w:r>
    </w:p>
    <w:p>
      <w:pPr>
        <w:spacing w:after="120" w:line="276" w:lineRule="auto"/>
      </w:pPr>
      <w:r>
        <w:t>**RSI** : À 37,288, le RSI se situe dans la zone neutre basse (30-70), sans atteindre la zone de survente (&lt;30). Cette valeur indique que le titre n'est ni suracheté ni survendu, mais penche légèrement vers la faiblesse, ce qui est cohérent avec la correction récente et laisse présager un potentiel de rebond technique si le seuil de 30 n'est pas cassé.</w:t>
      </w:r>
    </w:p>
    <w:p>
      <w:pPr>
        <w:spacing w:after="120" w:line="276" w:lineRule="auto"/>
      </w:pPr>
      <w:r>
        <w:t>**Stochastique** : Le %K est à 0,0 et le %D à 28,986, avec une décision « Achat ». Le %K à zéro signale une position extrême en zone de survente, et le croisement potentiel du %K au-dessus du %D (encore attendu) constituerait un signal d'achat technique classique — c'est le principal élément haussier du tableau technique actuel.</w:t>
      </w:r>
    </w:p>
    <w:p>
      <w:pPr>
        <w:spacing w:after="120" w:line="276" w:lineRule="auto"/>
      </w:pPr>
      <w:r>
        <w:t>**Conclusion technique** : Les indicateurs sont mitigés mais penchent légèrement vers un rebond à court terme : le stochastique en survente extrême et la proximité de la borne basse de Bollinger plaident pour un rebond, tandis que le MACD baissier et le RSI faible appellent à la prudence. La configuration MM20 &gt; cours &gt; MM50 suggère que la tendance de fond reste haussière, mais une correction est en cours. En synthèse, le titre se trouve dans une zone de consolidation technique, avec un avantage marginal aux acheteurs si le support de 2 320 FCFA tient.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brossent un tableau contrasté : UNIWAX a réalisé un chiffre d'affaires de 27,333 milliards FCFA, en croissance de -7,93% (contraction), pour un résultat net de -2,189 milliards FCFA, soit une marge nette de -8,01%. Le ROE ressort à -14,04% et le ROA à -6,39%, confirmant la destruction de valeur sur cet exercice. La structure financière reste néanmoins solide avec une autonomie financière de 45,53% (capitaux propres/total bilan), une liquidité générale de 126,23% (&gt;1, bon) et un endettement financier très faible (dépendance financière de 2,11%). Les délais d'exploitation révèlent des points de vigilance : délai clients de 51 jours (risque de trésorerie modéré), délai fournisseurs de 268 jours (favorable à la trésorerie) et durée de stockage de 255 jours (immobilisation de capital importante). Le BFR de 2,149 milliards FCFA et le fonds de roulement de 4,027 milliards FCFA indiquent une situation de liquidité correcte malgré les pertes. Les rapports narratifs les plus récents (S1 2026, publié en 2026) montrent une inflexion majeure : le chiffre d'affaires semestriel s'établit à 15,752 milliards FCFA (+0,3% sur un an), le résultat d'exploitation redevient positif à 771 millions FCFA (contre -314 millions au S1 2025), et le résultat net atteint 771 millions FCFA — bien qu'en recul par rapport aux 8,2 milliards du S1 2025 qui incluaient une plus-value exceptionnelle de cession de près de 10 milliards. Le rapport annuel 2025 (publié en 2025) confirme cette dynamique : CA de 29,03 milliards FCFA (+6,2%), EBE redevenu positif à 1,13 milliard FCFA (contre -0,35 milliard en 2024), et perte nette réduite de 71% à -624 millions FCFA. Sur la base du rapport S1 2026, on peut estimer que l'exercice 2026 devrait confirmer le retour à une rentabilité opérationnelle positive, avec un résultat d'exploitation annuel potentiellement compris entre 1,5 et 2 milliards FCFA si la dynamique du S1 se poursuit — un scénario crédible mais qui reste à confirmer sur le second semestre. La recommandation fondamentale est donc « Conserver » avec un biais positif : la solidité du bilan (capitaux propres de 24,62 milliards FCFA en 2025), le désendettement massif (dettes fournisseurs ramenées de 14,9 à 5,0 milliards) et le retour de l'EBE positif constituent des signaux encourageants, mais la persistance de pertes cumulées (-5,54 milliards de report à nouveau négatif) et la dépendance à des éléments non récurrents (cessions d'actifs)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le plan de la **valorisation (Partie 0)**, le P/B de 3,11x indique que le marché intègre déjà une prime de redressement significative, tandis que le PER négatif et l'absence d'EV/EBITDA exploitable limitent la lisibilité — le titre n'est donc pas « bon marché » sur les métriques traditionnelles. Le **comportement du cours (Partie 1)** est haussier sur 100 jours (+20%) mais avec une volatilité élevée (50,2%) et une distribution quasi-normale (kurtosis 0,086, skewness 0,149), ce qui suggère un risque de marché réel mais sans biais directionnel marqué. Les **signaux techniques (Partie 2)** sont mitigés : le stochastique en survente extrême et la proximité de la borne basse de Bollinger plaident pour un rebond, mais le MACD baissier et le RSI faible tempèrent l'optimisme — il y a divergence entre les indicateurs de court terme (haussiers) et de momentum (baissiers). Les **fondamentaux (Partie 3)** montrent une amélioration réelle mais fragile : retour à un résultat d'exploitation positif au S1 2026 (771 millions FCFA), EBE positif en 2025 (1,13 milliard FCFA), désendettement réussi, mais pertes cumulées persistantes et dépendance à des éléments non récurrents. Les **prédictions IA (J+1 à J+10)** anticipent une légère baisse du cours de 2 346 à 2 307 FCFA, soit une contraction de -1,7% sur 10 jours, ce qui contredit le signal de rebond technique à court terme et suggère une poursuite de la consolidation. **Recommandation finale : CONSERVER** — la convergence entre la valorisation exigeante, les signaux techniques mitigés, les fondamentaux en amélioration mais fragiles et les prédictions baissières à court terme ne justifie pas un achat agressif, mais la solidité du bilan et le retour à la rentabilité opérationnelle excluent une vente. Le niveau de confiance est **Moyen** (les signaux sont divergents), le niveau de risque global est **Élevé** (volatilité de 50,2%, dépendance aux éléments exceptionnels, pertes cumulées), et l'horizon d'investissement optimal est le **moyen terme (3-12 mois)**, le temps que la rentabilité opérationnelle se confirme sur un exercice complet et que les comptes 2026 soient certifiés. Un passage à l'achat serait justifié si le titre revenait vers 2 100-2 200 FCFA (zone de support technique) ou si le T4 2026 confirmait un résultat d'exploitation positif sans éléments exceptionnels.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