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06/10/2026 à 11:20</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C00000"/>
          <w:sz w:val="19"/>
        </w:rPr>
        <w:t>BAISSIER 📉</w:t>
      </w:r>
    </w:p>
    <w:p>
      <w:pPr>
        <w:spacing w:before="20" w:after="20"/>
        <w:ind w:left="360" w:right="360"/>
        <w:shd w:val="clear" w:color="auto" w:fill="EBF5FB"/>
      </w:pPr>
      <w:r>
        <w:rPr>
          <w:b/>
          <w:sz w:val="19"/>
        </w:rPr>
        <w:t xml:space="preserve">Signaux :  </w:t>
      </w:r>
      <w:r>
        <w:rPr>
          <w:color w:val="0050A0"/>
          <w:sz w:val="19"/>
        </w:rPr>
        <w:t>47 ACHAT  |  1 NEUTRE  |  0 VENTE  (sur 48 sociétés)</w:t>
      </w:r>
    </w:p>
    <w:p>
      <w:pPr>
        <w:spacing w:before="20" w:after="20"/>
        <w:ind w:left="360" w:right="360"/>
        <w:shd w:val="clear" w:color="auto" w:fill="EBF5FB"/>
      </w:pPr>
      <w:r>
        <w:rPr>
          <w:b/>
          <w:sz w:val="19"/>
        </w:rPr>
        <w:t xml:space="preserve">Top opportunité :  </w:t>
      </w:r>
      <w:r>
        <w:rPr>
          <w:color w:val="008000"/>
          <w:sz w:val="19"/>
        </w:rPr>
        <w:t>ORAC  (score 87/100)</w:t>
      </w:r>
    </w:p>
    <w:p>
      <w:pPr>
        <w:spacing w:before="20" w:after="20"/>
        <w:ind w:left="360" w:right="360"/>
        <w:shd w:val="clear" w:color="auto" w:fill="EBF5FB"/>
      </w:pPr>
      <w:r>
        <w:rPr>
          <w:b/>
          <w:sz w:val="19"/>
        </w:rPr>
        <w:t xml:space="preserve">Secteur surperformant :  </w:t>
      </w:r>
      <w:r>
        <w:rPr>
          <w:color w:val="008000"/>
          <w:sz w:val="19"/>
        </w:rPr>
        <w:t>SERVICES PUBLICS  (+71.1%)</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12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539.17 points </w:t>
      </w:r>
      <w:r>
        <w:rPr>
          <w:color w:val="C00000"/>
        </w:rPr>
        <w:t>(-1.79%)</w:t>
      </w:r>
      <w:r>
        <w:t xml:space="preserve"> sur la séance. </w:t>
      </w:r>
      <w:r>
        <w:t>La capitalisation globale du marché atteint 21 143,394 milliards FCFA.</w:t>
      </w:r>
    </w:p>
    <w:p/>
    <w:p>
      <w:pPr>
        <w:pStyle w:val="Heading3"/>
      </w:pPr>
      <w:r>
        <w:t>📊 Évolution de l'indice BRVM Composite (100 derniers jours)</w:t>
      </w:r>
    </w:p>
    <w:p>
      <w:r>
        <w:rPr>
          <w:b/>
        </w:rPr>
        <w:t xml:space="preserve">BRVM Composite — </w:t>
      </w:r>
      <w:r>
        <w:t xml:space="preserve">Sur les 100 derniers jours de cotation (2026-05-11 au 2026-10-05), l'indice BRVM Composite a évolué de </w:t>
      </w:r>
      <w:r>
        <w:rPr>
          <w:b/>
          <w:color w:val="008000"/>
        </w:rPr>
        <w:t>+32.88%</w:t>
      </w:r>
      <w:r>
        <w:t>, passant de 405.75 pts à 539.17 pts. Le plus haut atteint est 555.90 pts et le plus bas 405.75 pts. Sur l'ensemble de la période, la moyenne de l'indice s'établit à 482.96 pts, la médiane à 481.36 pts et le mode à 405.75 pts</w:t>
      </w:r>
      <w:r>
        <w:t xml:space="preserve"> (distribution symétrique). </w:t>
      </w:r>
      <w:r>
        <w:t xml:space="preserve">L'écart-type de 46.31 pts (CV=9.6%) traduit une modérée dispersion des cotations. Le kurtosis de -1.27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+35.18%</w:t>
      </w:r>
      <w:r>
        <w:t xml:space="preserve"> sur la période, passant de 15 640,455 Mds FCFA à 21 143,394 Mds FCFA. Le pic de capitalisation observé est de 21 529,927 Mds FCFA et le plancher de 15 640,455 Mds FCFA. La moyenne de la capitalisation sur la période s'établit à 18 639,730 Mds FCFA, la médiane à 18 543,228 Mds FCFA et le mode à 15 640,455 Mds FCFA</w:t>
      </w:r>
      <w:r>
        <w:t xml:space="preserve"> (distribution symétrique). </w:t>
      </w:r>
      <w:r>
        <w:t>L'écart-type de 1 824,727 Mds FCFA (CV=9.8%) reflète une modérée variabilité de la valorisation du marché. Le kurtosis de -1.26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ORAC - ORAC - ORANGE COTE D'IVOIRE</w:t>
      </w:r>
      <w:r>
        <w:t xml:space="preserve"> | Prix: 19900 FCFA | </w:t>
      </w:r>
      <w:r>
        <w:rPr>
          <w:b/>
          <w:color w:val="008000"/>
        </w:rPr>
        <w:t>ACHAT FORT</w:t>
      </w:r>
      <w:r>
        <w:t xml:space="preserve"> | Confiance: Élevée | Risque: Moyen</w:t>
      </w:r>
    </w:p>
    <w:p>
      <w:pPr>
        <w:pStyle w:val="ListNumber"/>
      </w:pPr>
      <w:r>
        <w:rPr>
          <w:b/>
        </w:rPr>
        <w:t>STAC - STAC - SETAO COTE D'IVOIRE</w:t>
      </w:r>
      <w:r>
        <w:t xml:space="preserve"> | Prix: 2200 FCFA | </w:t>
      </w:r>
      <w:r>
        <w:rPr>
          <w:b/>
          <w:color w:val="008000"/>
        </w:rPr>
        <w:t>ACHAT FORT</w:t>
      </w:r>
      <w:r>
        <w:t xml:space="preserve"> | Confiance: Élevée | Risque: Moyen</w:t>
      </w:r>
    </w:p>
    <w:p>
      <w:pPr>
        <w:pStyle w:val="ListNumber"/>
      </w:pPr>
      <w:r>
        <w:rPr>
          <w:b/>
        </w:rPr>
        <w:t>ABJC - ABJC - SERVAIR ABIDJAN CI</w:t>
      </w:r>
      <w:r>
        <w:t xml:space="preserve"> | Prix: 3300 FCFA | </w:t>
      </w:r>
      <w:r>
        <w:rPr>
          <w:b/>
          <w:color w:val="008000"/>
        </w:rPr>
        <w:t>ACHAT</w:t>
      </w:r>
      <w:r>
        <w:t xml:space="preserve"> | Confiance: Élevée | Risque: Faible</w:t>
      </w:r>
    </w:p>
    <w:p>
      <w:pPr>
        <w:pStyle w:val="ListNumber"/>
      </w:pPr>
      <w:r>
        <w:rPr>
          <w:b/>
        </w:rPr>
        <w:t>BBGC - BRIDGE BANK GROUP COTE D'IVOIRE</w:t>
      </w:r>
      <w:r>
        <w:t xml:space="preserve"> | Prix: 9195 FCFA | </w:t>
      </w:r>
      <w:r>
        <w:rPr>
          <w:b/>
          <w:color w:val="008000"/>
        </w:rPr>
        <w:t>ACHAT</w:t>
      </w:r>
      <w:r>
        <w:t xml:space="preserve"> | Confiance: Moyen | Risque: Faible</w:t>
      </w:r>
    </w:p>
    <w:p>
      <w:pPr>
        <w:pStyle w:val="ListNumber"/>
      </w:pPr>
      <w:r>
        <w:rPr>
          <w:b/>
        </w:rPr>
        <w:t>BICB - BIIC BN - Banque internationale pour le commerce du benin</w:t>
      </w:r>
      <w:r>
        <w:t xml:space="preserve"> | Prix: 8625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31305 FCFA | </w:t>
      </w:r>
      <w:r>
        <w:rPr>
          <w:b/>
          <w:color w:val="008000"/>
        </w:rPr>
        <w:t>ACHAT</w:t>
      </w:r>
      <w:r>
        <w:t xml:space="preserve"> | Confiance: Moyen | Risque: Moyen</w:t>
      </w:r>
    </w:p>
    <w:p>
      <w:pPr>
        <w:pStyle w:val="ListNumber"/>
      </w:pPr>
      <w:r>
        <w:rPr>
          <w:b/>
        </w:rPr>
        <w:t>BNBC - BNBC - BERNABE CI</w:t>
      </w:r>
      <w:r>
        <w:t xml:space="preserve"> | Prix: 1810 FCFA | </w:t>
      </w:r>
      <w:r>
        <w:rPr>
          <w:b/>
          <w:color w:val="008000"/>
        </w:rPr>
        <w:t>ACHAT</w:t>
      </w:r>
      <w:r>
        <w:t xml:space="preserve"> | Confiance: Moyen | Risque: Moyen</w:t>
      </w:r>
    </w:p>
    <w:p>
      <w:pPr>
        <w:pStyle w:val="ListNumber"/>
      </w:pPr>
      <w:r>
        <w:rPr>
          <w:b/>
        </w:rPr>
        <w:t>BOAB - BANK OF AFRICA BENIN</w:t>
      </w:r>
      <w:r>
        <w:t xml:space="preserve"> | Prix: 9370 FCFA | </w:t>
      </w:r>
      <w:r>
        <w:rPr>
          <w:b/>
          <w:color w:val="008000"/>
        </w:rPr>
        <w:t>ACHAT</w:t>
      </w:r>
      <w:r>
        <w:t xml:space="preserve"> | Confiance: Moyen | Risque: Faible</w:t>
      </w:r>
    </w:p>
    <w:p>
      <w:pPr>
        <w:pStyle w:val="ListNumber"/>
      </w:pPr>
      <w:r>
        <w:rPr>
          <w:b/>
        </w:rPr>
        <w:t>BOABF - BANK OF AFRICA BURKINA FASO</w:t>
      </w:r>
      <w:r>
        <w:t xml:space="preserve"> | Prix: 7900 FCFA | </w:t>
      </w:r>
      <w:r>
        <w:rPr>
          <w:b/>
          <w:color w:val="008000"/>
        </w:rPr>
        <w:t>ACHAT</w:t>
      </w:r>
      <w:r>
        <w:t xml:space="preserve"> | Confiance: Moyen | Risque: Moyen</w:t>
      </w:r>
    </w:p>
    <w:p>
      <w:pPr>
        <w:pStyle w:val="ListNumber"/>
      </w:pPr>
      <w:r>
        <w:rPr>
          <w:b/>
        </w:rPr>
        <w:t>BOAC - BANK OF AFRICA COTE D'IVOIRE</w:t>
      </w:r>
      <w:r>
        <w:t xml:space="preserve"> | Prix: 11300 FCFA | </w:t>
      </w:r>
      <w:r>
        <w:rPr>
          <w:b/>
          <w:color w:val="008000"/>
        </w:rPr>
        <w:t>ACHAT</w:t>
      </w:r>
      <w:r>
        <w:t xml:space="preserve"> | Confiance: Faible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NTLC - NTLC - NESTLE COTE D'IVOIRE</w:t>
      </w:r>
      <w:r>
        <w:t xml:space="preserve"> | Prix: 15490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71.14%</w:t>
      </w:r>
      <w:r>
        <w:t xml:space="preserve">  |  </w:t>
      </w:r>
      <w:r>
        <w:rPr>
          <w:b/>
        </w:rPr>
        <w:t xml:space="preserve">vs BRVM Composite: </w:t>
      </w:r>
      <w:r>
        <w:rPr>
          <w:b/>
          <w:color w:val="008000"/>
        </w:rPr>
        <w:t>+38.26%  🟢 Surperformance</w:t>
      </w:r>
      <w:r>
        <w:br/>
      </w:r>
      <w:r>
        <w:rPr>
          <w:b/>
        </w:rPr>
        <w:t xml:space="preserve">Sentiment général: </w:t>
      </w:r>
      <w:r>
        <w:t xml:space="preserve">ACHAT  |  </w:t>
      </w:r>
      <w:r>
        <w:rPr>
          <w:b/>
        </w:rPr>
        <w:t xml:space="preserve">Risque moyen: </w:t>
      </w:r>
      <w:r>
        <w:t xml:space="preserve">Moyen  |  </w:t>
      </w:r>
      <w:r>
        <w:rPr>
          <w:b/>
        </w:rPr>
        <w:t xml:space="preserve">Prix moyen: </w:t>
      </w:r>
      <w:r>
        <w:t>9670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36.02%</w:t>
      </w:r>
      <w:r>
        <w:t xml:space="preserve">  |  </w:t>
      </w:r>
      <w:r>
        <w:rPr>
          <w:b/>
        </w:rPr>
        <w:t xml:space="preserve">vs BRVM Composite: </w:t>
      </w:r>
      <w:r>
        <w:rPr>
          <w:b/>
          <w:color w:val="008000"/>
        </w:rPr>
        <w:t>+3.14%  🟢 Surperformance</w:t>
      </w:r>
      <w:r>
        <w:br/>
      </w:r>
      <w:r>
        <w:rPr>
          <w:b/>
        </w:rPr>
        <w:t xml:space="preserve">Sentiment général: </w:t>
      </w:r>
      <w:r>
        <w:t xml:space="preserve">ACHAT  |  </w:t>
      </w:r>
      <w:r>
        <w:rPr>
          <w:b/>
        </w:rPr>
        <w:t xml:space="preserve">Risque moyen: </w:t>
      </w:r>
      <w:r>
        <w:t xml:space="preserve">Moyen  |  </w:t>
      </w:r>
      <w:r>
        <w:rPr>
          <w:b/>
        </w:rPr>
        <w:t xml:space="preserve">Prix moyen: </w:t>
      </w:r>
      <w:r>
        <w:t>13324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32.05%</w:t>
      </w:r>
      <w:r>
        <w:t xml:space="preserve">  |  </w:t>
      </w:r>
      <w:r>
        <w:rPr>
          <w:b/>
        </w:rPr>
        <w:t xml:space="preserve">vs BRVM Composite: </w:t>
      </w:r>
      <w:r>
        <w:rPr>
          <w:b/>
          <w:color w:val="C00000"/>
        </w:rPr>
        <w:t>-0.83%  🔴 Sous-performance</w:t>
      </w:r>
      <w:r>
        <w:br/>
      </w:r>
      <w:r>
        <w:rPr>
          <w:b/>
        </w:rPr>
        <w:t xml:space="preserve">Sentiment général: </w:t>
      </w:r>
      <w:r>
        <w:t xml:space="preserve">ACHAT  |  </w:t>
      </w:r>
      <w:r>
        <w:rPr>
          <w:b/>
        </w:rPr>
        <w:t xml:space="preserve">Risque moyen: </w:t>
      </w:r>
      <w:r>
        <w:t xml:space="preserve">Moyen  |  </w:t>
      </w:r>
      <w:r>
        <w:rPr>
          <w:b/>
        </w:rPr>
        <w:t xml:space="preserve">Prix moyen: </w:t>
      </w:r>
      <w:r>
        <w:t>22610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26.74%</w:t>
      </w:r>
      <w:r>
        <w:t xml:space="preserve">  |  </w:t>
      </w:r>
      <w:r>
        <w:rPr>
          <w:b/>
        </w:rPr>
        <w:t xml:space="preserve">vs BRVM Composite: </w:t>
      </w:r>
      <w:r>
        <w:rPr>
          <w:b/>
          <w:color w:val="C00000"/>
        </w:rPr>
        <w:t>-6.14%  🔴 Sous-performance</w:t>
      </w:r>
      <w:r>
        <w:br/>
      </w:r>
      <w:r>
        <w:rPr>
          <w:b/>
        </w:rPr>
        <w:t xml:space="preserve">Sentiment général: </w:t>
      </w:r>
      <w:r>
        <w:t xml:space="preserve">ACHAT  |  </w:t>
      </w:r>
      <w:r>
        <w:rPr>
          <w:b/>
        </w:rPr>
        <w:t xml:space="preserve">Risque moyen: </w:t>
      </w:r>
      <w:r>
        <w:t xml:space="preserve">Faible  |  </w:t>
      </w:r>
      <w:r>
        <w:rPr>
          <w:b/>
        </w:rPr>
        <w:t xml:space="preserve">Prix moyen: </w:t>
      </w:r>
      <w:r>
        <w:t>9195 FCFA</w:t>
        <w:br/>
      </w:r>
      <w:r>
        <w:rPr>
          <w:b/>
        </w:rPr>
        <w:br/>
        <w:t xml:space="preserve">Sociétés: </w:t>
      </w:r>
      <w:r>
        <w:t>BBGC (BRIDGE BANK GROUP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20.37%</w:t>
      </w:r>
      <w:r>
        <w:t xml:space="preserve">  |  </w:t>
      </w:r>
      <w:r>
        <w:rPr>
          <w:b/>
        </w:rPr>
        <w:t xml:space="preserve">vs BRVM Composite: </w:t>
      </w:r>
      <w:r>
        <w:rPr>
          <w:b/>
          <w:color w:val="C00000"/>
        </w:rPr>
        <w:t>-12.51%  🔴 Sous-performance</w:t>
      </w:r>
      <w:r>
        <w:br/>
      </w:r>
      <w:r>
        <w:rPr>
          <w:b/>
        </w:rPr>
        <w:t xml:space="preserve">Sentiment général: </w:t>
      </w:r>
      <w:r>
        <w:t xml:space="preserve">ACHAT  |  </w:t>
      </w:r>
      <w:r>
        <w:rPr>
          <w:b/>
        </w:rPr>
        <w:t xml:space="preserve">Risque moyen: </w:t>
      </w:r>
      <w:r>
        <w:t xml:space="preserve">Faible  |  </w:t>
      </w:r>
      <w:r>
        <w:rPr>
          <w:b/>
        </w:rPr>
        <w:t xml:space="preserve">Prix moyen: </w:t>
      </w:r>
      <w:r>
        <w:t>6459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19.47%</w:t>
      </w:r>
      <w:r>
        <w:t xml:space="preserve">  |  </w:t>
      </w:r>
      <w:r>
        <w:rPr>
          <w:b/>
        </w:rPr>
        <w:t xml:space="preserve">vs BRVM Composite: </w:t>
      </w:r>
      <w:r>
        <w:rPr>
          <w:b/>
          <w:color w:val="C00000"/>
        </w:rPr>
        <w:t>-13.42%  🔴 Sous-performance</w:t>
      </w:r>
      <w:r>
        <w:br/>
      </w:r>
      <w:r>
        <w:rPr>
          <w:b/>
        </w:rPr>
        <w:t xml:space="preserve">Sentiment général: </w:t>
      </w:r>
      <w:r>
        <w:t xml:space="preserve">ACHAT  |  </w:t>
      </w:r>
      <w:r>
        <w:rPr>
          <w:b/>
        </w:rPr>
        <w:t xml:space="preserve">Risque moyen: </w:t>
      </w:r>
      <w:r>
        <w:t xml:space="preserve">Faible  |  </w:t>
      </w:r>
      <w:r>
        <w:rPr>
          <w:b/>
        </w:rPr>
        <w:t xml:space="preserve">Prix moyen: </w:t>
      </w:r>
      <w:r>
        <w:t>17507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13.86%</w:t>
      </w:r>
      <w:r>
        <w:t xml:space="preserve">  |  </w:t>
      </w:r>
      <w:r>
        <w:rPr>
          <w:b/>
        </w:rPr>
        <w:t xml:space="preserve">vs BRVM Composite: </w:t>
      </w:r>
      <w:r>
        <w:rPr>
          <w:b/>
          <w:color w:val="C00000"/>
        </w:rPr>
        <w:t>-19.02%  🔴 Sous-performance</w:t>
      </w:r>
      <w:r>
        <w:br/>
      </w:r>
      <w:r>
        <w:rPr>
          <w:b/>
        </w:rPr>
        <w:t xml:space="preserve">Sentiment général: </w:t>
      </w:r>
      <w:r>
        <w:t xml:space="preserve">ACHAT  |  </w:t>
      </w:r>
      <w:r>
        <w:rPr>
          <w:b/>
        </w:rPr>
        <w:t xml:space="preserve">Risque moyen: </w:t>
      </w:r>
      <w:r>
        <w:t xml:space="preserve">Moyen  |  </w:t>
      </w:r>
      <w:r>
        <w:rPr>
          <w:b/>
        </w:rPr>
        <w:t xml:space="preserve">Prix moyen: </w:t>
      </w:r>
      <w:r>
        <w:t>2689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0.01%</w:t>
      </w:r>
      <w:r>
        <w:t xml:space="preserve">  |  </w:t>
      </w:r>
      <w:r>
        <w:rPr>
          <w:b/>
        </w:rPr>
        <w:t xml:space="preserve">vs BRVM Composite: </w:t>
      </w:r>
      <w:r>
        <w:rPr>
          <w:b/>
          <w:color w:val="C00000"/>
        </w:rPr>
        <w:t>-32.87%  🔴 Sous-performance</w:t>
      </w:r>
      <w:r>
        <w:br/>
      </w:r>
      <w:r>
        <w:rPr>
          <w:b/>
        </w:rPr>
        <w:t xml:space="preserve">Sentiment général: </w:t>
      </w:r>
      <w:r>
        <w:t xml:space="preserve">ACHAT  |  </w:t>
      </w:r>
      <w:r>
        <w:rPr>
          <w:b/>
        </w:rPr>
        <w:t xml:space="preserve">Risque moyen: </w:t>
      </w:r>
      <w:r>
        <w:t xml:space="preserve">Faible  |  </w:t>
      </w:r>
      <w:r>
        <w:rPr>
          <w:b/>
        </w:rPr>
        <w:t xml:space="preserve">Prix moyen: </w:t>
      </w:r>
      <w:r>
        <w:t>2324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ETIT, FTSC, NEIC, ONTBF, ORAC, SDCC, SGBC, SHEC, TTLC,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BICC, BNBC, BOAB, BOABF, BOAM, BOAS, CABC, CBIBF, CFAC, CIEC, ECOC, NSBC, ORGT, PALC, PRSC, SCRC, SEMC, SIBC, SMBC, SNTS, SPHC, STAC,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BOAC, BOAN, LNBB, SAFC, SDSC, SICC, SIVC, SLBC, SOGC, STBC, UNLC</w:t>
            </w:r>
          </w:p>
        </w:tc>
        <w:tc>
          <w:tcPr>
            <w:tcW w:type="dxa" w:w="2160"/>
            <w:shd w:fill="FFC7CE" w:val="clear"/>
          </w:tcPr>
          <w:p>
            <w:pPr>
              <w:spacing w:before="40" w:after="40"/>
            </w:pPr>
            <w:r/>
            <w:r>
              <w:rPr>
                <w:b w:val="0"/>
                <w:sz w:val="16"/>
              </w:rPr>
              <w:t>NTLC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2097666</w:t>
            </w:r>
          </w:p>
        </w:tc>
        <w:tc>
          <w:tcPr>
            <w:tcW w:type="dxa" w:w="1728"/>
          </w:tcPr>
          <w:p>
            <w:r>
              <w:t>141915948 FCFA</w:t>
            </w:r>
          </w:p>
        </w:tc>
        <w:tc>
          <w:tcPr>
            <w:tcW w:type="dxa" w:w="1728"/>
          </w:tcPr>
          <w:p>
            <w:r>
              <w:t>116.67%</w:t>
            </w:r>
          </w:p>
        </w:tc>
        <w:tc>
          <w:tcPr>
            <w:tcW w:type="dxa" w:w="1728"/>
          </w:tcPr>
          <w:p>
            <w:r>
              <w:t>ACHAT</w:t>
            </w:r>
          </w:p>
        </w:tc>
      </w:tr>
      <w:tr>
        <w:tc>
          <w:tcPr>
            <w:tcW w:type="dxa" w:w="1728"/>
          </w:tcPr>
          <w:p>
            <w:r>
              <w:t>BBGC (BRIDGE BANK GROUP COTE D'IVOIRE)</w:t>
            </w:r>
          </w:p>
        </w:tc>
        <w:tc>
          <w:tcPr>
            <w:tcW w:type="dxa" w:w="1728"/>
          </w:tcPr>
          <w:p>
            <w:r>
              <w:t>43712</w:t>
            </w:r>
          </w:p>
        </w:tc>
        <w:tc>
          <w:tcPr>
            <w:tcW w:type="dxa" w:w="1728"/>
          </w:tcPr>
          <w:p>
            <w:r>
              <w:t>396571751 FCFA</w:t>
            </w:r>
          </w:p>
        </w:tc>
        <w:tc>
          <w:tcPr>
            <w:tcW w:type="dxa" w:w="1728"/>
          </w:tcPr>
          <w:p>
            <w:r>
              <w:t>26.74%</w:t>
            </w:r>
          </w:p>
        </w:tc>
        <w:tc>
          <w:tcPr>
            <w:tcW w:type="dxa" w:w="1728"/>
          </w:tcPr>
          <w:p>
            <w:r>
              <w:t>ACHAT</w:t>
            </w:r>
          </w:p>
        </w:tc>
      </w:tr>
      <w:tr>
        <w:tc>
          <w:tcPr>
            <w:tcW w:type="dxa" w:w="1728"/>
          </w:tcPr>
          <w:p>
            <w:r>
              <w:t>SNTS (SNTS - SONATEL SN)</w:t>
            </w:r>
          </w:p>
        </w:tc>
        <w:tc>
          <w:tcPr>
            <w:tcW w:type="dxa" w:w="1728"/>
          </w:tcPr>
          <w:p>
            <w:r>
              <w:t>26256</w:t>
            </w:r>
          </w:p>
        </w:tc>
        <w:tc>
          <w:tcPr>
            <w:tcW w:type="dxa" w:w="1728"/>
          </w:tcPr>
          <w:p>
            <w:r>
              <w:t>1093000264 FCFA</w:t>
            </w:r>
          </w:p>
        </w:tc>
        <w:tc>
          <w:tcPr>
            <w:tcW w:type="dxa" w:w="1728"/>
          </w:tcPr>
          <w:p>
            <w:r>
              <w:t>55.10%</w:t>
            </w:r>
          </w:p>
        </w:tc>
        <w:tc>
          <w:tcPr>
            <w:tcW w:type="dxa" w:w="1728"/>
          </w:tcPr>
          <w:p>
            <w:r>
              <w:t>ACHAT</w:t>
            </w:r>
          </w:p>
        </w:tc>
      </w:tr>
      <w:tr>
        <w:tc>
          <w:tcPr>
            <w:tcW w:type="dxa" w:w="1728"/>
          </w:tcPr>
          <w:p>
            <w:r>
              <w:t>BOAS (BANK OF AFRICA SENEGAL)</w:t>
            </w:r>
          </w:p>
        </w:tc>
        <w:tc>
          <w:tcPr>
            <w:tcW w:type="dxa" w:w="1728"/>
          </w:tcPr>
          <w:p>
            <w:r>
              <w:t>14288</w:t>
            </w:r>
          </w:p>
        </w:tc>
        <w:tc>
          <w:tcPr>
            <w:tcW w:type="dxa" w:w="1728"/>
          </w:tcPr>
          <w:p>
            <w:r>
              <w:t>115919808 FCFA</w:t>
            </w:r>
          </w:p>
        </w:tc>
        <w:tc>
          <w:tcPr>
            <w:tcW w:type="dxa" w:w="1728"/>
          </w:tcPr>
          <w:p>
            <w:r>
              <w:t>9.40%</w:t>
            </w:r>
          </w:p>
        </w:tc>
        <w:tc>
          <w:tcPr>
            <w:tcW w:type="dxa" w:w="1728"/>
          </w:tcPr>
          <w:p>
            <w:r>
              <w:t>ACHAT</w:t>
            </w:r>
          </w:p>
        </w:tc>
      </w:tr>
      <w:tr>
        <w:tc>
          <w:tcPr>
            <w:tcW w:type="dxa" w:w="1728"/>
          </w:tcPr>
          <w:p>
            <w:r>
              <w:t>SIBC (SIBC - SOCIETE IVOIRIENNE DE BANQUE)</w:t>
            </w:r>
          </w:p>
        </w:tc>
        <w:tc>
          <w:tcPr>
            <w:tcW w:type="dxa" w:w="1728"/>
          </w:tcPr>
          <w:p>
            <w:r>
              <w:t>12015</w:t>
            </w:r>
          </w:p>
        </w:tc>
        <w:tc>
          <w:tcPr>
            <w:tcW w:type="dxa" w:w="1728"/>
          </w:tcPr>
          <w:p>
            <w:r>
              <w:t>109194432 FCFA</w:t>
            </w:r>
          </w:p>
        </w:tc>
        <w:tc>
          <w:tcPr>
            <w:tcW w:type="dxa" w:w="1728"/>
          </w:tcPr>
          <w:p>
            <w:r>
              <w:t>26.75%</w:t>
            </w:r>
          </w:p>
        </w:tc>
        <w:tc>
          <w:tcPr>
            <w:tcW w:type="dxa" w:w="1728"/>
          </w:tcPr>
          <w:p>
            <w:r>
              <w:t>ACHAT</w:t>
            </w:r>
          </w:p>
        </w:tc>
      </w:tr>
      <w:tr>
        <w:tc>
          <w:tcPr>
            <w:tcW w:type="dxa" w:w="1728"/>
          </w:tcPr>
          <w:p>
            <w:r>
              <w:t>BOAC (BANK OF AFRICA COTE D'IVOIRE)</w:t>
            </w:r>
          </w:p>
        </w:tc>
        <w:tc>
          <w:tcPr>
            <w:tcW w:type="dxa" w:w="1728"/>
          </w:tcPr>
          <w:p>
            <w:r>
              <w:t>11743</w:t>
            </w:r>
          </w:p>
        </w:tc>
        <w:tc>
          <w:tcPr>
            <w:tcW w:type="dxa" w:w="1728"/>
          </w:tcPr>
          <w:p>
            <w:r>
              <w:t>137363881 FCFA</w:t>
            </w:r>
          </w:p>
        </w:tc>
        <w:tc>
          <w:tcPr>
            <w:tcW w:type="dxa" w:w="1728"/>
          </w:tcPr>
          <w:p>
            <w:r>
              <w:t>30.64%</w:t>
            </w:r>
          </w:p>
        </w:tc>
        <w:tc>
          <w:tcPr>
            <w:tcW w:type="dxa" w:w="1728"/>
          </w:tcPr>
          <w:p>
            <w:r>
              <w:t>ACHAT</w:t>
            </w:r>
          </w:p>
        </w:tc>
      </w:tr>
      <w:tr>
        <w:tc>
          <w:tcPr>
            <w:tcW w:type="dxa" w:w="1728"/>
          </w:tcPr>
          <w:p>
            <w:r>
              <w:t>SDSC (SDSC - AFRICA GLOBAL LOGISTICS CI)</w:t>
            </w:r>
          </w:p>
        </w:tc>
        <w:tc>
          <w:tcPr>
            <w:tcW w:type="dxa" w:w="1728"/>
          </w:tcPr>
          <w:p>
            <w:r>
              <w:t>11423</w:t>
            </w:r>
          </w:p>
        </w:tc>
        <w:tc>
          <w:tcPr>
            <w:tcW w:type="dxa" w:w="1728"/>
          </w:tcPr>
          <w:p>
            <w:r>
              <w:t>33536891 FCFA</w:t>
            </w:r>
          </w:p>
        </w:tc>
        <w:tc>
          <w:tcPr>
            <w:tcW w:type="dxa" w:w="1728"/>
          </w:tcPr>
          <w:p>
            <w:r>
              <w:t>80.00%</w:t>
            </w:r>
          </w:p>
        </w:tc>
        <w:tc>
          <w:tcPr>
            <w:tcW w:type="dxa" w:w="1728"/>
          </w:tcPr>
          <w:p>
            <w:r>
              <w:t>ACHAT</w:t>
            </w:r>
          </w:p>
        </w:tc>
      </w:tr>
      <w:tr>
        <w:tc>
          <w:tcPr>
            <w:tcW w:type="dxa" w:w="1728"/>
          </w:tcPr>
          <w:p>
            <w:r>
              <w:t>UNXC (UNXC - UNIWAX COTE D'IVOIRE)</w:t>
            </w:r>
          </w:p>
        </w:tc>
        <w:tc>
          <w:tcPr>
            <w:tcW w:type="dxa" w:w="1728"/>
          </w:tcPr>
          <w:p>
            <w:r>
              <w:t>11368</w:t>
            </w:r>
          </w:p>
        </w:tc>
        <w:tc>
          <w:tcPr>
            <w:tcW w:type="dxa" w:w="1728"/>
          </w:tcPr>
          <w:p>
            <w:r>
              <w:t>26496761 FCFA</w:t>
            </w:r>
          </w:p>
        </w:tc>
        <w:tc>
          <w:tcPr>
            <w:tcW w:type="dxa" w:w="1728"/>
          </w:tcPr>
          <w:p>
            <w:r>
              <w:t>23.98%</w:t>
            </w:r>
          </w:p>
        </w:tc>
        <w:tc>
          <w:tcPr>
            <w:tcW w:type="dxa" w:w="1728"/>
          </w:tcPr>
          <w:p>
            <w:r>
              <w:t>ACHAT</w:t>
            </w:r>
          </w:p>
        </w:tc>
      </w:tr>
      <w:tr>
        <w:tc>
          <w:tcPr>
            <w:tcW w:type="dxa" w:w="1728"/>
          </w:tcPr>
          <w:p>
            <w:r>
              <w:t>SCRC (SCRC - SUCRIVOIRE)</w:t>
            </w:r>
          </w:p>
        </w:tc>
        <w:tc>
          <w:tcPr>
            <w:tcW w:type="dxa" w:w="1728"/>
          </w:tcPr>
          <w:p>
            <w:r>
              <w:t>11244</w:t>
            </w:r>
          </w:p>
        </w:tc>
        <w:tc>
          <w:tcPr>
            <w:tcW w:type="dxa" w:w="1728"/>
          </w:tcPr>
          <w:p>
            <w:r>
              <w:t>34493294 FCFA</w:t>
            </w:r>
          </w:p>
        </w:tc>
        <w:tc>
          <w:tcPr>
            <w:tcW w:type="dxa" w:w="1728"/>
          </w:tcPr>
          <w:p>
            <w:r>
              <w:t>34.62%</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PALC (PALC - PALM COTE D'IVOIRE)</w:t>
            </w:r>
          </w:p>
        </w:tc>
        <w:tc>
          <w:tcPr>
            <w:tcW w:type="dxa" w:w="1728"/>
          </w:tcPr>
          <w:p>
            <w:r>
              <w:t>3843</w:t>
            </w:r>
          </w:p>
        </w:tc>
        <w:tc>
          <w:tcPr>
            <w:tcW w:type="dxa" w:w="1728"/>
          </w:tcPr>
          <w:p>
            <w:r>
              <w:t>31995360 FCFA</w:t>
            </w:r>
          </w:p>
        </w:tc>
        <w:tc>
          <w:tcPr>
            <w:tcW w:type="dxa" w:w="1728"/>
          </w:tcPr>
          <w:p>
            <w:r>
              <w:t>7.05%</w:t>
            </w:r>
          </w:p>
        </w:tc>
        <w:tc>
          <w:tcPr>
            <w:tcW w:type="dxa" w:w="1728"/>
          </w:tcPr>
          <w:p>
            <w:r>
              <w:t>ACHAT</w:t>
            </w:r>
          </w:p>
        </w:tc>
      </w:tr>
      <w:tr>
        <w:tc>
          <w:tcPr>
            <w:tcW w:type="dxa" w:w="1728"/>
          </w:tcPr>
          <w:p>
            <w:r>
              <w:t>ABJC (ABJC - SERVAIR ABIDJAN CI)</w:t>
            </w:r>
          </w:p>
        </w:tc>
        <w:tc>
          <w:tcPr>
            <w:tcW w:type="dxa" w:w="1728"/>
          </w:tcPr>
          <w:p>
            <w:r>
              <w:t>3570</w:t>
            </w:r>
          </w:p>
        </w:tc>
        <w:tc>
          <w:tcPr>
            <w:tcW w:type="dxa" w:w="1728"/>
          </w:tcPr>
          <w:p>
            <w:r>
              <w:t>13831378 FCFA</w:t>
            </w:r>
          </w:p>
        </w:tc>
        <w:tc>
          <w:tcPr>
            <w:tcW w:type="dxa" w:w="1728"/>
          </w:tcPr>
          <w:p>
            <w:r>
              <w:t>10.55%</w:t>
            </w:r>
          </w:p>
        </w:tc>
        <w:tc>
          <w:tcPr>
            <w:tcW w:type="dxa" w:w="1728"/>
          </w:tcPr>
          <w:p>
            <w:r>
              <w:t>ACHAT</w:t>
            </w:r>
          </w:p>
        </w:tc>
      </w:tr>
      <w:tr>
        <w:tc>
          <w:tcPr>
            <w:tcW w:type="dxa" w:w="1728"/>
          </w:tcPr>
          <w:p>
            <w:r>
              <w:t>ECOC (ECOC - ECOBANK COTE D'IVOIRE)</w:t>
            </w:r>
          </w:p>
        </w:tc>
        <w:tc>
          <w:tcPr>
            <w:tcW w:type="dxa" w:w="1728"/>
          </w:tcPr>
          <w:p>
            <w:r>
              <w:t>3296</w:t>
            </w:r>
          </w:p>
        </w:tc>
        <w:tc>
          <w:tcPr>
            <w:tcW w:type="dxa" w:w="1728"/>
          </w:tcPr>
          <w:p>
            <w:r>
              <w:t>56221382 FCFA</w:t>
            </w:r>
          </w:p>
        </w:tc>
        <w:tc>
          <w:tcPr>
            <w:tcW w:type="dxa" w:w="1728"/>
          </w:tcPr>
          <w:p>
            <w:r>
              <w:t>3.70%</w:t>
            </w:r>
          </w:p>
        </w:tc>
        <w:tc>
          <w:tcPr>
            <w:tcW w:type="dxa" w:w="1728"/>
          </w:tcPr>
          <w:p>
            <w:r>
              <w:t>ACHAT</w:t>
            </w:r>
          </w:p>
        </w:tc>
      </w:tr>
      <w:tr>
        <w:tc>
          <w:tcPr>
            <w:tcW w:type="dxa" w:w="1728"/>
          </w:tcPr>
          <w:p>
            <w:r>
              <w:t>CFAC (CFAC - CFAO MOTORS CI)</w:t>
            </w:r>
          </w:p>
        </w:tc>
        <w:tc>
          <w:tcPr>
            <w:tcW w:type="dxa" w:w="1728"/>
          </w:tcPr>
          <w:p>
            <w:r>
              <w:t>3076</w:t>
            </w:r>
          </w:p>
        </w:tc>
        <w:tc>
          <w:tcPr>
            <w:tcW w:type="dxa" w:w="1728"/>
          </w:tcPr>
          <w:p>
            <w:r>
              <w:t>4995468 FCFA</w:t>
            </w:r>
          </w:p>
        </w:tc>
        <w:tc>
          <w:tcPr>
            <w:tcW w:type="dxa" w:w="1728"/>
          </w:tcPr>
          <w:p>
            <w:r>
              <w:t>5.80%</w:t>
            </w:r>
          </w:p>
        </w:tc>
        <w:tc>
          <w:tcPr>
            <w:tcW w:type="dxa" w:w="1728"/>
          </w:tcPr>
          <w:p>
            <w:r>
              <w:t>ACHAT</w:t>
            </w:r>
          </w:p>
        </w:tc>
      </w:tr>
      <w:tr>
        <w:tc>
          <w:tcPr>
            <w:tcW w:type="dxa" w:w="1728"/>
          </w:tcPr>
          <w:p>
            <w:r>
              <w:t>FTSC (FTSC - FILTISAC COTE D'IVOIRE)</w:t>
            </w:r>
          </w:p>
        </w:tc>
        <w:tc>
          <w:tcPr>
            <w:tcW w:type="dxa" w:w="1728"/>
          </w:tcPr>
          <w:p>
            <w:r>
              <w:t>3034</w:t>
            </w:r>
          </w:p>
        </w:tc>
        <w:tc>
          <w:tcPr>
            <w:tcW w:type="dxa" w:w="1728"/>
          </w:tcPr>
          <w:p>
            <w:r>
              <w:t>6184762 FCFA</w:t>
            </w:r>
          </w:p>
        </w:tc>
        <w:tc>
          <w:tcPr>
            <w:tcW w:type="dxa" w:w="1728"/>
          </w:tcPr>
          <w:p>
            <w:r>
              <w:t>-15.91%</w:t>
            </w:r>
          </w:p>
        </w:tc>
        <w:tc>
          <w:tcPr>
            <w:tcW w:type="dxa" w:w="1728"/>
          </w:tcPr>
          <w:p>
            <w:r>
              <w:t>ACHAT</w:t>
            </w:r>
          </w:p>
        </w:tc>
      </w:tr>
      <w:tr>
        <w:tc>
          <w:tcPr>
            <w:tcW w:type="dxa" w:w="1728"/>
          </w:tcPr>
          <w:p>
            <w:r>
              <w:t>SOGC (SOGC - Société des caoutchoucs de Grand-Béréby)</w:t>
            </w:r>
          </w:p>
        </w:tc>
        <w:tc>
          <w:tcPr>
            <w:tcW w:type="dxa" w:w="1728"/>
          </w:tcPr>
          <w:p>
            <w:r>
              <w:t>2921</w:t>
            </w:r>
          </w:p>
        </w:tc>
        <w:tc>
          <w:tcPr>
            <w:tcW w:type="dxa" w:w="1728"/>
          </w:tcPr>
          <w:p>
            <w:r>
              <w:t>22934842 FCFA</w:t>
            </w:r>
          </w:p>
        </w:tc>
        <w:tc>
          <w:tcPr>
            <w:tcW w:type="dxa" w:w="1728"/>
          </w:tcPr>
          <w:p>
            <w:r>
              <w:t>3.04%</w:t>
            </w:r>
          </w:p>
        </w:tc>
        <w:tc>
          <w:tcPr>
            <w:tcW w:type="dxa" w:w="1728"/>
          </w:tcPr>
          <w:p>
            <w:r>
              <w:t>ACHAT</w:t>
            </w:r>
          </w:p>
        </w:tc>
      </w:tr>
      <w:tr>
        <w:tc>
          <w:tcPr>
            <w:tcW w:type="dxa" w:w="1728"/>
          </w:tcPr>
          <w:p>
            <w:r>
              <w:t>STBC (STBC - SITAB COTE D'IVOIRE)</w:t>
            </w:r>
          </w:p>
        </w:tc>
        <w:tc>
          <w:tcPr>
            <w:tcW w:type="dxa" w:w="1728"/>
          </w:tcPr>
          <w:p>
            <w:r>
              <w:t>2878</w:t>
            </w:r>
          </w:p>
        </w:tc>
        <w:tc>
          <w:tcPr>
            <w:tcW w:type="dxa" w:w="1728"/>
          </w:tcPr>
          <w:p>
            <w:r>
              <w:t>62540177 FCFA</w:t>
            </w:r>
          </w:p>
        </w:tc>
        <w:tc>
          <w:tcPr>
            <w:tcW w:type="dxa" w:w="1728"/>
          </w:tcPr>
          <w:p>
            <w:r>
              <w:t>2.40%</w:t>
            </w:r>
          </w:p>
        </w:tc>
        <w:tc>
          <w:tcPr>
            <w:tcW w:type="dxa" w:w="1728"/>
          </w:tcPr>
          <w:p>
            <w:r>
              <w:t>ACHAT</w:t>
            </w:r>
          </w:p>
        </w:tc>
      </w:tr>
      <w:tr>
        <w:tc>
          <w:tcPr>
            <w:tcW w:type="dxa" w:w="1728"/>
          </w:tcPr>
          <w:p>
            <w:r>
              <w:t>NEIC (NEIC - NEI-CEDA CI)</w:t>
            </w:r>
          </w:p>
        </w:tc>
        <w:tc>
          <w:tcPr>
            <w:tcW w:type="dxa" w:w="1728"/>
          </w:tcPr>
          <w:p>
            <w:r>
              <w:t>2830</w:t>
            </w:r>
          </w:p>
        </w:tc>
        <w:tc>
          <w:tcPr>
            <w:tcW w:type="dxa" w:w="1728"/>
          </w:tcPr>
          <w:p>
            <w:r>
              <w:t>6913835 FCFA</w:t>
            </w:r>
          </w:p>
        </w:tc>
        <w:tc>
          <w:tcPr>
            <w:tcW w:type="dxa" w:w="1728"/>
          </w:tcPr>
          <w:p>
            <w:r>
              <w:t>20.81%</w:t>
            </w:r>
          </w:p>
        </w:tc>
        <w:tc>
          <w:tcPr>
            <w:tcW w:type="dxa" w:w="1728"/>
          </w:tcPr>
          <w:p>
            <w:r>
              <w:t>ACHAT</w:t>
            </w:r>
          </w:p>
        </w:tc>
      </w:tr>
      <w:tr>
        <w:tc>
          <w:tcPr>
            <w:tcW w:type="dxa" w:w="1728"/>
          </w:tcPr>
          <w:p>
            <w:r>
              <w:t>BNBC (BNBC - BERNABE CI)</w:t>
            </w:r>
          </w:p>
        </w:tc>
        <w:tc>
          <w:tcPr>
            <w:tcW w:type="dxa" w:w="1728"/>
          </w:tcPr>
          <w:p>
            <w:r>
              <w:t>2627</w:t>
            </w:r>
          </w:p>
        </w:tc>
        <w:tc>
          <w:tcPr>
            <w:tcW w:type="dxa" w:w="1728"/>
          </w:tcPr>
          <w:p>
            <w:r>
              <w:t>5296304 FCFA</w:t>
            </w:r>
          </w:p>
        </w:tc>
        <w:tc>
          <w:tcPr>
            <w:tcW w:type="dxa" w:w="1728"/>
          </w:tcPr>
          <w:p>
            <w:r>
              <w:t>29.75%</w:t>
            </w:r>
          </w:p>
        </w:tc>
        <w:tc>
          <w:tcPr>
            <w:tcW w:type="dxa" w:w="1728"/>
          </w:tcPr>
          <w:p>
            <w:r>
              <w:t>ACHAT</w:t>
            </w:r>
          </w:p>
        </w:tc>
      </w:tr>
      <w:tr>
        <w:tc>
          <w:tcPr>
            <w:tcW w:type="dxa" w:w="1728"/>
          </w:tcPr>
          <w:p>
            <w:r>
              <w:t>SDCC (SDCC - Société de Distribution d'Eau de Côte d'Ivoire)</w:t>
            </w:r>
          </w:p>
        </w:tc>
        <w:tc>
          <w:tcPr>
            <w:tcW w:type="dxa" w:w="1728"/>
          </w:tcPr>
          <w:p>
            <w:r>
              <w:t>2236</w:t>
            </w:r>
          </w:p>
        </w:tc>
        <w:tc>
          <w:tcPr>
            <w:tcW w:type="dxa" w:w="1728"/>
          </w:tcPr>
          <w:p>
            <w:r>
              <w:t>29178546 FCFA</w:t>
            </w:r>
          </w:p>
        </w:tc>
        <w:tc>
          <w:tcPr>
            <w:tcW w:type="dxa" w:w="1728"/>
          </w:tcPr>
          <w:p>
            <w:r>
              <w:t>42.28%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2.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3.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4. SAFC - SAFCA CI</w:t>
      </w:r>
    </w:p>
    <w:p>
      <w:r>
        <w:rPr>
          <w:b/>
        </w:rPr>
        <w:t xml:space="preserve">Score de divergence: </w:t>
      </w:r>
      <w:r>
        <w:t>5/8</w:t>
        <w:br/>
      </w:r>
      <w:r>
        <w:rPr>
          <w:b/>
        </w:rPr>
        <w:t xml:space="preserve">Description: </w:t>
      </w:r>
      <w:r>
        <w:t>Signaux de vente: MM, MACD | Recommandation finale: ACHAT</w:t>
        <w:br/>
      </w:r>
    </w:p>
    <w:p/>
    <w:p>
      <w:pPr>
        <w:pStyle w:val="Heading3"/>
      </w:pPr>
      <w:r>
        <w:t>5. SLBC - SLBC - SOLIBRA COTE D'IVOIRE</w:t>
      </w:r>
    </w:p>
    <w:p>
      <w:r>
        <w:rPr>
          <w:b/>
        </w:rPr>
        <w:t xml:space="preserve">Score de divergence: </w:t>
      </w:r>
      <w:r>
        <w:t>5/8</w:t>
        <w:br/>
      </w:r>
      <w:r>
        <w:rPr>
          <w:b/>
        </w:rPr>
        <w:t xml:space="preserve">Description: </w:t>
      </w:r>
      <w:r>
        <w:t>Signaux de vente: MM, MACD | Recommandation finale: ACHAT</w:t>
        <w:br/>
      </w:r>
    </w:p>
    <w:p/>
    <w:p>
      <w:pPr>
        <w:pStyle w:val="Heading3"/>
      </w:pPr>
      <w:r>
        <w:t>6.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7. SDSC - SDSC - AFRICA GLOBAL LOGISTICS CI</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SIVC - SIVC - ERIUM CI (Ex AIR LIQUIDECI)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STBC - STBC - SITAB COTE D'IVOIRE</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27</w:t>
            </w:r>
          </w:p>
        </w:tc>
        <w:tc>
          <w:tcPr>
            <w:tcW w:type="dxa" w:w="2160"/>
          </w:tcPr>
          <w:p>
            <w:r>
              <w:t>0</w:t>
            </w:r>
          </w:p>
        </w:tc>
      </w:tr>
      <w:tr>
        <w:tc>
          <w:tcPr>
            <w:tcW w:type="dxa" w:w="2160"/>
          </w:tcPr>
          <w:p>
            <w:r>
              <w:t>Risque Moyen</w:t>
            </w:r>
          </w:p>
        </w:tc>
        <w:tc>
          <w:tcPr>
            <w:tcW w:type="dxa" w:w="2160"/>
          </w:tcPr>
          <w:p>
            <w:r>
              <w:t>0</w:t>
            </w:r>
          </w:p>
        </w:tc>
        <w:tc>
          <w:tcPr>
            <w:tcW w:type="dxa" w:w="2160"/>
          </w:tcPr>
          <w:p>
            <w:r>
              <w:t>21</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**BCE** : Philip Lane signale que les freins à la croissance en zone euro pourraient limiter l'ampleur des hausses de taux (Boursorama, 05/10/2026). Signal plutôt accommodant.</w:t>
      </w:r>
    </w:p>
    <w:p>
      <w:pPr>
        <w:pStyle w:val="ListBullet"/>
        <w:spacing w:before="20" w:after="20"/>
        <w:ind w:left="360"/>
      </w:pPr>
      <w:r>
        <w:rPr>
          <w:sz w:val="18"/>
        </w:rPr>
        <w:t>**France** : L'Agefi indique que la France ne peut pas compter sur une intervention BCE pour soutenir son économie (05/10/2026).</w:t>
      </w:r>
    </w:p>
    <w:p>
      <w:pPr>
        <w:pStyle w:val="ListBullet"/>
        <w:spacing w:before="20" w:after="20"/>
        <w:ind w:left="360"/>
      </w:pPr>
      <w:r>
        <w:rPr>
          <w:color w:val="C00000"/>
          <w:sz w:val="18"/>
        </w:rPr>
        <w:t>**Pétrole** : Le dollar canadien recule sous pression baissière des prix du pétrole (Yahoo Finance, 05/10/2026), signal d'un repli des cours pétroliers.</w:t>
      </w:r>
    </w:p>
    <w:p>
      <w:pPr>
        <w:pStyle w:val="Heading3"/>
      </w:pPr>
      <w:r>
        <w:rPr>
          <w:color w:val="500050"/>
        </w:rPr>
        <w:t>⚡ Impact estimé sur la BRVM</w:t>
      </w:r>
    </w:p>
    <w:p>
      <w:pPr>
        <w:spacing w:before="20" w:after="40"/>
        <w:ind w:left="280"/>
      </w:pPr>
      <w:r>
        <w:rPr>
          <w:i/>
          <w:sz w:val="18"/>
        </w:rPr>
        <w:t>Un ralentissement zone euro pèse sur les exportations UEMOA (cacao, caoutchouc, coton) et donc sur **SCRC**, **SOGC**, **SPHC**. La baisse du pétrole est favorable aux coûts énergétiques de **TTLS**, **TTLC**, **SDCC**, mais défavorable aux producteurs pétroliers régionaux.</w:t>
      </w:r>
    </w:p>
    <w:p>
      <w:pPr>
        <w:pStyle w:val="Heading2"/>
      </w:pPr>
      <w:r>
        <w:rPr>
          <w:color w:val="006E32"/>
        </w:rPr>
        <w:t>🌍 Plan Africain</w:t>
      </w:r>
    </w:p>
    <w:p>
      <w:pPr>
        <w:pStyle w:val="ListBullet"/>
        <w:spacing w:before="20" w:after="20"/>
        <w:ind w:left="360"/>
      </w:pPr>
      <w:r>
        <w:rPr>
          <w:color w:val="008000"/>
          <w:sz w:val="18"/>
        </w:rPr>
        <w:t>**Croissance** : Africanews (01/10/2026) évoque une croissance solide en Afrique, freinée par le défi de l'investissement (Positif).</w:t>
      </w:r>
    </w:p>
    <w:p>
      <w:pPr>
        <w:pStyle w:val="ListBullet"/>
        <w:spacing w:before="20" w:after="20"/>
        <w:ind w:left="360"/>
      </w:pPr>
      <w:r>
        <w:rPr>
          <w:sz w:val="18"/>
        </w:rPr>
        <w:t>**Dette** : Les Echos (23/09/2026) — l'Afrique reste dépendante du dollar malgré l'offensive chinoise en yuan (Négatif).</w:t>
      </w:r>
    </w:p>
    <w:p>
      <w:pPr>
        <w:pStyle w:val="ListBullet"/>
        <w:spacing w:before="20" w:after="20"/>
        <w:ind w:left="360"/>
      </w:pPr>
      <w:r>
        <w:rPr>
          <w:color w:val="008000"/>
          <w:sz w:val="18"/>
        </w:rPr>
        <w:t>**Transformation** : Plaidoyer d'Amara pour l'investissement et l'emploi (lav, 26/09/2026, Positif).</w:t>
      </w:r>
    </w:p>
    <w:p>
      <w:pPr>
        <w:pStyle w:val="Heading3"/>
      </w:pPr>
      <w:r>
        <w:rPr>
          <w:color w:val="500050"/>
        </w:rPr>
        <w:t>⚡ Impact estimé sur la BRVM</w:t>
      </w:r>
    </w:p>
    <w:p>
      <w:pPr>
        <w:spacing w:before="20" w:after="40"/>
        <w:ind w:left="280"/>
      </w:pPr>
      <w:r>
        <w:rPr>
          <w:i/>
          <w:sz w:val="18"/>
        </w:rPr>
        <w:t>La croissance africaine soutient les volumes d'affaires des groupes panafricains cotés (**ETIT**, **SGBC**, **ONTBF**). La dépendance au dollar maintient un risque de change sur les importations (**CFAC**, **BNBC**).</w:t>
      </w:r>
    </w:p>
    <w:p>
      <w:pPr>
        <w:pStyle w:val="Heading2"/>
      </w:pPr>
      <w:r>
        <w:rPr>
          <w:color w:val="145A28"/>
        </w:rPr>
        <w:t>🌍 Plan Afrique de l'Ouest</w:t>
      </w:r>
    </w:p>
    <w:p>
      <w:pPr>
        <w:pStyle w:val="ListBullet"/>
        <w:spacing w:before="20" w:after="20"/>
        <w:ind w:left="360"/>
      </w:pPr>
      <w:r>
        <w:rPr>
          <w:sz w:val="18"/>
        </w:rPr>
        <w:t>**CEDEAO 2026** : L'organisation tente de reprendre l'initiative après les retraits de plusieurs États membres (pressafrik, 24heureinfo, 03-06/10/2026, Neutre).</w:t>
      </w:r>
    </w:p>
    <w:p>
      <w:pPr>
        <w:pStyle w:val="ListBullet"/>
        <w:spacing w:before="20" w:after="20"/>
        <w:ind w:left="360"/>
      </w:pPr>
      <w:r>
        <w:rPr>
          <w:color w:val="008000"/>
          <w:sz w:val="18"/>
        </w:rPr>
        <w:t>**Forum investissement CEDEAO 2027** : Lancement mobilisant investisseurs et partenaires (01/10/2026, Positif).</w:t>
      </w:r>
    </w:p>
    <w:p>
      <w:pPr>
        <w:pStyle w:val="Heading3"/>
      </w:pPr>
      <w:r>
        <w:rPr>
          <w:color w:val="500050"/>
        </w:rPr>
        <w:t>⚡ Impact estimé sur la BRVM</w:t>
      </w:r>
    </w:p>
    <w:p>
      <w:pPr>
        <w:spacing w:before="20" w:after="40"/>
        <w:ind w:left="280"/>
      </w:pPr>
      <w:r>
        <w:rPr>
          <w:i/>
          <w:sz w:val="18"/>
        </w:rPr>
        <w:t>La reprise en main CEDEAO et le forum 2027 améliorent la perception risque-pays, bénéfique aux flux vers **SGBC**, **BICB**, **ETIT** présents dans plusieurs pays de la zone.</w:t>
      </w:r>
    </w:p>
    <w:p>
      <w:pPr>
        <w:pStyle w:val="Heading2"/>
      </w:pPr>
      <w:r>
        <w:rPr>
          <w:color w:val="8C4600"/>
        </w:rPr>
        <w:t>🏦 Plan UEMOA / Zone Franc</w:t>
      </w:r>
    </w:p>
    <w:p>
      <w:pPr>
        <w:pStyle w:val="ListBullet"/>
        <w:spacing w:before="20" w:after="20"/>
        <w:ind w:left="360"/>
      </w:pPr>
      <w:r>
        <w:rPr>
          <w:color w:val="008000"/>
          <w:sz w:val="18"/>
        </w:rPr>
        <w:t>**Sénégal-Algérie** : Partenariat industriel via Sonelgaz dans l'énergie/gaz (05/10/2026, Positif).</w:t>
      </w:r>
    </w:p>
    <w:p>
      <w:pPr>
        <w:pStyle w:val="ListBullet"/>
        <w:spacing w:before="20" w:after="20"/>
        <w:ind w:left="360"/>
      </w:pPr>
      <w:r>
        <w:rPr>
          <w:sz w:val="18"/>
        </w:rPr>
        <w:t>**Inondations Sénégal** : Événement climatique meurtrier (tv5monde, 05/10/2026, Négatif).</w:t>
      </w:r>
    </w:p>
    <w:p>
      <w:pPr>
        <w:pStyle w:val="ListBullet"/>
        <w:spacing w:before="20" w:after="20"/>
        <w:ind w:left="360"/>
      </w:pPr>
      <w:r>
        <w:rPr>
          <w:color w:val="008000"/>
          <w:sz w:val="18"/>
        </w:rPr>
        <w:t>**Burkina Faso** : Libération de partisans du Dr Kindo, apaisement politique (koaci, 05/10/2026, Positif).</w:t>
      </w:r>
    </w:p>
    <w:p>
      <w:pPr>
        <w:pStyle w:val="Heading3"/>
      </w:pPr>
      <w:r>
        <w:rPr>
          <w:color w:val="500050"/>
        </w:rPr>
        <w:t>⚡ Impact estimé sur la BRVM</w:t>
      </w:r>
    </w:p>
    <w:p>
      <w:pPr>
        <w:spacing w:before="20" w:after="40"/>
        <w:ind w:left="280"/>
      </w:pPr>
      <w:r>
        <w:rPr>
          <w:i/>
          <w:sz w:val="18"/>
        </w:rPr>
        <w:t>Le partenariat énergie Sénégal-Algérie pourrait bénéficier à **TTLS**, **TTLC**, **SDCC** via de nouveaux projets gaziers. Les inondations sénégalaises exposent **SONATEL/ONTBF** (infrastructures) et les assureurs. Détente Burkina Faso favorable à **ONTBF**, **BICB** présents au Burkina.</w:t>
      </w:r>
    </w:p>
    <w:p>
      <w:pPr>
        <w:pStyle w:val="Heading2"/>
      </w:pPr>
      <w:r>
        <w:rPr>
          <w:color w:val="003366"/>
        </w:rPr>
        <w:t>📈 Plan BRVM</w:t>
      </w:r>
    </w:p>
    <w:p>
      <w:pPr>
        <w:pStyle w:val="ListBullet"/>
        <w:spacing w:before="20" w:after="20"/>
        <w:ind w:left="360"/>
      </w:pPr>
      <w:r>
        <w:rPr>
          <w:color w:val="008000"/>
          <w:sz w:val="18"/>
        </w:rPr>
        <w:t>**Résultats ivoiriens** : La Tribune (09/06/2026) souligne des résultats encourageants des sociétés cotées ivoiriennes (Positif).</w:t>
      </w:r>
    </w:p>
    <w:p>
      <w:pPr>
        <w:pStyle w:val="ListBullet"/>
        <w:spacing w:before="20" w:after="20"/>
        <w:ind w:left="360"/>
      </w:pPr>
      <w:r>
        <w:rPr>
          <w:sz w:val="18"/>
        </w:rPr>
        <w:t>Indice BRVM Composite à **539.17**, sans autre donnée de volume ou top/flop fournie.</w:t>
      </w:r>
    </w:p>
    <w:p>
      <w:pPr>
        <w:pStyle w:val="Heading3"/>
      </w:pPr>
      <w:r>
        <w:rPr>
          <w:color w:val="500050"/>
        </w:rPr>
        <w:t>⚡ Impact estimé sur la BRVM</w:t>
      </w:r>
    </w:p>
    <w:p>
      <w:pPr>
        <w:spacing w:before="20" w:after="40"/>
        <w:ind w:left="280"/>
      </w:pPr>
      <w:r>
        <w:rPr>
          <w:i/>
          <w:sz w:val="18"/>
        </w:rPr>
        <w:t>Sentiment positif sur les valeurs ivoiriennes : **SGBC**, **BICB**, **ETIT**, **ONTBF**, **CFAC** à surveiller en priorité. **PALC**, **SIVC**, **SOGC**, **NTLC**, **SLBC** : données insuffisantes pour recommandation spécifique.</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Tensions BCE/France sur le soutien économique (L'Agefi, 05/10/2026).</w:t>
      </w:r>
    </w:p>
    <w:p>
      <w:pPr>
        <w:pStyle w:val="ListBullet"/>
        <w:spacing w:before="20" w:after="20"/>
        <w:ind w:left="360"/>
      </w:pPr>
      <w:r>
        <w:rPr>
          <w:color w:val="C00000"/>
          <w:sz w:val="18"/>
        </w:rPr>
        <w:t>Pression pétrolière affectant les devises liées aux matières premières.</w:t>
      </w:r>
    </w:p>
    <w:p>
      <w:pPr>
        <w:pStyle w:val="Heading3"/>
      </w:pPr>
      <w:r>
        <w:rPr>
          <w:color w:val="500050"/>
        </w:rPr>
        <w:t>⚡ Impact estimé sur la BRVM</w:t>
      </w:r>
    </w:p>
    <w:p>
      <w:pPr>
        <w:spacing w:before="20" w:after="40"/>
        <w:ind w:left="280"/>
      </w:pPr>
      <w:r>
        <w:rPr>
          <w:i/>
          <w:sz w:val="18"/>
        </w:rPr>
        <w:t>Un climat international incertain détourne les capitaux des marchés frontières, réduisant la liquidité BRVM et pesant sur les valorisations.</w:t>
      </w:r>
    </w:p>
    <w:p>
      <w:pPr>
        <w:pStyle w:val="Heading2"/>
      </w:pPr>
      <w:r>
        <w:rPr>
          <w:color w:val="006E32"/>
        </w:rPr>
        <w:t>🌍 Plan Africain</w:t>
      </w:r>
    </w:p>
    <w:p>
      <w:pPr>
        <w:pStyle w:val="ListBullet"/>
        <w:spacing w:before="20" w:after="20"/>
        <w:ind w:left="360"/>
      </w:pPr>
      <w:r>
        <w:rPr>
          <w:sz w:val="18"/>
        </w:rPr>
        <w:t>Retraits d'États membres de la CEDEAO (AES) mentionnés indirectement (24heureinfo, 06/10/2026).</w:t>
      </w:r>
    </w:p>
    <w:p>
      <w:pPr>
        <w:pStyle w:val="ListBullet"/>
        <w:spacing w:before="20" w:after="20"/>
        <w:ind w:left="360"/>
      </w:pPr>
      <w:r>
        <w:rPr>
          <w:sz w:val="18"/>
        </w:rPr>
        <w:t>Libération de prisonniers politiques au Burkina Faso (koaci, 05/10/2026).</w:t>
      </w:r>
    </w:p>
    <w:p>
      <w:pPr>
        <w:pStyle w:val="Heading3"/>
      </w:pPr>
      <w:r>
        <w:rPr>
          <w:color w:val="500050"/>
        </w:rPr>
        <w:t>⚡ Impact estimé sur la BRVM</w:t>
      </w:r>
    </w:p>
    <w:p>
      <w:pPr>
        <w:spacing w:before="20" w:after="40"/>
        <w:ind w:left="280"/>
      </w:pPr>
      <w:r>
        <w:rPr>
          <w:i/>
          <w:sz w:val="18"/>
        </w:rPr>
        <w:t>L'instabilité sahélienne et les recompositions CEDEAO entretiennent une prime de risque régionale, freinant les investisseurs étrangers sur **ONTBF**, **BICB**, **ETIT**.</w:t>
      </w:r>
    </w:p>
    <w:p>
      <w:pPr>
        <w:pStyle w:val="Heading2"/>
      </w:pPr>
      <w:r>
        <w:rPr>
          <w:color w:val="145A28"/>
        </w:rPr>
        <w:t>🌍 Plan Afrique de l'Ouest</w:t>
      </w:r>
    </w:p>
    <w:p>
      <w:pPr>
        <w:pStyle w:val="ListBullet"/>
        <w:spacing w:before="20" w:after="20"/>
        <w:ind w:left="360"/>
      </w:pPr>
      <w:r>
        <w:rPr>
          <w:sz w:val="18"/>
        </w:rPr>
        <w:t>CEDEAO tente de reprendre l'initiative après retraits (03-06/10/2026).</w:t>
      </w:r>
    </w:p>
    <w:p>
      <w:pPr>
        <w:pStyle w:val="ListBullet"/>
        <w:spacing w:before="20" w:after="20"/>
        <w:ind w:left="360"/>
      </w:pPr>
      <w:r>
        <w:rPr>
          <w:sz w:val="18"/>
        </w:rPr>
        <w:t>Forum investissement 2027 lancé (01/10/2026).</w:t>
      </w:r>
    </w:p>
    <w:p>
      <w:pPr>
        <w:pStyle w:val="Heading3"/>
      </w:pPr>
      <w:r>
        <w:rPr>
          <w:color w:val="500050"/>
        </w:rPr>
        <w:t>⚡ Impact estimé sur la BRVM</w:t>
      </w:r>
    </w:p>
    <w:p>
      <w:pPr>
        <w:spacing w:before="20" w:after="40"/>
        <w:ind w:left="280"/>
      </w:pPr>
      <w:r>
        <w:rPr>
          <w:i/>
          <w:sz w:val="18"/>
        </w:rPr>
        <w:t>Risque de fragmentation régionale (AES vs CEDEAO) pouvant affecter les sociétés opérant au Mali, Burkina, Niger — notamment **ONTBF**, **BICB**, **ETIT**.</w:t>
      </w:r>
    </w:p>
    <w:p>
      <w:pPr>
        <w:pStyle w:val="Heading2"/>
      </w:pPr>
      <w:r>
        <w:rPr>
          <w:color w:val="8C4600"/>
        </w:rPr>
        <w:t>🏦 Plan UEMOA / Zone Franc</w:t>
      </w:r>
    </w:p>
    <w:p>
      <w:pPr>
        <w:pStyle w:val="ListBullet"/>
        <w:spacing w:before="20" w:after="20"/>
        <w:ind w:left="360"/>
      </w:pPr>
      <w:r>
        <w:rPr>
          <w:sz w:val="18"/>
        </w:rPr>
        <w:t>Apaisement politique au Burkina Faso (libération de partisans).</w:t>
      </w:r>
    </w:p>
    <w:p>
      <w:pPr>
        <w:pStyle w:val="ListBullet"/>
        <w:spacing w:before="20" w:after="20"/>
        <w:ind w:left="360"/>
      </w:pPr>
      <w:r>
        <w:rPr>
          <w:sz w:val="18"/>
        </w:rPr>
        <w:t>Renforcement partenariat Sénégal-Algérie (diplomatie économique active).</w:t>
      </w:r>
    </w:p>
    <w:p>
      <w:pPr>
        <w:pStyle w:val="Heading3"/>
      </w:pPr>
      <w:r>
        <w:rPr>
          <w:color w:val="500050"/>
        </w:rPr>
        <w:t>⚡ Impact estimé sur la BRVM</w:t>
      </w:r>
    </w:p>
    <w:p>
      <w:pPr>
        <w:spacing w:before="20" w:after="40"/>
        <w:ind w:left="280"/>
      </w:pPr>
      <w:r>
        <w:rPr>
          <w:i/>
          <w:sz w:val="18"/>
        </w:rPr>
        <w:t>Amélioration du climat politique UEMOA favorable à la stabilité réglementaire CREPMF et à la confiance des investisseurs sur l'ensemble du marché.</w:t>
      </w:r>
    </w:p>
    <w:p>
      <w:pPr>
        <w:pStyle w:val="Heading2"/>
      </w:pPr>
      <w:r>
        <w:rPr>
          <w:color w:val="003366"/>
        </w:rPr>
        <w:t>📈 Plan BRVM</w:t>
      </w:r>
    </w:p>
    <w:p>
      <w:pPr>
        <w:pStyle w:val="ListBullet"/>
        <w:spacing w:before="20" w:after="20"/>
        <w:ind w:left="360"/>
      </w:pPr>
      <w:r>
        <w:rPr>
          <w:sz w:val="18"/>
        </w:rPr>
        <w:t>Aucune actualité réglementaire CREPMF, IPO ou gouvernance spécifique fournie.</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BCE : hausses de taux limitées par les freins à la croissance (Lane, 05/10/2026).</w:t>
      </w:r>
    </w:p>
    <w:p>
      <w:pPr>
        <w:pStyle w:val="ListBullet"/>
        <w:spacing w:before="20" w:after="20"/>
        <w:ind w:left="360"/>
      </w:pPr>
      <w:r>
        <w:rPr>
          <w:color w:val="C00000"/>
          <w:sz w:val="18"/>
        </w:rPr>
        <w:t>Pétrole en repli, dollar canadien sous pression (05/10/2026).</w:t>
      </w:r>
    </w:p>
    <w:p>
      <w:pPr>
        <w:pStyle w:val="Heading3"/>
      </w:pPr>
      <w:r>
        <w:rPr>
          <w:color w:val="500050"/>
        </w:rPr>
        <w:t>⚡ Impact estimé sur la BRVM</w:t>
      </w:r>
    </w:p>
    <w:p>
      <w:pPr>
        <w:spacing w:before="20" w:after="40"/>
        <w:ind w:left="280"/>
      </w:pPr>
      <w:r>
        <w:rPr>
          <w:i/>
          <w:sz w:val="18"/>
        </w:rPr>
        <w:t>Un cycle de taux BCE moins agressif est favorable aux marchés émergents/frontières, soutenant potentiellement les flux vers la BRVM.</w:t>
      </w:r>
    </w:p>
    <w:p>
      <w:pPr>
        <w:pStyle w:val="Heading2"/>
      </w:pPr>
      <w:r>
        <w:rPr>
          <w:color w:val="006E32"/>
        </w:rPr>
        <w:t>🌍 Plan Africain</w:t>
      </w:r>
    </w:p>
    <w:p>
      <w:pPr>
        <w:pStyle w:val="ListBullet"/>
        <w:spacing w:before="20" w:after="20"/>
        <w:ind w:left="360"/>
      </w:pPr>
      <w:r>
        <w:rPr>
          <w:sz w:val="18"/>
        </w:rPr>
        <w:t>Aucune donnée spécifique sur eurobonds ou notations souveraines fournie.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145A28"/>
        </w:rPr>
        <w:t>🌍 Plan Afrique de l'Ouest</w:t>
      </w:r>
    </w:p>
    <w:p>
      <w:pPr>
        <w:pStyle w:val="ListBullet"/>
        <w:spacing w:before="20" w:after="20"/>
        <w:ind w:left="360"/>
      </w:pPr>
      <w:r>
        <w:rPr>
          <w:sz w:val="18"/>
        </w:rPr>
        <w:t>Aucune donnée sur bourses concurrentes (Ghana, Nigeria) fournie.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pStyle w:val="ListBullet"/>
        <w:spacing w:before="20" w:after="20"/>
        <w:ind w:left="360"/>
      </w:pPr>
      <w:r>
        <w:rPr>
          <w:sz w:val="18"/>
        </w:rPr>
        <w:t>Aucune donnée sur le marché des titres publics, taux interbancaire ou liquidité BCEAO fournie.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pStyle w:val="ListBullet"/>
        <w:spacing w:before="20" w:after="20"/>
        <w:ind w:left="360"/>
      </w:pPr>
      <w:r>
        <w:rPr>
          <w:sz w:val="18"/>
        </w:rPr>
        <w:t>Indice BRVM Composite : **539.17**.</w:t>
      </w:r>
    </w:p>
    <w:p>
      <w:pPr>
        <w:pStyle w:val="ListBullet"/>
        <w:spacing w:before="20" w:after="20"/>
        <w:ind w:left="360"/>
      </w:pPr>
      <w:r>
        <w:rPr>
          <w:sz w:val="18"/>
        </w:rPr>
        <w:t>Résultats ivoiriens encourageants (La Tribune, 09/06/2026).</w:t>
      </w:r>
    </w:p>
    <w:p>
      <w:pPr>
        <w:pStyle w:val="ListBullet"/>
        <w:spacing w:before="20" w:after="20"/>
        <w:ind w:left="360"/>
      </w:pPr>
      <w:r>
        <w:rPr>
          <w:sz w:val="18"/>
        </w:rPr>
        <w:t>Aucun top/flop, volume ou IPO communiqué.</w:t>
      </w:r>
    </w:p>
    <w:p>
      <w:pPr>
        <w:pStyle w:val="Heading3"/>
      </w:pPr>
      <w:r>
        <w:rPr>
          <w:color w:val="500050"/>
        </w:rPr>
        <w:t>⚡ Impact estimé sur la BRVM</w:t>
      </w:r>
    </w:p>
    <w:p>
      <w:pPr>
        <w:pStyle w:val="ListBullet"/>
        <w:spacing w:before="20" w:after="20"/>
        <w:ind w:left="560"/>
      </w:pPr>
      <w:r>
        <w:rPr>
          <w:color w:val="008000"/>
          <w:sz w:val="18"/>
        </w:rPr>
        <w:t>**SGBC, BICB, ETIT** : sentiment positif sur résultats ivoiriens, à conserver.</w:t>
      </w:r>
    </w:p>
    <w:p>
      <w:pPr>
        <w:pStyle w:val="ListBullet"/>
        <w:spacing w:before="20" w:after="20"/>
        <w:ind w:left="560"/>
      </w:pPr>
      <w:r>
        <w:rPr>
          <w:color w:val="C00000"/>
          <w:sz w:val="18"/>
        </w:rPr>
        <w:t>**ONTBF** : bénéficie du partenariat énergie et de l'apaisement Burkina, mais exposé au risque sahélien.</w:t>
      </w:r>
    </w:p>
    <w:p>
      <w:pPr>
        <w:pStyle w:val="ListBullet"/>
        <w:spacing w:before="20" w:after="20"/>
        <w:ind w:left="560"/>
      </w:pPr>
      <w:r>
        <w:rPr>
          <w:color w:val="500050"/>
          <w:sz w:val="18"/>
        </w:rPr>
        <w:t>**CFAC, BNBC, ABJC, NEIC** : consommation discrétionnaire à surveiller, dépendante du pouvoir d'achat UEMOA.</w:t>
      </w:r>
    </w:p>
    <w:p>
      <w:pPr>
        <w:pStyle w:val="ListBullet"/>
        <w:spacing w:before="20" w:after="20"/>
        <w:ind w:left="560"/>
      </w:pPr>
      <w:r>
        <w:rPr>
          <w:color w:val="C00000"/>
          <w:sz w:val="18"/>
        </w:rPr>
        <w:t>**TTLS, TTLC, SDCC** : favorisés par baisse pétrole et projets gaz Sénégal-Algérie.</w:t>
      </w:r>
    </w:p>
    <w:p>
      <w:pPr>
        <w:pStyle w:val="ListBullet"/>
        <w:spacing w:before="20" w:after="20"/>
        <w:ind w:left="560"/>
      </w:pPr>
      <w:r>
        <w:rPr>
          <w:color w:val="500050"/>
          <w:sz w:val="18"/>
        </w:rPr>
        <w:t>**SCRC, SOGC** : exposés au ralentissement zone euro (cacao, caoutchouc).</w:t>
      </w:r>
    </w:p>
    <w:p>
      <w:pPr>
        <w:pStyle w:val="ListBullet"/>
        <w:spacing w:before="20" w:after="20"/>
        <w:ind w:left="560"/>
      </w:pPr>
      <w:r>
        <w:rPr>
          <w:color w:val="500050"/>
          <w:sz w:val="18"/>
        </w:rPr>
        <w:t>**PALC, SIVC, NTLC, SLBC** : données insuffisantes.</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 contexte macro reste globalement porteur (croissance africaine solide, BCE moins hawkish, résultats ivoiriens positifs), mais plusieurs facteurs de risque persistent : dépendance au dollar, fragmentation CEDEAO/AES, inondations au Sénégal et ralentissement zone euro pesant sur les matières premières. Recommandation : **surpondérer les financières ivoiriennes (SGBC, BICB, ETIT) et les télécoms (ONTBF)**, **sous-pondérer les agro-industriels exportateurs (SCRC, SOGC)** exposés à l'Europe, et **rester sélectif sur la consommation discrétionnaire (CFAC, BNBC, ABJC)** dans l'attente de signaux sur le pouvoir d'achat UEMOA.</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Le dollar canadien recule sous la pression des prix du pétrole - Yahoo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La France ne peut pas encore miser sur une intervention de la BCE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2026-10-05</w:t>
            </w:r>
          </w:p>
        </w:tc>
        <w:tc>
          <w:tcPr>
            <w:tcW w:type="dxa" w:w="1728"/>
          </w:tcPr>
          <w:p>
            <w:r>
              <w:rPr>
                <w:sz w:val="14"/>
              </w:rPr>
              <w:t>Analyse de l’EUR/XOF aujourd'hui 05/10: perspectives et niveaux clés (</w:t>
            </w:r>
          </w:p>
        </w:tc>
        <w:tc>
          <w:tcPr>
            <w:tcW w:type="dxa" w:w="1728"/>
          </w:tcPr>
          <w:p>
            <w:r>
              <w:rPr>
                <w:sz w:val="14"/>
              </w:rPr>
              <w:t>Neutre</w:t>
            </w:r>
          </w:p>
        </w:tc>
        <w:tc>
          <w:tcPr>
            <w:tcW w:type="dxa" w:w="1728"/>
          </w:tcPr>
          <w:p>
            <w:r>
              <w:rPr>
                <w:sz w:val="14"/>
              </w:rPr>
              <w:t>Neutre</w:t>
            </w:r>
          </w:p>
        </w:tc>
        <w:tc>
          <w:tcPr>
            <w:tcW w:type="dxa" w:w="1728"/>
          </w:tcPr>
          <w:p>
            <w:r>
              <w:rPr>
                <w:sz w:val="14"/>
              </w:rPr>
              <w:t>Google News — dollar euro chan</w:t>
            </w:r>
          </w:p>
        </w:tc>
      </w:tr>
      <w:tr>
        <w:tc>
          <w:tcPr>
            <w:tcW w:type="dxa" w:w="1728"/>
          </w:tcPr>
          <w:p>
            <w:r>
              <w:rPr>
                <w:sz w:val="14"/>
              </w:rPr>
              <w:t>2026-10-02</w:t>
            </w:r>
          </w:p>
        </w:tc>
        <w:tc>
          <w:tcPr>
            <w:tcW w:type="dxa" w:w="1728"/>
          </w:tcPr>
          <w:p>
            <w:r>
              <w:rPr>
                <w:sz w:val="14"/>
              </w:rPr>
              <w:t>Pétrole, cuivre, blé : la flambée des matières premières - coface.fr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France isolée face aux marchés, la BCE et l'Allemagne resteront muette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2026-10-04</w:t>
            </w:r>
          </w:p>
        </w:tc>
        <w:tc>
          <w:tcPr>
            <w:tcW w:type="dxa" w:w="1728"/>
          </w:tcPr>
          <w:p>
            <w:r>
              <w:rPr>
                <w:sz w:val="14"/>
              </w:rPr>
              <w:t>Guinée-Bissau : Embalo dénonce le refus des militaires de le laisser 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2026-09-30</w:t>
            </w:r>
          </w:p>
        </w:tc>
        <w:tc>
          <w:tcPr>
            <w:tcW w:type="dxa" w:w="1728"/>
          </w:tcPr>
          <w:p>
            <w:r>
              <w:rPr>
                <w:sz w:val="14"/>
              </w:rPr>
              <w:t>Coopération régionale : le chef d'état-major de l'armée nigériane plai</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Le Sénégal et l’Algérie renforcent leur partenariat industriel via Son</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2026-10-05</w:t>
            </w:r>
          </w:p>
        </w:tc>
        <w:tc>
          <w:tcPr>
            <w:tcW w:type="dxa" w:w="1728"/>
          </w:tcPr>
          <w:p>
            <w:r>
              <w:rPr>
                <w:sz w:val="14"/>
              </w:rPr>
              <w:t xml:space="preserve">Burkina Faso : Interpellés fin mai, les partisans du Dr Kindo libérés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2026-10-05</w:t>
            </w:r>
          </w:p>
        </w:tc>
        <w:tc>
          <w:tcPr>
            <w:tcW w:type="dxa" w:w="1728"/>
          </w:tcPr>
          <w:p>
            <w:r>
              <w:rPr>
                <w:sz w:val="14"/>
              </w:rPr>
              <w:t>VIDÉO. Sénégal: des inondations meurtrières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2026-10-05</w:t>
            </w:r>
          </w:p>
        </w:tc>
        <w:tc>
          <w:tcPr>
            <w:tcW w:type="dxa" w:w="1728"/>
          </w:tcPr>
          <w:p>
            <w:r>
              <w:rPr>
                <w:sz w:val="14"/>
              </w:rPr>
              <w:t>Mali: cinq mois après l'enlèvement de Mountaga Tall, un ex-ministre de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2026-10-04</w:t>
            </w:r>
          </w:p>
        </w:tc>
        <w:tc>
          <w:tcPr>
            <w:tcW w:type="dxa" w:w="1728"/>
          </w:tcPr>
          <w:p>
            <w:r>
              <w:rPr>
                <w:sz w:val="14"/>
              </w:rPr>
              <w:t xml:space="preserve">Côte d'Ivoire : Organe électoral, l'opposition de la gauche y compris </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2026-10-05</w:t>
            </w:r>
          </w:p>
        </w:tc>
        <w:tc>
          <w:tcPr>
            <w:tcW w:type="dxa" w:w="1728"/>
          </w:tcPr>
          <w:p>
            <w:r>
              <w:rPr>
                <w:sz w:val="14"/>
              </w:rPr>
              <w:t>Nouvel organe électoral : L’opposition a remis ses propositions au gou</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Le dollar canadien recule sous la pression des prix du pétrole - Yahoo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La France ne peut pas encore miser sur une intervention de la BCE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2026-10-05</w:t>
            </w:r>
          </w:p>
        </w:tc>
        <w:tc>
          <w:tcPr>
            <w:tcW w:type="dxa" w:w="1728"/>
          </w:tcPr>
          <w:p>
            <w:r>
              <w:rPr>
                <w:sz w:val="14"/>
              </w:rPr>
              <w:t xml:space="preserve">Burkina Faso : Interpellés fin mai, les partisans du Dr Kindo libérés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2026-10-05</w:t>
            </w:r>
          </w:p>
        </w:tc>
        <w:tc>
          <w:tcPr>
            <w:tcW w:type="dxa" w:w="1728"/>
          </w:tcPr>
          <w:p>
            <w:r>
              <w:rPr>
                <w:sz w:val="14"/>
              </w:rPr>
              <w:t xml:space="preserve">Burkina Faso : Interpellés fin mai, les partisans du Dr Kindo libérés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2026-10-05</w:t>
            </w:r>
          </w:p>
        </w:tc>
        <w:tc>
          <w:tcPr>
            <w:tcW w:type="dxa" w:w="1728"/>
          </w:tcPr>
          <w:p>
            <w:r>
              <w:rPr>
                <w:sz w:val="14"/>
              </w:rPr>
              <w:t>Mali: cinq mois après l'enlèvement de Mountaga Tall, un ex-ministre de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2026-10-05</w:t>
            </w:r>
          </w:p>
        </w:tc>
        <w:tc>
          <w:tcPr>
            <w:tcW w:type="dxa" w:w="1728"/>
          </w:tcPr>
          <w:p>
            <w:r>
              <w:rPr>
                <w:sz w:val="14"/>
              </w:rPr>
              <w:t xml:space="preserve">Burkina Faso : Interpellés fin mai, les partisans du Dr Kindo libérés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2026-10-05</w:t>
            </w:r>
          </w:p>
        </w:tc>
        <w:tc>
          <w:tcPr>
            <w:tcW w:type="dxa" w:w="1728"/>
          </w:tcPr>
          <w:p>
            <w:r>
              <w:rPr>
                <w:sz w:val="14"/>
              </w:rPr>
              <w:t>Mali: cinq mois après l'enlèvement de Mountaga Tall, un ex-ministre de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2026-10-05</w:t>
            </w:r>
          </w:p>
        </w:tc>
        <w:tc>
          <w:tcPr>
            <w:tcW w:type="dxa" w:w="1728"/>
          </w:tcPr>
          <w:p>
            <w:r>
              <w:rPr>
                <w:sz w:val="14"/>
              </w:rPr>
              <w:t>Le Sénégal et l’Algérie renforcent leur partenariat industriel via Son</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2026-10-05</w:t>
            </w:r>
          </w:p>
        </w:tc>
        <w:tc>
          <w:tcPr>
            <w:tcW w:type="dxa" w:w="1728"/>
          </w:tcPr>
          <w:p>
            <w:r>
              <w:rPr>
                <w:sz w:val="14"/>
              </w:rPr>
              <w:t xml:space="preserve">Burkina Faso : Interpellés fin mai, les partisans du Dr Kindo libérés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2026-10-05</w:t>
            </w:r>
          </w:p>
        </w:tc>
        <w:tc>
          <w:tcPr>
            <w:tcW w:type="dxa" w:w="1728"/>
          </w:tcPr>
          <w:p>
            <w:r>
              <w:rPr>
                <w:sz w:val="14"/>
              </w:rPr>
              <w:t>VIDÉO. Sénégal: des inondations meurtrières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2026-10-05</w:t>
            </w:r>
          </w:p>
        </w:tc>
        <w:tc>
          <w:tcPr>
            <w:tcW w:type="dxa" w:w="1728"/>
          </w:tcPr>
          <w:p>
            <w:r>
              <w:rPr>
                <w:sz w:val="14"/>
              </w:rPr>
              <w:t xml:space="preserve">Burkina Faso : Interpellés fin mai, les partisans du Dr Kindo libérés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2026-10-05</w:t>
            </w:r>
          </w:p>
        </w:tc>
        <w:tc>
          <w:tcPr>
            <w:tcW w:type="dxa" w:w="1728"/>
          </w:tcPr>
          <w:p>
            <w:r>
              <w:rPr>
                <w:sz w:val="14"/>
              </w:rPr>
              <w:t>Mali: cinq mois après l'enlèvement de Mountaga Tall, un ex-ministre de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Le dollar canadien recule sous la pression des prix du pétrole - Yahoo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La France ne peut pas encore miser sur une intervention de la BCE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2026-10-05</w:t>
            </w:r>
          </w:p>
        </w:tc>
        <w:tc>
          <w:tcPr>
            <w:tcW w:type="dxa" w:w="1728"/>
          </w:tcPr>
          <w:p>
            <w:r>
              <w:rPr>
                <w:sz w:val="14"/>
              </w:rPr>
              <w:t>Conjoncture économique : l’UEMOA maintient sa croissance à 6 % - Capma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UEMOA inflation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Le dollar canadien recule sous la pression des prix du pétrole - Yahoo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La France ne peut pas encore miser sur une intervention de la BCE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Le dollar canadien recule sous la pression des prix du pétrole - Yahoo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La France ne peut pas encore miser sur une intervention de la BCE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Le dollar canadien recule sous la pression des prix du pétrole - Yahoo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La France ne peut pas encore miser sur une intervention de la BCE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2026-10-05</w:t>
            </w:r>
          </w:p>
        </w:tc>
        <w:tc>
          <w:tcPr>
            <w:tcW w:type="dxa" w:w="1728"/>
          </w:tcPr>
          <w:p>
            <w:r>
              <w:rPr>
                <w:sz w:val="14"/>
              </w:rPr>
              <w:t>Le Sénégal et l’Algérie renforcent leur partenariat industriel via Son</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Le dollar canadien recule sous la pression des prix du pétrole - Yahoo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La France ne peut pas encore miser sur une intervention de la BCE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2026-10-05</w:t>
            </w:r>
          </w:p>
        </w:tc>
        <w:tc>
          <w:tcPr>
            <w:tcW w:type="dxa" w:w="1728"/>
          </w:tcPr>
          <w:p>
            <w:r>
              <w:rPr>
                <w:sz w:val="14"/>
              </w:rPr>
              <w:t>BCE-Les freins à la croissance pourraient limiter l'ampleur des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2026-10-05</w:t>
            </w:r>
          </w:p>
        </w:tc>
        <w:tc>
          <w:tcPr>
            <w:tcW w:type="dxa" w:w="1728"/>
          </w:tcPr>
          <w:p>
            <w:r>
              <w:rPr>
                <w:sz w:val="14"/>
              </w:rPr>
              <w:t xml:space="preserve">De Casablanca à Abidjan, comment les deux places boursières séduisent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économique  (3 alerte(s))</w:t>
      </w:r>
    </w:p>
    <w:p>
      <w:pPr>
        <w:spacing w:before="40" w:after="40"/>
        <w:ind w:left="360"/>
      </w:pPr>
      <w:r>
        <w:rPr>
          <w:color w:val="646464"/>
          <w:sz w:val="17"/>
        </w:rPr>
        <w:t xml:space="preserve">[06/10/2026] ⚪  </w:t>
      </w:r>
      <w:r>
        <w:rPr>
          <w:b/>
          <w:color w:val="505050"/>
          <w:sz w:val="18"/>
        </w:rPr>
        <w:t>CEDEAO : en 2026, l’organisation tente de reprendre l’initiative en Afrique de l’Ouest - 24heureinfo.com</w:t>
      </w:r>
      <w:r>
        <w:rPr>
          <w:color w:val="787878"/>
          <w:sz w:val="15"/>
        </w:rPr>
        <w:t xml:space="preserve">  [économique]</w:t>
      </w:r>
      <w:r>
        <w:rPr>
          <w:color w:val="B47800"/>
          <w:sz w:val="16"/>
        </w:rPr>
        <w:t xml:space="preserve">  ★ 50/10</w:t>
      </w:r>
    </w:p>
    <w:p>
      <w:pPr>
        <w:spacing w:before="0" w:after="20"/>
        <w:ind w:left="600"/>
      </w:pPr>
      <w:r>
        <w:rPr>
          <w:color w:val="323232"/>
          <w:sz w:val="17"/>
        </w:rPr>
        <w:t>En 2026, la CEDEAO cherche à reprendre l'initiative en Afrique de l'Ouest après une période marquée par les retraits de plusieurs États membres et des critiques sur son efficacité. L'organisation tente de redéfinir sa stratégie pour renforcer l'intégration régionale et répondre aux défis économiques et sécuritaires. Cette dynamique pourrait influen</w:t>
      </w:r>
    </w:p>
    <w:p>
      <w:pPr>
        <w:spacing w:before="0" w:after="40"/>
        <w:ind w:left="600"/>
      </w:pPr>
      <w:r>
        <w:rPr>
          <w:color w:val="00643C"/>
          <w:sz w:val="16"/>
        </w:rPr>
        <w:t>Points clés : La CEDEAO veut reprendre l'initiative en Afrique de l'Ouest en 2026  •  L'organisation fait face à des défis après des retraits d'États membres  •  Objectif de renforcer l'intégration régionale et la coopération économique  •  Impact potentiel sur la stabilité et les échanges dans la zone UEMOA</w:t>
      </w:r>
    </w:p>
    <w:p>
      <w:pPr>
        <w:spacing w:before="0" w:after="60"/>
        <w:ind w:left="600"/>
      </w:pPr>
      <w:r>
        <w:rPr>
          <w:color w:val="0064B4"/>
          <w:sz w:val="15"/>
        </w:rPr>
        <w:t>Source : https://news.google.com/rss/articles/CBMiswFBVV95cUxQaGIzZWNyTk1HNWpiVTNyYTJvZGJ</w:t>
      </w:r>
    </w:p>
    <w:p>
      <w:pPr>
        <w:spacing w:before="40" w:after="40"/>
        <w:ind w:left="360"/>
      </w:pPr>
      <w:r>
        <w:rPr>
          <w:color w:val="646464"/>
          <w:sz w:val="17"/>
        </w:rPr>
        <w:t xml:space="preserve">[05/10/2026] 🟢  </w:t>
      </w:r>
      <w:r>
        <w:rPr>
          <w:b/>
          <w:color w:val="008000"/>
          <w:sz w:val="18"/>
        </w:rPr>
        <w:t>Conjoncture économique : l’UEMOA maintient sa croissance à 6 % - Capmad</w:t>
      </w:r>
      <w:r>
        <w:rPr>
          <w:color w:val="787878"/>
          <w:sz w:val="15"/>
        </w:rPr>
        <w:t xml:space="preserve">  [économique]</w:t>
      </w:r>
      <w:r>
        <w:rPr>
          <w:color w:val="B47800"/>
          <w:sz w:val="16"/>
        </w:rPr>
        <w:t xml:space="preserve">  ★ 50/10</w:t>
      </w:r>
    </w:p>
    <w:p>
      <w:pPr>
        <w:spacing w:before="0" w:after="20"/>
        <w:ind w:left="600"/>
      </w:pPr>
      <w:r>
        <w:rPr>
          <w:color w:val="323232"/>
          <w:sz w:val="17"/>
        </w:rPr>
        <w:t>La zone UEMOA maintient sa croissance économique à 6 %, selon les dernières données de conjoncture. Cette performance est portée par la dynamique des secteurs clés et la résilience des économies membres. Elle conforte les perspectives économiques régionales et pourrait soutenir les marchés financiers. Toutefois, des risques persistent, notamment li</w:t>
      </w:r>
    </w:p>
    <w:p>
      <w:pPr>
        <w:spacing w:before="0" w:after="40"/>
        <w:ind w:left="600"/>
      </w:pPr>
      <w:r>
        <w:rPr>
          <w:color w:val="00643C"/>
          <w:sz w:val="16"/>
        </w:rPr>
        <w:t>Points clés : Croissance maintenue à 6 % dans l'UEMOA  •  Performance portée par les secteurs clés et la résilience économique  •  Perspectives favorables pour les marchés financiers régionaux  •  Risques persistants liés à l'inflation et aux chocs externes</w:t>
      </w:r>
    </w:p>
    <w:p>
      <w:pPr>
        <w:spacing w:before="0" w:after="60"/>
        <w:ind w:left="600"/>
      </w:pPr>
      <w:r>
        <w:rPr>
          <w:color w:val="0064B4"/>
          <w:sz w:val="15"/>
        </w:rPr>
        <w:t>Source : https://news.google.com/rss/articles/CBMikgFBVV95cUxOVFdfb1ZLZHdlTVEwMXdoSmh0TFN</w:t>
      </w:r>
    </w:p>
    <w:p>
      <w:pPr>
        <w:spacing w:before="40" w:after="40"/>
        <w:ind w:left="360"/>
      </w:pPr>
      <w:r>
        <w:rPr>
          <w:color w:val="646464"/>
          <w:sz w:val="17"/>
        </w:rPr>
        <w:t xml:space="preserve">[04/10/2026] 🔴  </w:t>
      </w:r>
      <w:r>
        <w:rPr>
          <w:b/>
          <w:color w:val="C00000"/>
          <w:sz w:val="18"/>
        </w:rPr>
        <w:t>Guinée-Bissau : Embalo dénonce le refus des militaires de le laisser rentrer - Africtelegraph</w:t>
      </w:r>
      <w:r>
        <w:rPr>
          <w:color w:val="787878"/>
          <w:sz w:val="15"/>
        </w:rPr>
        <w:t xml:space="preserve">  [économique]</w:t>
      </w:r>
      <w:r>
        <w:rPr>
          <w:color w:val="B47800"/>
          <w:sz w:val="16"/>
        </w:rPr>
        <w:t xml:space="preserve">  ★ 50/10</w:t>
      </w:r>
    </w:p>
    <w:p>
      <w:pPr>
        <w:spacing w:before="0" w:after="20"/>
        <w:ind w:left="600"/>
      </w:pPr>
      <w:r>
        <w:rPr>
          <w:color w:val="323232"/>
          <w:sz w:val="17"/>
        </w:rPr>
        <w:t>Le président de la Guinée-Bissau, Umaro Sissoco Embalo, dénonce le refus des militaires de le laisser rentrer dans le pays. Cette situation révèle une crise politique et institutionnelle majeure dans un pays déjà fragile. Les tensions entre le pouvoir civil et l'armée pourraient déstabiliser davantage la région ouest-africaine. Aucune issue immédia</w:t>
      </w:r>
    </w:p>
    <w:p>
      <w:pPr>
        <w:spacing w:before="0" w:after="40"/>
        <w:ind w:left="600"/>
      </w:pPr>
      <w:r>
        <w:rPr>
          <w:color w:val="00643C"/>
          <w:sz w:val="16"/>
        </w:rPr>
        <w:t>Points clés : Le président Embalo se voit refuser l'entrée sur le territoire par les militaires  •  Crise politique et institutionnelle en Guinée-Bissau  •  Risque de déstabilisation régionale en Afrique de l'Ouest</w:t>
      </w:r>
    </w:p>
    <w:p>
      <w:pPr>
        <w:spacing w:before="0" w:after="60"/>
        <w:ind w:left="600"/>
      </w:pPr>
      <w:r>
        <w:rPr>
          <w:color w:val="0064B4"/>
          <w:sz w:val="15"/>
        </w:rPr>
        <w:t>Source : https://news.google.com/rss/articles/CBMiqwFBVV95cUxOZVRfMzRMcWd3S1F2VGdpU2k4Qzl</w:t>
      </w:r>
    </w:p>
    <w:p>
      <w:pPr>
        <w:spacing w:before="120" w:after="40"/>
      </w:pPr>
      <w:r>
        <w:rPr>
          <w:b/>
          <w:color w:val="00467F"/>
          <w:sz w:val="20"/>
        </w:rPr>
        <w:t>🔑 politique  (9 alerte(s))</w:t>
      </w:r>
    </w:p>
    <w:p>
      <w:pPr>
        <w:spacing w:before="40" w:after="40"/>
        <w:ind w:left="360"/>
      </w:pPr>
      <w:r>
        <w:rPr>
          <w:color w:val="646464"/>
          <w:sz w:val="17"/>
        </w:rPr>
        <w:t xml:space="preserve">[06/10/2026] ⚪  </w:t>
      </w:r>
      <w:r>
        <w:rPr>
          <w:b/>
          <w:color w:val="505050"/>
          <w:sz w:val="18"/>
        </w:rPr>
        <w:t>Côte d'Ivoire : Nouvel organe électoral, le COJEP pose ses exigences et appelle à une concertation politique inclusive -</w:t>
      </w:r>
      <w:r>
        <w:rPr>
          <w:color w:val="787878"/>
          <w:sz w:val="15"/>
        </w:rPr>
        <w:t xml:space="preserve">  [politique]</w:t>
      </w:r>
      <w:r>
        <w:rPr>
          <w:color w:val="B47800"/>
          <w:sz w:val="16"/>
        </w:rPr>
        <w:t xml:space="preserve">  ★ 50/10</w:t>
      </w:r>
    </w:p>
    <w:p>
      <w:pPr>
        <w:spacing w:before="0" w:after="20"/>
        <w:ind w:left="600"/>
      </w:pPr>
      <w:r>
        <w:rPr>
          <w:color w:val="323232"/>
          <w:sz w:val="17"/>
        </w:rPr>
        <w:t>Le COJEP, parti politique ivoirien, a formulé des exigences concernant le nouvel organe électoral et appelle à une concertation politique inclusive. Cette prise de position intervient dans un contexte de préparation des élections et de débats sur la gouvernance électorale. Le parti cherche à influencer la composition et le fonctionnement de l'insti</w:t>
      </w:r>
    </w:p>
    <w:p>
      <w:pPr>
        <w:spacing w:before="0" w:after="40"/>
        <w:ind w:left="600"/>
      </w:pPr>
      <w:r>
        <w:rPr>
          <w:color w:val="00643C"/>
          <w:sz w:val="16"/>
        </w:rPr>
        <w:t>Points clés : Le COJEP pose des exigences sur le nouvel organe électoral  •  Appel à une concertation politique inclusive  •  Contexte de préparation électorale en Côte d'Ivoire</w:t>
      </w:r>
    </w:p>
    <w:p>
      <w:pPr>
        <w:spacing w:before="0" w:after="60"/>
        <w:ind w:left="600"/>
      </w:pPr>
      <w:r>
        <w:rPr>
          <w:color w:val="0064B4"/>
          <w:sz w:val="15"/>
        </w:rPr>
        <w:t>Source : https://news.google.com/rss/articles/CBMimgJBVV95cUxQc09NN2cyRGFsWFE5M0pIaGRIT2J</w:t>
      </w:r>
    </w:p>
    <w:p>
      <w:pPr>
        <w:spacing w:before="40" w:after="40"/>
        <w:ind w:left="360"/>
      </w:pPr>
      <w:r>
        <w:rPr>
          <w:color w:val="646464"/>
          <w:sz w:val="17"/>
        </w:rPr>
        <w:t xml:space="preserve">[05/10/2026] 🔴  </w:t>
      </w:r>
      <w:r>
        <w:rPr>
          <w:b/>
          <w:color w:val="C00000"/>
          <w:sz w:val="18"/>
        </w:rPr>
        <w:t>Mali: cinq mois après l'enlèvement de Mountaga Tall, un ex-ministre de la Justice interpelle les autorités - RFI</w:t>
      </w:r>
      <w:r>
        <w:rPr>
          <w:color w:val="787878"/>
          <w:sz w:val="15"/>
        </w:rPr>
        <w:t xml:space="preserve">  [politique]</w:t>
      </w:r>
      <w:r>
        <w:rPr>
          <w:color w:val="B47800"/>
          <w:sz w:val="16"/>
        </w:rPr>
        <w:t xml:space="preserve">  ★ 50/10</w:t>
      </w:r>
    </w:p>
    <w:p>
      <w:pPr>
        <w:spacing w:before="0" w:after="20"/>
        <w:ind w:left="600"/>
      </w:pPr>
      <w:r>
        <w:rPr>
          <w:color w:val="323232"/>
          <w:sz w:val="17"/>
        </w:rPr>
        <w:t xml:space="preserve">Cinq mois après l'enlèvement de Mountaga Tall, ancien ministre malien et figure politique de premier plan, un ex-ministre de la Justice interpelle publiquement les autorités maliennes. Cette prise de parole souligne les inquiétudes persistantes sur la sécurité et l'état de droit au Mali. L'affaire reste non résolue, alimentant les critiques sur la </w:t>
      </w:r>
    </w:p>
    <w:p>
      <w:pPr>
        <w:spacing w:before="0" w:after="40"/>
        <w:ind w:left="600"/>
      </w:pPr>
      <w:r>
        <w:rPr>
          <w:color w:val="00643C"/>
          <w:sz w:val="16"/>
        </w:rPr>
        <w:t>Points clés : Enlèvement de Mountaga Tall non résolu après cinq mois  •  Interpellation publique des autorités par un ancien ministre de la Justice  •  Tensions politiques et préoccupations sécuritaires au Mali</w:t>
      </w:r>
    </w:p>
    <w:p>
      <w:pPr>
        <w:spacing w:before="0" w:after="60"/>
        <w:ind w:left="600"/>
      </w:pPr>
      <w:r>
        <w:rPr>
          <w:color w:val="0064B4"/>
          <w:sz w:val="15"/>
        </w:rPr>
        <w:t>Source : https://news.google.com/rss/articles/CBMi7wFBVV95cUxQd0JLQ21ab2Rwek5KNFNIa2xQR3R</w:t>
      </w:r>
    </w:p>
    <w:p>
      <w:pPr>
        <w:spacing w:before="40" w:after="40"/>
        <w:ind w:left="360"/>
      </w:pPr>
      <w:r>
        <w:rPr>
          <w:color w:val="646464"/>
          <w:sz w:val="17"/>
        </w:rPr>
        <w:t xml:space="preserve">[05/10/2026] ⚪  </w:t>
      </w:r>
      <w:r>
        <w:rPr>
          <w:b/>
          <w:color w:val="505050"/>
          <w:sz w:val="18"/>
        </w:rPr>
        <w:t>Nouvel organe électoral : L’opposition a remis ses propositions au gouvernement - FratMat</w:t>
      </w:r>
      <w:r>
        <w:rPr>
          <w:color w:val="787878"/>
          <w:sz w:val="15"/>
        </w:rPr>
        <w:t xml:space="preserve">  [politique]</w:t>
      </w:r>
      <w:r>
        <w:rPr>
          <w:color w:val="B47800"/>
          <w:sz w:val="16"/>
        </w:rPr>
        <w:t xml:space="preserve">  ★ 50/10</w:t>
      </w:r>
    </w:p>
    <w:p>
      <w:pPr>
        <w:spacing w:before="0" w:after="20"/>
        <w:ind w:left="600"/>
      </w:pPr>
      <w:r>
        <w:rPr>
          <w:color w:val="323232"/>
          <w:sz w:val="17"/>
        </w:rPr>
        <w:t>L'opposition a remis au gouvernement ses propositions concernant la mise en place d'un nouvel organe électoral. Cette démarche s'inscrit dans un contexte de dialogue politique portant sur la gouvernance électorale. Les modalités et le contenu précis des propositions n'ont pas été détaillés dans l'article. L'issue de ces discussions pourrait influen</w:t>
      </w:r>
    </w:p>
    <w:p>
      <w:pPr>
        <w:spacing w:before="0" w:after="40"/>
        <w:ind w:left="600"/>
      </w:pPr>
      <w:r>
        <w:rPr>
          <w:color w:val="00643C"/>
          <w:sz w:val="16"/>
        </w:rPr>
        <w:t>Points clés : L'opposition a transmis ses propositions au gouvernement  •  Sujet : création d'un nouvel organe électoral  •  Contexte de dialogue politique sur la gouvernance électorale  •  Contenu des propositions non précisé</w:t>
      </w:r>
    </w:p>
    <w:p>
      <w:pPr>
        <w:spacing w:before="0" w:after="60"/>
        <w:ind w:left="600"/>
      </w:pPr>
      <w:r>
        <w:rPr>
          <w:color w:val="0064B4"/>
          <w:sz w:val="15"/>
        </w:rPr>
        <w:t>Source : https://news.google.com/rss/articles/CBMixgFBVV95cUxNRkVtWVJXUm1UWmNwWFNhUk42TnI</w:t>
      </w:r>
    </w:p>
    <w:p>
      <w:pPr>
        <w:spacing w:before="40" w:after="40"/>
        <w:ind w:left="360"/>
      </w:pPr>
      <w:r>
        <w:rPr>
          <w:color w:val="646464"/>
          <w:sz w:val="17"/>
        </w:rPr>
        <w:t xml:space="preserve">[05/10/2026] 🔴  </w:t>
      </w:r>
      <w:r>
        <w:rPr>
          <w:b/>
          <w:color w:val="C00000"/>
          <w:sz w:val="18"/>
        </w:rPr>
        <w:t>VIDÉO. Sénégal: des inondations meurtrières - tv5monde</w:t>
      </w:r>
      <w:r>
        <w:rPr>
          <w:color w:val="787878"/>
          <w:sz w:val="15"/>
        </w:rPr>
        <w:t xml:space="preserve">  [politique]</w:t>
      </w:r>
      <w:r>
        <w:rPr>
          <w:color w:val="B47800"/>
          <w:sz w:val="16"/>
        </w:rPr>
        <w:t xml:space="preserve">  ★ 50/10</w:t>
      </w:r>
    </w:p>
    <w:p>
      <w:pPr>
        <w:spacing w:before="0" w:after="20"/>
        <w:ind w:left="600"/>
      </w:pPr>
      <w:r>
        <w:rPr>
          <w:color w:val="323232"/>
          <w:sz w:val="17"/>
        </w:rPr>
        <w:t>Des inondations meurtrières ont frappé le Sénégal, causant des pertes en vies humaines et des dégâts matériels importants. Cet événement climatique extrême survient dans un contexte où les infrastructures d'assainissement restent insuffisantes dans plusieurs zones urbaines et rurales. Les autorités sénégalaises sont mobilisées pour porter assistanc</w:t>
      </w:r>
    </w:p>
    <w:p>
      <w:pPr>
        <w:spacing w:before="0" w:after="40"/>
        <w:ind w:left="600"/>
      </w:pPr>
      <w:r>
        <w:rPr>
          <w:color w:val="00643C"/>
          <w:sz w:val="16"/>
        </w:rPr>
        <w:t>Points clés : Inondations meurtrières au Sénégal avec pertes humaines et dégâts matériels  •  Risque de pression accrue sur les finances publiques sénégalaises  •  Impact potentiel sur l'activité économique et les infrastructures locales</w:t>
      </w:r>
    </w:p>
    <w:p>
      <w:pPr>
        <w:spacing w:before="0" w:after="60"/>
        <w:ind w:left="600"/>
      </w:pPr>
      <w:r>
        <w:rPr>
          <w:color w:val="0064B4"/>
          <w:sz w:val="15"/>
        </w:rPr>
        <w:t>Source : https://news.google.com/rss/articles/CBMilAFBVV95cUxQZzg4ZDVxOHBZMkIzclRwNU02N2J</w:t>
      </w:r>
    </w:p>
    <w:p>
      <w:pPr>
        <w:spacing w:before="40" w:after="40"/>
        <w:ind w:left="360"/>
      </w:pPr>
      <w:r>
        <w:rPr>
          <w:color w:val="646464"/>
          <w:sz w:val="17"/>
        </w:rPr>
        <w:t xml:space="preserve">[05/10/2026] 🟢  </w:t>
      </w:r>
      <w:r>
        <w:rPr>
          <w:b/>
          <w:color w:val="008000"/>
          <w:sz w:val="18"/>
        </w:rPr>
        <w:t>Le Sénégal et l’Algérie renforcent leur partenariat industriel via Sonelgaz - Just-InfoDZ</w:t>
      </w:r>
      <w:r>
        <w:rPr>
          <w:color w:val="787878"/>
          <w:sz w:val="15"/>
        </w:rPr>
        <w:t xml:space="preserve">  [politique]</w:t>
      </w:r>
      <w:r>
        <w:rPr>
          <w:color w:val="B47800"/>
          <w:sz w:val="16"/>
        </w:rPr>
        <w:t xml:space="preserve">  ★ 50/10</w:t>
      </w:r>
    </w:p>
    <w:p>
      <w:pPr>
        <w:spacing w:before="0" w:after="20"/>
        <w:ind w:left="600"/>
      </w:pPr>
      <w:r>
        <w:rPr>
          <w:color w:val="323232"/>
          <w:sz w:val="17"/>
        </w:rPr>
        <w:t xml:space="preserve">Le Sénégal et l'Algérie renforcent leur partenariat industriel à travers la société algérienne Sonelgaz, spécialisée dans l'énergie et le gaz. Cet accord vise à développer des projets industriels conjoints, notamment dans le secteur énergétique. Cette coopération pourrait ouvrir de nouvelles opportunités pour les entreprises de la zone UEMOA, mais </w:t>
      </w:r>
    </w:p>
    <w:p>
      <w:pPr>
        <w:spacing w:before="0" w:after="40"/>
        <w:ind w:left="600"/>
      </w:pPr>
      <w:r>
        <w:rPr>
          <w:color w:val="00643C"/>
          <w:sz w:val="16"/>
        </w:rPr>
        <w:t>Points clés : Partenariat industriel entre le Sénégal et l'Algérie via Sonelgaz  •  Focus sur le secteur de l'énergie et du gaz  •  Article très peu détaillé, sans montants ni calendrier</w:t>
      </w:r>
    </w:p>
    <w:p>
      <w:pPr>
        <w:spacing w:before="0" w:after="60"/>
        <w:ind w:left="600"/>
      </w:pPr>
      <w:r>
        <w:rPr>
          <w:color w:val="0064B4"/>
          <w:sz w:val="15"/>
        </w:rPr>
        <w:t>Source : https://news.google.com/rss/articles/CBMibkFVX3lxTE5FS1h6cEZHRFNTd0NRaVJuaktTdlF</w:t>
      </w:r>
    </w:p>
    <w:p>
      <w:pPr>
        <w:spacing w:before="120" w:after="40"/>
      </w:pPr>
      <w:r>
        <w:rPr>
          <w:b/>
          <w:color w:val="00467F"/>
          <w:sz w:val="20"/>
        </w:rPr>
        <w:t>🔑 politique_monetaire  (4 alerte(s))</w:t>
      </w:r>
    </w:p>
    <w:p>
      <w:pPr>
        <w:spacing w:before="40" w:after="40"/>
        <w:ind w:left="360"/>
      </w:pPr>
      <w:r>
        <w:rPr>
          <w:color w:val="646464"/>
          <w:sz w:val="17"/>
        </w:rPr>
        <w:t xml:space="preserve">[05/10/2026] 🔴  </w:t>
      </w:r>
      <w:r>
        <w:rPr>
          <w:b/>
          <w:color w:val="C00000"/>
          <w:sz w:val="18"/>
        </w:rPr>
        <w:t>La France ne peut pas encore miser sur une intervention de la BCE - L'Agefi</w:t>
      </w:r>
      <w:r>
        <w:rPr>
          <w:color w:val="787878"/>
          <w:sz w:val="15"/>
        </w:rPr>
        <w:t xml:space="preserve">  [politique_monetaire]</w:t>
      </w:r>
      <w:r>
        <w:rPr>
          <w:color w:val="B47800"/>
          <w:sz w:val="16"/>
        </w:rPr>
        <w:t xml:space="preserve">  ★ 50/10</w:t>
      </w:r>
    </w:p>
    <w:p>
      <w:pPr>
        <w:spacing w:before="0" w:after="20"/>
        <w:ind w:left="600"/>
      </w:pPr>
      <w:r>
        <w:rPr>
          <w:color w:val="323232"/>
          <w:sz w:val="17"/>
        </w:rPr>
        <w:t>L'article indique que la France ne peut pas encore compter sur une intervention de la Banque centrale européenne (BCE) pour soutenir son économie ou ses marchés obligataires. Cette situation suggère que la BCE maintient une position prudente, probablement en raison de préoccupations inflationnistes ou de la nécessité de préserver sa crédibilité. Po</w:t>
      </w:r>
    </w:p>
    <w:p>
      <w:pPr>
        <w:spacing w:before="0" w:after="40"/>
        <w:ind w:left="600"/>
      </w:pPr>
      <w:r>
        <w:rPr>
          <w:color w:val="00643C"/>
          <w:sz w:val="16"/>
        </w:rPr>
        <w:t>Points clés : La France ne peut pas encore espérer une intervention de la BCE.  •  La BCE adopte une attitude prudente face aux pressions inflationnistes.  •  L'absence de soutien monétaire immédiat pourrait peser sur les taux d'intérêt français.</w:t>
      </w:r>
    </w:p>
    <w:p>
      <w:pPr>
        <w:spacing w:before="0" w:after="60"/>
        <w:ind w:left="600"/>
      </w:pPr>
      <w:r>
        <w:rPr>
          <w:color w:val="0064B4"/>
          <w:sz w:val="15"/>
        </w:rPr>
        <w:t>Source : https://news.google.com/rss/articles/CBMirAFBVV95cUxNc0RTeXF4UXJYYVBWZVliX05jRFJ</w:t>
      </w:r>
    </w:p>
    <w:p>
      <w:pPr>
        <w:spacing w:before="40" w:after="40"/>
        <w:ind w:left="360"/>
      </w:pPr>
      <w:r>
        <w:rPr>
          <w:color w:val="646464"/>
          <w:sz w:val="17"/>
        </w:rPr>
        <w:t xml:space="preserve">[05/10/2026] ⚪  </w:t>
      </w:r>
      <w:r>
        <w:rPr>
          <w:b/>
          <w:color w:val="505050"/>
          <w:sz w:val="18"/>
        </w:rPr>
        <w:t>BCE-Les freins à la croissance pourraient limiter l'ampleur des hausses de taux - Lane - Boursorama</w:t>
      </w:r>
      <w:r>
        <w:rPr>
          <w:color w:val="787878"/>
          <w:sz w:val="15"/>
        </w:rPr>
        <w:t xml:space="preserve">  [politique_monetaire]</w:t>
      </w:r>
      <w:r>
        <w:rPr>
          <w:color w:val="B47800"/>
          <w:sz w:val="16"/>
        </w:rPr>
        <w:t xml:space="preserve">  ★ 50/10</w:t>
      </w:r>
    </w:p>
    <w:p>
      <w:pPr>
        <w:spacing w:before="0" w:after="20"/>
        <w:ind w:left="600"/>
      </w:pPr>
      <w:r>
        <w:rPr>
          <w:color w:val="323232"/>
          <w:sz w:val="17"/>
        </w:rPr>
        <w:t>Philip Lane, économiste en chef de la BCE, a déclaré que les freins à la croissance économique dans la zone euro pourraient limiter l'ampleur des hausses de taux d'intérêt à venir. Il a souligné que la politique monétaire devait être équilibrée face à des perspectives économiques incertaines. Ces propos suggèrent que la BCE pourrait adopter une app</w:t>
      </w:r>
    </w:p>
    <w:p>
      <w:pPr>
        <w:spacing w:before="0" w:after="40"/>
        <w:ind w:left="600"/>
      </w:pPr>
      <w:r>
        <w:rPr>
          <w:color w:val="00643C"/>
          <w:sz w:val="16"/>
        </w:rPr>
        <w:t>Points clés : Les freins à la croissance pourraient limiter l'ampleur des hausses de taux de la BCE  •  Lane plaide pour une approche équilibrée de la politique monétaire  •  Les perspectives économiques incertaines pèsent sur les décisions de taux</w:t>
      </w:r>
    </w:p>
    <w:p>
      <w:pPr>
        <w:spacing w:before="0" w:after="60"/>
        <w:ind w:left="600"/>
      </w:pPr>
      <w:r>
        <w:rPr>
          <w:color w:val="0064B4"/>
          <w:sz w:val="15"/>
        </w:rPr>
        <w:t>Source : https://news.google.com/rss/articles/CBMijAJBVV95cUxPQUVSN3EzVEFTdnkyeHRwUEhlZDh</w:t>
      </w:r>
    </w:p>
    <w:p>
      <w:pPr>
        <w:spacing w:before="40" w:after="40"/>
        <w:ind w:left="360"/>
      </w:pPr>
      <w:r>
        <w:rPr>
          <w:color w:val="646464"/>
          <w:sz w:val="17"/>
        </w:rPr>
        <w:t xml:space="preserve">[05/10/2026] 🔴  </w:t>
      </w:r>
      <w:r>
        <w:rPr>
          <w:b/>
          <w:color w:val="C00000"/>
          <w:sz w:val="18"/>
        </w:rPr>
        <w:t>France isolée face aux marchés, la BCE et l'Allemagne resteront muettes - Atlantico</w:t>
      </w:r>
      <w:r>
        <w:rPr>
          <w:color w:val="787878"/>
          <w:sz w:val="15"/>
        </w:rPr>
        <w:t xml:space="preserve">  [politique_monetaire]</w:t>
      </w:r>
      <w:r>
        <w:rPr>
          <w:color w:val="B47800"/>
          <w:sz w:val="16"/>
        </w:rPr>
        <w:t xml:space="preserve">  ★ 50/10</w:t>
      </w:r>
    </w:p>
    <w:p>
      <w:pPr>
        <w:spacing w:before="0" w:after="20"/>
        <w:ind w:left="600"/>
      </w:pPr>
      <w:r>
        <w:rPr>
          <w:color w:val="323232"/>
          <w:sz w:val="17"/>
        </w:rPr>
        <w:t>La France se retrouve isolée face aux marchés financiers alors que la Banque centrale européenne (BCE) et l'Allemagne ont choisi de rester silencieuses. Cette situation crée une incertitude accrue pour les investisseurs, qui ne peuvent compter sur aucun soutien institutionnel majeur. L'absence de communication de la BCE et de l'Allemagne pourrait e</w:t>
      </w:r>
    </w:p>
    <w:p>
      <w:pPr>
        <w:spacing w:before="0" w:after="40"/>
        <w:ind w:left="600"/>
      </w:pPr>
      <w:r>
        <w:rPr>
          <w:color w:val="00643C"/>
          <w:sz w:val="16"/>
        </w:rPr>
        <w:t>Points clés : La France est isolée face aux marchés, sans soutien apparent de la BCE ni de l'Allemagne.  •  La BCE et l'Allemagne gardent le silence, alimentant l'incertitude.  •  Risque de volatilité accrue sur les marchés européens.  •  Impact potentiel sur la confiance des investisseurs et la stabilité financière.</w:t>
      </w:r>
    </w:p>
    <w:p>
      <w:pPr>
        <w:spacing w:before="0" w:after="60"/>
        <w:ind w:left="600"/>
      </w:pPr>
      <w:r>
        <w:rPr>
          <w:color w:val="0064B4"/>
          <w:sz w:val="15"/>
        </w:rPr>
        <w:t>Source : https://news.google.com/rss/articles/CBMi0gFBVV95cUxNM2N6ZGZycndXZWotMG1LbzR3TjB</w:t>
      </w:r>
    </w:p>
    <w:p>
      <w:pPr>
        <w:spacing w:before="40" w:after="40"/>
        <w:ind w:left="360"/>
      </w:pPr>
      <w:r>
        <w:rPr>
          <w:color w:val="646464"/>
          <w:sz w:val="17"/>
        </w:rPr>
        <w:t xml:space="preserve">[04/10/2026] 🔴  </w:t>
      </w:r>
      <w:r>
        <w:rPr>
          <w:b/>
          <w:color w:val="C00000"/>
          <w:sz w:val="18"/>
        </w:rPr>
        <w:t>Quel est l’impact des décisions de la BCE sur les ménages modestes ? - The Conversation</w:t>
      </w:r>
      <w:r>
        <w:rPr>
          <w:color w:val="787878"/>
          <w:sz w:val="15"/>
        </w:rPr>
        <w:t xml:space="preserve">  [politique_monetaire]</w:t>
      </w:r>
      <w:r>
        <w:rPr>
          <w:color w:val="B47800"/>
          <w:sz w:val="16"/>
        </w:rPr>
        <w:t xml:space="preserve">  ★ 50/10</w:t>
      </w:r>
    </w:p>
    <w:p>
      <w:pPr>
        <w:spacing w:before="0" w:after="20"/>
        <w:ind w:left="600"/>
      </w:pPr>
      <w:r>
        <w:rPr>
          <w:color w:val="323232"/>
          <w:sz w:val="17"/>
        </w:rPr>
        <w:t>L'article de The Conversation examine comment les décisions de politique monétaire de la Banque centrale européenne (BCE) affectent les ménages modestes. Il souligne que les hausses de taux d'intérêt, bien que visant à maîtriser l'inflation, alourdissent les charges d'emprunt et réduisent le pouvoir d'achat des ménages les plus vulnérables. Les eff</w:t>
      </w:r>
    </w:p>
    <w:p>
      <w:pPr>
        <w:spacing w:before="0" w:after="40"/>
        <w:ind w:left="600"/>
      </w:pPr>
      <w:r>
        <w:rPr>
          <w:color w:val="00643C"/>
          <w:sz w:val="16"/>
        </w:rPr>
        <w:t>Points clés : Les hausses de taux de la BCE renchérissent le crédit immobilier et à la consommation, pénalisant les ménages modestes endettés.  •  L'inflation persistante érode le pouvoir d'achat des ménages à faibles revenus, dont la consommation est majoritairement composée de biens essentiels.  •  Les ménages modestes sont moins susceptibles de bénéficier de la rémunération de l'épargne, car ils détiennent peu de placements financiers.</w:t>
      </w:r>
    </w:p>
    <w:p>
      <w:pPr>
        <w:spacing w:before="0" w:after="60"/>
        <w:ind w:left="600"/>
      </w:pPr>
      <w:r>
        <w:rPr>
          <w:color w:val="0064B4"/>
          <w:sz w:val="15"/>
        </w:rPr>
        <w:t>Source : https://news.google.com/rss/articles/CBMiogFBVV95cUxNWmJDaVN6X0Y5WmZPaEk1d2lieDd</w:t>
      </w:r>
    </w:p>
    <w:p>
      <w:pPr>
        <w:spacing w:before="120" w:after="40"/>
      </w:pPr>
      <w:r>
        <w:rPr>
          <w:b/>
          <w:color w:val="00467F"/>
          <w:sz w:val="20"/>
        </w:rPr>
        <w:t>🔑 marche_financier  (2 alerte(s))</w:t>
      </w:r>
    </w:p>
    <w:p>
      <w:pPr>
        <w:spacing w:before="40" w:after="40"/>
        <w:ind w:left="360"/>
      </w:pPr>
      <w:r>
        <w:rPr>
          <w:color w:val="646464"/>
          <w:sz w:val="17"/>
        </w:rPr>
        <w:t xml:space="preserve">[05/10/2026] 🟢  </w:t>
      </w:r>
      <w:r>
        <w:rPr>
          <w:b/>
          <w:color w:val="008000"/>
          <w:sz w:val="18"/>
        </w:rPr>
        <w:t>De Casablanca à Abidjan, comment les deux places boursières séduisent les investisseurs étrangers - Jeune Afrique</w:t>
      </w:r>
      <w:r>
        <w:rPr>
          <w:color w:val="787878"/>
          <w:sz w:val="15"/>
        </w:rPr>
        <w:t xml:space="preserve">  [marche_financier]</w:t>
      </w:r>
      <w:r>
        <w:rPr>
          <w:color w:val="B47800"/>
          <w:sz w:val="16"/>
        </w:rPr>
        <w:t xml:space="preserve">  ★ 50/10</w:t>
      </w:r>
    </w:p>
    <w:p>
      <w:pPr>
        <w:spacing w:before="0" w:after="20"/>
        <w:ind w:left="600"/>
      </w:pPr>
      <w:r>
        <w:rPr>
          <w:color w:val="323232"/>
          <w:sz w:val="17"/>
        </w:rPr>
        <w:t>L'article de Jeune Afrique compare les stratégies des places boursières de Casablanca et d'Abidjan pour attirer les investisseurs étrangers. Il met en lumière les réformes et innovations mises en place par la BRVM pour améliorer sa visibilité et sa liquidité. La concurrence entre ces deux hubs financiers africains est présentée comme un moteur de d</w:t>
      </w:r>
    </w:p>
    <w:p>
      <w:pPr>
        <w:spacing w:before="0" w:after="40"/>
        <w:ind w:left="600"/>
      </w:pPr>
      <w:r>
        <w:rPr>
          <w:color w:val="00643C"/>
          <w:sz w:val="16"/>
        </w:rPr>
        <w:t>Points clés : Comparaison des approches de Casablanca et d'Abidjan pour séduire les investisseurs étrangers  •  Mise en avant des réformes de la BRVM pour renforcer son attractivité  •  Concurrence positive entre les deux places boursières africaines</w:t>
      </w:r>
    </w:p>
    <w:p>
      <w:pPr>
        <w:spacing w:before="0" w:after="60"/>
        <w:ind w:left="600"/>
      </w:pPr>
      <w:r>
        <w:rPr>
          <w:color w:val="0064B4"/>
          <w:sz w:val="15"/>
        </w:rPr>
        <w:t>Source : https://news.google.com/rss/articles/CBMi6wFBVV95cUxOVklZekZVSk5HWTZ6c1M3MldDLVR</w:t>
      </w:r>
    </w:p>
    <w:p>
      <w:pPr>
        <w:spacing w:before="40" w:after="40"/>
        <w:ind w:left="360"/>
      </w:pPr>
      <w:r>
        <w:rPr>
          <w:color w:val="646464"/>
          <w:sz w:val="17"/>
        </w:rPr>
        <w:t xml:space="preserve">[05/10/2026] ⚪  </w:t>
      </w:r>
      <w:r>
        <w:rPr>
          <w:b/>
          <w:color w:val="505050"/>
          <w:sz w:val="18"/>
        </w:rPr>
        <w:t>Analyse de l’EUR/XOF aujourd'hui 05/10: perspectives et niveaux clés (graphique) - DailyForex</w:t>
      </w:r>
      <w:r>
        <w:rPr>
          <w:color w:val="787878"/>
          <w:sz w:val="15"/>
        </w:rPr>
        <w:t xml:space="preserve">  [marche_financier]</w:t>
      </w:r>
      <w:r>
        <w:rPr>
          <w:color w:val="B47800"/>
          <w:sz w:val="16"/>
        </w:rPr>
        <w:t xml:space="preserve">  ★ 50/10</w:t>
      </w:r>
    </w:p>
    <w:p>
      <w:pPr>
        <w:spacing w:before="0" w:after="20"/>
        <w:ind w:left="600"/>
      </w:pPr>
      <w:r>
        <w:rPr>
          <w:color w:val="323232"/>
          <w:sz w:val="17"/>
        </w:rPr>
        <w:t>L'article de DailyForex présente une analyse technique de la paire EUR/XOF en date du 5 octobre, mettant en évidence les perspectives de change et les niveaux clés à surveiller sur le graphique. Il s'agit d'une analyse de suivi des tendances du taux de change entre l'euro et le franc CFA, devise utilisée par plusieurs pays de l'UEMOA dont la Côte d</w:t>
      </w:r>
    </w:p>
    <w:p>
      <w:pPr>
        <w:spacing w:before="0" w:after="40"/>
        <w:ind w:left="600"/>
      </w:pPr>
      <w:r>
        <w:rPr>
          <w:color w:val="00643C"/>
          <w:sz w:val="16"/>
        </w:rPr>
        <w:t>Points clés : Analyse technique de l'EUR/XOF avec identification de niveaux clés de support et résistance  •  Perspectives de change euro / franc CFA à court terme  •  Pertinence indirecte pour les investisseurs BRVM exposés au risque de change  •  Absence d'information spécifique sur les sociétés cotées à la BRVM</w:t>
      </w:r>
    </w:p>
    <w:p>
      <w:pPr>
        <w:spacing w:before="0" w:after="60"/>
        <w:ind w:left="600"/>
      </w:pPr>
      <w:r>
        <w:rPr>
          <w:color w:val="0064B4"/>
          <w:sz w:val="15"/>
        </w:rPr>
        <w:t>Source : https://news.google.com/rss/articles/CBMikAFBVV95cUxPN25WNnZDUDRzaVFENTNqY1RQcVd</w:t>
      </w:r>
    </w:p>
    <w:p>
      <w:pPr>
        <w:spacing w:before="120" w:after="40"/>
      </w:pPr>
      <w:r>
        <w:rPr>
          <w:b/>
          <w:color w:val="00467F"/>
          <w:sz w:val="20"/>
        </w:rPr>
        <w:t>🔑 matieres_premieres  (2 alerte(s))</w:t>
      </w:r>
    </w:p>
    <w:p>
      <w:pPr>
        <w:spacing w:before="40" w:after="40"/>
        <w:ind w:left="360"/>
      </w:pPr>
      <w:r>
        <w:rPr>
          <w:color w:val="646464"/>
          <w:sz w:val="17"/>
        </w:rPr>
        <w:t xml:space="preserve">[05/10/2026] 🔴  </w:t>
      </w:r>
      <w:r>
        <w:rPr>
          <w:b/>
          <w:color w:val="C00000"/>
          <w:sz w:val="18"/>
        </w:rPr>
        <w:t>Le dollar canadien recule sous la pression des prix du pétrole - Yahoo Finance France</w:t>
      </w:r>
      <w:r>
        <w:rPr>
          <w:color w:val="787878"/>
          <w:sz w:val="15"/>
        </w:rPr>
        <w:t xml:space="preserve">  [matieres_premieres]</w:t>
      </w:r>
      <w:r>
        <w:rPr>
          <w:color w:val="B47800"/>
          <w:sz w:val="16"/>
        </w:rPr>
        <w:t xml:space="preserve">  ★ 50/10</w:t>
      </w:r>
    </w:p>
    <w:p>
      <w:pPr>
        <w:spacing w:before="0" w:after="20"/>
        <w:ind w:left="600"/>
      </w:pPr>
      <w:r>
        <w:rPr>
          <w:color w:val="323232"/>
          <w:sz w:val="17"/>
        </w:rPr>
        <w:t>Le dollar canadien s'affaiblit face à la pression baissière exercée par les prix du pétrole. Cette dépréciation reflète la corrélation étroite entre la devise canadienne et les cours du brut, le Canada étant un important exportateur d'hydrocarbures. La baisse des prix pétroliers réduit les revenus d'exportation et pèse sur les perspectives économiq</w:t>
      </w:r>
    </w:p>
    <w:p>
      <w:pPr>
        <w:spacing w:before="0" w:after="40"/>
        <w:ind w:left="600"/>
      </w:pPr>
      <w:r>
        <w:rPr>
          <w:color w:val="00643C"/>
          <w:sz w:val="16"/>
        </w:rPr>
        <w:t>Points clés : Le dollar canadien recule en raison de la baisse des prix du pétrole  •  Corrélation entre devise canadienne et cours du brut  •  Impact négatif sur les revenus d'exportation du Canada</w:t>
      </w:r>
    </w:p>
    <w:p>
      <w:pPr>
        <w:spacing w:before="0" w:after="60"/>
        <w:ind w:left="600"/>
      </w:pPr>
      <w:r>
        <w:rPr>
          <w:color w:val="0064B4"/>
          <w:sz w:val="15"/>
        </w:rPr>
        <w:t>Source : https://news.google.com/rss/articles/CBMilgFBVV95cUxNbms5VFNIbEtzYmRieXhaaWx0b1B</w:t>
      </w:r>
    </w:p>
    <w:p>
      <w:pPr>
        <w:spacing w:before="40" w:after="40"/>
        <w:ind w:left="360"/>
      </w:pPr>
      <w:r>
        <w:rPr>
          <w:color w:val="646464"/>
          <w:sz w:val="17"/>
        </w:rPr>
        <w:t xml:space="preserve">[03/10/2026] ⚪  </w:t>
      </w:r>
      <w:r>
        <w:rPr>
          <w:b/>
          <w:color w:val="505050"/>
          <w:sz w:val="18"/>
        </w:rPr>
        <w:t>Contrôler les prix des matières premières en fin d'année. - Vietnam.vn</w:t>
      </w:r>
      <w:r>
        <w:rPr>
          <w:color w:val="787878"/>
          <w:sz w:val="15"/>
        </w:rPr>
        <w:t xml:space="preserve">  [matieres_premieres]</w:t>
      </w:r>
      <w:r>
        <w:rPr>
          <w:color w:val="B47800"/>
          <w:sz w:val="16"/>
        </w:rPr>
        <w:t xml:space="preserve">  ★ 50/10</w:t>
      </w:r>
    </w:p>
    <w:p>
      <w:pPr>
        <w:spacing w:before="0" w:after="20"/>
        <w:ind w:left="600"/>
      </w:pPr>
      <w:r>
        <w:rPr>
          <w:color w:val="323232"/>
          <w:sz w:val="17"/>
        </w:rPr>
        <w:t>Le gouvernement vietnamien annonce des mesures pour contrôler les prix des matières premières en fin d'année. Cette initiative vise à stabiliser les marchés intérieurs face aux fluctuations saisonnières. Elle pourrait influencer les échanges régionaux et les prix de certaines matières premières importées. L'impact direct sur les marchés africains r</w:t>
      </w:r>
    </w:p>
    <w:p>
      <w:pPr>
        <w:spacing w:before="0" w:after="40"/>
        <w:ind w:left="600"/>
      </w:pPr>
      <w:r>
        <w:rPr>
          <w:color w:val="00643C"/>
          <w:sz w:val="16"/>
        </w:rPr>
        <w:t>Points clés : Contrôle des prix des matières premières au Vietnam en fin d'année  •  Mesures de stabilisation des marchés intérieurs  •  Impact potentiel sur les échanges régionaux asiatiques</w:t>
      </w:r>
    </w:p>
    <w:p>
      <w:pPr>
        <w:spacing w:before="0" w:after="60"/>
        <w:ind w:left="600"/>
      </w:pPr>
      <w:r>
        <w:rPr>
          <w:color w:val="0064B4"/>
          <w:sz w:val="15"/>
        </w:rPr>
        <w:t>Source : https://news.google.com/rss/articles/CBMiaEFVX3lxTE84RmpIOTE4elN4VURlUzU1TXNOUnF</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19,900</w:t>
            </w:r>
          </w:p>
        </w:tc>
        <w:tc>
          <w:tcPr>
            <w:tcW w:type="dxa" w:w="1080"/>
            <w:shd w:fill="C6EFCE" w:val="clear"/>
          </w:tcPr>
          <w:p>
            <w:r>
              <w:rPr>
                <w:b/>
                <w:sz w:val="16"/>
              </w:rPr>
              <w:t>87/100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3,300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1,850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2,235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44,980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8,625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2,950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2,800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38,985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12,940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3,025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1,810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1,460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3,850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2,215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8,150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9,050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2,200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21</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3,060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2,275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9,370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3,345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8,350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16,995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21,800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6,090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1,995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7,900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9,195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11,300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31,450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6,400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3,890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37,400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7,620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31,305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4,900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4,200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47,700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NTLC</w:t>
            </w:r>
          </w:p>
        </w:tc>
        <w:tc>
          <w:tcPr>
            <w:tcW w:type="dxa" w:w="1080"/>
            <w:shd w:fill="FEFEFE" w:val="clear"/>
          </w:tcPr>
          <w:p>
            <w:r>
              <w:rPr>
                <w:sz w:val="16"/>
              </w:rPr>
              <w:t>CONSOMMATION DE BA</w:t>
            </w:r>
          </w:p>
        </w:tc>
        <w:tc>
          <w:tcPr>
            <w:tcW w:type="dxa" w:w="1080"/>
            <w:shd w:fill="FEFEFE" w:val="clear"/>
          </w:tcPr>
          <w:p>
            <w:r>
              <w:rPr>
                <w:sz w:val="16"/>
              </w:rPr>
              <w:t>15,490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3,300</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3,600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1,850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2,235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2,950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38,985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12,940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3,025</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ORAC</w:t>
            </w:r>
          </w:p>
        </w:tc>
        <w:tc>
          <w:tcPr>
            <w:tcW w:type="dxa" w:w="1728"/>
            <w:shd w:fill="E2EFDA" w:val="clear"/>
          </w:tcPr>
          <w:p>
            <w:r>
              <w:rPr>
                <w:sz w:val="17"/>
              </w:rPr>
              <w:t>ORAC - ORANGE COTE D'IVOIRE</w:t>
            </w:r>
          </w:p>
        </w:tc>
        <w:tc>
          <w:tcPr>
            <w:tcW w:type="dxa" w:w="1728"/>
            <w:shd w:fill="E2EFDA" w:val="clear"/>
          </w:tcPr>
          <w:p>
            <w:r>
              <w:rPr>
                <w:sz w:val="17"/>
              </w:rPr>
              <w:t>19,900</w:t>
            </w:r>
          </w:p>
        </w:tc>
        <w:tc>
          <w:tcPr>
            <w:tcW w:type="dxa" w:w="1728"/>
            <w:shd w:fill="E2EFDA" w:val="clear"/>
          </w:tcPr>
          <w:p>
            <w:r>
              <w:rPr>
                <w:sz w:val="17"/>
              </w:rPr>
              <w:t>87/100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3,300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3,600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ETIT</w:t>
            </w:r>
          </w:p>
        </w:tc>
        <w:tc>
          <w:tcPr>
            <w:tcW w:type="dxa" w:w="1728"/>
            <w:shd w:fill="E2EFDA" w:val="clear"/>
          </w:tcPr>
          <w:p>
            <w:r>
              <w:rPr>
                <w:sz w:val="17"/>
              </w:rPr>
              <w:t>ETIT - Ecobank Transnational</w:t>
            </w:r>
          </w:p>
        </w:tc>
        <w:tc>
          <w:tcPr>
            <w:tcW w:type="dxa" w:w="1728"/>
            <w:shd w:fill="E2EFDA" w:val="clear"/>
          </w:tcPr>
          <w:p>
            <w:r>
              <w:rPr>
                <w:sz w:val="17"/>
              </w:rPr>
              <w:t>65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FTSC</w:t>
            </w:r>
          </w:p>
        </w:tc>
        <w:tc>
          <w:tcPr>
            <w:tcW w:type="dxa" w:w="1728"/>
            <w:shd w:fill="E2EFDA" w:val="clear"/>
          </w:tcPr>
          <w:p>
            <w:r>
              <w:rPr>
                <w:sz w:val="17"/>
              </w:rPr>
              <w:t>FTSC - FILTISAC COTE D'IVOIR</w:t>
            </w:r>
          </w:p>
        </w:tc>
        <w:tc>
          <w:tcPr>
            <w:tcW w:type="dxa" w:w="1728"/>
            <w:shd w:fill="E2EFDA" w:val="clear"/>
          </w:tcPr>
          <w:p>
            <w:r>
              <w:rPr>
                <w:sz w:val="17"/>
              </w:rPr>
              <w:t>1,850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2,235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44,980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8,625</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ORAC</w:t>
            </w:r>
          </w:p>
        </w:tc>
        <w:tc>
          <w:tcPr>
            <w:tcW w:type="dxa" w:w="1728"/>
            <w:shd w:fill="FCE4D6" w:val="clear"/>
          </w:tcPr>
          <w:p>
            <w:r>
              <w:rPr>
                <w:sz w:val="17"/>
              </w:rPr>
              <w:t>ORAC - ORANGE COTE D'IVOIRE</w:t>
            </w:r>
          </w:p>
        </w:tc>
        <w:tc>
          <w:tcPr>
            <w:tcW w:type="dxa" w:w="1728"/>
            <w:shd w:fill="FCE4D6" w:val="clear"/>
          </w:tcPr>
          <w:p>
            <w:r>
              <w:rPr>
                <w:sz w:val="17"/>
              </w:rPr>
              <w:t>19,900</w:t>
            </w:r>
          </w:p>
        </w:tc>
        <w:tc>
          <w:tcPr>
            <w:tcW w:type="dxa" w:w="1728"/>
            <w:shd w:fill="FCE4D6" w:val="clear"/>
          </w:tcPr>
          <w:p>
            <w:r>
              <w:rPr>
                <w:sz w:val="17"/>
              </w:rPr>
              <w:t>87/100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3,300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3,600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ETIT</w:t>
            </w:r>
          </w:p>
        </w:tc>
        <w:tc>
          <w:tcPr>
            <w:tcW w:type="dxa" w:w="1728"/>
            <w:shd w:fill="FCE4D6" w:val="clear"/>
          </w:tcPr>
          <w:p>
            <w:r>
              <w:rPr>
                <w:sz w:val="17"/>
              </w:rPr>
              <w:t>ETIT - Ecobank Transnational</w:t>
            </w:r>
          </w:p>
        </w:tc>
        <w:tc>
          <w:tcPr>
            <w:tcW w:type="dxa" w:w="1728"/>
            <w:shd w:fill="FCE4D6" w:val="clear"/>
          </w:tcPr>
          <w:p>
            <w:r>
              <w:rPr>
                <w:sz w:val="17"/>
              </w:rPr>
              <w:t>65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FTSC</w:t>
            </w:r>
          </w:p>
        </w:tc>
        <w:tc>
          <w:tcPr>
            <w:tcW w:type="dxa" w:w="1728"/>
            <w:shd w:fill="FCE4D6" w:val="clear"/>
          </w:tcPr>
          <w:p>
            <w:r>
              <w:rPr>
                <w:sz w:val="17"/>
              </w:rPr>
              <w:t>FTSC - FILTISAC COTE D'IVOIR</w:t>
            </w:r>
          </w:p>
        </w:tc>
        <w:tc>
          <w:tcPr>
            <w:tcW w:type="dxa" w:w="1728"/>
            <w:shd w:fill="FCE4D6" w:val="clear"/>
          </w:tcPr>
          <w:p>
            <w:r>
              <w:rPr>
                <w:sz w:val="17"/>
              </w:rPr>
              <w:t>1,850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2,235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44,980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8,625</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FTSC — FTSC - FILTISAC COTE D'IVOIRE</w:t>
      </w:r>
    </w:p>
    <w:p>
      <w:pPr>
        <w:pStyle w:val="ListBullet"/>
        <w:spacing w:before="20"/>
        <w:ind w:left="400"/>
      </w:pPr>
      <w:r>
        <w:rPr>
          <w:sz w:val="18"/>
        </w:rPr>
        <w:t>🟢 RSI survente (23.5 &lt; 30) — opportunité potentielle</w:t>
      </w:r>
    </w:p>
    <w:p>
      <w:pPr>
        <w:pStyle w:val="ListBullet"/>
        <w:spacing w:before="20"/>
        <w:ind w:left="400"/>
      </w:pPr>
      <w:r>
        <w:rPr>
          <w:sz w:val="18"/>
        </w:rPr>
        <w:t>⚠️ Cours à 0.0% du plus bas 100j (1,850 FCFA)</w:t>
      </w:r>
    </w:p>
    <w:p>
      <w:pPr>
        <w:spacing w:before="120"/>
      </w:pPr>
      <w:r>
        <w:rPr>
          <w:b/>
          <w:color w:val="0050A0"/>
          <w:sz w:val="20"/>
        </w:rPr>
        <w:t>SLBC — SLBC - SOLIBRA COTE D'IVOIRE</w:t>
      </w:r>
    </w:p>
    <w:p>
      <w:pPr>
        <w:pStyle w:val="ListBullet"/>
        <w:spacing w:before="20"/>
        <w:ind w:left="400"/>
      </w:pPr>
      <w:r>
        <w:rPr>
          <w:sz w:val="18"/>
        </w:rPr>
        <w:t>⚠️ Cours à 1.4% du plus bas 100j (36,900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(81.7 &gt; 70) — risque de correction</w:t>
      </w:r>
    </w:p>
    <w:p>
      <w:pPr>
        <w:pStyle w:val="ListBullet"/>
        <w:spacing w:before="20"/>
        <w:ind w:left="400"/>
      </w:pPr>
      <w:r>
        <w:rPr>
          <w:sz w:val="18"/>
        </w:rPr>
        <w:t>⚠️ Cours à 0.0% du plus haut 100j (45,000 FCFA)</w:t>
      </w:r>
    </w:p>
    <w:p>
      <w:pPr>
        <w:spacing w:before="120"/>
      </w:pPr>
      <w:r>
        <w:rPr>
          <w:b/>
          <w:color w:val="0050A0"/>
          <w:sz w:val="20"/>
        </w:rPr>
        <w:t>UNLC — UNLC - UNILEVER COTE D'IVOIRE</w:t>
      </w:r>
    </w:p>
    <w:p>
      <w:pPr>
        <w:pStyle w:val="ListBullet"/>
        <w:spacing w:before="20"/>
        <w:ind w:left="400"/>
      </w:pPr>
      <w:r>
        <w:rPr>
          <w:sz w:val="18"/>
        </w:rPr>
        <w:t>⚠️ Cours à 1.0% du plus bas 100j (47,215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(16.7 &lt; 30) — opportunité potentielle</w:t>
      </w:r>
    </w:p>
    <w:p>
      <w:pPr>
        <w:spacing w:before="120"/>
      </w:pPr>
      <w:r>
        <w:rPr>
          <w:b/>
          <w:color w:val="0050A0"/>
          <w:sz w:val="20"/>
        </w:rPr>
        <w:t>BBGC — BRIDGE BANK GROUP COTE D'IVOIRE</w:t>
      </w:r>
    </w:p>
    <w:p>
      <w:pPr>
        <w:pStyle w:val="ListBullet"/>
        <w:spacing w:before="20"/>
        <w:ind w:left="400"/>
      </w:pPr>
      <w:r>
        <w:rPr>
          <w:sz w:val="18"/>
        </w:rPr>
        <w:t>⚠️ Cours à 0.0% du plus haut 100j (9,195 FCFA)</w:t>
      </w:r>
    </w:p>
    <w:p>
      <w:pPr>
        <w:spacing w:before="120"/>
      </w:pPr>
      <w:r>
        <w:rPr>
          <w:b/>
          <w:color w:val="0050A0"/>
          <w:sz w:val="20"/>
        </w:rPr>
        <w:t>BICB — BIIC BN - Banque internationale pour le commerce du benin</w:t>
      </w:r>
    </w:p>
    <w:p>
      <w:pPr>
        <w:pStyle w:val="ListBullet"/>
        <w:spacing w:before="20"/>
        <w:ind w:left="400"/>
      </w:pPr>
      <w:r>
        <w:rPr>
          <w:sz w:val="18"/>
        </w:rPr>
        <w:t>🟢 RSI survente (26.3 &lt; 30) — opportunité potentielle</w:t>
      </w:r>
    </w:p>
    <w:p>
      <w:pPr>
        <w:spacing w:before="120"/>
      </w:pPr>
      <w:r>
        <w:rPr>
          <w:b/>
          <w:color w:val="0050A0"/>
          <w:sz w:val="20"/>
        </w:rPr>
        <w:t>BNBC — BNBC - BERNABE CI</w:t>
      </w:r>
    </w:p>
    <w:p>
      <w:pPr>
        <w:pStyle w:val="ListBullet"/>
        <w:spacing w:before="20"/>
        <w:ind w:left="400"/>
      </w:pPr>
      <w:r>
        <w:rPr>
          <w:sz w:val="18"/>
        </w:rPr>
        <w:t>🟢 RSI survente (18.7 &lt; 30) — opportunité potentielle</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RSI survente (25.7 &lt; 30) — opportunité potentielle</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(13.3 &lt; 30) — opportunité potentielle</w:t>
      </w:r>
    </w:p>
    <w:p>
      <w:pPr>
        <w:spacing w:before="120"/>
      </w:pPr>
      <w:r>
        <w:rPr>
          <w:b/>
          <w:color w:val="0050A0"/>
          <w:sz w:val="20"/>
        </w:rPr>
        <w:t>ORAC — ORAC - ORANGE COTE D'IVOIRE</w:t>
      </w:r>
    </w:p>
    <w:p>
      <w:pPr>
        <w:pStyle w:val="ListBullet"/>
        <w:spacing w:before="20"/>
        <w:ind w:left="400"/>
      </w:pPr>
      <w:r>
        <w:rPr>
          <w:sz w:val="18"/>
        </w:rPr>
        <w:t>🟢 RSI survente (29.4 &lt; 30) — opportunité potentielle</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(27.3 &lt; 30) — opportunité potentielle</w:t>
      </w:r>
    </w:p>
    <w:p>
      <w:pPr>
        <w:spacing w:before="120"/>
      </w:pPr>
      <w:r>
        <w:rPr>
          <w:b/>
          <w:color w:val="0050A0"/>
          <w:sz w:val="20"/>
        </w:rPr>
        <w:t>SDSC — SDSC - AFRICA GLOBAL LOGISTICS CI</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RSI survente (26.5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27 société(s) (56%)</w:t>
            </w:r>
          </w:p>
        </w:tc>
        <w:tc>
          <w:tcPr>
            <w:tcW w:type="dxa" w:w="1644"/>
            <w:shd w:fill="FFEB9C" w:val="clear"/>
          </w:tcPr>
          <w:p>
            <w:r>
              <w:rPr>
                <w:b/>
                <w:color w:val="825A00"/>
                <w:sz w:val="19"/>
              </w:rPr>
              <w:t>21 société(s) (44%)</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19.7/100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31.0/100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29.5/100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CBIBF (31.3/100 — Moyen) : </w:t>
      </w:r>
      <w:r>
        <w:rPr>
          <w:sz w:val="17"/>
        </w:rPr>
        <w:t>Volatilité=Élevée | Bêta=Agressif | Liquidité=Bonne | Divergence signaux=taux divergence=20% (Mixte ⚠️) | Stabilité=Stable</w:t>
      </w:r>
    </w:p>
    <w:p>
      <w:pPr>
        <w:pStyle w:val="ListBullet"/>
      </w:pPr>
      <w:r>
        <w:rPr>
          <w:b/>
          <w:color w:val="B40000"/>
          <w:sz w:val="18"/>
        </w:rPr>
        <w:t xml:space="preserve">#4 SAFC (31.0/100 — Moyen) : </w:t>
      </w:r>
      <w:r>
        <w:rPr>
          <w:sz w:val="17"/>
        </w:rPr>
        <w:t>Volatilité=Élevée | Bêta=Agressif | Liquidité=Bonne | Divergence signaux=taux divergence=0% (Convergent ✅) | Stabilité=Modérée</w:t>
      </w:r>
    </w:p>
    <w:p>
      <w:pPr>
        <w:pStyle w:val="ListBullet"/>
      </w:pPr>
      <w:r>
        <w:rPr>
          <w:b/>
          <w:color w:val="B40000"/>
          <w:sz w:val="18"/>
        </w:rPr>
        <w:t xml:space="preserve">#5 BOAN (29.5/100 — Moyen) : </w:t>
      </w:r>
      <w:r>
        <w:rPr>
          <w:sz w:val="17"/>
        </w:rPr>
        <w:t>Volatilité=Élevée | Bêta=Agressif | Liquidité=Bonne | Divergence signaux=taux divergence=0% (Convergent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29.5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17.2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-0.94%  |  Médiane : -1.37%</w:t>
            </w:r>
          </w:p>
        </w:tc>
      </w:tr>
      <w:tr>
        <w:tc>
          <w:tcPr>
            <w:tcW w:type="dxa" w:w="2835"/>
            <w:shd w:fill="DEEAF1" w:val="clear"/>
          </w:tcPr>
          <w:p>
            <w:r>
              <w:rPr>
                <w:b/>
                <w:sz w:val="18"/>
              </w:rPr>
              <w:t>Répartition</w:t>
            </w:r>
          </w:p>
        </w:tc>
        <w:tc>
          <w:tcPr>
            <w:tcW w:type="dxa" w:w="7370"/>
          </w:tcPr>
          <w:p>
            <w:r>
              <w:rPr>
                <w:b/>
                <w:sz w:val="18"/>
              </w:rPr>
              <w:t>📈 16 sociétés en hausse (&gt;+1%)   📉 24 en baisse (&lt;-1%)   ➡️ 5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-0.94% avec 5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2,800 FCFA</w:t>
            </w:r>
          </w:p>
        </w:tc>
        <w:tc>
          <w:tcPr>
            <w:tcW w:type="dxa" w:w="1417"/>
            <w:shd w:fill="FFFFFF" w:val="clear"/>
          </w:tcPr>
          <w:p>
            <w:r>
              <w:rPr>
                <w:sz w:val="16"/>
              </w:rPr>
              <w:t>3,293 FCFA</w:t>
            </w:r>
          </w:p>
        </w:tc>
        <w:tc>
          <w:tcPr>
            <w:tcW w:type="dxa" w:w="1134"/>
            <w:shd w:fill="C6EFCE" w:val="clear"/>
          </w:tcPr>
          <w:p>
            <w:r>
              <w:rPr>
                <w:b/>
                <w:color w:val="007800"/>
                <w:sz w:val="16"/>
              </w:rPr>
              <w:t>+17.61%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21,800 FCFA</w:t>
            </w:r>
          </w:p>
        </w:tc>
        <w:tc>
          <w:tcPr>
            <w:tcW w:type="dxa" w:w="1417"/>
            <w:shd w:fill="FFFFFF" w:val="clear"/>
          </w:tcPr>
          <w:p>
            <w:r>
              <w:rPr>
                <w:sz w:val="16"/>
              </w:rPr>
              <w:t>24,385 FCFA</w:t>
            </w:r>
          </w:p>
        </w:tc>
        <w:tc>
          <w:tcPr>
            <w:tcW w:type="dxa" w:w="1134"/>
            <w:shd w:fill="C6EFCE" w:val="clear"/>
          </w:tcPr>
          <w:p>
            <w:r>
              <w:rPr>
                <w:b/>
                <w:color w:val="007800"/>
                <w:sz w:val="16"/>
              </w:rPr>
              <w:t>+11.86%</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8,625 FCFA</w:t>
            </w:r>
          </w:p>
        </w:tc>
        <w:tc>
          <w:tcPr>
            <w:tcW w:type="dxa" w:w="1417"/>
            <w:shd w:fill="FFFFFF" w:val="clear"/>
          </w:tcPr>
          <w:p>
            <w:r>
              <w:rPr>
                <w:sz w:val="16"/>
              </w:rPr>
              <w:t>9,359 FCFA</w:t>
            </w:r>
          </w:p>
        </w:tc>
        <w:tc>
          <w:tcPr>
            <w:tcW w:type="dxa" w:w="1134"/>
            <w:shd w:fill="C6EFCE" w:val="clear"/>
          </w:tcPr>
          <w:p>
            <w:r>
              <w:rPr>
                <w:b/>
                <w:color w:val="007800"/>
                <w:sz w:val="16"/>
              </w:rPr>
              <w:t>+8.51%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CFAC — CFAC - CFAO MOTORS CI</w:t>
            </w:r>
          </w:p>
        </w:tc>
        <w:tc>
          <w:tcPr>
            <w:tcW w:type="dxa" w:w="1701"/>
            <w:shd w:fill="FFFFFF" w:val="clear"/>
          </w:tcPr>
          <w:p>
            <w:r>
              <w:rPr>
                <w:sz w:val="16"/>
              </w:rPr>
              <w:t>CONSOMMATION DISCRET</w:t>
            </w:r>
          </w:p>
        </w:tc>
        <w:tc>
          <w:tcPr>
            <w:tcW w:type="dxa" w:w="1417"/>
            <w:shd w:fill="FFFFFF" w:val="clear"/>
          </w:tcPr>
          <w:p>
            <w:r>
              <w:rPr>
                <w:sz w:val="16"/>
              </w:rPr>
              <w:t>1,460 FCFA</w:t>
            </w:r>
          </w:p>
        </w:tc>
        <w:tc>
          <w:tcPr>
            <w:tcW w:type="dxa" w:w="1417"/>
            <w:shd w:fill="FFFFFF" w:val="clear"/>
          </w:tcPr>
          <w:p>
            <w:r>
              <w:rPr>
                <w:sz w:val="16"/>
              </w:rPr>
              <w:t>1,548 FCFA</w:t>
            </w:r>
          </w:p>
        </w:tc>
        <w:tc>
          <w:tcPr>
            <w:tcW w:type="dxa" w:w="1134"/>
            <w:shd w:fill="C6EFCE" w:val="clear"/>
          </w:tcPr>
          <w:p>
            <w:r>
              <w:rPr>
                <w:b/>
                <w:color w:val="007800"/>
                <w:sz w:val="16"/>
              </w:rPr>
              <w:t>+6.00%</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4,900 FCFA</w:t>
            </w:r>
          </w:p>
        </w:tc>
        <w:tc>
          <w:tcPr>
            <w:tcW w:type="dxa" w:w="1417"/>
            <w:shd w:fill="FFFFFF" w:val="clear"/>
          </w:tcPr>
          <w:p>
            <w:r>
              <w:rPr>
                <w:sz w:val="16"/>
              </w:rPr>
              <w:t>5,186 FCFA</w:t>
            </w:r>
          </w:p>
        </w:tc>
        <w:tc>
          <w:tcPr>
            <w:tcW w:type="dxa" w:w="1134"/>
            <w:shd w:fill="C6EFCE" w:val="clear"/>
          </w:tcPr>
          <w:p>
            <w:r>
              <w:rPr>
                <w:b/>
                <w:color w:val="007800"/>
                <w:sz w:val="16"/>
              </w:rPr>
              <w:t>+5.84%</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significative (+17.6%) — potentiel de revalorisation notable. Trajectoire : 📈 Hausse continue. Cours actuel : 2,800 FCFA → prédit J+10 : 3,293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(+11.9%) — potentiel de revalorisation notable. Trajectoire : 📈 Hausse continue. Cours actuel : 21,800 FCFA → prédit J+10 : 24,385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modérée (+8.5%) — signal raisonnable et crédible. Trajectoire : 📈 Hausse continue. Cours actuel : 8,625 FCFA → prédit J+10 : 9,359 FCFA. ⚠️ Confiance limitée — volatilité élevée ou données insuffisantes. Résultat indicatif uniquement.</w:t>
      </w:r>
    </w:p>
    <w:p>
      <w:pPr>
        <w:pStyle w:val="ListBullet"/>
      </w:pPr>
      <w:r>
        <w:rPr>
          <w:b/>
          <w:color w:val="006400"/>
          <w:sz w:val="18"/>
        </w:rPr>
        <w:t xml:space="preserve">#4 CFAC </w:t>
      </w:r>
      <w:r>
        <w:rPr>
          <w:sz w:val="17"/>
        </w:rPr>
        <w:t>(CFAC - CFAO MOTORS CI) — hausse modérée (+6.0%) — signal raisonnable et crédible. Trajectoire : 📈 Hausse continue. Cours actuel : 1,460 FCFA → prédit J+10 : 1,548 FCFA. ⚠️ Confiance limitée — volatilité élevée ou données insuffisantes. Résultat indicatif uniquement.</w:t>
      </w:r>
    </w:p>
    <w:p>
      <w:pPr>
        <w:pStyle w:val="ListBullet"/>
      </w:pPr>
      <w:r>
        <w:rPr>
          <w:b/>
          <w:color w:val="006400"/>
          <w:sz w:val="18"/>
        </w:rPr>
        <w:t xml:space="preserve">#5 BOAN </w:t>
      </w:r>
      <w:r>
        <w:rPr>
          <w:sz w:val="17"/>
        </w:rPr>
        <w:t>(BANK OF AFRICA NIGER) — hausse modérée (+5.8%) — signal raisonnable et crédible. Trajectoire : 📈 Hausse continue. Cours actuel : 4,900 FCFA → prédit J+10 : 5,186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8,150 FCFA</w:t>
            </w:r>
          </w:p>
        </w:tc>
        <w:tc>
          <w:tcPr>
            <w:tcW w:type="dxa" w:w="1417"/>
            <w:shd w:fill="FFFFFF" w:val="clear"/>
          </w:tcPr>
          <w:p>
            <w:r>
              <w:rPr>
                <w:sz w:val="16"/>
              </w:rPr>
              <w:t>7,112 FCFA</w:t>
            </w:r>
          </w:p>
        </w:tc>
        <w:tc>
          <w:tcPr>
            <w:tcW w:type="dxa" w:w="1134"/>
            <w:shd w:fill="FFC7CE" w:val="clear"/>
          </w:tcPr>
          <w:p>
            <w:r>
              <w:rPr>
                <w:b/>
                <w:color w:val="B40000"/>
                <w:sz w:val="16"/>
              </w:rPr>
              <w:t>-12.73%</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22,100 FCFA</w:t>
            </w:r>
          </w:p>
        </w:tc>
        <w:tc>
          <w:tcPr>
            <w:tcW w:type="dxa" w:w="1417"/>
            <w:shd w:fill="FFFFFF" w:val="clear"/>
          </w:tcPr>
          <w:p>
            <w:r>
              <w:rPr>
                <w:sz w:val="16"/>
              </w:rPr>
              <w:t>19,630 FCFA</w:t>
            </w:r>
          </w:p>
        </w:tc>
        <w:tc>
          <w:tcPr>
            <w:tcW w:type="dxa" w:w="1134"/>
            <w:shd w:fill="FFC7CE" w:val="clear"/>
          </w:tcPr>
          <w:p>
            <w:r>
              <w:rPr>
                <w:b/>
                <w:color w:val="B40000"/>
                <w:sz w:val="16"/>
              </w:rPr>
              <w:t>-11.18%</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6,090 FCFA</w:t>
            </w:r>
          </w:p>
        </w:tc>
        <w:tc>
          <w:tcPr>
            <w:tcW w:type="dxa" w:w="1417"/>
            <w:shd w:fill="FFFFFF" w:val="clear"/>
          </w:tcPr>
          <w:p>
            <w:r>
              <w:rPr>
                <w:sz w:val="16"/>
              </w:rPr>
              <w:t>5,508 FCFA</w:t>
            </w:r>
          </w:p>
        </w:tc>
        <w:tc>
          <w:tcPr>
            <w:tcW w:type="dxa" w:w="1134"/>
            <w:shd w:fill="FFC7CE" w:val="clear"/>
          </w:tcPr>
          <w:p>
            <w:r>
              <w:rPr>
                <w:b/>
                <w:color w:val="B40000"/>
                <w:sz w:val="16"/>
              </w:rPr>
              <w:t>-9.56%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31,450 FCFA</w:t>
            </w:r>
          </w:p>
        </w:tc>
        <w:tc>
          <w:tcPr>
            <w:tcW w:type="dxa" w:w="1417"/>
            <w:shd w:fill="FFFFFF" w:val="clear"/>
          </w:tcPr>
          <w:p>
            <w:r>
              <w:rPr>
                <w:sz w:val="16"/>
              </w:rPr>
              <w:t>28,775 FCFA</w:t>
            </w:r>
          </w:p>
        </w:tc>
        <w:tc>
          <w:tcPr>
            <w:tcW w:type="dxa" w:w="1134"/>
            <w:shd w:fill="FFC7CE" w:val="clear"/>
          </w:tcPr>
          <w:p>
            <w:r>
              <w:rPr>
                <w:b/>
                <w:color w:val="B40000"/>
                <w:sz w:val="16"/>
              </w:rPr>
              <w:t>-8.50%</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3,300 FCFA</w:t>
            </w:r>
          </w:p>
        </w:tc>
        <w:tc>
          <w:tcPr>
            <w:tcW w:type="dxa" w:w="1417"/>
            <w:shd w:fill="FFFFFF" w:val="clear"/>
          </w:tcPr>
          <w:p>
            <w:r>
              <w:rPr>
                <w:sz w:val="16"/>
              </w:rPr>
              <w:t>3,080 FCFA</w:t>
            </w:r>
          </w:p>
        </w:tc>
        <w:tc>
          <w:tcPr>
            <w:tcW w:type="dxa" w:w="1134"/>
            <w:shd w:fill="FFC7CE" w:val="clear"/>
          </w:tcPr>
          <w:p>
            <w:r>
              <w:rPr>
                <w:b/>
                <w:color w:val="B40000"/>
                <w:sz w:val="16"/>
              </w:rPr>
              <w:t>-6.66%</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(-12.7%) — repli technique attendu. Trajectoire : 📉 Baisse continue. Cours actuel : 8,150 FCFA → prédit J+10 : 7,112 FCFA. Confiance partielle — surveiller l'évolution réelle des premiers jours.</w:t>
      </w:r>
    </w:p>
    <w:p>
      <w:pPr>
        <w:pStyle w:val="ListBullet"/>
      </w:pPr>
      <w:r>
        <w:rPr>
          <w:b/>
          <w:color w:val="B40000"/>
          <w:sz w:val="18"/>
        </w:rPr>
        <w:t xml:space="preserve">#2 NSBC </w:t>
      </w:r>
      <w:r>
        <w:rPr>
          <w:sz w:val="17"/>
        </w:rPr>
        <w:t>(NSBC - NSIA BANQUE COTE D'IVOIRE) — baisse modérée (-11.2%) — repli technique attendu. Trajectoire : 📉 Baisse continue. Cours actuel : 22,100 FCFA → prédit J+10 : 19,630 FCFA. ⚠️ Confiance limitée — volatilité élevée. Ne pas agir sur ce seul signal.</w:t>
      </w:r>
    </w:p>
    <w:p>
      <w:pPr>
        <w:pStyle w:val="ListBullet"/>
      </w:pPr>
      <w:r>
        <w:rPr>
          <w:b/>
          <w:color w:val="B40000"/>
          <w:sz w:val="18"/>
        </w:rPr>
        <w:t xml:space="preserve">#3 BOAM </w:t>
      </w:r>
      <w:r>
        <w:rPr>
          <w:sz w:val="17"/>
        </w:rPr>
        <w:t>(BANK OF AFRICA MALI) — baisse modérée (-9.6%) — repli technique attendu. Trajectoire : 📉 Baisse continue. Cours actuel : 6,090 FCFA → prédit J+10 : 5,508 FCFA. ⚠️ Confiance limitée — volatilité élevée. Ne pas agir sur ce seul signal.</w:t>
      </w:r>
    </w:p>
    <w:p>
      <w:pPr>
        <w:pStyle w:val="ListBullet"/>
      </w:pPr>
      <w:r>
        <w:rPr>
          <w:b/>
          <w:color w:val="B40000"/>
          <w:sz w:val="18"/>
        </w:rPr>
        <w:t xml:space="preserve">#4 CBIBF </w:t>
      </w:r>
      <w:r>
        <w:rPr>
          <w:sz w:val="17"/>
        </w:rPr>
        <w:t>(CBIBF - CORIS BANK INTERNATIONAL BURKINA) — baisse modérée (-8.5%) — repli technique attendu. Trajectoire : 📉 Baisse continue. Cours actuel : 31,450 FCFA → prédit J+10 : 28,775 FCFA. ⚠️ Confiance limitée — volatilité élevée. Ne pas agir sur ce seul signal.</w:t>
      </w:r>
    </w:p>
    <w:p>
      <w:pPr>
        <w:pStyle w:val="ListBullet"/>
      </w:pPr>
      <w:r>
        <w:rPr>
          <w:b/>
          <w:color w:val="B40000"/>
          <w:sz w:val="18"/>
        </w:rPr>
        <w:t xml:space="preserve">#5 ABJC </w:t>
      </w:r>
      <w:r>
        <w:rPr>
          <w:sz w:val="17"/>
        </w:rPr>
        <w:t>(ABJC - SERVAIR ABIDJAN CI) — baisse modérée (-6.7%) — repli technique attendu. Trajectoire : 📉 Baisse continue. Cours actuel : 3,300 FCFA → prédit J+10 : 3,080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2,800</w:t>
            </w:r>
          </w:p>
        </w:tc>
        <w:tc>
          <w:tcPr>
            <w:tcW w:type="dxa" w:w="1417"/>
            <w:shd w:fill="FFFFFF" w:val="clear"/>
          </w:tcPr>
          <w:p>
            <w:r>
              <w:rPr>
                <w:sz w:val="16"/>
              </w:rPr>
              <w:t>3,293</w:t>
            </w:r>
          </w:p>
        </w:tc>
        <w:tc>
          <w:tcPr>
            <w:tcW w:type="dxa" w:w="1134"/>
            <w:shd w:fill="C6EFCE" w:val="clear"/>
          </w:tcPr>
          <w:p>
            <w:r>
              <w:rPr>
                <w:b/>
                <w:color w:val="007800"/>
                <w:sz w:val="16"/>
              </w:rPr>
              <w:t>+17.61%</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21,800</w:t>
            </w:r>
          </w:p>
        </w:tc>
        <w:tc>
          <w:tcPr>
            <w:tcW w:type="dxa" w:w="1417"/>
            <w:shd w:fill="FFFFFF" w:val="clear"/>
          </w:tcPr>
          <w:p>
            <w:r>
              <w:rPr>
                <w:sz w:val="16"/>
              </w:rPr>
              <w:t>24,385</w:t>
            </w:r>
          </w:p>
        </w:tc>
        <w:tc>
          <w:tcPr>
            <w:tcW w:type="dxa" w:w="1134"/>
            <w:shd w:fill="C6EFCE" w:val="clear"/>
          </w:tcPr>
          <w:p>
            <w:r>
              <w:rPr>
                <w:b/>
                <w:color w:val="007800"/>
                <w:sz w:val="16"/>
              </w:rPr>
              <w:t>+11.86%</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8,625</w:t>
            </w:r>
          </w:p>
        </w:tc>
        <w:tc>
          <w:tcPr>
            <w:tcW w:type="dxa" w:w="1417"/>
            <w:shd w:fill="FFFFFF" w:val="clear"/>
          </w:tcPr>
          <w:p>
            <w:r>
              <w:rPr>
                <w:sz w:val="16"/>
              </w:rPr>
              <w:t>9,359</w:t>
            </w:r>
          </w:p>
        </w:tc>
        <w:tc>
          <w:tcPr>
            <w:tcW w:type="dxa" w:w="1134"/>
            <w:shd w:fill="C6EFCE" w:val="clear"/>
          </w:tcPr>
          <w:p>
            <w:r>
              <w:rPr>
                <w:b/>
                <w:color w:val="007800"/>
                <w:sz w:val="16"/>
              </w:rPr>
              <w:t>+8.51%</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1,460</w:t>
            </w:r>
          </w:p>
        </w:tc>
        <w:tc>
          <w:tcPr>
            <w:tcW w:type="dxa" w:w="1417"/>
            <w:shd w:fill="FFFFFF" w:val="clear"/>
          </w:tcPr>
          <w:p>
            <w:r>
              <w:rPr>
                <w:sz w:val="16"/>
              </w:rPr>
              <w:t>1,548</w:t>
            </w:r>
          </w:p>
        </w:tc>
        <w:tc>
          <w:tcPr>
            <w:tcW w:type="dxa" w:w="1134"/>
            <w:shd w:fill="C6EFCE" w:val="clear"/>
          </w:tcPr>
          <w:p>
            <w:r>
              <w:rPr>
                <w:b/>
                <w:color w:val="007800"/>
                <w:sz w:val="16"/>
              </w:rPr>
              <w:t>+6.00%</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4,900</w:t>
            </w:r>
          </w:p>
        </w:tc>
        <w:tc>
          <w:tcPr>
            <w:tcW w:type="dxa" w:w="1417"/>
            <w:shd w:fill="FFFFFF" w:val="clear"/>
          </w:tcPr>
          <w:p>
            <w:r>
              <w:rPr>
                <w:sz w:val="16"/>
              </w:rPr>
              <w:t>5,186</w:t>
            </w:r>
          </w:p>
        </w:tc>
        <w:tc>
          <w:tcPr>
            <w:tcW w:type="dxa" w:w="1134"/>
            <w:shd w:fill="C6EFCE" w:val="clear"/>
          </w:tcPr>
          <w:p>
            <w:r>
              <w:rPr>
                <w:b/>
                <w:color w:val="007800"/>
                <w:sz w:val="16"/>
              </w:rPr>
              <w:t>+5.84%</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19,900</w:t>
            </w:r>
          </w:p>
        </w:tc>
        <w:tc>
          <w:tcPr>
            <w:tcW w:type="dxa" w:w="1417"/>
            <w:shd w:fill="FFFFFF" w:val="clear"/>
          </w:tcPr>
          <w:p>
            <w:r>
              <w:rPr>
                <w:sz w:val="16"/>
              </w:rPr>
              <w:t>20,766</w:t>
            </w:r>
          </w:p>
        </w:tc>
        <w:tc>
          <w:tcPr>
            <w:tcW w:type="dxa" w:w="1134"/>
            <w:shd w:fill="C6EFCE" w:val="clear"/>
          </w:tcPr>
          <w:p>
            <w:r>
              <w:rPr>
                <w:b/>
                <w:color w:val="007800"/>
                <w:sz w:val="16"/>
              </w:rPr>
              <w:t>+4.35%</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37,400</w:t>
            </w:r>
          </w:p>
        </w:tc>
        <w:tc>
          <w:tcPr>
            <w:tcW w:type="dxa" w:w="1417"/>
            <w:shd w:fill="FFFFFF" w:val="clear"/>
          </w:tcPr>
          <w:p>
            <w:r>
              <w:rPr>
                <w:sz w:val="16"/>
              </w:rPr>
              <w:t>38,952</w:t>
            </w:r>
          </w:p>
        </w:tc>
        <w:tc>
          <w:tcPr>
            <w:tcW w:type="dxa" w:w="1134"/>
            <w:shd w:fill="C6EFCE" w:val="clear"/>
          </w:tcPr>
          <w:p>
            <w:r>
              <w:rPr>
                <w:b/>
                <w:color w:val="007800"/>
                <w:sz w:val="16"/>
              </w:rPr>
              <w:t>+4.15%</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1,995</w:t>
            </w:r>
          </w:p>
        </w:tc>
        <w:tc>
          <w:tcPr>
            <w:tcW w:type="dxa" w:w="1417"/>
            <w:shd w:fill="FFFFFF" w:val="clear"/>
          </w:tcPr>
          <w:p>
            <w:r>
              <w:rPr>
                <w:sz w:val="16"/>
              </w:rPr>
              <w:t>2,055</w:t>
            </w:r>
          </w:p>
        </w:tc>
        <w:tc>
          <w:tcPr>
            <w:tcW w:type="dxa" w:w="1134"/>
            <w:shd w:fill="C6EFCE" w:val="clear"/>
          </w:tcPr>
          <w:p>
            <w:r>
              <w:rPr>
                <w:b/>
                <w:color w:val="007800"/>
                <w:sz w:val="16"/>
              </w:rPr>
              <w:t>+3.00%</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2,215</w:t>
            </w:r>
          </w:p>
        </w:tc>
        <w:tc>
          <w:tcPr>
            <w:tcW w:type="dxa" w:w="1417"/>
            <w:shd w:fill="FFFFFF" w:val="clear"/>
          </w:tcPr>
          <w:p>
            <w:r>
              <w:rPr>
                <w:sz w:val="16"/>
              </w:rPr>
              <w:t>2,275</w:t>
            </w:r>
          </w:p>
        </w:tc>
        <w:tc>
          <w:tcPr>
            <w:tcW w:type="dxa" w:w="1134"/>
            <w:shd w:fill="C6EFCE" w:val="clear"/>
          </w:tcPr>
          <w:p>
            <w:r>
              <w:rPr>
                <w:b/>
                <w:color w:val="007800"/>
                <w:sz w:val="16"/>
              </w:rPr>
              <w:t>+2.73%</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3,850</w:t>
            </w:r>
          </w:p>
        </w:tc>
        <w:tc>
          <w:tcPr>
            <w:tcW w:type="dxa" w:w="1417"/>
            <w:shd w:fill="FFFFFF" w:val="clear"/>
          </w:tcPr>
          <w:p>
            <w:r>
              <w:rPr>
                <w:sz w:val="16"/>
              </w:rPr>
              <w:t>3,926</w:t>
            </w:r>
          </w:p>
        </w:tc>
        <w:tc>
          <w:tcPr>
            <w:tcW w:type="dxa" w:w="1134"/>
            <w:shd w:fill="C6EFCE" w:val="clear"/>
          </w:tcPr>
          <w:p>
            <w:r>
              <w:rPr>
                <w:b/>
                <w:color w:val="007800"/>
                <w:sz w:val="16"/>
              </w:rPr>
              <w:t>+1.98%</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11,300</w:t>
            </w:r>
          </w:p>
        </w:tc>
        <w:tc>
          <w:tcPr>
            <w:tcW w:type="dxa" w:w="1417"/>
            <w:shd w:fill="FFFFFF" w:val="clear"/>
          </w:tcPr>
          <w:p>
            <w:r>
              <w:rPr>
                <w:sz w:val="16"/>
              </w:rPr>
              <w:t>11,470</w:t>
            </w:r>
          </w:p>
        </w:tc>
        <w:tc>
          <w:tcPr>
            <w:tcW w:type="dxa" w:w="1134"/>
            <w:shd w:fill="C6EFCE" w:val="clear"/>
          </w:tcPr>
          <w:p>
            <w:r>
              <w:rPr>
                <w:b/>
                <w:color w:val="007800"/>
                <w:sz w:val="16"/>
              </w:rPr>
              <w:t>+1.50%</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47,700</w:t>
            </w:r>
          </w:p>
        </w:tc>
        <w:tc>
          <w:tcPr>
            <w:tcW w:type="dxa" w:w="1417"/>
            <w:shd w:fill="FFFFFF" w:val="clear"/>
          </w:tcPr>
          <w:p>
            <w:r>
              <w:rPr>
                <w:sz w:val="16"/>
              </w:rPr>
              <w:t>48,399</w:t>
            </w:r>
          </w:p>
        </w:tc>
        <w:tc>
          <w:tcPr>
            <w:tcW w:type="dxa" w:w="1134"/>
            <w:shd w:fill="C6EFCE" w:val="clear"/>
          </w:tcPr>
          <w:p>
            <w:r>
              <w:rPr>
                <w:b/>
                <w:color w:val="007800"/>
                <w:sz w:val="16"/>
              </w:rPr>
              <w:t>+1.47%</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1,810</w:t>
            </w:r>
          </w:p>
        </w:tc>
        <w:tc>
          <w:tcPr>
            <w:tcW w:type="dxa" w:w="1417"/>
            <w:shd w:fill="FFFFFF" w:val="clear"/>
          </w:tcPr>
          <w:p>
            <w:r>
              <w:rPr>
                <w:sz w:val="16"/>
              </w:rPr>
              <w:t>1,834</w:t>
            </w:r>
          </w:p>
        </w:tc>
        <w:tc>
          <w:tcPr>
            <w:tcW w:type="dxa" w:w="1134"/>
            <w:shd w:fill="C6EFCE" w:val="clear"/>
          </w:tcPr>
          <w:p>
            <w:r>
              <w:rPr>
                <w:b/>
                <w:color w:val="007800"/>
                <w:sz w:val="16"/>
              </w:rPr>
              <w:t>+1.32%</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3,890</w:t>
            </w:r>
          </w:p>
        </w:tc>
        <w:tc>
          <w:tcPr>
            <w:tcW w:type="dxa" w:w="1417"/>
            <w:shd w:fill="FFFFFF" w:val="clear"/>
          </w:tcPr>
          <w:p>
            <w:r>
              <w:rPr>
                <w:sz w:val="16"/>
              </w:rPr>
              <w:t>3,934</w:t>
            </w:r>
          </w:p>
        </w:tc>
        <w:tc>
          <w:tcPr>
            <w:tcW w:type="dxa" w:w="1134"/>
            <w:shd w:fill="C6EFCE" w:val="clear"/>
          </w:tcPr>
          <w:p>
            <w:r>
              <w:rPr>
                <w:b/>
                <w:color w:val="007800"/>
                <w:sz w:val="16"/>
              </w:rPr>
              <w:t>+1.14%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16,800</w:t>
            </w:r>
          </w:p>
        </w:tc>
        <w:tc>
          <w:tcPr>
            <w:tcW w:type="dxa" w:w="1417"/>
            <w:shd w:fill="FFFFFF" w:val="clear"/>
          </w:tcPr>
          <w:p>
            <w:r>
              <w:rPr>
                <w:sz w:val="16"/>
              </w:rPr>
              <w:t>16,976</w:t>
            </w:r>
          </w:p>
        </w:tc>
        <w:tc>
          <w:tcPr>
            <w:tcW w:type="dxa" w:w="1134"/>
            <w:shd w:fill="C6EFCE" w:val="clear"/>
          </w:tcPr>
          <w:p>
            <w:r>
              <w:rPr>
                <w:b/>
                <w:color w:val="007800"/>
                <w:sz w:val="16"/>
              </w:rPr>
              <w:t>+1.05%</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12,940</w:t>
            </w:r>
          </w:p>
        </w:tc>
        <w:tc>
          <w:tcPr>
            <w:tcW w:type="dxa" w:w="1417"/>
            <w:shd w:fill="FFFFFF" w:val="clear"/>
          </w:tcPr>
          <w:p>
            <w:r>
              <w:rPr>
                <w:sz w:val="16"/>
              </w:rPr>
              <w:t>13,075</w:t>
            </w:r>
          </w:p>
        </w:tc>
        <w:tc>
          <w:tcPr>
            <w:tcW w:type="dxa" w:w="1134"/>
            <w:shd w:fill="C6EFCE" w:val="clear"/>
          </w:tcPr>
          <w:p>
            <w:r>
              <w:rPr>
                <w:b/>
                <w:color w:val="007800"/>
                <w:sz w:val="16"/>
              </w:rPr>
              <w:t>+1.04%</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31,305</w:t>
            </w:r>
          </w:p>
        </w:tc>
        <w:tc>
          <w:tcPr>
            <w:tcW w:type="dxa" w:w="1417"/>
            <w:shd w:fill="FFFFFF" w:val="clear"/>
          </w:tcPr>
          <w:p>
            <w:r>
              <w:rPr>
                <w:sz w:val="16"/>
              </w:rPr>
              <w:t>31,474</w:t>
            </w:r>
          </w:p>
        </w:tc>
        <w:tc>
          <w:tcPr>
            <w:tcW w:type="dxa" w:w="1134"/>
            <w:shd w:fill="FFEB9C" w:val="clear"/>
          </w:tcPr>
          <w:p>
            <w:r>
              <w:rPr>
                <w:b/>
                <w:color w:val="646400"/>
                <w:sz w:val="16"/>
              </w:rPr>
              <w:t>+0.54%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65</w:t>
            </w:r>
          </w:p>
        </w:tc>
        <w:tc>
          <w:tcPr>
            <w:tcW w:type="dxa" w:w="1134"/>
            <w:shd w:fill="FFEB9C" w:val="clear"/>
          </w:tcPr>
          <w:p>
            <w:r>
              <w:rPr>
                <w:b/>
                <w:color w:val="646400"/>
                <w:sz w:val="16"/>
              </w:rPr>
              <w:t>+0.43%</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2,900</w:t>
            </w:r>
          </w:p>
        </w:tc>
        <w:tc>
          <w:tcPr>
            <w:tcW w:type="dxa" w:w="1417"/>
            <w:shd w:fill="FFFFFF" w:val="clear"/>
          </w:tcPr>
          <w:p>
            <w:r>
              <w:rPr>
                <w:sz w:val="16"/>
              </w:rPr>
              <w:t>2,903</w:t>
            </w:r>
          </w:p>
        </w:tc>
        <w:tc>
          <w:tcPr>
            <w:tcW w:type="dxa" w:w="1134"/>
            <w:shd w:fill="FFEB9C" w:val="clear"/>
          </w:tcPr>
          <w:p>
            <w:r>
              <w:rPr>
                <w:b/>
                <w:color w:val="646400"/>
                <w:sz w:val="16"/>
              </w:rPr>
              <w:t>+0.09%</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7,620</w:t>
            </w:r>
          </w:p>
        </w:tc>
        <w:tc>
          <w:tcPr>
            <w:tcW w:type="dxa" w:w="1417"/>
            <w:shd w:fill="FFFFFF" w:val="clear"/>
          </w:tcPr>
          <w:p>
            <w:r>
              <w:rPr>
                <w:sz w:val="16"/>
              </w:rPr>
              <w:t>7,590</w:t>
            </w:r>
          </w:p>
        </w:tc>
        <w:tc>
          <w:tcPr>
            <w:tcW w:type="dxa" w:w="1134"/>
            <w:shd w:fill="FFEB9C" w:val="clear"/>
          </w:tcPr>
          <w:p>
            <w:r>
              <w:rPr>
                <w:b/>
                <w:color w:val="646400"/>
                <w:sz w:val="16"/>
              </w:rPr>
              <w:t>-0.39%</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3,600</w:t>
            </w:r>
          </w:p>
        </w:tc>
        <w:tc>
          <w:tcPr>
            <w:tcW w:type="dxa" w:w="1417"/>
            <w:shd w:fill="FFFFFF" w:val="clear"/>
          </w:tcPr>
          <w:p>
            <w:r>
              <w:rPr>
                <w:sz w:val="16"/>
              </w:rPr>
              <w:t>3,570</w:t>
            </w:r>
          </w:p>
        </w:tc>
        <w:tc>
          <w:tcPr>
            <w:tcW w:type="dxa" w:w="1134"/>
            <w:shd w:fill="FFEB9C" w:val="clear"/>
          </w:tcPr>
          <w:p>
            <w:r>
              <w:rPr>
                <w:b/>
                <w:color w:val="646400"/>
                <w:sz w:val="16"/>
              </w:rPr>
              <w:t>-0.83%</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3,345</w:t>
            </w:r>
          </w:p>
        </w:tc>
        <w:tc>
          <w:tcPr>
            <w:tcW w:type="dxa" w:w="1417"/>
            <w:shd w:fill="FFFFFF" w:val="clear"/>
          </w:tcPr>
          <w:p>
            <w:r>
              <w:rPr>
                <w:sz w:val="16"/>
              </w:rPr>
              <w:t>3,302</w:t>
            </w:r>
          </w:p>
        </w:tc>
        <w:tc>
          <w:tcPr>
            <w:tcW w:type="dxa" w:w="1134"/>
            <w:shd w:fill="FFC7CE" w:val="clear"/>
          </w:tcPr>
          <w:p>
            <w:r>
              <w:rPr>
                <w:b/>
                <w:color w:val="B40000"/>
                <w:sz w:val="16"/>
              </w:rPr>
              <w:t>-1.28%</w:t>
            </w:r>
          </w:p>
        </w:tc>
        <w:tc>
          <w:tcPr>
            <w:tcW w:type="dxa" w:w="1134"/>
            <w:shd w:fill="FFEB9C" w:val="clear"/>
          </w:tcPr>
          <w:p>
            <w:r>
              <w:rPr>
                <w:sz w:val="16"/>
              </w:rPr>
              <w:t>Moyenne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4,200</w:t>
            </w:r>
          </w:p>
        </w:tc>
        <w:tc>
          <w:tcPr>
            <w:tcW w:type="dxa" w:w="1417"/>
            <w:shd w:fill="FFFFFF" w:val="clear"/>
          </w:tcPr>
          <w:p>
            <w:r>
              <w:rPr>
                <w:sz w:val="16"/>
              </w:rPr>
              <w:t>4,142</w:t>
            </w:r>
          </w:p>
        </w:tc>
        <w:tc>
          <w:tcPr>
            <w:tcW w:type="dxa" w:w="1134"/>
            <w:shd w:fill="FFC7CE" w:val="clear"/>
          </w:tcPr>
          <w:p>
            <w:r>
              <w:rPr>
                <w:b/>
                <w:color w:val="B40000"/>
                <w:sz w:val="16"/>
              </w:rPr>
              <w:t>-1.37%</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3,025</w:t>
            </w:r>
          </w:p>
        </w:tc>
        <w:tc>
          <w:tcPr>
            <w:tcW w:type="dxa" w:w="1417"/>
            <w:shd w:fill="FFFFFF" w:val="clear"/>
          </w:tcPr>
          <w:p>
            <w:r>
              <w:rPr>
                <w:sz w:val="16"/>
              </w:rPr>
              <w:t>2,974</w:t>
            </w:r>
          </w:p>
        </w:tc>
        <w:tc>
          <w:tcPr>
            <w:tcW w:type="dxa" w:w="1134"/>
            <w:shd w:fill="FFC7CE" w:val="clear"/>
          </w:tcPr>
          <w:p>
            <w:r>
              <w:rPr>
                <w:b/>
                <w:color w:val="B40000"/>
                <w:sz w:val="16"/>
              </w:rPr>
              <w:t>-1.68%</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7,900</w:t>
            </w:r>
          </w:p>
        </w:tc>
        <w:tc>
          <w:tcPr>
            <w:tcW w:type="dxa" w:w="1417"/>
            <w:shd w:fill="FFFFFF" w:val="clear"/>
          </w:tcPr>
          <w:p>
            <w:r>
              <w:rPr>
                <w:sz w:val="16"/>
              </w:rPr>
              <w:t>7,755</w:t>
            </w:r>
          </w:p>
        </w:tc>
        <w:tc>
          <w:tcPr>
            <w:tcW w:type="dxa" w:w="1134"/>
            <w:shd w:fill="FFC7CE" w:val="clear"/>
          </w:tcPr>
          <w:p>
            <w:r>
              <w:rPr>
                <w:b/>
                <w:color w:val="B40000"/>
                <w:sz w:val="16"/>
              </w:rPr>
              <w:t>-1.84%</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15,490</w:t>
            </w:r>
          </w:p>
        </w:tc>
        <w:tc>
          <w:tcPr>
            <w:tcW w:type="dxa" w:w="1417"/>
            <w:shd w:fill="FFFFFF" w:val="clear"/>
          </w:tcPr>
          <w:p>
            <w:r>
              <w:rPr>
                <w:sz w:val="16"/>
              </w:rPr>
              <w:t>15,159</w:t>
            </w:r>
          </w:p>
        </w:tc>
        <w:tc>
          <w:tcPr>
            <w:tcW w:type="dxa" w:w="1134"/>
            <w:shd w:fill="FFC7CE" w:val="clear"/>
          </w:tcPr>
          <w:p>
            <w:r>
              <w:rPr>
                <w:b/>
                <w:color w:val="B40000"/>
                <w:sz w:val="16"/>
              </w:rPr>
              <w:t>-2.13%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38,985</w:t>
            </w:r>
          </w:p>
        </w:tc>
        <w:tc>
          <w:tcPr>
            <w:tcW w:type="dxa" w:w="1417"/>
            <w:shd w:fill="FFFFFF" w:val="clear"/>
          </w:tcPr>
          <w:p>
            <w:r>
              <w:rPr>
                <w:sz w:val="16"/>
              </w:rPr>
              <w:t>38,060</w:t>
            </w:r>
          </w:p>
        </w:tc>
        <w:tc>
          <w:tcPr>
            <w:tcW w:type="dxa" w:w="1134"/>
            <w:shd w:fill="FFC7CE" w:val="clear"/>
          </w:tcPr>
          <w:p>
            <w:r>
              <w:rPr>
                <w:b/>
                <w:color w:val="B40000"/>
                <w:sz w:val="16"/>
              </w:rPr>
              <w:t>-2.37%</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9,370</w:t>
            </w:r>
          </w:p>
        </w:tc>
        <w:tc>
          <w:tcPr>
            <w:tcW w:type="dxa" w:w="1417"/>
            <w:shd w:fill="FFFFFF" w:val="clear"/>
          </w:tcPr>
          <w:p>
            <w:r>
              <w:rPr>
                <w:sz w:val="16"/>
              </w:rPr>
              <w:t>9,145</w:t>
            </w:r>
          </w:p>
        </w:tc>
        <w:tc>
          <w:tcPr>
            <w:tcW w:type="dxa" w:w="1134"/>
            <w:shd w:fill="FFC7CE" w:val="clear"/>
          </w:tcPr>
          <w:p>
            <w:r>
              <w:rPr>
                <w:b/>
                <w:color w:val="B40000"/>
                <w:sz w:val="16"/>
              </w:rPr>
              <w:t>-2.41%</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44,980</w:t>
            </w:r>
          </w:p>
        </w:tc>
        <w:tc>
          <w:tcPr>
            <w:tcW w:type="dxa" w:w="1417"/>
            <w:shd w:fill="FFFFFF" w:val="clear"/>
          </w:tcPr>
          <w:p>
            <w:r>
              <w:rPr>
                <w:sz w:val="16"/>
              </w:rPr>
              <w:t>43,861</w:t>
            </w:r>
          </w:p>
        </w:tc>
        <w:tc>
          <w:tcPr>
            <w:tcW w:type="dxa" w:w="1134"/>
            <w:shd w:fill="FFC7CE" w:val="clear"/>
          </w:tcPr>
          <w:p>
            <w:r>
              <w:rPr>
                <w:b/>
                <w:color w:val="B40000"/>
                <w:sz w:val="16"/>
              </w:rPr>
              <w:t>-2.49%</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2,200</w:t>
            </w:r>
          </w:p>
        </w:tc>
        <w:tc>
          <w:tcPr>
            <w:tcW w:type="dxa" w:w="1417"/>
            <w:shd w:fill="FFFFFF" w:val="clear"/>
          </w:tcPr>
          <w:p>
            <w:r>
              <w:rPr>
                <w:sz w:val="16"/>
              </w:rPr>
              <w:t>2,145</w:t>
            </w:r>
          </w:p>
        </w:tc>
        <w:tc>
          <w:tcPr>
            <w:tcW w:type="dxa" w:w="1134"/>
            <w:shd w:fill="FFC7CE" w:val="clear"/>
          </w:tcPr>
          <w:p>
            <w:r>
              <w:rPr>
                <w:b/>
                <w:color w:val="B40000"/>
                <w:sz w:val="16"/>
              </w:rPr>
              <w:t>-2.49%</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2,950</w:t>
            </w:r>
          </w:p>
        </w:tc>
        <w:tc>
          <w:tcPr>
            <w:tcW w:type="dxa" w:w="1417"/>
            <w:shd w:fill="FFFFFF" w:val="clear"/>
          </w:tcPr>
          <w:p>
            <w:r>
              <w:rPr>
                <w:sz w:val="16"/>
              </w:rPr>
              <w:t>2,873</w:t>
            </w:r>
          </w:p>
        </w:tc>
        <w:tc>
          <w:tcPr>
            <w:tcW w:type="dxa" w:w="1134"/>
            <w:shd w:fill="FFC7CE" w:val="clear"/>
          </w:tcPr>
          <w:p>
            <w:r>
              <w:rPr>
                <w:b/>
                <w:color w:val="B40000"/>
                <w:sz w:val="16"/>
              </w:rPr>
              <w:t>-2.62%</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3,060</w:t>
            </w:r>
          </w:p>
        </w:tc>
        <w:tc>
          <w:tcPr>
            <w:tcW w:type="dxa" w:w="1417"/>
            <w:shd w:fill="FFFFFF" w:val="clear"/>
          </w:tcPr>
          <w:p>
            <w:r>
              <w:rPr>
                <w:sz w:val="16"/>
              </w:rPr>
              <w:t>2,968</w:t>
            </w:r>
          </w:p>
        </w:tc>
        <w:tc>
          <w:tcPr>
            <w:tcW w:type="dxa" w:w="1134"/>
            <w:shd w:fill="FFC7CE" w:val="clear"/>
          </w:tcPr>
          <w:p>
            <w:r>
              <w:rPr>
                <w:b/>
                <w:color w:val="B40000"/>
                <w:sz w:val="16"/>
              </w:rPr>
              <w:t>-3.01%</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6,400</w:t>
            </w:r>
          </w:p>
        </w:tc>
        <w:tc>
          <w:tcPr>
            <w:tcW w:type="dxa" w:w="1417"/>
            <w:shd w:fill="FFFFFF" w:val="clear"/>
          </w:tcPr>
          <w:p>
            <w:r>
              <w:rPr>
                <w:sz w:val="16"/>
              </w:rPr>
              <w:t>6,134</w:t>
            </w:r>
          </w:p>
        </w:tc>
        <w:tc>
          <w:tcPr>
            <w:tcW w:type="dxa" w:w="1134"/>
            <w:shd w:fill="FFC7CE" w:val="clear"/>
          </w:tcPr>
          <w:p>
            <w:r>
              <w:rPr>
                <w:b/>
                <w:color w:val="B40000"/>
                <w:sz w:val="16"/>
              </w:rPr>
              <w:t>-4.16%</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16,995</w:t>
            </w:r>
          </w:p>
        </w:tc>
        <w:tc>
          <w:tcPr>
            <w:tcW w:type="dxa" w:w="1417"/>
            <w:shd w:fill="FFFFFF" w:val="clear"/>
          </w:tcPr>
          <w:p>
            <w:r>
              <w:rPr>
                <w:sz w:val="16"/>
              </w:rPr>
              <w:t>16,271</w:t>
            </w:r>
          </w:p>
        </w:tc>
        <w:tc>
          <w:tcPr>
            <w:tcW w:type="dxa" w:w="1134"/>
            <w:shd w:fill="FFC7CE" w:val="clear"/>
          </w:tcPr>
          <w:p>
            <w:r>
              <w:rPr>
                <w:b/>
                <w:color w:val="B40000"/>
                <w:sz w:val="16"/>
              </w:rPr>
              <w:t>-4.26%</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2,275</w:t>
            </w:r>
          </w:p>
        </w:tc>
        <w:tc>
          <w:tcPr>
            <w:tcW w:type="dxa" w:w="1417"/>
            <w:shd w:fill="FFFFFF" w:val="clear"/>
          </w:tcPr>
          <w:p>
            <w:r>
              <w:rPr>
                <w:sz w:val="16"/>
              </w:rPr>
              <w:t>2,151</w:t>
            </w:r>
          </w:p>
        </w:tc>
        <w:tc>
          <w:tcPr>
            <w:tcW w:type="dxa" w:w="1134"/>
            <w:shd w:fill="FFC7CE" w:val="clear"/>
          </w:tcPr>
          <w:p>
            <w:r>
              <w:rPr>
                <w:b/>
                <w:color w:val="B40000"/>
                <w:sz w:val="16"/>
              </w:rPr>
              <w:t>-5.46%</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8,000</w:t>
            </w:r>
          </w:p>
        </w:tc>
        <w:tc>
          <w:tcPr>
            <w:tcW w:type="dxa" w:w="1417"/>
            <w:shd w:fill="FFFFFF" w:val="clear"/>
          </w:tcPr>
          <w:p>
            <w:r>
              <w:rPr>
                <w:sz w:val="16"/>
              </w:rPr>
              <w:t>7,561</w:t>
            </w:r>
          </w:p>
        </w:tc>
        <w:tc>
          <w:tcPr>
            <w:tcW w:type="dxa" w:w="1134"/>
            <w:shd w:fill="FFC7CE" w:val="clear"/>
          </w:tcPr>
          <w:p>
            <w:r>
              <w:rPr>
                <w:b/>
                <w:color w:val="B40000"/>
                <w:sz w:val="16"/>
              </w:rPr>
              <w:t>-5.49%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1,850</w:t>
            </w:r>
          </w:p>
        </w:tc>
        <w:tc>
          <w:tcPr>
            <w:tcW w:type="dxa" w:w="1417"/>
            <w:shd w:fill="FFFFFF" w:val="clear"/>
          </w:tcPr>
          <w:p>
            <w:r>
              <w:rPr>
                <w:sz w:val="16"/>
              </w:rPr>
              <w:t>1,747</w:t>
            </w:r>
          </w:p>
        </w:tc>
        <w:tc>
          <w:tcPr>
            <w:tcW w:type="dxa" w:w="1134"/>
            <w:shd w:fill="FFC7CE" w:val="clear"/>
          </w:tcPr>
          <w:p>
            <w:r>
              <w:rPr>
                <w:b/>
                <w:color w:val="B40000"/>
                <w:sz w:val="16"/>
              </w:rPr>
              <w:t>-5.57%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2,235</w:t>
            </w:r>
          </w:p>
        </w:tc>
        <w:tc>
          <w:tcPr>
            <w:tcW w:type="dxa" w:w="1417"/>
            <w:shd w:fill="FFFFFF" w:val="clear"/>
          </w:tcPr>
          <w:p>
            <w:r>
              <w:rPr>
                <w:sz w:val="16"/>
              </w:rPr>
              <w:t>2,102</w:t>
            </w:r>
          </w:p>
        </w:tc>
        <w:tc>
          <w:tcPr>
            <w:tcW w:type="dxa" w:w="1134"/>
            <w:shd w:fill="FFC7CE" w:val="clear"/>
          </w:tcPr>
          <w:p>
            <w:r>
              <w:rPr>
                <w:b/>
                <w:color w:val="B40000"/>
                <w:sz w:val="16"/>
              </w:rPr>
              <w:t>-5.95%</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9,050</w:t>
            </w:r>
          </w:p>
        </w:tc>
        <w:tc>
          <w:tcPr>
            <w:tcW w:type="dxa" w:w="1417"/>
            <w:shd w:fill="FFFFFF" w:val="clear"/>
          </w:tcPr>
          <w:p>
            <w:r>
              <w:rPr>
                <w:sz w:val="16"/>
              </w:rPr>
              <w:t>8,497</w:t>
            </w:r>
          </w:p>
        </w:tc>
        <w:tc>
          <w:tcPr>
            <w:tcW w:type="dxa" w:w="1134"/>
            <w:shd w:fill="FFC7CE" w:val="clear"/>
          </w:tcPr>
          <w:p>
            <w:r>
              <w:rPr>
                <w:b/>
                <w:color w:val="B40000"/>
                <w:sz w:val="16"/>
              </w:rPr>
              <w:t>-6.11%</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8,350</w:t>
            </w:r>
          </w:p>
        </w:tc>
        <w:tc>
          <w:tcPr>
            <w:tcW w:type="dxa" w:w="1417"/>
            <w:shd w:fill="FFFFFF" w:val="clear"/>
          </w:tcPr>
          <w:p>
            <w:r>
              <w:rPr>
                <w:sz w:val="16"/>
              </w:rPr>
              <w:t>7,827</w:t>
            </w:r>
          </w:p>
        </w:tc>
        <w:tc>
          <w:tcPr>
            <w:tcW w:type="dxa" w:w="1134"/>
            <w:shd w:fill="FFC7CE" w:val="clear"/>
          </w:tcPr>
          <w:p>
            <w:r>
              <w:rPr>
                <w:b/>
                <w:color w:val="B40000"/>
                <w:sz w:val="16"/>
              </w:rPr>
              <w:t>-6.26%</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3,300</w:t>
            </w:r>
          </w:p>
        </w:tc>
        <w:tc>
          <w:tcPr>
            <w:tcW w:type="dxa" w:w="1417"/>
            <w:shd w:fill="FFFFFF" w:val="clear"/>
          </w:tcPr>
          <w:p>
            <w:r>
              <w:rPr>
                <w:sz w:val="16"/>
              </w:rPr>
              <w:t>3,080</w:t>
            </w:r>
          </w:p>
        </w:tc>
        <w:tc>
          <w:tcPr>
            <w:tcW w:type="dxa" w:w="1134"/>
            <w:shd w:fill="FFC7CE" w:val="clear"/>
          </w:tcPr>
          <w:p>
            <w:r>
              <w:rPr>
                <w:b/>
                <w:color w:val="B40000"/>
                <w:sz w:val="16"/>
              </w:rPr>
              <w:t>-6.66%</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31,450</w:t>
            </w:r>
          </w:p>
        </w:tc>
        <w:tc>
          <w:tcPr>
            <w:tcW w:type="dxa" w:w="1417"/>
            <w:shd w:fill="FFFFFF" w:val="clear"/>
          </w:tcPr>
          <w:p>
            <w:r>
              <w:rPr>
                <w:sz w:val="16"/>
              </w:rPr>
              <w:t>28,775</w:t>
            </w:r>
          </w:p>
        </w:tc>
        <w:tc>
          <w:tcPr>
            <w:tcW w:type="dxa" w:w="1134"/>
            <w:shd w:fill="FFC7CE" w:val="clear"/>
          </w:tcPr>
          <w:p>
            <w:r>
              <w:rPr>
                <w:b/>
                <w:color w:val="B40000"/>
                <w:sz w:val="16"/>
              </w:rPr>
              <w:t>-8.50%</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6,090</w:t>
            </w:r>
          </w:p>
        </w:tc>
        <w:tc>
          <w:tcPr>
            <w:tcW w:type="dxa" w:w="1417"/>
            <w:shd w:fill="FFFFFF" w:val="clear"/>
          </w:tcPr>
          <w:p>
            <w:r>
              <w:rPr>
                <w:sz w:val="16"/>
              </w:rPr>
              <w:t>5,508</w:t>
            </w:r>
          </w:p>
        </w:tc>
        <w:tc>
          <w:tcPr>
            <w:tcW w:type="dxa" w:w="1134"/>
            <w:shd w:fill="FFC7CE" w:val="clear"/>
          </w:tcPr>
          <w:p>
            <w:r>
              <w:rPr>
                <w:b/>
                <w:color w:val="B40000"/>
                <w:sz w:val="16"/>
              </w:rPr>
              <w:t>-9.56%</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22,100</w:t>
            </w:r>
          </w:p>
        </w:tc>
        <w:tc>
          <w:tcPr>
            <w:tcW w:type="dxa" w:w="1417"/>
            <w:shd w:fill="FFFFFF" w:val="clear"/>
          </w:tcPr>
          <w:p>
            <w:r>
              <w:rPr>
                <w:sz w:val="16"/>
              </w:rPr>
              <w:t>19,630</w:t>
            </w:r>
          </w:p>
        </w:tc>
        <w:tc>
          <w:tcPr>
            <w:tcW w:type="dxa" w:w="1134"/>
            <w:shd w:fill="FFC7CE" w:val="clear"/>
          </w:tcPr>
          <w:p>
            <w:r>
              <w:rPr>
                <w:b/>
                <w:color w:val="B40000"/>
                <w:sz w:val="16"/>
              </w:rPr>
              <w:t>-11.18%</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8,150</w:t>
            </w:r>
          </w:p>
        </w:tc>
        <w:tc>
          <w:tcPr>
            <w:tcW w:type="dxa" w:w="1417"/>
            <w:shd w:fill="FFFFFF" w:val="clear"/>
          </w:tcPr>
          <w:p>
            <w:r>
              <w:rPr>
                <w:sz w:val="16"/>
              </w:rPr>
              <w:t>7,112</w:t>
            </w:r>
          </w:p>
        </w:tc>
        <w:tc>
          <w:tcPr>
            <w:tcW w:type="dxa" w:w="1134"/>
            <w:shd w:fill="FFC7CE" w:val="clear"/>
          </w:tcPr>
          <w:p>
            <w:r>
              <w:rPr>
                <w:b/>
                <w:color w:val="B40000"/>
                <w:sz w:val="16"/>
              </w:rPr>
              <w:t>-12.73%</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36.01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3,434 titres</w:t>
            </w:r>
          </w:p>
        </w:tc>
        <w:tc>
          <w:tcPr>
            <w:tcW w:type="dxa" w:w="2268"/>
            <w:shd w:fill="FFF2CC" w:val="clear"/>
          </w:tcPr>
          <w:p>
            <w:r>
              <w:rPr>
                <w:b/>
                <w:color w:val="503200"/>
                <w:sz w:val="16"/>
              </w:rPr>
              <w:t xml:space="preserve">Cours actuel : </w:t>
            </w:r>
            <w:r>
              <w:rPr>
                <w:color w:val="000000"/>
                <w:sz w:val="17"/>
              </w:rPr>
              <w:t>3,300 FCFA</w:t>
            </w:r>
          </w:p>
          <w:p>
            <w:r>
              <w:rPr>
                <w:b/>
                <w:color w:val="503200"/>
                <w:sz w:val="16"/>
              </w:rPr>
              <w:t xml:space="preserve">Var. 100 jours : </w:t>
            </w:r>
            <w:r>
              <w:rPr>
                <w:b/>
                <w:color w:val="007800"/>
                <w:sz w:val="17"/>
              </w:rPr>
              <w:t>+10.55%</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11.14% (Moyenne) — μ=3,338 FCFA, σ=372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β=0.2867 (Défensif) — Cov=0.000021, Var(idx)=0.000072, ρ=0.085,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3,120</w:t>
            </w:r>
          </w:p>
        </w:tc>
        <w:tc>
          <w:tcPr>
            <w:tcW w:type="dxa" w:w="1440"/>
            <w:shd w:fill="FAFAFA" w:val="clear"/>
          </w:tcPr>
          <w:p>
            <w:r>
              <w:rPr>
                <w:b/>
                <w:sz w:val="17"/>
              </w:rPr>
              <w:t>3,275</w:t>
            </w:r>
          </w:p>
        </w:tc>
        <w:tc>
          <w:tcPr>
            <w:tcW w:type="dxa" w:w="1440"/>
            <w:shd w:fill="FAFAFA" w:val="clear"/>
          </w:tcPr>
          <w:p>
            <w:r>
              <w:rPr>
                <w:sz w:val="17"/>
              </w:rPr>
              <w:t>3,430</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3,032</w:t>
            </w:r>
          </w:p>
        </w:tc>
        <w:tc>
          <w:tcPr>
            <w:tcW w:type="dxa" w:w="1440"/>
            <w:shd w:fill="FAFAFA" w:val="clear"/>
          </w:tcPr>
          <w:p>
            <w:r>
              <w:rPr>
                <w:b/>
                <w:sz w:val="17"/>
              </w:rPr>
              <w:t>3,249</w:t>
            </w:r>
          </w:p>
        </w:tc>
        <w:tc>
          <w:tcPr>
            <w:tcW w:type="dxa" w:w="1440"/>
            <w:shd w:fill="FAFAFA" w:val="clear"/>
          </w:tcPr>
          <w:p>
            <w:r>
              <w:rPr>
                <w:sz w:val="17"/>
              </w:rPr>
              <w:t>3,467</w:t>
            </w:r>
          </w:p>
        </w:tc>
        <w:tc>
          <w:tcPr>
            <w:tcW w:type="dxa" w:w="1440"/>
            <w:shd w:fill="FAFAFA" w:val="clear"/>
          </w:tcPr>
          <w:p>
            <w:r>
              <w:rPr>
                <w:b/>
                <w:color w:val="C00000"/>
                <w:sz w:val="17"/>
              </w:rPr>
              <w:t>-1.5%</w:t>
            </w:r>
          </w:p>
        </w:tc>
      </w:tr>
      <w:tr>
        <w:tc>
          <w:tcPr>
            <w:tcW w:type="dxa" w:w="1440"/>
            <w:shd w:fill="FFDCE0" w:val="clear"/>
          </w:tcPr>
          <w:p>
            <w:r>
              <w:rPr>
                <w:sz w:val="17"/>
              </w:rPr>
              <w:t>J+3  Moyenne</w:t>
            </w:r>
          </w:p>
        </w:tc>
        <w:tc>
          <w:tcPr>
            <w:tcW w:type="dxa" w:w="1440"/>
            <w:shd w:fill="FFDCE0" w:val="clear"/>
          </w:tcPr>
          <w:p>
            <w:r>
              <w:rPr>
                <w:sz w:val="17"/>
              </w:rPr>
              <w:t>2026-10-08</w:t>
            </w:r>
          </w:p>
        </w:tc>
        <w:tc>
          <w:tcPr>
            <w:tcW w:type="dxa" w:w="1440"/>
            <w:shd w:fill="FFDCE0" w:val="clear"/>
          </w:tcPr>
          <w:p>
            <w:r>
              <w:rPr>
                <w:sz w:val="17"/>
              </w:rPr>
              <w:t>2,967</w:t>
            </w:r>
          </w:p>
        </w:tc>
        <w:tc>
          <w:tcPr>
            <w:tcW w:type="dxa" w:w="1440"/>
            <w:shd w:fill="FFDCE0" w:val="clear"/>
          </w:tcPr>
          <w:p>
            <w:r>
              <w:rPr>
                <w:b/>
                <w:sz w:val="17"/>
              </w:rPr>
              <w:t>3,232</w:t>
            </w:r>
          </w:p>
        </w:tc>
        <w:tc>
          <w:tcPr>
            <w:tcW w:type="dxa" w:w="1440"/>
            <w:shd w:fill="FFDCE0" w:val="clear"/>
          </w:tcPr>
          <w:p>
            <w:r>
              <w:rPr>
                <w:sz w:val="17"/>
              </w:rPr>
              <w:t>3,497</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2,907</w:t>
            </w:r>
          </w:p>
        </w:tc>
        <w:tc>
          <w:tcPr>
            <w:tcW w:type="dxa" w:w="1440"/>
            <w:shd w:fill="FFDCE0" w:val="clear"/>
          </w:tcPr>
          <w:p>
            <w:r>
              <w:rPr>
                <w:b/>
                <w:sz w:val="17"/>
              </w:rPr>
              <w:t>3,211</w:t>
            </w:r>
          </w:p>
        </w:tc>
        <w:tc>
          <w:tcPr>
            <w:tcW w:type="dxa" w:w="1440"/>
            <w:shd w:fill="FFDCE0" w:val="clear"/>
          </w:tcPr>
          <w:p>
            <w:r>
              <w:rPr>
                <w:sz w:val="17"/>
              </w:rPr>
              <w:t>3,514</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2,851</w:t>
            </w:r>
          </w:p>
        </w:tc>
        <w:tc>
          <w:tcPr>
            <w:tcW w:type="dxa" w:w="1440"/>
            <w:shd w:fill="FFDCE0" w:val="clear"/>
          </w:tcPr>
          <w:p>
            <w:r>
              <w:rPr>
                <w:b/>
                <w:sz w:val="17"/>
              </w:rPr>
              <w:t>3,188</w:t>
            </w:r>
          </w:p>
        </w:tc>
        <w:tc>
          <w:tcPr>
            <w:tcW w:type="dxa" w:w="1440"/>
            <w:shd w:fill="FFDCE0" w:val="clear"/>
          </w:tcPr>
          <w:p>
            <w:r>
              <w:rPr>
                <w:sz w:val="17"/>
              </w:rPr>
              <w:t>3,525</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2,798</w:t>
            </w:r>
          </w:p>
        </w:tc>
        <w:tc>
          <w:tcPr>
            <w:tcW w:type="dxa" w:w="1440"/>
            <w:shd w:fill="FFDCE0" w:val="clear"/>
          </w:tcPr>
          <w:p>
            <w:r>
              <w:rPr>
                <w:b/>
                <w:sz w:val="17"/>
              </w:rPr>
              <w:t>3,165</w:t>
            </w:r>
          </w:p>
        </w:tc>
        <w:tc>
          <w:tcPr>
            <w:tcW w:type="dxa" w:w="1440"/>
            <w:shd w:fill="FFDCE0" w:val="clear"/>
          </w:tcPr>
          <w:p>
            <w:r>
              <w:rPr>
                <w:sz w:val="17"/>
              </w:rPr>
              <w:t>3,531</w:t>
            </w:r>
          </w:p>
        </w:tc>
        <w:tc>
          <w:tcPr>
            <w:tcW w:type="dxa" w:w="1440"/>
            <w:shd w:fill="FFDCE0" w:val="clear"/>
          </w:tcPr>
          <w:p>
            <w:r>
              <w:rPr>
                <w:b/>
                <w:color w:val="C00000"/>
                <w:sz w:val="17"/>
              </w:rPr>
              <w:t>-4.1%</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2,749</w:t>
            </w:r>
          </w:p>
        </w:tc>
        <w:tc>
          <w:tcPr>
            <w:tcW w:type="dxa" w:w="1440"/>
            <w:shd w:fill="FFDCE0" w:val="clear"/>
          </w:tcPr>
          <w:p>
            <w:r>
              <w:rPr>
                <w:b/>
                <w:sz w:val="17"/>
              </w:rPr>
              <w:t>3,143</w:t>
            </w:r>
          </w:p>
        </w:tc>
        <w:tc>
          <w:tcPr>
            <w:tcW w:type="dxa" w:w="1440"/>
            <w:shd w:fill="FFDCE0" w:val="clear"/>
          </w:tcPr>
          <w:p>
            <w:r>
              <w:rPr>
                <w:sz w:val="17"/>
              </w:rPr>
              <w:t>3,536</w:t>
            </w:r>
          </w:p>
        </w:tc>
        <w:tc>
          <w:tcPr>
            <w:tcW w:type="dxa" w:w="1440"/>
            <w:shd w:fill="FFDCE0" w:val="clear"/>
          </w:tcPr>
          <w:p>
            <w:r>
              <w:rPr>
                <w:b/>
                <w:color w:val="C00000"/>
                <w:sz w:val="17"/>
              </w:rPr>
              <w:t>-4.8%</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2,704</w:t>
            </w:r>
          </w:p>
        </w:tc>
        <w:tc>
          <w:tcPr>
            <w:tcW w:type="dxa" w:w="1440"/>
            <w:shd w:fill="FFDCE0" w:val="clear"/>
          </w:tcPr>
          <w:p>
            <w:r>
              <w:rPr>
                <w:b/>
                <w:sz w:val="17"/>
              </w:rPr>
              <w:t>3,121</w:t>
            </w:r>
          </w:p>
        </w:tc>
        <w:tc>
          <w:tcPr>
            <w:tcW w:type="dxa" w:w="1440"/>
            <w:shd w:fill="FFDCE0" w:val="clear"/>
          </w:tcPr>
          <w:p>
            <w:r>
              <w:rPr>
                <w:sz w:val="17"/>
              </w:rPr>
              <w:t>3,538</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2,660</w:t>
            </w:r>
          </w:p>
        </w:tc>
        <w:tc>
          <w:tcPr>
            <w:tcW w:type="dxa" w:w="1440"/>
            <w:shd w:fill="FFDCE0" w:val="clear"/>
          </w:tcPr>
          <w:p>
            <w:r>
              <w:rPr>
                <w:b/>
                <w:sz w:val="17"/>
              </w:rPr>
              <w:t>3,100</w:t>
            </w:r>
          </w:p>
        </w:tc>
        <w:tc>
          <w:tcPr>
            <w:tcW w:type="dxa" w:w="1440"/>
            <w:shd w:fill="FFDCE0" w:val="clear"/>
          </w:tcPr>
          <w:p>
            <w:r>
              <w:rPr>
                <w:sz w:val="17"/>
              </w:rPr>
              <w:t>3,540</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2,620</w:t>
            </w:r>
          </w:p>
        </w:tc>
        <w:tc>
          <w:tcPr>
            <w:tcW w:type="dxa" w:w="1440"/>
            <w:shd w:fill="FFDCE0" w:val="clear"/>
          </w:tcPr>
          <w:p>
            <w:r>
              <w:rPr>
                <w:b/>
                <w:sz w:val="17"/>
              </w:rPr>
              <w:t>3,080</w:t>
            </w:r>
          </w:p>
        </w:tc>
        <w:tc>
          <w:tcPr>
            <w:tcW w:type="dxa" w:w="1440"/>
            <w:shd w:fill="FFDCE0" w:val="clear"/>
          </w:tcPr>
          <w:p>
            <w:r>
              <w:rPr>
                <w:sz w:val="17"/>
              </w:rPr>
              <w:t>3,541</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36,01 milliards FCFA, Servair Abidjan se positionne comme une valeur de taille moyenne sur le compartiment des entreprises non-financières de la BRVM, ce qui traduit une liquidité limitée mais une certaine stabilité institutionnelle. Le BPA de 124 FCFA/action indique que chaque titre génère un bénéfice unitaire modeste, ce qui, rapporté au cours actuel de 3 300 FCFA, aboutit à un PER de 26,7x — nettement supérieur à la moyenne du marché BRVM (8-12x), signalant que les investisseurs paient une prime très significative pour les bénéfices actuels, soit en anticipant une forte croissance future, soit en raison d'une surévaluation manifeste. Le ratio P/B de 6,98x confirme cette tendance : le marché valorise l'entreprise près de 7 fois sa valeur comptable, une prime exigeante qui n'est justifiée que si la rentabilité des fonds propres (ROE de 26,18%) se maintient durablement. Enfin, l'EV/EBITDA de 13,5x, dans la fourchette haute (10-15x), suggère que la valeur d'entreprise intègre déjà une bonne partie du potentiel opérationnel,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ABJC affiche une progression totale de +10,55%, mais la dernière séance (J-1) enregistre un repli de -2,08%, marquant une pause dans la dynamique haussière. Le cours a évolué dans un range large de 2 800 FCFA (plus bas) à 4 095 FCFA (plus haut), soit une amplitude de près de 46%, ce qui témoigne d'une forte volatilité intra-période. La tendance générale reste haussière sur la période, portée par un rebond depuis les points bas, mais le cours actuel (3 300 FCFA) se situe désormais sous la moyenne (3 338 FCFA) et sous la médiane (3 222 FCFA est proche), ce qui indique une légère asymétrie : la moyenne supérieure à la médiane confirme que quelques séances à prix élevés ont tiré la moyenne vers le haut, tandis que la majorité des échanges s'est faite à des niveaux plus modestes. L'écart-type de 374 FCFA (CV de 11,2%) traduit une dispersion modérée du cours autour de sa moyenne, avec une volatilité annualisée de 45,3% — un niveau élevé (&gt;30%), caractéristique d'un titre spéculatif ou peu liquide. Le kurtosis de -0,861 (mésokurtique) indique une distribution proche de la normale, sans pics extrêmes fréquents, tandis que le skewness de +0,593 (asymétrie positive) révèle que les journées sous la moyenne sont plus nombreuses, mais compensées par quelques fortes hausses — un profil typique d'un titre en phase de correction après un sommet.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(3 866,75 FCFA) et la MM50 (3 542,6 FCFA) se situent toutes deux au-dessus du cours actuel (3 300 FCFA), ce qui place le titre en position baissière à court et moyen terme. Cependant, la décision technique affichée est "Achat", probablement basée sur le fait que la MM20 reste supérieure à la MM50 (croisement haussier antérieur), mais le prix sous ces deux moyennes suggère une pression vendeuse persistante. Un retournement à la hausse nécessiterait une reconquête de la MM50 (3 542 FCFA) comme premier objectif.</w:t>
      </w:r>
    </w:p>
    <w:p>
      <w:pPr>
        <w:spacing w:after="120" w:line="276" w:lineRule="auto"/>
      </w:pPr>
      <w:r>
        <w:t>**Bandes de Bollinger** : La borne supérieure est à 4 321,73 FCFA et la borne inférieure à 3 411,77 FCFA, avec un cours actuel de 3 300 FCFA qui se situe **sous la borne inférieure** — un signal de survente extrême selon cette méthode. La décision "Achat" est cohérente avec cette configuration : statistiquement, un prix sous la bande inférieure tend à revenir vers la moyenne (3 866 FCFA), mais cela peut aussi signaler une cassure baissière si la volatilité s'accentue.</w:t>
      </w:r>
    </w:p>
    <w:p>
      <w:pPr>
        <w:spacing w:after="120" w:line="276" w:lineRule="auto"/>
      </w:pPr>
      <w:r>
        <w:t>**MACD** : La valeur du MACD (-37,396) est négative et inférieure à son signal (60,486), avec une divergence baissière marquée. La décision "Vente" reflète ce momentum négatif : la ligne MACD est sous zéro et sous sa ligne de signal, indiquant que la pression baissière domine. Un croisement haussier (MACD &gt; Signal) serait nécessaire pour inverser ce signal.</w:t>
      </w:r>
    </w:p>
    <w:p>
      <w:pPr>
        <w:spacing w:after="120" w:line="276" w:lineRule="auto"/>
      </w:pPr>
      <w:r>
        <w:t>**RSI** : À 16,667, le RSI est en zone de **survente extrême** (seuil &lt;30), ce qui est un signal d'achat technique classique. La décision "Achat" est justifiée : un RSI aussi bas suggère que le titre a été massivement vendu et qu'un rebond technique est probable à court terme, bien que la tendance de fond reste fragile.</w:t>
      </w:r>
    </w:p>
    <w:p>
      <w:pPr>
        <w:spacing w:after="120" w:line="276" w:lineRule="auto"/>
      </w:pPr>
      <w:r>
        <w:t>**Stochastique** : Le %K et le %D sont tous deux à 0,0, ce qui indique une survente absolue — le cours a clôturé à son plus bas niveau récent sur la période de calcul. La décision "Achat" est cohérente avec ce signal extrême, mais un croisement haussier du %K au-dessus du %D serait nécessaire pour confirmer un retournement.</w:t>
      </w:r>
    </w:p>
    <w:p>
      <w:pPr>
        <w:spacing w:after="120" w:line="276" w:lineRule="auto"/>
      </w:pPr>
      <w:r>
        <w:t>**Conclusion technique** : Les indicateurs sont **divergents** : les oscillateurs (RSI, Stochastique, Bollinger) signalent une survente extrême propice à un rebond technique, tandis que les tendances (MM, MACD) restent baissières. Cette configuration suggère un **rebond à court terme possible**, mais la prudence est de mise tant que le cours ne repasse pas au-dessus de la MM50 (3 542 FCFA) et que le MACD ne croise pas à la hausse. Le signal global est donc **neutre à légèrement haussier** à très court terme, mais fragile.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Selon les états financiers officiels de 2025, Servair Abidjan a réalisé un chiffre d'affaires de 13,298 milliards FCFA, en croissance de +6,67% par rapport à 2024, avec un résultat net de 1,351 milliard FCFA (marge nette de 10,16%). Le ROE s'élève à 26,18% (excellent, &gt;15%) et le ROA à 14,64%, confirmant une forte rentabilité des capitaux propres et des actifs. La structure financière est très saine : autonomie financière de 55,92%, endettement financier quasi nul (dettes financières de 65,89 M FCFA seulement), liquidité générale de 218,37% et trésorerie nette de 4,035 milliards FCFA. Le BFR est négatif (257,45 M FCFA), ce qui est favorable, mais le délai clients de 70,10 jours reste élevé et constitue un point de vigilance pour la trésorerie. La marge brute de 68,49% et la marge opérationnelle de 16,38% témoignent d'une bonne maîtrise des coûts.</w:t>
      </w:r>
    </w:p>
    <w:p>
      <w:pPr>
        <w:spacing w:after="120" w:line="276" w:lineRule="auto"/>
      </w:pPr>
      <w:r>
        <w:t>**Adaptation au secteur (entreprise)** : En tant qu'entreprise de services aéroportuaires, Servair Abidjan affiche une rotation des actifs de 144,13% (CA/Total actif), ce qui est correct pour ce secteur. Le délai fournisseurs de 92,11 jours est supérieur au délai clients (70,10 jours), ce qui est favorable à la trésorerie. La durée de stockage de 29,40 jours est maîtrisée. Le ratio de couverture des intérêts est exceptionnel (36 092%), reflétant l'absence de charges financières significatives.</w:t>
      </w:r>
    </w:p>
    <w:p>
      <w:pPr>
        <w:spacing w:after="120" w:line="276" w:lineRule="auto"/>
      </w:pPr>
      <w:r>
        <w:t>**Estimations basées sur les rapports trimestriels** : Le rapport T1 2026 (publié en 2026) indique un chiffre d'affaires de 3,237 milliards FCFA (+1,9% vs T1 2025), mais un résultat net en chute de -35,6% à 222,6 millions FCFA, et un résultat des activités ordinaires en recul de -27,4%. Cette dégradation est attribuée à des ajustements de redevances aéroportuaires et à des tensions géopolitiques. Sur la base de ce T1 2026, on peut estimer que l'exercice 2026 devrait être **moins favorable** que 2025, avec une possible contraction du résultat net si la tendance se poursuit. Le rapport T3 2025 (publié en 2025) montrait déjà un ralentissement avec un CA trimestriel de 10,218 milliards FCFA (+10,3%) mais un résultat net de 1,325 milliard FCFA (+17,1%), avant la dégradation du T1 2026.</w:t>
      </w:r>
    </w:p>
    <w:p>
      <w:pPr>
        <w:spacing w:after="120" w:line="276" w:lineRule="auto"/>
      </w:pPr>
      <w:r>
        <w:t>**Évolution pluriannuelle** : Entre 2024 et 2025, le CA est passé de 12,467 à 13,298 milliards FCFA (+6,7%), mais le résultat net a reculé de -12,1% (1,515 à 1,351 milliards FCFA), principalement dû à une hausse de la charge d'impôt (+46,7%). Les capitaux propres se sont renforcés à 5,159 milliards FCFA (+31,8%), et la trésorerie s'est améliorée à 4,035 milliards FCFA. Cependant, le T1 2026 marque une rupture avec une chute de -35,6% du résultat net, ce qui pourrait signaler un retournement de tendance.</w:t>
      </w:r>
    </w:p>
    <w:p>
      <w:pPr>
        <w:spacing w:after="120" w:line="276" w:lineRule="auto"/>
      </w:pPr>
      <w:r>
        <w:t>**Recommandation fondamentale** : La société reste **solide financièrement** (trésorerie abondante, endettement nul, ROE élevé), mais les **perspectives à court terme sont préoccupantes** avec la dégradation du T1 2026. Le litige avec la BCEAO (blocage des transferts de devises) mentionné dans les rapports 2025 semble avoir été résolu ou circonscrit, mais les ajustements de redevances pèsent sur la rentabilité. La valorisation boursière (PER 26,7x) intègre déjà une croissance optimiste qui ne se matérialise pas dans les derniers résultats. **Conclusion : conserver avec prudence, en surveillant la publication des résultats semestriels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significative** entre les signaux. Sur le plan de la **valorisation (Partie 0)**, les ratios PER (26,7x), P/B (6,98x) et EV/EBITDA (13,5x) indiquent une **surévaluation manifeste** par rapport aux moyennes du marché BRVM, ce qui limite le potentiel de hausse à moyen terme. Le **comportement du cours (Partie 1)** montre une tendance haussière sur 100 jours (+10,55%) mais une correction récente (-2,08% en J-1) avec une volatilité élevée (45,3%) et une asymétrie positive (skewness +0,593), ce qui suggère que le titre pourrait encore baisser avant de rebondir. Les **signaux techniques (Partie 2)** sont mitigés : les oscillateurs (RSI à 16,67, Stochastique à 0,0, prix sous la borne inférieure de Bollinger) signalent une **survente extrême propice à un rebond technique**, mais les tendances (MM20 et MM50 au-dessus du cours, MACD baissier) restent négatives. Les **fondamentaux (Partie 3)** sont solides pour 2025 (ROE 26,18%, trésorerie nette 4,035 Mds FCFA, endettement quasi nul), mais le T1 2026 montre une **dégradation inquiétante** du résultat net (-35,6%) qui remet en cause la capacité de l'entreprise à maintenir sa rentabilité. Les **prédictions IA (J+1 à J+10)** anticipent une **baisse continue** de 3 275 à 3 188 FCFA, confirmant la pression baissière à court terme.</w:t>
      </w:r>
    </w:p>
    <w:p>
      <w:pPr>
        <w:spacing w:after="120" w:line="276" w:lineRule="auto"/>
      </w:pPr>
      <w:r>
        <w:t>**Recommandation finale** : **CONSERVER** (avec un biais baissier à court terme). La convergence entre la surévaluation, la dégradation des résultats T1 2026 et les prédictions baissières l'emporte sur les signaux de survente technique. Un rebond technique est possible à très court terme (RSI extrême), mais il serait opportun de **vendre en cas de rebond vers 3 500-3 600 FCFA** pour ceux qui souhaitent alléger. Le niveau de confiance est **Moyen** (les fondamentaux 2025 restent solides, mais les perspectives 2026 sont incertaines). Le risque global est **Élevé** (volatilité 45,3%, PER élevé, dégradation récente). L'horizon d'investissement optimal est **court terme (&lt;3 mois)** pour profiter d'un éventuel rebond technique, ou **moyen terme (3-12 mois)** en attendant la clarification des résultats semestriels 2026 avant de se repositionner.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459.75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43,712 titres</w:t>
            </w:r>
          </w:p>
        </w:tc>
        <w:tc>
          <w:tcPr>
            <w:tcW w:type="dxa" w:w="2268"/>
            <w:shd w:fill="FFF2CC" w:val="clear"/>
          </w:tcPr>
          <w:p>
            <w:r>
              <w:rPr>
                <w:b/>
                <w:color w:val="503200"/>
                <w:sz w:val="16"/>
              </w:rPr>
              <w:t xml:space="preserve">Cours actuel : </w:t>
            </w:r>
            <w:r>
              <w:rPr>
                <w:color w:val="000000"/>
                <w:sz w:val="17"/>
              </w:rPr>
              <w:t>9,195 FCFA</w:t>
            </w:r>
          </w:p>
          <w:p>
            <w:r>
              <w:rPr>
                <w:b/>
                <w:color w:val="503200"/>
                <w:sz w:val="16"/>
              </w:rPr>
              <w:t xml:space="preserve">Var. 100 jours : </w:t>
            </w:r>
            <w:r>
              <w:rPr>
                <w:b/>
                <w:color w:val="007800"/>
                <w:sz w:val="17"/>
              </w:rPr>
              <w:t>+26.74%</w:t>
            </w:r>
          </w:p>
          <w:p>
            <w:r>
              <w:rPr>
                <w:b/>
                <w:color w:val="503200"/>
                <w:sz w:val="16"/>
              </w:rPr>
              <w:t xml:space="preserve">Plus haut 100j : </w:t>
            </w:r>
            <w:r>
              <w:rPr>
                <w:color w:val="000000"/>
                <w:sz w:val="17"/>
              </w:rPr>
              <w:t>9,195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67.6%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17.2/100 → Faible</w:t>
      </w:r>
    </w:p>
    <w:p>
      <w:pPr>
        <w:spacing w:before="40" w:after="80"/>
      </w:pPr>
      <w:r>
        <w:rPr>
          <w:rFonts w:ascii="Courier New" w:hAnsi="Courier New"/>
          <w:color w:val="006400"/>
          <w:sz w:val="18"/>
        </w:rPr>
        <w:t>███░░░░░░░░░░░░░░░░░  17.2/100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7.88% (Moyenne) — μ=8,489 FCFA, σ=669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β≈0.79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β≈0.79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43,712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σ_j=4.26%/j (Modérée) — Vol. annualisée≈67.6%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spacing w:after="120" w:line="276" w:lineRule="auto"/>
      </w:pPr>
      <w:r>
        <w:t>**RAPPORT D'ANALYSE FINANCIÈRE — ACTION BBGC (BRIDGE BANK GROUP COTE D'IVOIRE)**</w:t>
        <w:br/>
        <w:t>*Bourse Régionale des Valeurs Mobilières (BRVM) — Marché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BBGC s'établit à 459,75 milliards FCFA, un niveau qui positionne le titre parmi les valeurs les plus importantes de la cote BRVM, ce qui traduit une forte attractivité institutionnelle depuis son introduction. Le Bénéfice Par Action (BPA) et le PER ne sont pas calculables en l'absence de données structurées sur le nombre exact d'actions en circulation et le résultat net annualisé consolidé, bien que l'on puisse estimer un BPA semestriel de l'ordre de 304 FCFA (15,2 Mds FCFA de résultat net S1 2026 rapporté à 50 millions d'actions post-OPV), soit un PER annualisé potentiel proche de 15x — légèrement au-dessus de la moyenne BRVM (8-12x), ce qui suggère une prime de croissance déjà intégrée par le marché. Le ratio P/B et l'EV/EBITDA demeurent non calculables faute de capitaux propres et d'EBITDA publiés dans les données structurées disponibles. L'investisseur doit donc retenir que la valorisation actuelle repose davantage sur les perspectives de croissance (PNB +25%, résultat net +46%) que sur des multiples historiques vérifiables.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BBGC affiche une performance remarquable de +26,74%, avec une dernière séance en forte hausse de +4,49%, portant le cours actuel à 9 195 FCFA — soit précisément le plus haut de la période, ce qui témoigne d'un momentum haussier intact. Le range de trading s'étend de 7 255 FCFA (plus bas) à 9 195 FCFA (plus haut), soit une amplitude de 26,7%, cohérente avec la variation totale. La tendance générale est donc clairement haussière, soutenue par le succès de l'OPV et les résultats semestriels exceptionnels. Les statistiques descriptives révèlent une moyenne de 8 489 FCFA inférieure à la médiane de 8 800 FCFA, signe d'une asymétrie négative confirmée par le skewness de -0,745 — indiquant que le cours a passé plus de journées au-dessus de sa moyenne, avec quelques journées de forte baisse tirant la moyenne vers le bas. L'écart-type de 723 FCFA (CV = 8,5%) traduit une dispersion modérée autour de la moyenne, tandis que le kurtosis de -0,904 (mésokurtique) suggère une distribution proche de la normale, sans risque excessif de pics extrêmes. La volatilité annualisée de 67,6% classe le titre dans la catégorie des valeurs à volatilité élevée (&gt;30%), ce qui est typique d'une valeur récemment introduite en bourse avec une liquidité encore en construction (volume moyen de 43 712 titres/jour).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calculables (valeurs NaN), ce qui s'explique par l'historique de cotation encore trop court depuis l'introduction en bourse de BBGC. Aucune décision technique ne peut donc être fondée sur ces indicateurs, et l'analyste doit se référer aux autres signaux ou à l'analyse fondamentale.</w:t>
      </w:r>
    </w:p>
    <w:p>
      <w:pPr>
        <w:spacing w:after="120" w:line="276" w:lineRule="auto"/>
      </w:pPr>
      <w:r>
        <w:t>**Bandes de Bollinger** : Les bornes supérieure et inférieure sont indisponibles (NaN), empêchant toute analyse de positionnement du cours par rapport à ces bandes. Le prix actuel de 9 195 FCFA, étant au plus haut de la période, suggérerait toutefois une position proche de la borne supérieure si les bandes étaient calculables, ce qui pourrait indiquer une situation de surachat technique.</w:t>
      </w:r>
    </w:p>
    <w:p>
      <w:pPr>
        <w:spacing w:after="120" w:line="276" w:lineRule="auto"/>
      </w:pPr>
      <w:r>
        <w:t>**MACD** : Les valeurs MACD et Signal étant NaN, aucune divergence ni croisement ne peut être analysé. Le momentum haussier récent (+4,49% en J-1) reste néanmoins un signal positif implicite, mais non confirmé par l'indicateur.</w:t>
      </w:r>
    </w:p>
    <w:p>
      <w:pPr>
        <w:spacing w:after="120" w:line="276" w:lineRule="auto"/>
      </w:pPr>
      <w:r>
        <w:t>**RSI** : La valeur du RSI n'est pas disponible (NaN), empêchant de déterminer si le titre est en zone de surachat (&gt;70) ou neutre. Compte tenu de la hausse de +26,74% sur 100 jours et du cours au plus haut, un RSI élevé serait probable, mais cela reste une hypothèse non vérifiable.</w:t>
      </w:r>
    </w:p>
    <w:p>
      <w:pPr>
        <w:spacing w:after="120" w:line="276" w:lineRule="auto"/>
      </w:pPr>
      <w:r>
        <w:t>**Stochastique** : Les %K et %D étant NaN, aucun croisement ni signal d'achat/vente ne peut être identifié. L'absence de ces données limite considérablement la portée de l'analyse technique sur ce titre.</w:t>
      </w:r>
    </w:p>
    <w:p>
      <w:pPr>
        <w:spacing w:after="120" w:line="276" w:lineRule="auto"/>
      </w:pPr>
      <w:r>
        <w:t>**Conclusion technique** : L'ensemble des indicateurs techniques étant indisponibles (NaN), l'analyse technique ne peut fournir de signal fiable pour BBGC. Le seul élément exploitable est le comportement du cours lui-même : tendance haussière soutenue, cours au plus haut historique, volatilité élevée. Dans ce contexte, la prudence recommande de s'appuyer prioritairement sur l'analyse fondamentale et sur la gestion du risque via des seuils de stop-loss, plutôt que sur des signaux techniques inexistants.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annuelles n'étant pas disponibles dans la base, l'analyse s'appuie sur les rapports officiels du premier semestre 2026 (période close le 30 juin 2026), analysés par DEEPSEEK et GEMINI-VISION en date du 28 septembre 2026. Sur ce semestre, BBGC affiche un Produit Net Bancaire (PNB) de 37,7 milliards FCFA, en progression de +25% par rapport aux 30,2 milliards FCFA du S1 2025, portée par une croissance spectaculaire des crédits à la clientèle (+28% à 823,9 Mds FCFA) et des dépôts (+46% à 1 318,3 Mds FCFA). Le résultat net bondit de +46% à 15,2 milliards FCFA (contre 10,4 Mds FCFA au S1 2025), avec une marge nette en nette amélioration à 40,3% (vs 34,4%). En tant que banque, les indicateurs clés sont particulièrement favorables : le coefficient d'exploitation s'établit à 40,3% (contre 43,3% un an plus tôt), très en dessous du seuil de 60% synonyme d'efficacité opérationnelle, et le coût du risque reste contenu à 4,3 Mds FCFA (+14%) malgré la forte croissance des crédits (+28%), ce qui témoigne d'un portefeuille de qualité. Le ratio dépôts/crédits de 160% (1 318,3/823,9) indique une surliquidité confortable, bien que la banque doive veiller à rentabiliser ces ressources. Sur la base de ces résultats semestriels, on estime que l'exercice 2026 complet pourrait afficher un résultat net annuel de l'ordre de 30 milliards FCFA (hypothèse de reconduction de la dynamique au S2), ce qui conforterait un BPA annualisé proche de 600 FCFA et un PER d'environ 15x au cours actuel de 9 195 FCFA. Les perspectives sont renforcées par l'avis favorable de la Commission Bancaire pour une succursale au Burkina Faso (mai 2026), le développement du réseau (Riviera Palmeraie, Bassam, Korhogo) et la stratégie 2026-2030 axée sur les PME et l'excellence opérationnelle. La principale réserve concerne l'absence d'information sur la politique de dividende, élément essentiel pour l'investisseur de rendement. **Recommandation fondamentale : ACHAT (spéculatif)**, justifiée par une croissance exceptionnelle, une efficacité opérationnelle en amélioration et un succès d'OPV (sursouscription à 6 750 FCFA/action) signalant une forte confiance du marché.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conduit à une appréciation globalement positive mais nuancée. Sur le plan de la **valorisation (Partie 0)**, la capitalisation de 459,75 Mds FCFA et le PER estimé à ~15x placent BBGC légèrement au-dessus de la moyenne BRVM (8-12x), suggérant une prime de croissance déjà partiellement intégrée, sans signe manifeste de surévaluation excessive. Le **comportement du cours (Partie 1)** est nettement favorable : +26,74% sur 100 jours, cours au plus haut, skewness négatif indiquant une résilience au-dessus de la moyenne, mais volatilité élevée (67,6%) qui appelle à la prudence. Les **signaux techniques (Partie 2)** sont malheureusement indisponibles (MM, Bollinger, MACD, RSI, Stochastique tous en NaN), ce qui constitue une limite majeure pour le timing d'entrée et empêche toute confirmation technique de la tendance. Les **fondamentaux (Partie 3)** sont solides et constituent le principal pilier de la thèse d'investissement : PNB +25%, résultat net +46%, coefficient d'exploitation de 40,3%, coût du risque maîtrisé, expansion régionale et stratégie 2026-2030 crédible. Les **prédictions IA (J+1 à J+10)** ne sont pas disponibles, ce qui ne permet ni de confirmer ni de contredire les autres signaux. Sur la base de cette synthèse, la recommandation finale est **ACHAT**, avec un niveau de confiance **Moyen** (limité par l'absence de données techniques et de prédictions IA) et un niveau de risque global **Élevé** (volatilité de 67,6%, historique de cotation court, absence de politique de dividende connue). L'horizon d'investissement optimal est le **moyen terme (3-12 mois)**, le temps que la société publie ses résultats annuels 2026, précise sa politique de dividende et que l'historique de cotation permette le calcul des indicateurs techniques — autant d'éléments susceptibles de réduire l'incertitude et de confirmer ou d'infirmer la prime de valorisation actuelle.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498.18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13,767 titres</w:t>
            </w:r>
          </w:p>
        </w:tc>
        <w:tc>
          <w:tcPr>
            <w:tcW w:type="dxa" w:w="2268"/>
            <w:shd w:fill="FFF2CC" w:val="clear"/>
          </w:tcPr>
          <w:p>
            <w:r>
              <w:rPr>
                <w:b/>
                <w:color w:val="503200"/>
                <w:sz w:val="16"/>
              </w:rPr>
              <w:t xml:space="preserve">Cours actuel : </w:t>
            </w:r>
            <w:r>
              <w:rPr>
                <w:color w:val="000000"/>
                <w:sz w:val="17"/>
              </w:rPr>
              <w:t>8,625 FCFA</w:t>
            </w:r>
          </w:p>
          <w:p>
            <w:r>
              <w:rPr>
                <w:b/>
                <w:color w:val="503200"/>
                <w:sz w:val="16"/>
              </w:rPr>
              <w:t xml:space="preserve">Var. 100 jours : </w:t>
            </w:r>
            <w:r>
              <w:rPr>
                <w:b/>
                <w:color w:val="007800"/>
                <w:sz w:val="17"/>
              </w:rPr>
              <w:t>+66.83%</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23.65% (Élevée) — μ=7,280 FCFA, σ=1,722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β=0.8319 (Neutre (suit le marché)) — Cov=0.000060, Var(idx)=0.000072, ρ=0.264,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13,767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2026-10-06</w:t>
            </w:r>
          </w:p>
        </w:tc>
        <w:tc>
          <w:tcPr>
            <w:tcW w:type="dxa" w:w="1440"/>
            <w:shd w:fill="C6EFCE" w:val="clear"/>
          </w:tcPr>
          <w:p>
            <w:r>
              <w:rPr>
                <w:sz w:val="17"/>
              </w:rPr>
              <w:t>8,445</w:t>
            </w:r>
          </w:p>
        </w:tc>
        <w:tc>
          <w:tcPr>
            <w:tcW w:type="dxa" w:w="1440"/>
            <w:shd w:fill="C6EFCE" w:val="clear"/>
          </w:tcPr>
          <w:p>
            <w:r>
              <w:rPr>
                <w:b/>
                <w:sz w:val="17"/>
              </w:rPr>
              <w:t>8,992</w:t>
            </w:r>
          </w:p>
        </w:tc>
        <w:tc>
          <w:tcPr>
            <w:tcW w:type="dxa" w:w="1440"/>
            <w:shd w:fill="C6EFCE" w:val="clear"/>
          </w:tcPr>
          <w:p>
            <w:r>
              <w:rPr>
                <w:sz w:val="17"/>
              </w:rPr>
              <w:t>9,540</w:t>
            </w:r>
          </w:p>
        </w:tc>
        <w:tc>
          <w:tcPr>
            <w:tcW w:type="dxa" w:w="1440"/>
            <w:shd w:fill="C6EFCE" w:val="clear"/>
          </w:tcPr>
          <w:p>
            <w:r>
              <w:rPr>
                <w:b/>
                <w:color w:val="008000"/>
                <w:sz w:val="17"/>
              </w:rPr>
              <w:t>+4.3%</w:t>
            </w:r>
          </w:p>
        </w:tc>
      </w:tr>
      <w:tr>
        <w:tc>
          <w:tcPr>
            <w:tcW w:type="dxa" w:w="1440"/>
            <w:shd w:fill="C6EFCE" w:val="clear"/>
          </w:tcPr>
          <w:p>
            <w:r>
              <w:rPr>
                <w:sz w:val="17"/>
              </w:rPr>
              <w:t>J+2  ⭐</w:t>
            </w:r>
          </w:p>
        </w:tc>
        <w:tc>
          <w:tcPr>
            <w:tcW w:type="dxa" w:w="1440"/>
            <w:shd w:fill="C6EFCE" w:val="clear"/>
          </w:tcPr>
          <w:p>
            <w:r>
              <w:rPr>
                <w:sz w:val="17"/>
              </w:rPr>
              <w:t>2026-10-07</w:t>
            </w:r>
          </w:p>
        </w:tc>
        <w:tc>
          <w:tcPr>
            <w:tcW w:type="dxa" w:w="1440"/>
            <w:shd w:fill="C6EFCE" w:val="clear"/>
          </w:tcPr>
          <w:p>
            <w:r>
              <w:rPr>
                <w:sz w:val="17"/>
              </w:rPr>
              <w:t>8,262</w:t>
            </w:r>
          </w:p>
        </w:tc>
        <w:tc>
          <w:tcPr>
            <w:tcW w:type="dxa" w:w="1440"/>
            <w:shd w:fill="C6EFCE" w:val="clear"/>
          </w:tcPr>
          <w:p>
            <w:r>
              <w:rPr>
                <w:b/>
                <w:sz w:val="17"/>
              </w:rPr>
              <w:t>9,040</w:t>
            </w:r>
          </w:p>
        </w:tc>
        <w:tc>
          <w:tcPr>
            <w:tcW w:type="dxa" w:w="1440"/>
            <w:shd w:fill="C6EFCE" w:val="clear"/>
          </w:tcPr>
          <w:p>
            <w:r>
              <w:rPr>
                <w:sz w:val="17"/>
              </w:rPr>
              <w:t>9,818</w:t>
            </w:r>
          </w:p>
        </w:tc>
        <w:tc>
          <w:tcPr>
            <w:tcW w:type="dxa" w:w="1440"/>
            <w:shd w:fill="C6EFCE" w:val="clear"/>
          </w:tcPr>
          <w:p>
            <w:r>
              <w:rPr>
                <w:b/>
                <w:color w:val="008000"/>
                <w:sz w:val="17"/>
              </w:rPr>
              <w:t>+4.8%</w:t>
            </w:r>
          </w:p>
        </w:tc>
      </w:tr>
      <w:tr>
        <w:tc>
          <w:tcPr>
            <w:tcW w:type="dxa" w:w="1440"/>
            <w:shd w:fill="C6EFCE" w:val="clear"/>
          </w:tcPr>
          <w:p>
            <w:r>
              <w:rPr>
                <w:sz w:val="17"/>
              </w:rPr>
              <w:t>J+3  ⭐</w:t>
            </w:r>
          </w:p>
        </w:tc>
        <w:tc>
          <w:tcPr>
            <w:tcW w:type="dxa" w:w="1440"/>
            <w:shd w:fill="C6EFCE" w:val="clear"/>
          </w:tcPr>
          <w:p>
            <w:r>
              <w:rPr>
                <w:sz w:val="17"/>
              </w:rPr>
              <w:t>2026-10-08</w:t>
            </w:r>
          </w:p>
        </w:tc>
        <w:tc>
          <w:tcPr>
            <w:tcW w:type="dxa" w:w="1440"/>
            <w:shd w:fill="C6EFCE" w:val="clear"/>
          </w:tcPr>
          <w:p>
            <w:r>
              <w:rPr>
                <w:sz w:val="17"/>
              </w:rPr>
              <w:t>8,137</w:t>
            </w:r>
          </w:p>
        </w:tc>
        <w:tc>
          <w:tcPr>
            <w:tcW w:type="dxa" w:w="1440"/>
            <w:shd w:fill="C6EFCE" w:val="clear"/>
          </w:tcPr>
          <w:p>
            <w:r>
              <w:rPr>
                <w:b/>
                <w:sz w:val="17"/>
              </w:rPr>
              <w:t>9,096</w:t>
            </w:r>
          </w:p>
        </w:tc>
        <w:tc>
          <w:tcPr>
            <w:tcW w:type="dxa" w:w="1440"/>
            <w:shd w:fill="C6EFCE" w:val="clear"/>
          </w:tcPr>
          <w:p>
            <w:r>
              <w:rPr>
                <w:sz w:val="17"/>
              </w:rPr>
              <w:t>10,056</w:t>
            </w:r>
          </w:p>
        </w:tc>
        <w:tc>
          <w:tcPr>
            <w:tcW w:type="dxa" w:w="1440"/>
            <w:shd w:fill="C6EFCE" w:val="clear"/>
          </w:tcPr>
          <w:p>
            <w:r>
              <w:rPr>
                <w:b/>
                <w:color w:val="008000"/>
                <w:sz w:val="17"/>
              </w:rPr>
              <w:t>+5.5%</w:t>
            </w:r>
          </w:p>
        </w:tc>
      </w:tr>
      <w:tr>
        <w:tc>
          <w:tcPr>
            <w:tcW w:type="dxa" w:w="1440"/>
            <w:shd w:fill="C6EFCE" w:val="clear"/>
          </w:tcPr>
          <w:p>
            <w:r>
              <w:rPr>
                <w:sz w:val="17"/>
              </w:rPr>
              <w:t>J+4  ⭐</w:t>
            </w:r>
          </w:p>
        </w:tc>
        <w:tc>
          <w:tcPr>
            <w:tcW w:type="dxa" w:w="1440"/>
            <w:shd w:fill="C6EFCE" w:val="clear"/>
          </w:tcPr>
          <w:p>
            <w:r>
              <w:rPr>
                <w:sz w:val="17"/>
              </w:rPr>
              <w:t>2026-10-09</w:t>
            </w:r>
          </w:p>
        </w:tc>
        <w:tc>
          <w:tcPr>
            <w:tcW w:type="dxa" w:w="1440"/>
            <w:shd w:fill="C6EFCE" w:val="clear"/>
          </w:tcPr>
          <w:p>
            <w:r>
              <w:rPr>
                <w:sz w:val="17"/>
              </w:rPr>
              <w:t>8,036</w:t>
            </w:r>
          </w:p>
        </w:tc>
        <w:tc>
          <w:tcPr>
            <w:tcW w:type="dxa" w:w="1440"/>
            <w:shd w:fill="C6EFCE" w:val="clear"/>
          </w:tcPr>
          <w:p>
            <w:r>
              <w:rPr>
                <w:b/>
                <w:sz w:val="17"/>
              </w:rPr>
              <w:t>9,150</w:t>
            </w:r>
          </w:p>
        </w:tc>
        <w:tc>
          <w:tcPr>
            <w:tcW w:type="dxa" w:w="1440"/>
            <w:shd w:fill="C6EFCE" w:val="clear"/>
          </w:tcPr>
          <w:p>
            <w:r>
              <w:rPr>
                <w:sz w:val="17"/>
              </w:rPr>
              <w:t>10,264</w:t>
            </w:r>
          </w:p>
        </w:tc>
        <w:tc>
          <w:tcPr>
            <w:tcW w:type="dxa" w:w="1440"/>
            <w:shd w:fill="C6EFCE" w:val="clear"/>
          </w:tcPr>
          <w:p>
            <w:r>
              <w:rPr>
                <w:b/>
                <w:color w:val="008000"/>
                <w:sz w:val="17"/>
              </w:rPr>
              <w:t>+6.1%</w:t>
            </w:r>
          </w:p>
        </w:tc>
      </w:tr>
      <w:tr>
        <w:tc>
          <w:tcPr>
            <w:tcW w:type="dxa" w:w="1440"/>
            <w:shd w:fill="C6EFCE" w:val="clear"/>
          </w:tcPr>
          <w:p>
            <w:r>
              <w:rPr>
                <w:sz w:val="17"/>
              </w:rPr>
              <w:t>J+5  ⭐</w:t>
            </w:r>
          </w:p>
        </w:tc>
        <w:tc>
          <w:tcPr>
            <w:tcW w:type="dxa" w:w="1440"/>
            <w:shd w:fill="C6EFCE" w:val="clear"/>
          </w:tcPr>
          <w:p>
            <w:r>
              <w:rPr>
                <w:sz w:val="17"/>
              </w:rPr>
              <w:t>2026-10-12</w:t>
            </w:r>
          </w:p>
        </w:tc>
        <w:tc>
          <w:tcPr>
            <w:tcW w:type="dxa" w:w="1440"/>
            <w:shd w:fill="C6EFCE" w:val="clear"/>
          </w:tcPr>
          <w:p>
            <w:r>
              <w:rPr>
                <w:sz w:val="17"/>
              </w:rPr>
              <w:t>7,946</w:t>
            </w:r>
          </w:p>
        </w:tc>
        <w:tc>
          <w:tcPr>
            <w:tcW w:type="dxa" w:w="1440"/>
            <w:shd w:fill="C6EFCE" w:val="clear"/>
          </w:tcPr>
          <w:p>
            <w:r>
              <w:rPr>
                <w:b/>
                <w:sz w:val="17"/>
              </w:rPr>
              <w:t>9,198</w:t>
            </w:r>
          </w:p>
        </w:tc>
        <w:tc>
          <w:tcPr>
            <w:tcW w:type="dxa" w:w="1440"/>
            <w:shd w:fill="C6EFCE" w:val="clear"/>
          </w:tcPr>
          <w:p>
            <w:r>
              <w:rPr>
                <w:sz w:val="17"/>
              </w:rPr>
              <w:t>10,450</w:t>
            </w:r>
          </w:p>
        </w:tc>
        <w:tc>
          <w:tcPr>
            <w:tcW w:type="dxa" w:w="1440"/>
            <w:shd w:fill="C6EFCE" w:val="clear"/>
          </w:tcPr>
          <w:p>
            <w:r>
              <w:rPr>
                <w:b/>
                <w:color w:val="008000"/>
                <w:sz w:val="17"/>
              </w:rPr>
              <w:t>+6.6%</w:t>
            </w:r>
          </w:p>
        </w:tc>
      </w:tr>
      <w:tr>
        <w:tc>
          <w:tcPr>
            <w:tcW w:type="dxa" w:w="1440"/>
            <w:shd w:fill="C6EFCE" w:val="clear"/>
          </w:tcPr>
          <w:p>
            <w:r>
              <w:rPr>
                <w:sz w:val="17"/>
              </w:rPr>
              <w:t>J+6  ⭐</w:t>
            </w:r>
          </w:p>
        </w:tc>
        <w:tc>
          <w:tcPr>
            <w:tcW w:type="dxa" w:w="1440"/>
            <w:shd w:fill="C6EFCE" w:val="clear"/>
          </w:tcPr>
          <w:p>
            <w:r>
              <w:rPr>
                <w:sz w:val="17"/>
              </w:rPr>
              <w:t>2026-10-13</w:t>
            </w:r>
          </w:p>
        </w:tc>
        <w:tc>
          <w:tcPr>
            <w:tcW w:type="dxa" w:w="1440"/>
            <w:shd w:fill="C6EFCE" w:val="clear"/>
          </w:tcPr>
          <w:p>
            <w:r>
              <w:rPr>
                <w:sz w:val="17"/>
              </w:rPr>
              <w:t>7,863</w:t>
            </w:r>
          </w:p>
        </w:tc>
        <w:tc>
          <w:tcPr>
            <w:tcW w:type="dxa" w:w="1440"/>
            <w:shd w:fill="C6EFCE" w:val="clear"/>
          </w:tcPr>
          <w:p>
            <w:r>
              <w:rPr>
                <w:b/>
                <w:sz w:val="17"/>
              </w:rPr>
              <w:t>9,240</w:t>
            </w:r>
          </w:p>
        </w:tc>
        <w:tc>
          <w:tcPr>
            <w:tcW w:type="dxa" w:w="1440"/>
            <w:shd w:fill="C6EFCE" w:val="clear"/>
          </w:tcPr>
          <w:p>
            <w:r>
              <w:rPr>
                <w:sz w:val="17"/>
              </w:rPr>
              <w:t>10,618</w:t>
            </w:r>
          </w:p>
        </w:tc>
        <w:tc>
          <w:tcPr>
            <w:tcW w:type="dxa" w:w="1440"/>
            <w:shd w:fill="C6EFCE" w:val="clear"/>
          </w:tcPr>
          <w:p>
            <w:r>
              <w:rPr>
                <w:b/>
                <w:color w:val="008000"/>
                <w:sz w:val="17"/>
              </w:rPr>
              <w:t>+7.1%</w:t>
            </w:r>
          </w:p>
        </w:tc>
      </w:tr>
      <w:tr>
        <w:tc>
          <w:tcPr>
            <w:tcW w:type="dxa" w:w="1440"/>
            <w:shd w:fill="C6EFCE" w:val="clear"/>
          </w:tcPr>
          <w:p>
            <w:r>
              <w:rPr>
                <w:sz w:val="17"/>
              </w:rPr>
              <w:t>J+7  ⭐</w:t>
            </w:r>
          </w:p>
        </w:tc>
        <w:tc>
          <w:tcPr>
            <w:tcW w:type="dxa" w:w="1440"/>
            <w:shd w:fill="C6EFCE" w:val="clear"/>
          </w:tcPr>
          <w:p>
            <w:r>
              <w:rPr>
                <w:sz w:val="17"/>
              </w:rPr>
              <w:t>2026-10-14</w:t>
            </w:r>
          </w:p>
        </w:tc>
        <w:tc>
          <w:tcPr>
            <w:tcW w:type="dxa" w:w="1440"/>
            <w:shd w:fill="C6EFCE" w:val="clear"/>
          </w:tcPr>
          <w:p>
            <w:r>
              <w:rPr>
                <w:sz w:val="17"/>
              </w:rPr>
              <w:t>7,783</w:t>
            </w:r>
          </w:p>
        </w:tc>
        <w:tc>
          <w:tcPr>
            <w:tcW w:type="dxa" w:w="1440"/>
            <w:shd w:fill="C6EFCE" w:val="clear"/>
          </w:tcPr>
          <w:p>
            <w:r>
              <w:rPr>
                <w:b/>
                <w:sz w:val="17"/>
              </w:rPr>
              <w:t>9,277</w:t>
            </w:r>
          </w:p>
        </w:tc>
        <w:tc>
          <w:tcPr>
            <w:tcW w:type="dxa" w:w="1440"/>
            <w:shd w:fill="C6EFCE" w:val="clear"/>
          </w:tcPr>
          <w:p>
            <w:r>
              <w:rPr>
                <w:sz w:val="17"/>
              </w:rPr>
              <w:t>10,771</w:t>
            </w:r>
          </w:p>
        </w:tc>
        <w:tc>
          <w:tcPr>
            <w:tcW w:type="dxa" w:w="1440"/>
            <w:shd w:fill="C6EFCE" w:val="clear"/>
          </w:tcPr>
          <w:p>
            <w:r>
              <w:rPr>
                <w:b/>
                <w:color w:val="008000"/>
                <w:sz w:val="17"/>
              </w:rPr>
              <w:t>+7.6%</w:t>
            </w:r>
          </w:p>
        </w:tc>
      </w:tr>
      <w:tr>
        <w:tc>
          <w:tcPr>
            <w:tcW w:type="dxa" w:w="1440"/>
            <w:shd w:fill="C6EFCE" w:val="clear"/>
          </w:tcPr>
          <w:p>
            <w:r>
              <w:rPr>
                <w:sz w:val="17"/>
              </w:rPr>
              <w:t>J+8  ⭐</w:t>
            </w:r>
          </w:p>
        </w:tc>
        <w:tc>
          <w:tcPr>
            <w:tcW w:type="dxa" w:w="1440"/>
            <w:shd w:fill="C6EFCE" w:val="clear"/>
          </w:tcPr>
          <w:p>
            <w:r>
              <w:rPr>
                <w:sz w:val="17"/>
              </w:rPr>
              <w:t>2026-10-15</w:t>
            </w:r>
          </w:p>
        </w:tc>
        <w:tc>
          <w:tcPr>
            <w:tcW w:type="dxa" w:w="1440"/>
            <w:shd w:fill="C6EFCE" w:val="clear"/>
          </w:tcPr>
          <w:p>
            <w:r>
              <w:rPr>
                <w:sz w:val="17"/>
              </w:rPr>
              <w:t>7,706</w:t>
            </w:r>
          </w:p>
        </w:tc>
        <w:tc>
          <w:tcPr>
            <w:tcW w:type="dxa" w:w="1440"/>
            <w:shd w:fill="C6EFCE" w:val="clear"/>
          </w:tcPr>
          <w:p>
            <w:r>
              <w:rPr>
                <w:b/>
                <w:sz w:val="17"/>
              </w:rPr>
              <w:t>9,309</w:t>
            </w:r>
          </w:p>
        </w:tc>
        <w:tc>
          <w:tcPr>
            <w:tcW w:type="dxa" w:w="1440"/>
            <w:shd w:fill="C6EFCE" w:val="clear"/>
          </w:tcPr>
          <w:p>
            <w:r>
              <w:rPr>
                <w:sz w:val="17"/>
              </w:rPr>
              <w:t>10,911</w:t>
            </w:r>
          </w:p>
        </w:tc>
        <w:tc>
          <w:tcPr>
            <w:tcW w:type="dxa" w:w="1440"/>
            <w:shd w:fill="C6EFCE" w:val="clear"/>
          </w:tcPr>
          <w:p>
            <w:r>
              <w:rPr>
                <w:b/>
                <w:color w:val="008000"/>
                <w:sz w:val="17"/>
              </w:rPr>
              <w:t>+7.9%</w:t>
            </w:r>
          </w:p>
        </w:tc>
      </w:tr>
      <w:tr>
        <w:tc>
          <w:tcPr>
            <w:tcW w:type="dxa" w:w="1440"/>
            <w:shd w:fill="C6EFCE" w:val="clear"/>
          </w:tcPr>
          <w:p>
            <w:r>
              <w:rPr>
                <w:sz w:val="17"/>
              </w:rPr>
              <w:t>J+9  ⭐</w:t>
            </w:r>
          </w:p>
        </w:tc>
        <w:tc>
          <w:tcPr>
            <w:tcW w:type="dxa" w:w="1440"/>
            <w:shd w:fill="C6EFCE" w:val="clear"/>
          </w:tcPr>
          <w:p>
            <w:r>
              <w:rPr>
                <w:sz w:val="17"/>
              </w:rPr>
              <w:t>2026-10-16</w:t>
            </w:r>
          </w:p>
        </w:tc>
        <w:tc>
          <w:tcPr>
            <w:tcW w:type="dxa" w:w="1440"/>
            <w:shd w:fill="C6EFCE" w:val="clear"/>
          </w:tcPr>
          <w:p>
            <w:r>
              <w:rPr>
                <w:sz w:val="17"/>
              </w:rPr>
              <w:t>7,631</w:t>
            </w:r>
          </w:p>
        </w:tc>
        <w:tc>
          <w:tcPr>
            <w:tcW w:type="dxa" w:w="1440"/>
            <w:shd w:fill="C6EFCE" w:val="clear"/>
          </w:tcPr>
          <w:p>
            <w:r>
              <w:rPr>
                <w:b/>
                <w:sz w:val="17"/>
              </w:rPr>
              <w:t>9,336</w:t>
            </w:r>
          </w:p>
        </w:tc>
        <w:tc>
          <w:tcPr>
            <w:tcW w:type="dxa" w:w="1440"/>
            <w:shd w:fill="C6EFCE" w:val="clear"/>
          </w:tcPr>
          <w:p>
            <w:r>
              <w:rPr>
                <w:sz w:val="17"/>
              </w:rPr>
              <w:t>11,041</w:t>
            </w:r>
          </w:p>
        </w:tc>
        <w:tc>
          <w:tcPr>
            <w:tcW w:type="dxa" w:w="1440"/>
            <w:shd w:fill="C6EFCE" w:val="clear"/>
          </w:tcPr>
          <w:p>
            <w:r>
              <w:rPr>
                <w:b/>
                <w:color w:val="008000"/>
                <w:sz w:val="17"/>
              </w:rPr>
              <w:t>+8.2%</w:t>
            </w:r>
          </w:p>
        </w:tc>
      </w:tr>
      <w:tr>
        <w:tc>
          <w:tcPr>
            <w:tcW w:type="dxa" w:w="1440"/>
            <w:shd w:fill="C6EFCE" w:val="clear"/>
          </w:tcPr>
          <w:p>
            <w:r>
              <w:rPr>
                <w:sz w:val="17"/>
              </w:rPr>
              <w:t>J+10  ⭐</w:t>
            </w:r>
          </w:p>
        </w:tc>
        <w:tc>
          <w:tcPr>
            <w:tcW w:type="dxa" w:w="1440"/>
            <w:shd w:fill="C6EFCE" w:val="clear"/>
          </w:tcPr>
          <w:p>
            <w:r>
              <w:rPr>
                <w:sz w:val="17"/>
              </w:rPr>
              <w:t>2026-10-19</w:t>
            </w:r>
          </w:p>
        </w:tc>
        <w:tc>
          <w:tcPr>
            <w:tcW w:type="dxa" w:w="1440"/>
            <w:shd w:fill="C6EFCE" w:val="clear"/>
          </w:tcPr>
          <w:p>
            <w:r>
              <w:rPr>
                <w:sz w:val="17"/>
              </w:rPr>
              <w:t>7,557</w:t>
            </w:r>
          </w:p>
        </w:tc>
        <w:tc>
          <w:tcPr>
            <w:tcW w:type="dxa" w:w="1440"/>
            <w:shd w:fill="C6EFCE" w:val="clear"/>
          </w:tcPr>
          <w:p>
            <w:r>
              <w:rPr>
                <w:b/>
                <w:sz w:val="17"/>
              </w:rPr>
              <w:t>9,359</w:t>
            </w:r>
          </w:p>
        </w:tc>
        <w:tc>
          <w:tcPr>
            <w:tcW w:type="dxa" w:w="1440"/>
            <w:shd w:fill="C6EFCE" w:val="clear"/>
          </w:tcPr>
          <w:p>
            <w:r>
              <w:rPr>
                <w:sz w:val="17"/>
              </w:rPr>
              <w:t>11,160</w:t>
            </w:r>
          </w:p>
        </w:tc>
        <w:tc>
          <w:tcPr>
            <w:tcW w:type="dxa" w:w="1440"/>
            <w:shd w:fill="C6EFCE" w:val="clear"/>
          </w:tcPr>
          <w:p>
            <w:r>
              <w:rPr>
                <w:b/>
                <w:color w:val="008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BICB (BRVM)</w:t>
      </w:r>
    </w:p>
    <w:p>
      <w:pPr>
        <w:spacing w:after="120" w:line="276" w:lineRule="auto"/>
      </w:pPr>
      <w:r>
        <w:t>**Banque Internationale pour l'Industrie et le Commerce — Bénin**</w:t>
        <w:br/>
        <w:t>*Cours de référence : 8 625 FCFA | Capitalisation : 498,18 Mds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498,18 Mds FCFA, BICB s'impose comme l'une des valeurs bancaires les plus importantes de la cote BRVM, ce qui lui confère une liquidité relative et une visibilité institutionnelle appréciables. Le BPA de 627 FCFA/action signifie que chaque titre génère près de 627 FCFA de bénéfice net, un niveau élevé qui traduit la forte rentabilité de la banque. Le PER de 13,7x se situe légèrement au-dessus de la moyenne historique du marché BRVM (8-12x), mais reste modéré dans l'absolu : les investisseurs paient environ 14 fois les bénéfices, ce qui n'est pas exubérant pour une banque affichant un ROE de 26,8%. Le P/B de 3,69x indique que le marché valorise BICB à près de 4 fois sa valeur comptable, soit une prime de croissance significative qui se justifie par la qualité des fonds propres et la dynamique bénéficiaire. En revanche, l'EV/EBITDA de 24,3x apparaît très exigeant (&gt;15x), signalant que la valeur d'entreprise intègre déjà une bonne partie des anticipations de croissance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BICB a enregistré une progression spectaculaire de **+66,83%**, passant d'un plus bas de 5 105 FCFA à un plus haut de 10 790 FCFA, avant de se replier à 8 625 FCFA (soit -1,99% sur la dernière séance). Ce range de trading très large (plus de 5 600 FCFA d'amplitude) témoigne d'une tendance nettement haussière sur la période, mais aussi d'une correction récente depuis les sommets. Les statistiques descriptives révèlent une moyenne de 7 280 FCFA supérieure à la médiane de 6 842 FCFA, ce qui indique une distribution légèrement asymétrique à droite — les pics de cours tirent la moyenne vers le haut. L'écart-type de 1 731 FCFA (CV = 23,8%) traduit une dispersion modérée du cours autour de sa moyenne, cohérente avec un titre en forte tendance. Le kurtosis de -1,038 (distribution platykurtique) signale une faible concentration des rendements autour de la moyenne, donc un risque de pics extrêmes plus limité qu'une distribution normale — un élément rassurant. Le skewness de +0,450 confirme une asymétrie légèrement positive, avec une queue de distribution étirée vers les rendements positifs. Enfin, la volatilité annualisée de 42,6% positionne BICB dans la catégorie des titres à volatilité élevée (&gt;30%), ce qui implique un risque de marché significatif mais aussi un potentiel de gain attractif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9 587 FCFA et la MM50 à 8 797 FCFA, toutes deux supérieures au cours actuel de 8 625 FCFA. Le cours évolue donc sous ses moyennes mobiles, ce qui traduit une pression baissière de court terme, bien que la MM50 reste proche du cours. La décision affichée est "Achat", probablement justifiée par la configuration haussière de fond (MM50 &gt; MM20 historiquement) et le potentiel de rebond technique.</w:t>
      </w:r>
    </w:p>
    <w:p>
      <w:pPr>
        <w:spacing w:after="120" w:line="276" w:lineRule="auto"/>
      </w:pPr>
      <w:r>
        <w:t>**Bandes de Bollinger** : La borne supérieure se situe à 11 460 FCFA et la borne inférieure à 7 714 FCFA, avec un cours actuel de 8 625 FCFA. Le titre évolue donc dans la partie basse de la bande, sans atteindre la borne inférieure, ce qui suggère une pression vendeuse modérée mais pas de survente extrême. La décision "Neutre" reflète cette position intermédiaire, avec une volatilité qui reste contenue dans les bandes.</w:t>
      </w:r>
    </w:p>
    <w:p>
      <w:pPr>
        <w:spacing w:after="120" w:line="276" w:lineRule="auto"/>
      </w:pPr>
      <w:r>
        <w:t>**MACD** : La valeur du MACD est négative (-117,896) tandis que le signal est positif (74,389), créant une divergence baissière significative. Le momentum est clairement négatif, avec un MACD sous son signal et sous zéro, ce qui confirme la pression baissière de court terme. La décision "Vente" est cohérente avec cette configuration, bien qu'elle contraste avec les autres indicateurs.</w:t>
      </w:r>
    </w:p>
    <w:p>
      <w:pPr>
        <w:spacing w:after="120" w:line="276" w:lineRule="auto"/>
      </w:pPr>
      <w:r>
        <w:t>**RSI** : Le RSI s'établit à 26,296, un niveau proche de la zone de survente (&lt;30). Cela indique que le titre a été fortement vendu récemment et pourrait être proche d'un point de retournement haussier. La décision "Achat" est justifiée par cette configuration de survente, qui offre souvent des opportunités d'entrée pour les investisseurs contrariants.</w:t>
      </w:r>
    </w:p>
    <w:p>
      <w:pPr>
        <w:spacing w:after="120" w:line="276" w:lineRule="auto"/>
      </w:pPr>
      <w:r>
        <w:t>**Stochastique** : Le %K est à 26,806 et le %D à 32,636, avec %K sous %D, ce qui est un signal baissier de court terme. Cependant, les deux valeurs sont proches de la zone de survente (20), ce qui limite le potentiel de baisse supplémentaire. La décision "Neutre" reflète cette situation ambiguë, entre pression baissière et risque de rebond.</w:t>
      </w:r>
    </w:p>
    <w:p>
      <w:pPr>
        <w:spacing w:after="120" w:line="276" w:lineRule="auto"/>
      </w:pPr>
      <w:r>
        <w:t>**Conclusion technique** : Les indicateurs techniques présentent un tableau mitigé. D'un côté, le RSI en zone de survente et la position du cours dans la partie basse des bandes de Bollinger suggèrent un potentiel de rebond. De l'autre, le MACD baissier et le stochastique sous son signal indiquent une pression vendeuse persistante. La convergence des signaux "Achat" (RSI, MM) et "Vente" (MACD) crée une divergence qui appelle à la prudence, avec une préférence pour une approche attentiste tant que le cours ne repasse pas au-dessus de la MM20 (9 587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BICB a réalisé un Produit Net Bancaire (PNB) de 52,805 Mds FCFA, en croissance de 16,49% par rapport à 2024, porté par une marge d'intérêt nette de 40,813 Mds FCFA et des commissions nettes de 10,587 Mds FCFA. Le résultat net s'élève à 36,237 Mds FCFA, soit une marge nette exceptionnelle de 68,62% — un niveau très élevé qui s'explique en partie par un coût du risque négatif (reprise de provisions de +5,075 Mds FCFA). Le ROE atteint 26,82% (excellent, &gt;15%) et le ROA 1,96%, confirmant la forte rentabilité des fonds propres et la bonne efficacité des actifs. Le coefficient d'exploitation de 31,12% est excellent (&lt;60%), témoignant d'une maîtrise remarquable des charges. Le ratio crédits nets/dépôts s'établit à 97,5%, signalant une transformation tendue, et le ratio de solvabilité de 19,64% offre une marge confortable au-dessus du minimum réglementaire de 11,5%.</w:t>
      </w:r>
    </w:p>
    <w:p>
      <w:pPr>
        <w:spacing w:after="120" w:line="276" w:lineRule="auto"/>
      </w:pPr>
      <w:r>
        <w:t>**Adaptation au secteur bancaire** : Le coût du risque de 9,61% (provisions/charges financières) reste un point de vigilance, bien qu'il soit en amélioration par rapport aux exercices précédents. Les créances sur la clientèle atteignent 1 151,536 Mds FCFA (+37,3% sur un an), une croissance très rapide qui expose la banque à un risque de dégradation de la qualité du portefeuille. Les dépôts clientèle de 1 181,045 Mds FCFA (+29,4%) constituent la principale ressource de financement, mais la tension sur le ratio crédits/dépôts (97,5%) limite la marge de manœuvre.</w:t>
      </w:r>
    </w:p>
    <w:p>
      <w:pPr>
        <w:spacing w:after="120" w:line="276" w:lineRule="auto"/>
      </w:pPr>
      <w:r>
        <w:t>**Estimations basées sur les rapports trimestriels** : Le rapport du T1 2026 (publié en 2026) indique un PNB de 14,6 Mds FCFA (+35%) et un résultat net de 8,0 Mds FCFA (+48%), confirmant l'accélération de la dynamique commerciale. Le rapport du S1 2026 (publié en 2026) fait état d'un PNB de 31,882 Mds FCFA (+19%) et d'un résultat net de 18,368 Mds FCFA (+11%), avec un coût du risque redevenu une charge de 3,579 Mds FCFA (contre un produit de 2,376 Mds FCFA au S1 2025). Sur la base de ces tendances, on peut estimer que l'exercice 2026 devrait afficher un PNB supérieur à 60 Mds FCFA et un résultat net compris entre 35 et 38 Mds FCFA, avec une normalisation du coût du risque qui pèsera sur la marge nette (estimée autour de 55-58%).</w:t>
      </w:r>
    </w:p>
    <w:p>
      <w:pPr>
        <w:spacing w:after="120" w:line="276" w:lineRule="auto"/>
      </w:pPr>
      <w:r>
        <w:t>**Évolution pluriannuelle** : Entre 2024 et 2025, le PNB est passé de 45,207 Mds FCFA à 52,805 Mds FCFA (+16,8%), tandis que le résultat net progressait de 30,341 Mds FCFA à 36,237 Mds FCFA (+19,4%). Le ROE s'est maintenu à un niveau élevé (27,4% en 2024, 26,8% en 2025), malgré la croissance des fonds propres. La recommandation fondamentale est donc **positive** : BICB affiche une solidité financière incontestable, une rentabilité exceptionnelle et une position de leader au Bénin. Les principaux risques résident dans la qualité du portefeuille de crédits (croissance rapide de +37,3%) et la tension sur la liquidité (ratio crédits/dépôts de 97,5%), qui nécessitent une surveillance attentive.</w:t>
      </w:r>
    </w:p>
    <w:p>
      <w:pPr>
        <w:spacing w:after="120" w:line="276" w:lineRule="auto"/>
      </w:pPr>
      <w:r>
        <w:t>---</w:t>
      </w:r>
    </w:p>
    <w:p>
      <w:pPr>
        <w:spacing w:after="120" w:line="276" w:lineRule="auto"/>
      </w:pPr>
      <w:r>
        <w:t>## PARTIE 4 : CONCLUSION D'INVESTISSEMENT</w:t>
      </w:r>
    </w:p>
    <w:p>
      <w:pPr>
        <w:spacing w:after="120" w:line="276" w:lineRule="auto"/>
      </w:pPr>
      <w:r>
        <w:t>La valorisation de BICB (Partie 0) apparaît **modérément exigeante** : le PER de 13,7x est légèrement supérieur à la moyenne du marché BRVM, le P/B de 3,69x intègre une prime de croissance significative, et l'EV/EBITDA de 24,3x laisse peu de marge de sécurité. Le comportement du cours (Partie 1) est **contrasté** : la tendance haussière de fond (+66,83% sur 100 jours) est indéniable, mais la correction récente (-1,99% sur la dernière séance) et la volatilité élevée (42,6%) appellent à la prudence, même si le kurtosis platykurtique limite le risque de pics extrêmes. Les signaux techniques (Partie 2) sont **divergents** : le RSI en survente et la position basse dans les bandes de Bollinger plaident pour un rebond, tandis que le MACD baissier et le stochastique sous son signal maintiennent une pression vendeuse. Les fondamentaux (Partie 3) sont **solides** : PNB de 52,8 Mds FCFA en 2025 (+16,5%), résultat net de 36,2 Mds FCFA, ROE de 26,8%, coefficient d'exploitation de 31,1%, et les rapports T1 2026 et S1 2026 confirment la poursuite de la croissance (+35% et +19% de PNB respectivement). Les prédictions IA (J+1 à J+10) anticipent une **remontée progressive** du cours de 8 992 FCFA à 9 198 FCFA, ce qui confirme le potentiel de rebond technique identifié par le RSI et les bandes de Bollinger.</w:t>
      </w:r>
    </w:p>
    <w:p>
      <w:pPr>
        <w:spacing w:after="120" w:line="276" w:lineRule="auto"/>
      </w:pPr>
      <w:r>
        <w:t>**Recommandation finale : CONSERVER**</w:t>
      </w:r>
    </w:p>
    <w:p>
      <w:pPr>
        <w:spacing w:after="120" w:line="276" w:lineRule="auto"/>
      </w:pPr>
      <w:r>
        <w:t>Cette recommandation reflète la convergence entre des fondamentaux excellents (ROE &gt;25%, croissance du PNB &gt;15%, solvabilité solide) et une valorisation déjà exigeante (PER &gt;13x, EV/EBITDA &gt;24x) qui limite le potentiel de hausse à court terme. La divergence des signaux techniques (RSI acheteur vs MACD vendeur) et la normalisation attendue du coût du risque en 2026 (qui pèsera sur la marge nette) justifient une position attentiste pour les nouveaux entrants, tandis que les investisseurs déjà positionnés peuvent conserver le titre en profitant de la dynamique de fond. Le niveau de confiance est **Moyen** (les fondamentaux sont solides mais la valorisation et les signaux techniques mitigés créent une incertitude), et le niveau de risque global est **Moyen** (volatilité élevée mais fondamentaux robustes). L'horizon d'investissement optimal est le **moyen terme (3-12 mois)**, en attendant la publication des résultats annuels 2026 et la clarification de la politique de dividende (l'AG du 30 juin 2026 devrait apporter des précisions sur ce point).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521.75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677 titres</w:t>
            </w:r>
          </w:p>
        </w:tc>
        <w:tc>
          <w:tcPr>
            <w:tcW w:type="dxa" w:w="2268"/>
            <w:shd w:fill="FFF2CC" w:val="clear"/>
          </w:tcPr>
          <w:p>
            <w:r>
              <w:rPr>
                <w:b/>
                <w:color w:val="503200"/>
                <w:sz w:val="16"/>
              </w:rPr>
              <w:t xml:space="preserve">Cours actuel : </w:t>
            </w:r>
            <w:r>
              <w:rPr>
                <w:color w:val="000000"/>
                <w:sz w:val="17"/>
              </w:rPr>
              <w:t>31,305 FCFA</w:t>
            </w:r>
          </w:p>
          <w:p>
            <w:r>
              <w:rPr>
                <w:b/>
                <w:color w:val="503200"/>
                <w:sz w:val="16"/>
              </w:rPr>
              <w:t xml:space="preserve">Var. 100 jours : </w:t>
            </w:r>
            <w:r>
              <w:rPr>
                <w:b/>
                <w:color w:val="007800"/>
                <w:sz w:val="17"/>
              </w:rPr>
              <w:t>+19.48%</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26,200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6.43% (Moyenne) — μ=29,313 FCFA, σ=1,885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β=1.0619 (Neutre (suit le marché)) — Cov=0.000077, Var(idx)=0.000072, ρ=0.393,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677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2026-10-06</w:t>
            </w:r>
          </w:p>
        </w:tc>
        <w:tc>
          <w:tcPr>
            <w:tcW w:type="dxa" w:w="1440"/>
            <w:shd w:fill="C6EFCE" w:val="clear"/>
          </w:tcPr>
          <w:p>
            <w:r>
              <w:rPr>
                <w:sz w:val="17"/>
              </w:rPr>
              <w:t>30,331</w:t>
            </w:r>
          </w:p>
        </w:tc>
        <w:tc>
          <w:tcPr>
            <w:tcW w:type="dxa" w:w="1440"/>
            <w:shd w:fill="C6EFCE" w:val="clear"/>
          </w:tcPr>
          <w:p>
            <w:r>
              <w:rPr>
                <w:b/>
                <w:sz w:val="17"/>
              </w:rPr>
              <w:t>32,192</w:t>
            </w:r>
          </w:p>
        </w:tc>
        <w:tc>
          <w:tcPr>
            <w:tcW w:type="dxa" w:w="1440"/>
            <w:shd w:fill="C6EFCE" w:val="clear"/>
          </w:tcPr>
          <w:p>
            <w:r>
              <w:rPr>
                <w:sz w:val="17"/>
              </w:rPr>
              <w:t>34,052</w:t>
            </w:r>
          </w:p>
        </w:tc>
        <w:tc>
          <w:tcPr>
            <w:tcW w:type="dxa" w:w="1440"/>
            <w:shd w:fill="C6EFCE" w:val="clear"/>
          </w:tcPr>
          <w:p>
            <w:r>
              <w:rPr>
                <w:b/>
                <w:color w:val="008000"/>
                <w:sz w:val="17"/>
              </w:rPr>
              <w:t>+2.8%</w:t>
            </w:r>
          </w:p>
        </w:tc>
      </w:tr>
      <w:tr>
        <w:tc>
          <w:tcPr>
            <w:tcW w:type="dxa" w:w="1440"/>
            <w:shd w:fill="C6EFCE" w:val="clear"/>
          </w:tcPr>
          <w:p>
            <w:r>
              <w:rPr>
                <w:sz w:val="17"/>
              </w:rPr>
              <w:t>J+2  Moyenne</w:t>
            </w:r>
          </w:p>
        </w:tc>
        <w:tc>
          <w:tcPr>
            <w:tcW w:type="dxa" w:w="1440"/>
            <w:shd w:fill="C6EFCE" w:val="clear"/>
          </w:tcPr>
          <w:p>
            <w:r>
              <w:rPr>
                <w:sz w:val="17"/>
              </w:rPr>
              <w:t>2026-10-07</w:t>
            </w:r>
          </w:p>
        </w:tc>
        <w:tc>
          <w:tcPr>
            <w:tcW w:type="dxa" w:w="1440"/>
            <w:shd w:fill="C6EFCE" w:val="clear"/>
          </w:tcPr>
          <w:p>
            <w:r>
              <w:rPr>
                <w:sz w:val="17"/>
              </w:rPr>
              <w:t>29,371</w:t>
            </w:r>
          </w:p>
        </w:tc>
        <w:tc>
          <w:tcPr>
            <w:tcW w:type="dxa" w:w="1440"/>
            <w:shd w:fill="C6EFCE" w:val="clear"/>
          </w:tcPr>
          <w:p>
            <w:r>
              <w:rPr>
                <w:b/>
                <w:sz w:val="17"/>
              </w:rPr>
              <w:t>31,986</w:t>
            </w:r>
          </w:p>
        </w:tc>
        <w:tc>
          <w:tcPr>
            <w:tcW w:type="dxa" w:w="1440"/>
            <w:shd w:fill="C6EFCE" w:val="clear"/>
          </w:tcPr>
          <w:p>
            <w:r>
              <w:rPr>
                <w:sz w:val="17"/>
              </w:rPr>
              <w:t>34,600</w:t>
            </w:r>
          </w:p>
        </w:tc>
        <w:tc>
          <w:tcPr>
            <w:tcW w:type="dxa" w:w="1440"/>
            <w:shd w:fill="C6EFCE" w:val="clear"/>
          </w:tcPr>
          <w:p>
            <w:r>
              <w:rPr>
                <w:b/>
                <w:color w:val="008000"/>
                <w:sz w:val="17"/>
              </w:rPr>
              <w:t>+2.2%</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28,733</w:t>
            </w:r>
          </w:p>
        </w:tc>
        <w:tc>
          <w:tcPr>
            <w:tcW w:type="dxa" w:w="1440"/>
            <w:shd w:fill="FAFAFA" w:val="clear"/>
          </w:tcPr>
          <w:p>
            <w:r>
              <w:rPr>
                <w:b/>
                <w:sz w:val="17"/>
              </w:rPr>
              <w:t>31,930</w:t>
            </w:r>
          </w:p>
        </w:tc>
        <w:tc>
          <w:tcPr>
            <w:tcW w:type="dxa" w:w="1440"/>
            <w:shd w:fill="FAFAFA" w:val="clear"/>
          </w:tcPr>
          <w:p>
            <w:r>
              <w:rPr>
                <w:sz w:val="17"/>
              </w:rPr>
              <w:t>35,126</w:t>
            </w:r>
          </w:p>
        </w:tc>
        <w:tc>
          <w:tcPr>
            <w:tcW w:type="dxa" w:w="1440"/>
            <w:shd w:fill="FAFAFA" w:val="clear"/>
          </w:tcPr>
          <w:p>
            <w:r>
              <w:rPr>
                <w:b/>
                <w:color w:val="008000"/>
                <w:sz w:val="17"/>
              </w:rPr>
              <w:t>+2.0%</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28,192</w:t>
            </w:r>
          </w:p>
        </w:tc>
        <w:tc>
          <w:tcPr>
            <w:tcW w:type="dxa" w:w="1440"/>
            <w:shd w:fill="FAFAFA" w:val="clear"/>
          </w:tcPr>
          <w:p>
            <w:r>
              <w:rPr>
                <w:b/>
                <w:sz w:val="17"/>
              </w:rPr>
              <w:t>31,877</w:t>
            </w:r>
          </w:p>
        </w:tc>
        <w:tc>
          <w:tcPr>
            <w:tcW w:type="dxa" w:w="1440"/>
            <w:shd w:fill="FAFAFA" w:val="clear"/>
          </w:tcPr>
          <w:p>
            <w:r>
              <w:rPr>
                <w:sz w:val="17"/>
              </w:rPr>
              <w:t>35,563</w:t>
            </w:r>
          </w:p>
        </w:tc>
        <w:tc>
          <w:tcPr>
            <w:tcW w:type="dxa" w:w="1440"/>
            <w:shd w:fill="FAFAFA" w:val="clear"/>
          </w:tcPr>
          <w:p>
            <w:r>
              <w:rPr>
                <w:b/>
                <w:color w:val="008000"/>
                <w:sz w:val="17"/>
              </w:rPr>
              <w:t>+1.8%</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27,699</w:t>
            </w:r>
          </w:p>
        </w:tc>
        <w:tc>
          <w:tcPr>
            <w:tcW w:type="dxa" w:w="1440"/>
            <w:shd w:fill="FAFAFA" w:val="clear"/>
          </w:tcPr>
          <w:p>
            <w:r>
              <w:rPr>
                <w:b/>
                <w:sz w:val="17"/>
              </w:rPr>
              <w:t>31,810</w:t>
            </w:r>
          </w:p>
        </w:tc>
        <w:tc>
          <w:tcPr>
            <w:tcW w:type="dxa" w:w="1440"/>
            <w:shd w:fill="FAFAFA" w:val="clear"/>
          </w:tcPr>
          <w:p>
            <w:r>
              <w:rPr>
                <w:sz w:val="17"/>
              </w:rPr>
              <w:t>35,921</w:t>
            </w:r>
          </w:p>
        </w:tc>
        <w:tc>
          <w:tcPr>
            <w:tcW w:type="dxa" w:w="1440"/>
            <w:shd w:fill="FAFAFA" w:val="clear"/>
          </w:tcPr>
          <w:p>
            <w:r>
              <w:rPr>
                <w:b/>
                <w:color w:val="008000"/>
                <w:sz w:val="17"/>
              </w:rPr>
              <w:t>+1.6%</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27,245</w:t>
            </w:r>
          </w:p>
        </w:tc>
        <w:tc>
          <w:tcPr>
            <w:tcW w:type="dxa" w:w="1440"/>
            <w:shd w:fill="FAFAFA" w:val="clear"/>
          </w:tcPr>
          <w:p>
            <w:r>
              <w:rPr>
                <w:b/>
                <w:sz w:val="17"/>
              </w:rPr>
              <w:t>31,738</w:t>
            </w:r>
          </w:p>
        </w:tc>
        <w:tc>
          <w:tcPr>
            <w:tcW w:type="dxa" w:w="1440"/>
            <w:shd w:fill="FAFAFA" w:val="clear"/>
          </w:tcPr>
          <w:p>
            <w:r>
              <w:rPr>
                <w:sz w:val="17"/>
              </w:rPr>
              <w:t>36,232</w:t>
            </w:r>
          </w:p>
        </w:tc>
        <w:tc>
          <w:tcPr>
            <w:tcW w:type="dxa" w:w="1440"/>
            <w:shd w:fill="FAFAFA" w:val="clear"/>
          </w:tcPr>
          <w:p>
            <w:r>
              <w:rPr>
                <w:b/>
                <w:color w:val="008000"/>
                <w:sz w:val="17"/>
              </w:rPr>
              <w:t>+1.4%</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26,825</w:t>
            </w:r>
          </w:p>
        </w:tc>
        <w:tc>
          <w:tcPr>
            <w:tcW w:type="dxa" w:w="1440"/>
            <w:shd w:fill="FAFAFA" w:val="clear"/>
          </w:tcPr>
          <w:p>
            <w:r>
              <w:rPr>
                <w:b/>
                <w:sz w:val="17"/>
              </w:rPr>
              <w:t>31,668</w:t>
            </w:r>
          </w:p>
        </w:tc>
        <w:tc>
          <w:tcPr>
            <w:tcW w:type="dxa" w:w="1440"/>
            <w:shd w:fill="FAFAFA" w:val="clear"/>
          </w:tcPr>
          <w:p>
            <w:r>
              <w:rPr>
                <w:sz w:val="17"/>
              </w:rPr>
              <w:t>36,511</w:t>
            </w:r>
          </w:p>
        </w:tc>
        <w:tc>
          <w:tcPr>
            <w:tcW w:type="dxa" w:w="1440"/>
            <w:shd w:fill="FAFAFA" w:val="clear"/>
          </w:tcPr>
          <w:p>
            <w:r>
              <w:rPr>
                <w:b/>
                <w:color w:val="008000"/>
                <w:sz w:val="17"/>
              </w:rPr>
              <w:t>+1.2%</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26,435</w:t>
            </w:r>
          </w:p>
        </w:tc>
        <w:tc>
          <w:tcPr>
            <w:tcW w:type="dxa" w:w="1440"/>
            <w:shd w:fill="FAFAFA" w:val="clear"/>
          </w:tcPr>
          <w:p>
            <w:r>
              <w:rPr>
                <w:b/>
                <w:sz w:val="17"/>
              </w:rPr>
              <w:t>31,601</w:t>
            </w:r>
          </w:p>
        </w:tc>
        <w:tc>
          <w:tcPr>
            <w:tcW w:type="dxa" w:w="1440"/>
            <w:shd w:fill="FAFAFA" w:val="clear"/>
          </w:tcPr>
          <w:p>
            <w:r>
              <w:rPr>
                <w:sz w:val="17"/>
              </w:rPr>
              <w:t>36,768</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26,068</w:t>
            </w:r>
          </w:p>
        </w:tc>
        <w:tc>
          <w:tcPr>
            <w:tcW w:type="dxa" w:w="1440"/>
            <w:shd w:fill="FAFAFA" w:val="clear"/>
          </w:tcPr>
          <w:p>
            <w:r>
              <w:rPr>
                <w:b/>
                <w:sz w:val="17"/>
              </w:rPr>
              <w:t>31,537</w:t>
            </w:r>
          </w:p>
        </w:tc>
        <w:tc>
          <w:tcPr>
            <w:tcW w:type="dxa" w:w="1440"/>
            <w:shd w:fill="FAFAFA" w:val="clear"/>
          </w:tcPr>
          <w:p>
            <w:r>
              <w:rPr>
                <w:sz w:val="17"/>
              </w:rPr>
              <w:t>37,005</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25,722</w:t>
            </w:r>
          </w:p>
        </w:tc>
        <w:tc>
          <w:tcPr>
            <w:tcW w:type="dxa" w:w="1440"/>
            <w:shd w:fill="FAFAFA" w:val="clear"/>
          </w:tcPr>
          <w:p>
            <w:r>
              <w:rPr>
                <w:b/>
                <w:sz w:val="17"/>
              </w:rPr>
              <w:t>31,474</w:t>
            </w:r>
          </w:p>
        </w:tc>
        <w:tc>
          <w:tcPr>
            <w:tcW w:type="dxa" w:w="1440"/>
            <w:shd w:fill="FAFAFA" w:val="clear"/>
          </w:tcPr>
          <w:p>
            <w:r>
              <w:rPr>
                <w:sz w:val="17"/>
              </w:rPr>
              <w:t>37,227</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521,75 milliards FCFA, BICC s'impose comme l'une des valeurs bancaires les plus capitalisées de la BRVM, reflétant sa stature de banque systémique adossée au groupe BNP Paribas. Le BPA de 2 191 FCFA par action signifie que chaque titre génère près de 2 200 FCFA de bénéfice net, un niveau de rentabilité unitaire élevé. Le PER de 14,3x se situe au-dessus de la moyenne du marché BRVM (généralement 8-12x), traduisant une prime de qualité consentie par les investisseurs, mais qui demeure modérée au regard de la croissance des bénéfices. Le P/B de 4,33x indique que le marché valorise la banque à plus de quatre fois sa valeur comptable, une prime exigeante qui s'explique par la rentabilité exceptionnelle des fonds propres (ROE &gt; 30%). L'EV/EBITDA de 10,3x, bien que dans la fourchette haute (10-15x), reste cohérent avec la capacité bénéficiaire opérationnelle de l'établissement.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affiche une performance remarquable de +19,48%, portant le cours à 31 305 FCFA, malgré un repli de -7,38% lors de la dernière séance qui marque une prise de bénéfices après un rallye soutenu. Le range de trading s'établit entre un plus bas de 26 200 FCFA et un plus haut de 34 895 FCFA, soit une amplitude de 33%, témoignant d'une dynamique haussière robuste mais avec des corrections significatives. La tendance générale demeure haussière, le cours actuel se maintenant bien au-dessus de la moyenne des 100 jours (29 313 FCFA). Les statistiques descriptives révèlent une distribution légèrement asymétrique : la moyenne (29 313 FCFA) dépasse la médiane (28 968 FCFA) et le mode (29 000 FCFA), tandis que le skewness positif de 1,022 indique une prépondérance de journées sous la moyenne, typique d'un titre en consolidation après un mouvement haussier. L'écart-type de 1 894 FCFA avec un coefficient de variation de 6,5% traduit une dispersion modérée du cours, et le kurtosis de 0,578 (mésokurtique) suggère une distribution proche de la normale, sans risque excessif de pics extrêmes. La volatilité annualisée de 36,4% classe le titre dans la catégorie des valeurs à volatilité élevée (&gt;30%), ce qui est cohérent avec son statut de valeur bancaire de croissance sur un marché frontière.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32 308,75 FCFA et la MM50 à 30 511 FCFA, toutes deux inférieures au cours actuel de 31 305 FCFA, ce qui place le titre en position haussière sur les deux horizons. La MM20 étant supérieure à la MM50, la configuration confirme une tendance positive de court terme, justifiant la décision d'achat malgré le repli récent.</w:t>
      </w:r>
    </w:p>
    <w:p>
      <w:pPr>
        <w:spacing w:after="120" w:line="276" w:lineRule="auto"/>
      </w:pPr>
      <w:r>
        <w:t>**Bandes de Bollinger** : Le cours (31 305 FCFA) se situe dans la partie médiane de la bande, entre la borne inférieure (29 658 FCFA) et la borne supérieure (34 959 FCFA), sans atteindre les extrêmes. Cette position neutre indique une absence de signal de surachat ou de survente, justifiant la décision neutre avec une volatilité contenue dans les bandes.</w:t>
      </w:r>
    </w:p>
    <w:p>
      <w:pPr>
        <w:spacing w:after="120" w:line="276" w:lineRule="auto"/>
      </w:pPr>
      <w:r>
        <w:t>**MACD** : La valeur du MACD (534,785) est légèrement inférieure à son signal (552,55), générant une divergence baissière qui traduit un essoufflement du momentum haussier. Cette configuration justifie la décision de vente à court terme, bien que l'écart reste marginal et puisse se résorber rapidement.</w:t>
      </w:r>
    </w:p>
    <w:p>
      <w:pPr>
        <w:spacing w:after="120" w:line="276" w:lineRule="auto"/>
      </w:pPr>
      <w:r>
        <w:t>**RSI** : À 44,834, le RSI se situe dans la zone neutre (30-70), sans signal de surachat ni de survente. Cette position médiane reflète un équilibre entre acheteurs et vendeurs, justifiant la décision neutre dans l'attente d'une direction claire.</w:t>
      </w:r>
    </w:p>
    <w:p>
      <w:pPr>
        <w:spacing w:after="120" w:line="276" w:lineRule="auto"/>
      </w:pPr>
      <w:r>
        <w:t>**Stochastique** : Le %K (30,291) est nettement inférieur au %D (54,854), avec un croisement baissier qui suggère une pression vendeuse à court terme. Cette configuration justifie la décision neutre, le stochastique n'ayant pas encore atteint la zone de survente (&lt;20) qui déclencherait un signal d'achat.</w:t>
      </w:r>
    </w:p>
    <w:p>
      <w:pPr>
        <w:spacing w:after="120" w:line="276" w:lineRule="auto"/>
      </w:pPr>
      <w:r>
        <w:t>**Conclusion technique** : Les indicateurs techniques présentent un tableau mitigé : les moyennes mobiles confirment la tendance haussière de fond, mais le MACD et le stochastique signalent un essoufflement à court terme. Le RSI et les bandes de Bollinger en position neutre suggèrent une consolidation en cours, avec un potentiel de rebond une fois la pression vendeuse résorbée. La convergence des signaux pointe vers une phase de digestion avant une reprise éventuelle.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BICC affiche un Produit Net Bancaire (PNB) de 79 563 millions FCFA, en croissance de 16,9% par rapport à 2024, confirmant la dynamique commerciale soutenue de la banque. Le résultat net s'établit à 36 520 millions FCFA, avec une marge nette exceptionnelle de 45,9% (résultat net/PNB), en amélioration continue. Le ROE atteint 30,29%, largement supérieur au seuil d'excellence de 15%, tandis que le ROA de 3,24% reflète une utilisation efficace des actifs. Le coefficient d'exploitation de 50,83% place la banque en dessous du seuil de 60% synonyme d'efficacité, confirmant une maîtrise remarquable des charges. Le coût du risque, à -12,15% des charges financières, indique un portefeuille de crédits sain avec des provisions maîtrisées. La structure financière affiche une autonomie financière de 10,71% (capitaux propres/total bilan), typique du modèle bancaire où les dépôts clientèle (952 872 millions FCFA) constituent la principale ressource, face à des créances clientèle de 524 439 millions FCFA, soit un ratio de transformation de 55%, laissant une marge de croissance significative.</w:t>
      </w:r>
    </w:p>
    <w:p>
      <w:pPr>
        <w:spacing w:after="120" w:line="276" w:lineRule="auto"/>
      </w:pPr>
      <w:r>
        <w:t>**Estimations basées sur les rapports trimestriels** : Le rapport du T1 2026 (publié en 2026) révèle un PNB de 21 214 millions FCFA (+17,0%) et un résultat net de 10 387 millions FCFA (+29,7%), avec une marge nette de 49,0% en progression de 5 points. Sur cette base, on estime que l'exercice 2026 devrait enregistrer un PNB annuel d'environ 85 000 millions FCFA et un résultat net de l'ordre de 42 000 millions FCFA, soit une croissance de 15-20% par rapport à 2025. Le rapport du T3 2025 (daté du 30 septembre 2025) confirme cette tendance avec un PNB cumulé de 58 119 millions FCFA (+16,4%) et un résultat net de 27 402 millions FCFA (+50,8%), tandis que le rapport du S1 2025 (30 juin 2025) affichait déjà un résultat net de 16 253 millions FCFA (+42,5%). La trajectoire est donc clairement ascendante, portée par la croissance des commissions (+24,9% au T3 2025) et une marge d'intermédiation en amélioration.</w:t>
      </w:r>
    </w:p>
    <w:p>
      <w:pPr>
        <w:spacing w:after="120" w:line="276" w:lineRule="auto"/>
      </w:pPr>
      <w:r>
        <w:t>**Recommandation fondamentale** : La solidité financière de BICC est incontestable, avec une rentabilité parmi les meilleures de la BRVM, une croissance à deux chiffres et une gestion rigoureuse des risques. Le principal point de vigilance réside dans la baisse des encours de crédits (-4,5% au T1 2026), compensée par une meilleure marge et des commissions en hausse. Les perspectives restent favorables, portées par la confiance de la clientèle (dépôts +14,5%) et la dynamique commerciale.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BICC (PER 14,3x, P/B 4,33x, EV/EBITDA 10,3x) indique une prime de qualité justifiée par la rentabilité exceptionnelle (ROE 30,3%), sans être excessive au regard de la croissance des bénéfices. Le comportement du cours sur 100 jours (+19,48%) témoigne d'une tendance haussière robuste, avec une volatilité élevée (36,4%) et une distribution asymétrique (skewness 1,022) qui suggère une consolidation après le rallye, sans risque de krach (kurtosis 0,578). Les signaux techniques sont mitigés : les moyennes mobiles confirment la tendance haussière, mais le MACD et le stochastique signalent un essoufflement à court terme, tandis que le RSI et les bandes de Bollinger en position neutre plaident pour une phase de digestion. Les fondamentaux demeurent excellents, avec un PNB 2025 de 79 563 millions FCFA, un résultat net de 36 520 millions FCFA et des estimations 2026 optimistes (PNB ~85 000 millions FCFA, résultat net ~42 000 millions FCFA) basées sur le T1 2026 (+17% de PNB, +29,7% de résultat net). Les prédictions IA (31 810-32 192 FCFA sur 10 jours) suggèrent une légère reprise après la correction récente, confirmant la tendance haussière de fond. **Recommandation finale : ACHAT**, avec un niveau de confiance **Élevé** et un risque global **Moyen** (volatilité élevée mais fondamentaux solides). L'horizon d'investissement optimal est le **moyen terme (3-12 mois)**, pour profiter de la croissance bénéficiaire et de la correction actuelle, avec un potentiel de rendement dividende attractif (politique historiquement généreuse, payout &gt;50%).</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11.99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2,991 titres</w:t>
            </w:r>
          </w:p>
        </w:tc>
        <w:tc>
          <w:tcPr>
            <w:tcW w:type="dxa" w:w="2268"/>
            <w:shd w:fill="FFF2CC" w:val="clear"/>
          </w:tcPr>
          <w:p>
            <w:r>
              <w:rPr>
                <w:b/>
                <w:color w:val="503200"/>
                <w:sz w:val="16"/>
              </w:rPr>
              <w:t xml:space="preserve">Cours actuel : </w:t>
            </w:r>
            <w:r>
              <w:rPr>
                <w:color w:val="000000"/>
                <w:sz w:val="17"/>
              </w:rPr>
              <w:t>1,810 FCFA</w:t>
            </w:r>
          </w:p>
          <w:p>
            <w:r>
              <w:rPr>
                <w:b/>
                <w:color w:val="503200"/>
                <w:sz w:val="16"/>
              </w:rPr>
              <w:t xml:space="preserve">Var. 100 jours : </w:t>
            </w:r>
            <w:r>
              <w:rPr>
                <w:b/>
                <w:color w:val="007800"/>
                <w:sz w:val="17"/>
              </w:rPr>
              <w:t>+29.75%</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1,395 FCFA</w:t>
            </w:r>
          </w:p>
          <w:p>
            <w:r>
              <w:rPr>
                <w:b/>
                <w:color w:val="503200"/>
                <w:sz w:val="16"/>
              </w:rPr>
              <w:t xml:space="preserve">Volatilité ann. : </w:t>
            </w:r>
            <w:r>
              <w:rPr>
                <w:color w:val="000000"/>
                <w:sz w:val="17"/>
              </w:rPr>
              <w:t>52.7%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10.63% (Moyenne) — μ=1,912 FCFA, σ=203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β=0.4532 (Défensif) — Cov=0.000033, Var(idx)=0.000072, ρ=0.116,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σ_j=3.32%/j (Modérée) — Vol. annualisée≈52.7%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1,710</w:t>
            </w:r>
          </w:p>
        </w:tc>
        <w:tc>
          <w:tcPr>
            <w:tcW w:type="dxa" w:w="1440"/>
            <w:shd w:fill="FAFAFA" w:val="clear"/>
          </w:tcPr>
          <w:p>
            <w:r>
              <w:rPr>
                <w:b/>
                <w:sz w:val="17"/>
              </w:rPr>
              <w:t>1,830</w:t>
            </w:r>
          </w:p>
        </w:tc>
        <w:tc>
          <w:tcPr>
            <w:tcW w:type="dxa" w:w="1440"/>
            <w:shd w:fill="FAFAFA" w:val="clear"/>
          </w:tcPr>
          <w:p>
            <w:r>
              <w:rPr>
                <w:sz w:val="17"/>
              </w:rPr>
              <w:t>1,949</w:t>
            </w:r>
          </w:p>
        </w:tc>
        <w:tc>
          <w:tcPr>
            <w:tcW w:type="dxa" w:w="1440"/>
            <w:shd w:fill="FAFAFA" w:val="clear"/>
          </w:tcPr>
          <w:p>
            <w:r>
              <w:rPr>
                <w:b/>
                <w:color w:val="008000"/>
                <w:sz w:val="17"/>
              </w:rPr>
              <w:t>+1.1%</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1,657</w:t>
            </w:r>
          </w:p>
        </w:tc>
        <w:tc>
          <w:tcPr>
            <w:tcW w:type="dxa" w:w="1440"/>
            <w:shd w:fill="FAFAFA" w:val="clear"/>
          </w:tcPr>
          <w:p>
            <w:r>
              <w:rPr>
                <w:b/>
                <w:sz w:val="17"/>
              </w:rPr>
              <w:t>1,825</w:t>
            </w:r>
          </w:p>
        </w:tc>
        <w:tc>
          <w:tcPr>
            <w:tcW w:type="dxa" w:w="1440"/>
            <w:shd w:fill="FAFAFA" w:val="clear"/>
          </w:tcPr>
          <w:p>
            <w:r>
              <w:rPr>
                <w:sz w:val="17"/>
              </w:rPr>
              <w:t>1,993</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1,621</w:t>
            </w:r>
          </w:p>
        </w:tc>
        <w:tc>
          <w:tcPr>
            <w:tcW w:type="dxa" w:w="1440"/>
            <w:shd w:fill="FAFAFA" w:val="clear"/>
          </w:tcPr>
          <w:p>
            <w:r>
              <w:rPr>
                <w:b/>
                <w:sz w:val="17"/>
              </w:rPr>
              <w:t>1,828</w:t>
            </w:r>
          </w:p>
        </w:tc>
        <w:tc>
          <w:tcPr>
            <w:tcW w:type="dxa" w:w="1440"/>
            <w:shd w:fill="FAFAFA" w:val="clear"/>
          </w:tcPr>
          <w:p>
            <w:r>
              <w:rPr>
                <w:sz w:val="17"/>
              </w:rPr>
              <w:t>2,034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1,591</w:t>
            </w:r>
          </w:p>
        </w:tc>
        <w:tc>
          <w:tcPr>
            <w:tcW w:type="dxa" w:w="1440"/>
            <w:shd w:fill="FAFAFA" w:val="clear"/>
          </w:tcPr>
          <w:p>
            <w:r>
              <w:rPr>
                <w:b/>
                <w:sz w:val="17"/>
              </w:rPr>
              <w:t>1,830</w:t>
            </w:r>
          </w:p>
        </w:tc>
        <w:tc>
          <w:tcPr>
            <w:tcW w:type="dxa" w:w="1440"/>
            <w:shd w:fill="FAFAFA" w:val="clear"/>
          </w:tcPr>
          <w:p>
            <w:r>
              <w:rPr>
                <w:sz w:val="17"/>
              </w:rPr>
              <w:t>2,069</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1,565</w:t>
            </w:r>
          </w:p>
        </w:tc>
        <w:tc>
          <w:tcPr>
            <w:tcW w:type="dxa" w:w="1440"/>
            <w:shd w:fill="FAFAFA" w:val="clear"/>
          </w:tcPr>
          <w:p>
            <w:r>
              <w:rPr>
                <w:b/>
                <w:sz w:val="17"/>
              </w:rPr>
              <w:t>1,832</w:t>
            </w:r>
          </w:p>
        </w:tc>
        <w:tc>
          <w:tcPr>
            <w:tcW w:type="dxa" w:w="1440"/>
            <w:shd w:fill="FAFAFA" w:val="clear"/>
          </w:tcPr>
          <w:p>
            <w:r>
              <w:rPr>
                <w:sz w:val="17"/>
              </w:rPr>
              <w:t>2,099</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1,540</w:t>
            </w:r>
          </w:p>
        </w:tc>
        <w:tc>
          <w:tcPr>
            <w:tcW w:type="dxa" w:w="1440"/>
            <w:shd w:fill="FAFAFA" w:val="clear"/>
          </w:tcPr>
          <w:p>
            <w:r>
              <w:rPr>
                <w:b/>
                <w:sz w:val="17"/>
              </w:rPr>
              <w:t>1,833</w:t>
            </w:r>
          </w:p>
        </w:tc>
        <w:tc>
          <w:tcPr>
            <w:tcW w:type="dxa" w:w="1440"/>
            <w:shd w:fill="FAFAFA" w:val="clear"/>
          </w:tcPr>
          <w:p>
            <w:r>
              <w:rPr>
                <w:sz w:val="17"/>
              </w:rPr>
              <w:t>2,126</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1,517</w:t>
            </w:r>
          </w:p>
        </w:tc>
        <w:tc>
          <w:tcPr>
            <w:tcW w:type="dxa" w:w="1440"/>
            <w:shd w:fill="FAFAFA" w:val="clear"/>
          </w:tcPr>
          <w:p>
            <w:r>
              <w:rPr>
                <w:b/>
                <w:sz w:val="17"/>
              </w:rPr>
              <w:t>1,833</w:t>
            </w:r>
          </w:p>
        </w:tc>
        <w:tc>
          <w:tcPr>
            <w:tcW w:type="dxa" w:w="1440"/>
            <w:shd w:fill="FAFAFA" w:val="clear"/>
          </w:tcPr>
          <w:p>
            <w:r>
              <w:rPr>
                <w:sz w:val="17"/>
              </w:rPr>
              <w:t>2,150</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1,495</w:t>
            </w:r>
          </w:p>
        </w:tc>
        <w:tc>
          <w:tcPr>
            <w:tcW w:type="dxa" w:w="1440"/>
            <w:shd w:fill="FAFAFA" w:val="clear"/>
          </w:tcPr>
          <w:p>
            <w:r>
              <w:rPr>
                <w:b/>
                <w:sz w:val="17"/>
              </w:rPr>
              <w:t>1,834</w:t>
            </w:r>
          </w:p>
        </w:tc>
        <w:tc>
          <w:tcPr>
            <w:tcW w:type="dxa" w:w="1440"/>
            <w:shd w:fill="FAFAFA" w:val="clear"/>
          </w:tcPr>
          <w:p>
            <w:r>
              <w:rPr>
                <w:sz w:val="17"/>
              </w:rPr>
              <w:t>2,172</w:t>
            </w:r>
          </w:p>
        </w:tc>
        <w:tc>
          <w:tcPr>
            <w:tcW w:type="dxa" w:w="1440"/>
            <w:shd w:fill="FAFAFA" w:val="clear"/>
          </w:tcPr>
          <w:p>
            <w:r>
              <w:rPr>
                <w:b/>
                <w:color w:val="008000"/>
                <w:sz w:val="17"/>
              </w:rPr>
              <w:t>+1.3%</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1,475</w:t>
            </w:r>
          </w:p>
        </w:tc>
        <w:tc>
          <w:tcPr>
            <w:tcW w:type="dxa" w:w="1440"/>
            <w:shd w:fill="FAFAFA" w:val="clear"/>
          </w:tcPr>
          <w:p>
            <w:r>
              <w:rPr>
                <w:b/>
                <w:sz w:val="17"/>
              </w:rPr>
              <w:t>1,834</w:t>
            </w:r>
          </w:p>
        </w:tc>
        <w:tc>
          <w:tcPr>
            <w:tcW w:type="dxa" w:w="1440"/>
            <w:shd w:fill="FAFAFA" w:val="clear"/>
          </w:tcPr>
          <w:p>
            <w:r>
              <w:rPr>
                <w:sz w:val="17"/>
              </w:rPr>
              <w:t>2,193</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1,456</w:t>
            </w:r>
          </w:p>
        </w:tc>
        <w:tc>
          <w:tcPr>
            <w:tcW w:type="dxa" w:w="1440"/>
            <w:shd w:fill="FAFAFA" w:val="clear"/>
          </w:tcPr>
          <w:p>
            <w:r>
              <w:rPr>
                <w:b/>
                <w:sz w:val="17"/>
              </w:rPr>
              <w:t>1,834</w:t>
            </w:r>
          </w:p>
        </w:tc>
        <w:tc>
          <w:tcPr>
            <w:tcW w:type="dxa" w:w="1440"/>
            <w:shd w:fill="FAFAFA" w:val="clear"/>
          </w:tcPr>
          <w:p>
            <w:r>
              <w:rPr>
                <w:sz w:val="17"/>
              </w:rPr>
              <w:t>2,212</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 RAPPORT D'ANALYSE FINANCIÈRE — BNBC (BERNABÉ Côte d'Ivoire)</w:t>
        <w:br/>
        <w:t>**Bourse Régionale des Valeurs Mobilières (BRVM) — Secteur : Distribution de matériaux de construction &amp; équipements**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**11,99 Mds FCFA**, BNBC se situe dans la catégorie des petites capitalisations de la BRVM, ce qui limite mécaniquement sa liquidité et son attrait pour les investisseurs institutionnels. Le **BPA de 3 FCFA/action** traduit une rentabilité par titre quasi-symbolique, cohérente avec un résultat net 2025 de seulement 22,3 M FCFA. Le **PER de 537,2x** est aberrant au regard de la moyenne BRVM (~8-12x) : les investisseurs paient plus de 500 fois les bénéfices, ce qui signale soit une anticipation de retournement majeur, soit une décorrélation totale entre le cours et les fondamentaux. À l'inverse, le **P/B de 0,67x** indique que le marché valorise l'entreprise à 33% en dessous de sa valeur comptable (capitaux propres de 17,77 Mds FCFA), ce qui constitue une anomalie potentielle — mais qui s'explique par la faible qualité des actifs (stocks élevés, créances douteuses). Enfin, l'**EV/EBITDA de 23,6x** (largement supérieur au seuil de 15x) confirme que la valeur d'entreprise intègre une prime spéculative disproportionnée par rapport à la capacité opérationnelle réelle.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affiche une **variation totale de +29,75%**, mais la dernière séance (J-1) enregistre un net repli de **-4,74%**, signalant une prise de bénéfices ou un retournement de sentiment à court terme. Le cours actuel de **1 810 FCFA** se situe dans la moitié basse du range de trading, loin du plus haut de **2 400 FCFA** et à **+29,7%** au-dessus du plus bas de **1 395 FCFA**, ce qui traduit une tendance haussière de fond mais avec une correction récente marquée. Les statistiques descriptives révèlent une **moyenne (1 912 FCFA) légèrement inférieure à la médiane (1 962 FCFA)**, indiquant une distribution légèrement asymétrique à gauche (confirmée par un **skewness de -0,360**), c'est-à-dire que les baisses récentes tirent la moyenne vers le bas. L'**écart-type de 204 FCFA (CV=10,7%)** traduit une dispersion modérée du cours autour de sa moyenne, tandis que le **kurtosis de 0,085** (mésokurtique) suggère une distribution proche de la normale, sans risque extrême de pics de volatilité. La **volatilité annualisée de 52,7%** classe le titre dans la catégorie **élevée (&gt;30%)**, ce qui est cohérent avec une petite capitalisation peu liquide (volume moyen de 2 991 titres/jour) et un flottant restreint.</w:t>
      </w:r>
    </w:p>
    <w:p>
      <w:pPr>
        <w:spacing w:after="120" w:line="276" w:lineRule="auto"/>
      </w:pPr>
      <w:r>
        <w:t>---</w:t>
      </w:r>
    </w:p>
    <w:p>
      <w:pPr>
        <w:spacing w:after="120" w:line="276" w:lineRule="auto"/>
      </w:pPr>
      <w:r>
        <w:t>## PARTIE 2 : ANALYSE TECHNIQUE DÉTAILLÉE</w:t>
      </w:r>
    </w:p>
    <w:p>
      <w:pPr>
        <w:spacing w:after="120" w:line="276" w:lineRule="auto"/>
      </w:pPr>
      <w:r>
        <w:t>**Moyennes Mobiles** : La MM20 (2 027,5 FCFA) et la MM50 (2 029,3 FCFA) sont quasi-confondues et **nettement supérieures au cours actuel (1 810 FCFA)**, ce qui place le titre en position baissière sous ses moyennes. La décision technique est **Vente**, car le cours évolue sous les deux moyennes, confirmant une pression vendeuse persistante.</w:t>
      </w:r>
    </w:p>
    <w:p>
      <w:pPr>
        <w:spacing w:after="120" w:line="276" w:lineRule="auto"/>
      </w:pPr>
      <w:r>
        <w:t>**Bandes de Bollinger** : Le cours (1 810 FCFA) se situe **au-dessus de la borne inférieure (1 763,35 FCFA)** mais très en-dessous de la borne supérieure (2 291,65 FCFA), dans la partie basse du canal. La décision est **Neutre**, car le cours n'est ni en surachat ni en survente extrême, mais la largeur des bandes (528 FCFA) confirme une volatilité élevée.</w:t>
      </w:r>
    </w:p>
    <w:p>
      <w:pPr>
        <w:spacing w:after="120" w:line="276" w:lineRule="auto"/>
      </w:pPr>
      <w:r>
        <w:t>**MACD** : La valeur du MACD (**-55,918**) est inférieure à son signal (**-30,562**), avec un histogramme négatif, ce qui traduit un **momentum baissier dominant**. La décision est **Vente**, car la divergence négative persiste sans signe de retournement.</w:t>
      </w:r>
    </w:p>
    <w:p>
      <w:pPr>
        <w:spacing w:after="120" w:line="276" w:lineRule="auto"/>
      </w:pPr>
      <w:r>
        <w:t>**RSI** : À **18,71**, le RSI est en **zone de survente sévère (&lt;30)**, ce qui déclenche une décision technique **Achat** — un rebond technique est statistiquement probable à court terme, mais le contexte baissier global invite à la prudence.</w:t>
      </w:r>
    </w:p>
    <w:p>
      <w:pPr>
        <w:spacing w:after="120" w:line="276" w:lineRule="auto"/>
      </w:pPr>
      <w:r>
        <w:t>**Stochastique** : Le %K (**0,0**) est au plus bas absolu et le %D (**1,984**) est également en zone extrême, avec un croisement en zone de survente. La décision est **Achat**, car le stochastique signale un épuisement de la pression vendeuse.</w:t>
      </w:r>
    </w:p>
    <w:p>
      <w:pPr>
        <w:spacing w:after="120" w:line="276" w:lineRule="auto"/>
      </w:pPr>
      <w:r>
        <w:t>**Conclusion technique** : Les indicateurs sont **divergents** : les moyennes mobiles et le MACD confirment une tendance baissière de fond, tandis que le RSI et le stochastique signalent une survente extrême propice à un rebond technique. Cette configuration suggère un **rebond à court terme possible**, mais la tendance de fond reste baissière tant que le cours n'aura pas reconquis la MM20 (2 027 FCFA). La prudence est de mise.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 réalisé un **chiffre d'affaires de 42,454 Mds FCFA**, en **recul de 6,31%** par rapport à 2024 (45,312 Mds FCFA), signalant une perte de dynamique commerciale. Le **résultat net s'établit à 22,32 M FCFA**, en amélioration par rapport aux 7,31 M FCFA de 2024, mais la **marge nette reste catastrophique à 0,0526%** — l'entreprise travaille quasiment à perte. Le **ROE de 0,1256%** et le **ROA de 0,0454%** sont parmi les plus faibles du marché BRVM, confirmant une destruction de valeur pour l'actionnaire. La **trésorerie nette est fortement négative (-16,689 Mds FCFA)**, et le **BFR de 29,373 Mds FCFA** (positif, donc défavorable) pèse lourdement sur la liquidité. Les **délais clients (104,40 jours)** et **durée de stockage (339,23 jours)** sont excessivement élevés, immobilisant massivement du capital et exposant l'entreprise à un risque de trésorerie majeur. L'**autonomie financière de 36,16%** reste correcte, mais le **ratio d'endettement de 105,48%** et la **capacité de remboursement de 19,17 années** traduisent une structure financière fragile.</w:t>
      </w:r>
    </w:p>
    <w:p>
      <w:pPr>
        <w:spacing w:after="120" w:line="276" w:lineRule="auto"/>
      </w:pPr>
      <w:r>
        <w:t>**Estimations basées sur les rapports trimestriels** : Le **rapport T1 2026 (publié le 31/03/2026)** indique un chiffre d'affaires stable à **11,194 Mds FCFA (-0,12%)** et un **résultat net de -65,57 M FCFA** (contre +16,15 M FCFA au T1 2025), soit une dégradation de -506% due à l'intégration de la division Équipement. Le **rapport T3 2025 (30/09/2025)** faisait déjà état d'une **perte nette cumulée de -157,03 M FCFA** sur 9 mois, avec un CA en recul de 3%. Sur la base de ces tendances, **on estime que l'exercice 2026 devrait rester déficitaire** si la division Équipement ne monte pas en puissance rapidement, avec un risque de trésorerie accru. La **recommandation fondamentale est VENTE**, car malgré un P/B &lt; 1 (théoriquement attractif), la faible qualité des actifs, l'absence de dividende (0 FCFA en 2025) et la rentabilité anémique ne justifient pas une exposition.</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paradoxe : un PER de 537,2x signale une surévaluation extrême par rapport aux bénéfices, tandis que le P/B de 0,67x suggère une sous-évaluation comptable — mais cette dernière est trompeuse car les actifs sont de faible qualité (stocks obsolètes, créances douteuses). Le **comportement du cours (Partie 1)** montre une tendance haussière de fond (+29,75% sur 100 jours) mais une correction récente (-4,74% en J-1), avec une volatilité élevée (52,7%) et une distribution proche de la normale (kurtosis 0,085, skewness -0,360), ce qui n'écarte pas le risque de poursuite de la baisse. Les **signaux techniques (Partie 2)** sont divergents : baissiers (MM, MACD) mais avec des signaux de survente (RSI 18,71, Stochastique 0,0) propices à un rebond technique à court terme. Les **fondamentaux (Partie 3)** sont préoccupants : CA en recul (-6,31% en 2025), marge nette quasi-nulle (0,05%), trésorerie négative (-16,69 Mds FCFA), et perte au T1 2026 (-65,57 M FCFA). Les **prédictions IA (J+1 à J+10)** anticipent une **stabilisation autour de 1 825-1 832 FCFA**, ce qui confirme l'absence de catalyseur haussier majeur. **Recommandation finale : VENTE** — la convergence des signaux fondamentaux dégradés, de la surévaluation (PER), et de l'absence de dividende l'emporte sur le rebond technique potentiel. Le niveau de confiance est **Moyen** (les signaux techniques de survente pourraient provoquer un rebond éphémère), et le risque global est **Élevé**. L'horizon d'investissement optimal est **court terme (&lt;3 mois)** pour les traders cherchant à profiter du rebond technique, mais **à éviter pour les investisseurs long terme** en raison de la fragilité structurelle de l'entreprise.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380.06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5,674 titres</w:t>
            </w:r>
          </w:p>
        </w:tc>
        <w:tc>
          <w:tcPr>
            <w:tcW w:type="dxa" w:w="2268"/>
            <w:shd w:fill="FFF2CC" w:val="clear"/>
          </w:tcPr>
          <w:p>
            <w:r>
              <w:rPr>
                <w:b/>
                <w:color w:val="503200"/>
                <w:sz w:val="16"/>
              </w:rPr>
              <w:t xml:space="preserve">Cours actuel : </w:t>
            </w:r>
            <w:r>
              <w:rPr>
                <w:color w:val="000000"/>
                <w:sz w:val="17"/>
              </w:rPr>
              <w:t>9,370 FCFA</w:t>
            </w:r>
          </w:p>
          <w:p>
            <w:r>
              <w:rPr>
                <w:b/>
                <w:color w:val="503200"/>
                <w:sz w:val="16"/>
              </w:rPr>
              <w:t xml:space="preserve">Var. 100 jours : </w:t>
            </w:r>
            <w:r>
              <w:rPr>
                <w:b/>
                <w:color w:val="B40000"/>
                <w:sz w:val="17"/>
              </w:rPr>
              <w:t>-0.37%</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μ=9,175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β=0.5360 (Défensif) — Cov=0.000039, Var(idx)=0.000072, ρ=0.252,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8,963</w:t>
            </w:r>
          </w:p>
        </w:tc>
        <w:tc>
          <w:tcPr>
            <w:tcW w:type="dxa" w:w="1440"/>
            <w:shd w:fill="FAFAFA" w:val="clear"/>
          </w:tcPr>
          <w:p>
            <w:r>
              <w:rPr>
                <w:b/>
                <w:sz w:val="17"/>
              </w:rPr>
              <w:t>9,319</w:t>
            </w:r>
          </w:p>
        </w:tc>
        <w:tc>
          <w:tcPr>
            <w:tcW w:type="dxa" w:w="1440"/>
            <w:shd w:fill="FAFAFA" w:val="clear"/>
          </w:tcPr>
          <w:p>
            <w:r>
              <w:rPr>
                <w:sz w:val="17"/>
              </w:rPr>
              <w:t>9,675</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8,791</w:t>
            </w:r>
          </w:p>
        </w:tc>
        <w:tc>
          <w:tcPr>
            <w:tcW w:type="dxa" w:w="1440"/>
            <w:shd w:fill="FAFAFA" w:val="clear"/>
          </w:tcPr>
          <w:p>
            <w:r>
              <w:rPr>
                <w:b/>
                <w:sz w:val="17"/>
              </w:rPr>
              <w:t>9,293</w:t>
            </w:r>
          </w:p>
        </w:tc>
        <w:tc>
          <w:tcPr>
            <w:tcW w:type="dxa" w:w="1440"/>
            <w:shd w:fill="FAFAFA" w:val="clear"/>
          </w:tcPr>
          <w:p>
            <w:r>
              <w:rPr>
                <w:sz w:val="17"/>
              </w:rPr>
              <w:t>9,795</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8,658</w:t>
            </w:r>
          </w:p>
        </w:tc>
        <w:tc>
          <w:tcPr>
            <w:tcW w:type="dxa" w:w="1440"/>
            <w:shd w:fill="FAFAFA" w:val="clear"/>
          </w:tcPr>
          <w:p>
            <w:r>
              <w:rPr>
                <w:b/>
                <w:sz w:val="17"/>
              </w:rPr>
              <w:t>9,272</w:t>
            </w:r>
          </w:p>
        </w:tc>
        <w:tc>
          <w:tcPr>
            <w:tcW w:type="dxa" w:w="1440"/>
            <w:shd w:fill="FAFAFA" w:val="clear"/>
          </w:tcPr>
          <w:p>
            <w:r>
              <w:rPr>
                <w:sz w:val="17"/>
              </w:rPr>
              <w:t>9,885</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8,544</w:t>
            </w:r>
          </w:p>
        </w:tc>
        <w:tc>
          <w:tcPr>
            <w:tcW w:type="dxa" w:w="1440"/>
            <w:shd w:fill="FAFAFA" w:val="clear"/>
          </w:tcPr>
          <w:p>
            <w:r>
              <w:rPr>
                <w:b/>
                <w:sz w:val="17"/>
              </w:rPr>
              <w:t>9,251</w:t>
            </w:r>
          </w:p>
        </w:tc>
        <w:tc>
          <w:tcPr>
            <w:tcW w:type="dxa" w:w="1440"/>
            <w:shd w:fill="FAFAFA" w:val="clear"/>
          </w:tcPr>
          <w:p>
            <w:r>
              <w:rPr>
                <w:sz w:val="17"/>
              </w:rPr>
              <w:t>9,957</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8,442</w:t>
            </w:r>
          </w:p>
        </w:tc>
        <w:tc>
          <w:tcPr>
            <w:tcW w:type="dxa" w:w="1440"/>
            <w:shd w:fill="FAFAFA" w:val="clear"/>
          </w:tcPr>
          <w:p>
            <w:r>
              <w:rPr>
                <w:b/>
                <w:sz w:val="17"/>
              </w:rPr>
              <w:t>9,230</w:t>
            </w:r>
          </w:p>
        </w:tc>
        <w:tc>
          <w:tcPr>
            <w:tcW w:type="dxa" w:w="1440"/>
            <w:shd w:fill="FAFAFA" w:val="clear"/>
          </w:tcPr>
          <w:p>
            <w:r>
              <w:rPr>
                <w:sz w:val="17"/>
              </w:rPr>
              <w:t>10,019</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8,350</w:t>
            </w:r>
          </w:p>
        </w:tc>
        <w:tc>
          <w:tcPr>
            <w:tcW w:type="dxa" w:w="1440"/>
            <w:shd w:fill="FAFAFA" w:val="clear"/>
          </w:tcPr>
          <w:p>
            <w:r>
              <w:rPr>
                <w:b/>
                <w:sz w:val="17"/>
              </w:rPr>
              <w:t>9,211</w:t>
            </w:r>
          </w:p>
        </w:tc>
        <w:tc>
          <w:tcPr>
            <w:tcW w:type="dxa" w:w="1440"/>
            <w:shd w:fill="FAFAFA" w:val="clear"/>
          </w:tcPr>
          <w:p>
            <w:r>
              <w:rPr>
                <w:sz w:val="17"/>
              </w:rPr>
              <w:t>10,073</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8,264</w:t>
            </w:r>
          </w:p>
        </w:tc>
        <w:tc>
          <w:tcPr>
            <w:tcW w:type="dxa" w:w="1440"/>
            <w:shd w:fill="FAFAFA" w:val="clear"/>
          </w:tcPr>
          <w:p>
            <w:r>
              <w:rPr>
                <w:b/>
                <w:sz w:val="17"/>
              </w:rPr>
              <w:t>9,193</w:t>
            </w:r>
          </w:p>
        </w:tc>
        <w:tc>
          <w:tcPr>
            <w:tcW w:type="dxa" w:w="1440"/>
            <w:shd w:fill="FAFAFA" w:val="clear"/>
          </w:tcPr>
          <w:p>
            <w:r>
              <w:rPr>
                <w:sz w:val="17"/>
              </w:rPr>
              <w:t>10,122</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8,185</w:t>
            </w:r>
          </w:p>
        </w:tc>
        <w:tc>
          <w:tcPr>
            <w:tcW w:type="dxa" w:w="1440"/>
            <w:shd w:fill="FFDCE0" w:val="clear"/>
          </w:tcPr>
          <w:p>
            <w:r>
              <w:rPr>
                <w:b/>
                <w:sz w:val="17"/>
              </w:rPr>
              <w:t>9,176</w:t>
            </w:r>
          </w:p>
        </w:tc>
        <w:tc>
          <w:tcPr>
            <w:tcW w:type="dxa" w:w="1440"/>
            <w:shd w:fill="FFDCE0" w:val="clear"/>
          </w:tcPr>
          <w:p>
            <w:r>
              <w:rPr>
                <w:sz w:val="17"/>
              </w:rPr>
              <w:t>10,168</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8,111</w:t>
            </w:r>
          </w:p>
        </w:tc>
        <w:tc>
          <w:tcPr>
            <w:tcW w:type="dxa" w:w="1440"/>
            <w:shd w:fill="FFDCE0" w:val="clear"/>
          </w:tcPr>
          <w:p>
            <w:r>
              <w:rPr>
                <w:b/>
                <w:sz w:val="17"/>
              </w:rPr>
              <w:t>9,160</w:t>
            </w:r>
          </w:p>
        </w:tc>
        <w:tc>
          <w:tcPr>
            <w:tcW w:type="dxa" w:w="1440"/>
            <w:shd w:fill="FFDCE0" w:val="clear"/>
          </w:tcPr>
          <w:p>
            <w:r>
              <w:rPr>
                <w:sz w:val="17"/>
              </w:rPr>
              <w:t>10,210</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8,040</w:t>
            </w:r>
          </w:p>
        </w:tc>
        <w:tc>
          <w:tcPr>
            <w:tcW w:type="dxa" w:w="1440"/>
            <w:shd w:fill="FFDCE0" w:val="clear"/>
          </w:tcPr>
          <w:p>
            <w:r>
              <w:rPr>
                <w:b/>
                <w:sz w:val="17"/>
              </w:rPr>
              <w:t>9,145</w:t>
            </w:r>
          </w:p>
        </w:tc>
        <w:tc>
          <w:tcPr>
            <w:tcW w:type="dxa" w:w="1440"/>
            <w:shd w:fill="FFDCE0" w:val="clear"/>
          </w:tcPr>
          <w:p>
            <w:r>
              <w:rPr>
                <w:sz w:val="17"/>
              </w:rPr>
              <w:t>10,249</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380,06 milliards FCFA, BOAB se positionne parmi les valeurs bancaires de premier plan de la cote BRVM, ce qui traduit une liquidité et une visibilité institutionnelle certaines. Le BPA de 496 FCFA par action signifie que chaque titre génère près de cinq cents francs de bénéfice net, un niveau appréciable pour le secteur. Le PER de 18,9x constitue toutefois une prime notable par rapport à la moyenne du marché BRVM (généralement située entre 8 et 12x), ce qui indique que les investisseurs anticipent une croissance soutenue des bénéfices et acceptent de payer cher la qualité du dossier. Le P/B de 3,23x confirme cette lecture : le marché valorise la banque à plus de trois fois sa valeur comptable, une prime de croissance qui n'est justifiée que si la rentabilité des fonds propres (ROE de 17,1%) se maintient durablement. Enfin, l'EV/EBITDA de 19,5x, très exigeant (seuil d'alerte &gt;15x), suggère que la valeur d'entreprise intègre déjà une bonne partie du potentiel opérationnel,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 affiche une variation quasi nulle de -0,37%, avec une dernière séance en léger repli de -0,16%, traduisant une phase de consolidation sans direction franche. Le cours actuel de 9 370 FCFA évolue dans un range large de 1 830 FCFA, entre un plus bas de 8 520 FCFA et un plus haut de 10 350 FCFA, ce qui témoigne d'une réelle volatilité intra-période malgré la stabilité globale. La tendance générale est donc stable, avec une légère pression baissière récente, le titre se situant sous sa moyenne de période (9 175 FCFA) mais au-dessus de sa médiane (8 950 FCFA) — cet écart entre moyenne et médiane, couplé à un skewness positif de 0,924, indique une asymétrie à droite : la plupart des séances se sont déroulées sous la moyenne, mais quelques pics haussiers ont tiré la moyenne vers le haut. L'écart-type de 557 FCFA (CV de 6,1%) révèle une dispersion modérée du cours autour de sa tendance, tandis que le kurtosis de -0,560 (mésokurtique) signale une distribution proche de la normale, donc un risque de pics extrêmes relativement contenu. La volatilité annualisée de 28,7% place le titre dans la catégorie des valeurs à volatilité modérée à élevée (seuil &gt;30%), ce qui est cohérent avec un profil bancaire de croissance exposé aux cycles économiques régionaux.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(9 682 FCFA) et la MM50 (9 420 FCFA) se situent toutes deux au-dessus du cours actuel (9 370 FCFA), ce qui place le titre en position de faiblesse relative à court et moyen terme. Toutefois, la MM20 étant supérieure à la MM50, la configuration reste haussière de fond, et la décision fournie est « Achat », suggérant que le repli actuel constitue une opportunité de rebond vers les moyennes.</w:t>
      </w:r>
    </w:p>
    <w:p>
      <w:pPr>
        <w:spacing w:after="120" w:line="276" w:lineRule="auto"/>
      </w:pPr>
      <w:r>
        <w:t>**Bandes de Bollinger** : Le cours (9 370 FCFA) évolue dans la moitié inférieure de la bande, entre la borne inférieure (8 679 FCFA) et la borne supérieure (10 685 FCFA), sans atteindre les extrêmes. Cette position médiane, couplée à une décision « Neutre », indique l'absence de signal directionnel fort : le marché attend un catalyseur pour choisir sa tendance.</w:t>
      </w:r>
    </w:p>
    <w:p>
      <w:pPr>
        <w:spacing w:after="120" w:line="276" w:lineRule="auto"/>
      </w:pPr>
      <w:r>
        <w:t>**MACD** : La valeur du MACD (-95,572) est nettement inférieure à son signal (-49,607), avec un histogramme négatif, ce qui confirme un momentum baissier à court terme. La décision « Vente » reflète cette pression vendeuse persistante, bien que l'écart entre les deux lignes commence à se stabiliser, ce qui pourrait annoncer un essoufflement de la baisse.</w:t>
      </w:r>
    </w:p>
    <w:p>
      <w:pPr>
        <w:spacing w:after="120" w:line="276" w:lineRule="auto"/>
      </w:pPr>
      <w:r>
        <w:t>**RSI** : À 35,932, le RSI se situe dans la zone neutre basse, proche du seuil de survente (30) sans l'atteindre. La décision « Neutre » est cohérente : le titre n'est ni survendu ni suracheté, mais la proximité de la zone de survente suggère qu'un rebond technique pourrait se matérialiser à court terme.</w:t>
      </w:r>
    </w:p>
    <w:p>
      <w:pPr>
        <w:spacing w:after="120" w:line="276" w:lineRule="auto"/>
      </w:pPr>
      <w:r>
        <w:t>**Stochastique** : Le %K (41,135) est inférieur au %D (50,473), configuration baissière classique, mais les deux lignes évoluent en zone médiane, sans croisement imminent ni signal extrême. La décision « Neutre » confirme l'absence de signal fort, le marché étant en phase d'indécision.</w:t>
      </w:r>
    </w:p>
    <w:p>
      <w:pPr>
        <w:spacing w:after="120" w:line="276" w:lineRule="auto"/>
      </w:pPr>
      <w:r>
        <w:t>**Conclusion technique** : Les indicateurs sont majoritairement neutres à baissiers (MACD vendeur, cours sous les moyennes mobiles, RSI bas), mais aucun signal de survente extrême n'est déclenché. La convergence des décisions « Neutre » sur Bollinger, RSI et Stochastique, couplée à la décision « Achat » des moyennes mobiles, dessine un tableau de consolidation avec un biais haussier latent : le titre pourrait rebondir vers 9 682 FCFA (MM20) si le momentum baissier s'essouffle, mais une cassure sous 8 679 FCFA (borne inférieure) invaliderait ce scénario.</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(base brvm_donnees_financieres) révèlent une banque solide et rentable : le Produit Net Bancaire (équivalent du chiffre d'affaires pour une banque) s'établit à 51,274 milliards FCFA, en croissance de 10,2% sur un an, tandis que le résultat net atteint 20,107 milliards FCFA, soit une marge nette remarquable de 39,2%. Le ROE de 17,11% dépasse le seuil d'excellence de 15%, confirmant la capacité de la banque à générer de la valeur pour ses actionnaires, et le ROA de 2,08% traduit une bonne efficacité dans l'utilisation des actifs. Le coefficient d'exploitation de 49,53% est excellent pour le secteur bancaire (&lt;50% = banque très efficace), signe d'une maîtrise rigoureuse des charges. Cependant, le coût du risque rapporté aux charges financières s'élève à 22,50%, un niveau élevé qui signale un risque de crédit significatif et nécessite une surveillance accrue de la qualité du portefeuille. La structure financière affiche une autonomie financière de 12,18% (inférieure au seuil sain de 30%), mais la solvabilité générale (113,87%) et la couverture des intérêts (101,77%) restent satisfaisantes, et la capacité de remboursement de 5,09 années est acceptable. Les dépôts clientèle (711,642 milliards FCFA) couvrent largement les créances clientèle (391,724 milliards FCFA), avec un ratio de transformation de 55%, typique d'une banque prudente. Les rapports narratifs confirment cette dynamique : le rapport du T1 2026 (publié en 2026) fait état d'un PNB en hausse de 11% à 12,329 milliards FCFA, tiré par les commissions (+18,9%) et la marge nette bancaire (+8,5%), avec des dépôts clientèle en progression de 3,5% à 753,7 milliards FCFA. Toutefois, le résultat net ne progresse que de 1% à 4,502 milliards FCFA, traduisant une pression sur les coûts. Sur la base de ce T1 2026, on peut estimer que l'exercice 2026 devrait maintenir une croissance du PNB à deux chiffres, mais la rentabilité nette pourrait rester sous pression si le coût du risque ne se stabilise pas. Le rapport du S1 2025 (daté du 30 juin 2025) indiquait déjà un ROE de 20,3% et un coefficient d'exploitation de 46,1%, confirmant la tendance à l'amélioration de l'efficacité opérationnelle. En synthèse, BOAB présente des fondamentaux solides (ROE élevé, efficacité opérationnelle, croissance du PNB), mais les risques liés au coût du risque et à la faible autonomie financière tempèrent l'enthousiasme. La recommandation fondamentale est de **conserver** le titre, avec un biais positif si la qualité du portefeuille de crédit s'améliore.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dessine un tableau contrasté mais globalement équilibré. Sur le plan de la **valorisation (Partie 0)**, les ratios PER (18,9x), P/B (3,23x) et EV/EBITDA (19,5x) indiquent une surévaluation relative par rapport aux standards du marché BRVM, ce qui limite le potentiel de hausse à court terme et expose le titre à une correction en cas de déception sur les résultats. Le **comportement du cours (Partie 1)** est neutre à légèrement baissier, avec une volatilité modérée (28,7%) et une distribution asymétrique à droite (skewness 0,924) qui suggère que les pics haussiers restent possibles malgré la consolidation actuelle. Les **signaux techniques (Partie 2)** sont mitigés : le MACD est vendeur, le cours évolue sous ses moyennes mobiles, mais le RSI proche de la survente et la décision « Achat » des MM20/MM50 laissent entrevoir un rebond potentiel vers 9 682 FCFA. Les **fondamentaux (Partie 3)** sont solides (ROE 17,1%, coefficient d'exploitation 49,5%, PNB +10,2% en 2025), mais le coût du risque élevé (22,5%) et la faible autonomie financière (12,2%) constituent des points de vigilance. Les **prédictions IA (J+1 à J+10)** anticipent une légère baisse du cours de 9 319 FCFA à 9 230 FCFA, ce qui confirme le biais baissier de court terme sans signaler de rupture majeure. Sur la base de cette synthèse, la recommandation finale est **CONSERVER**, avec un niveau de confiance **Moyen** et un risque global **Moyen**. En effet, la convergence entre une valorisation exigeante, des signaux techniques neutres et des fondamentaux solides mais exposés à des risques de crédit ne justifie ni un achat agressif ni une vente précipitée. L'horizon d'investissement optimal est le **moyen terme (3-12 mois)**, le temps que la banque confirme la stabilisation de son coût du risque et que le marché digère sa prime de valorisation. Un investisseur déjà positionné pourra conserver le titre en surveillant le niveau de support de 8 679 FCFA (borne inférieure de Bollinger), tandis qu'un nouvel entrant attendra un repli vers 8 950 FCFA (médiane) pour améliorer son point d'entrée.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347.60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6,423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+46.03%</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17.91% (Élevée) — μ=6,865 FCFA, σ=1,229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β=0.7537 (Défensif) — Cov=0.000054, Var(idx)=0.000072, ρ=0.283,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7,494</w:t>
            </w:r>
          </w:p>
        </w:tc>
        <w:tc>
          <w:tcPr>
            <w:tcW w:type="dxa" w:w="1440"/>
            <w:shd w:fill="FAFAFA" w:val="clear"/>
          </w:tcPr>
          <w:p>
            <w:r>
              <w:rPr>
                <w:b/>
                <w:sz w:val="17"/>
              </w:rPr>
              <w:t>7,885</w:t>
            </w:r>
          </w:p>
        </w:tc>
        <w:tc>
          <w:tcPr>
            <w:tcW w:type="dxa" w:w="1440"/>
            <w:shd w:fill="FAFAFA" w:val="clear"/>
          </w:tcPr>
          <w:p>
            <w:r>
              <w:rPr>
                <w:sz w:val="17"/>
              </w:rPr>
              <w:t>8,276</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7,321</w:t>
            </w:r>
          </w:p>
        </w:tc>
        <w:tc>
          <w:tcPr>
            <w:tcW w:type="dxa" w:w="1440"/>
            <w:shd w:fill="FAFAFA" w:val="clear"/>
          </w:tcPr>
          <w:p>
            <w:r>
              <w:rPr>
                <w:b/>
                <w:sz w:val="17"/>
              </w:rPr>
              <w:t>7,873</w:t>
            </w:r>
          </w:p>
        </w:tc>
        <w:tc>
          <w:tcPr>
            <w:tcW w:type="dxa" w:w="1440"/>
            <w:shd w:fill="FAFAFA" w:val="clear"/>
          </w:tcPr>
          <w:p>
            <w:r>
              <w:rPr>
                <w:sz w:val="17"/>
              </w:rPr>
              <w:t>8,426</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7,188</w:t>
            </w:r>
          </w:p>
        </w:tc>
        <w:tc>
          <w:tcPr>
            <w:tcW w:type="dxa" w:w="1440"/>
            <w:shd w:fill="FAFAFA" w:val="clear"/>
          </w:tcPr>
          <w:p>
            <w:r>
              <w:rPr>
                <w:b/>
                <w:sz w:val="17"/>
              </w:rPr>
              <w:t>7,863</w:t>
            </w:r>
          </w:p>
        </w:tc>
        <w:tc>
          <w:tcPr>
            <w:tcW w:type="dxa" w:w="1440"/>
            <w:shd w:fill="FAFAFA" w:val="clear"/>
          </w:tcPr>
          <w:p>
            <w:r>
              <w:rPr>
                <w:sz w:val="17"/>
              </w:rPr>
              <w:t>8,538</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7,071</w:t>
            </w:r>
          </w:p>
        </w:tc>
        <w:tc>
          <w:tcPr>
            <w:tcW w:type="dxa" w:w="1440"/>
            <w:shd w:fill="FAFAFA" w:val="clear"/>
          </w:tcPr>
          <w:p>
            <w:r>
              <w:rPr>
                <w:b/>
                <w:sz w:val="17"/>
              </w:rPr>
              <w:t>7,850</w:t>
            </w:r>
          </w:p>
        </w:tc>
        <w:tc>
          <w:tcPr>
            <w:tcW w:type="dxa" w:w="1440"/>
            <w:shd w:fill="FAFAFA" w:val="clear"/>
          </w:tcPr>
          <w:p>
            <w:r>
              <w:rPr>
                <w:sz w:val="17"/>
              </w:rPr>
              <w:t>8,628</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6,965</w:t>
            </w:r>
          </w:p>
        </w:tc>
        <w:tc>
          <w:tcPr>
            <w:tcW w:type="dxa" w:w="1440"/>
            <w:shd w:fill="FAFAFA" w:val="clear"/>
          </w:tcPr>
          <w:p>
            <w:r>
              <w:rPr>
                <w:b/>
                <w:sz w:val="17"/>
              </w:rPr>
              <w:t>7,834</w:t>
            </w:r>
          </w:p>
        </w:tc>
        <w:tc>
          <w:tcPr>
            <w:tcW w:type="dxa" w:w="1440"/>
            <w:shd w:fill="FAFAFA" w:val="clear"/>
          </w:tcPr>
          <w:p>
            <w:r>
              <w:rPr>
                <w:sz w:val="17"/>
              </w:rPr>
              <w:t>8,702</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6,868</w:t>
            </w:r>
          </w:p>
        </w:tc>
        <w:tc>
          <w:tcPr>
            <w:tcW w:type="dxa" w:w="1440"/>
            <w:shd w:fill="FAFAFA" w:val="clear"/>
          </w:tcPr>
          <w:p>
            <w:r>
              <w:rPr>
                <w:b/>
                <w:sz w:val="17"/>
              </w:rPr>
              <w:t>7,818</w:t>
            </w:r>
          </w:p>
        </w:tc>
        <w:tc>
          <w:tcPr>
            <w:tcW w:type="dxa" w:w="1440"/>
            <w:shd w:fill="FAFAFA" w:val="clear"/>
          </w:tcPr>
          <w:p>
            <w:r>
              <w:rPr>
                <w:sz w:val="17"/>
              </w:rPr>
              <w:t>8,767</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6,778</w:t>
            </w:r>
          </w:p>
        </w:tc>
        <w:tc>
          <w:tcPr>
            <w:tcW w:type="dxa" w:w="1440"/>
            <w:shd w:fill="FAFAFA" w:val="clear"/>
          </w:tcPr>
          <w:p>
            <w:r>
              <w:rPr>
                <w:b/>
                <w:sz w:val="17"/>
              </w:rPr>
              <w:t>7,801</w:t>
            </w:r>
          </w:p>
        </w:tc>
        <w:tc>
          <w:tcPr>
            <w:tcW w:type="dxa" w:w="1440"/>
            <w:shd w:fill="FAFAFA" w:val="clear"/>
          </w:tcPr>
          <w:p>
            <w:r>
              <w:rPr>
                <w:sz w:val="17"/>
              </w:rPr>
              <w:t>8,825</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6,694</w:t>
            </w:r>
          </w:p>
        </w:tc>
        <w:tc>
          <w:tcPr>
            <w:tcW w:type="dxa" w:w="1440"/>
            <w:shd w:fill="FAFAFA" w:val="clear"/>
          </w:tcPr>
          <w:p>
            <w:r>
              <w:rPr>
                <w:b/>
                <w:sz w:val="17"/>
              </w:rPr>
              <w:t>7,785</w:t>
            </w:r>
          </w:p>
        </w:tc>
        <w:tc>
          <w:tcPr>
            <w:tcW w:type="dxa" w:w="1440"/>
            <w:shd w:fill="FAFAFA" w:val="clear"/>
          </w:tcPr>
          <w:p>
            <w:r>
              <w:rPr>
                <w:sz w:val="17"/>
              </w:rPr>
              <w:t>8,877</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6,614</w:t>
            </w:r>
          </w:p>
        </w:tc>
        <w:tc>
          <w:tcPr>
            <w:tcW w:type="dxa" w:w="1440"/>
            <w:shd w:fill="FAFAFA" w:val="clear"/>
          </w:tcPr>
          <w:p>
            <w:r>
              <w:rPr>
                <w:b/>
                <w:sz w:val="17"/>
              </w:rPr>
              <w:t>7,770</w:t>
            </w:r>
          </w:p>
        </w:tc>
        <w:tc>
          <w:tcPr>
            <w:tcW w:type="dxa" w:w="1440"/>
            <w:shd w:fill="FAFAFA" w:val="clear"/>
          </w:tcPr>
          <w:p>
            <w:r>
              <w:rPr>
                <w:sz w:val="17"/>
              </w:rPr>
              <w:t>8,925</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6,539</w:t>
            </w:r>
          </w:p>
        </w:tc>
        <w:tc>
          <w:tcPr>
            <w:tcW w:type="dxa" w:w="1440"/>
            <w:shd w:fill="FAFAFA" w:val="clear"/>
          </w:tcPr>
          <w:p>
            <w:r>
              <w:rPr>
                <w:b/>
                <w:sz w:val="17"/>
              </w:rPr>
              <w:t>7,755</w:t>
            </w:r>
          </w:p>
        </w:tc>
        <w:tc>
          <w:tcPr>
            <w:tcW w:type="dxa" w:w="1440"/>
            <w:shd w:fill="FAFAFA" w:val="clear"/>
          </w:tcPr>
          <w:p>
            <w:r>
              <w:rPr>
                <w:sz w:val="17"/>
              </w:rPr>
              <w:t>8,970</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347,60 milliards FCFA, BOABF s'impose comme l'une des valeurs bancaires de référence de la cote BRVM, témoignant d'une liquidité et d'une profondeur de marché appréciables pour la zone UEMOA. Le BPA de 438 FCFA par action signifie que chaque titre génère près de 438 FCFA de bénéfice net, un niveau de rentabilité unitaire solide. Le PER de 18,1x se situe nettement au-dessus de la moyenne du marché BRVM (généralement comprise entre 8 et 12x), ce qui indique que les investisseurs paient une prime significative pour les bénéfices de la banque — une valorisation exigeante qui intègre les anticipations de redressement de la rentabilité. Le P/B de 2,75x confirme cette prime de croissance : le marché valorise la banque à près de trois fois sa valeur comptable, reflétant la confiance dans la qualité de ses fonds propres et sa capacité bénéficiaire future. Enfin, l'EV/EBITDA de 7,9x, dans la fourchette raisonnable de 5-10x, suggère que la valeur d'entreprise reste cohérente avec la capacité opérationnelle de génération de résultats, offrant un contrepoint modérateur à la cherté apparente du PER.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enregistré une progression spectaculaire de +46,03%, passant d'un plus bas de 5 300 FCFA à un plus haut de 9 090 FCFA, avant de se replier légèrement pour clôturer à 7 900 FCFA, avec une variation de -1,25% sur la dernière séance. Ce range de trading de près de 3 800 FCFA illustre une dynamique haussière puissante, bien que le cours actuel se situe à environ 13% sous son sommet, signalant une phase de consolidation après le rallye. La moyenne de 6 865 FCFA et la médiane de 7 100 FCFA sont proches, mais l'écart de 235 FCFA suggère une légère asymétrie positive, cohérente avec le skewness de 0,306 qui indique une distribution quasi-symétrique avec une queue droite légèrement plus épaisse — les gains extrêmes ont été plus fréquents que les pertes extrêmes. L'écart-type de 1 236 FCFA (CV de 18,0%) traduit une dispersion modérée du cours autour de sa moyenne, tandis que le kurtosis de -1,235 (distribution platykurtique) indique une faible concentration des rendements autour de la moyenne, avec un risque de pics de volatilité moins prononcé qu'une distribution normale. La volatilité annualisée de 35,9% classe le titre dans la catégorie des valeurs à volatilité élevée (&gt;30%), ce qui est typique des petites et moyennes capitalisations bancaires de la BRVM et implique un risque de marché non négligeable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8 260,75 FCFA et la MM50 à 7 918,50 FCFA, toutes deux supérieures au cours actuel de 7 900 FCFA. Le cours évolue donc sous ses deux moyennes mobiles, ce qui constitue un signal baissier de court terme, bien que la MM20 reste au-dessus de la MM50, préservant une configuration haussière de fond. La décision fournie est "Achat", probablement basée sur le croisement haussier des moyennes et la tendance de fond, mais la position actuelle du cours sous la MM20 invite à la prudence.</w:t>
      </w:r>
    </w:p>
    <w:p>
      <w:pPr>
        <w:spacing w:after="120" w:line="276" w:lineRule="auto"/>
      </w:pPr>
      <w:r>
        <w:t>**Bandes de Bollinger** : La borne supérieure se situe à 9 291,14 FCFA et la borne inférieure à 7 230,36 FCFA, avec un cours actuel de 7 900 FCFA qui évolue dans la partie basse de la bande (environ 25% de la largeur). Cette position suggère que le titre se rapproche de la zone de survente relative, sans l'atteindre, ce qui justifie la décision "Neutre" — le potentiel de rebond existe mais n'est pas encore confirmé. La largeur des bandes (environ 2 060 FCFA) reflète la volatilité élevée du titre.</w:t>
      </w:r>
    </w:p>
    <w:p>
      <w:pPr>
        <w:spacing w:after="120" w:line="276" w:lineRule="auto"/>
      </w:pPr>
      <w:r>
        <w:t>**MACD** : La valeur du MACD est de -23,679 contre un signal à 28,307, soit une divergence négative marquée de plus de 50 points. Le MACD sous son signal indique un momentum baissier en cours, et la décision "Vente" est cohérente avec cette configuration. Cette divergence suggère que la pression vendeuse pourrait persister à court terme avant un éventuel retournement.</w:t>
      </w:r>
    </w:p>
    <w:p>
      <w:pPr>
        <w:spacing w:after="120" w:line="276" w:lineRule="auto"/>
      </w:pPr>
      <w:r>
        <w:t>**RSI** : À 34,733, le RSI se situe dans la zone neutre basse (30-70), sans atteindre le seuil de survente de 30. La décision "Neutre" est appropriée : le titre n'est ni suracheté ni survendu, mais la proximité de la zone de survente (30) indique que la pression baissière s'atténue progressivement et qu'un rebond technique pourrait se dessiner.</w:t>
      </w:r>
    </w:p>
    <w:p>
      <w:pPr>
        <w:spacing w:after="120" w:line="276" w:lineRule="auto"/>
      </w:pPr>
      <w:r>
        <w:t>**Stochastique** : Le %K (45,662) et le %D (47,377) évoluent tous deux en zone neutre, avec un %K légèrement inférieur au %D, ce qui constitue un signal baissier marginal (croisement potentiel à la baisse). La décision "Neutre" reflète l'absence de signal directionnel fort, mais la configuration actuelle suggère une consolidation en cours.</w:t>
      </w:r>
    </w:p>
    <w:p>
      <w:pPr>
        <w:spacing w:after="120" w:line="276" w:lineRule="auto"/>
      </w:pPr>
      <w:r>
        <w:t>**Conclusion technique** : Les indicateurs techniques présentent un tableau mitigé, avec une majorité de signaux neutres (Bollinger, RSI, Stochastique) et un signal baissier clair du MACD, tandis que les moyennes mobiles conservent une orientation haussière de fond. Le cours évolue sous sa MM20 mais au-dessus de sa MM50, dans la partie basse des bandes de Bollinger, avec un RSI proche de la survente — configuration typique d'une phase de consolidation après un rallye, qui pourrait précéder soit un rebond technique, soit une correction plus profonde. La divergence entre le signal "Achat" des moyennes mobiles et le signal "Vente" du MACD appelle à la prudence et suggère d'attendre une confirmation de retournement avant toute décision d'investissement.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BOABF a réalisé un Produit Net Bancaire (PNB) de 57 820 millions FCFA, quasi stable par rapport à 2024 (+0,6%), tandis que le résultat net a reculé de -14,1% à 19 252 millions FCFA, principalement en raison d'un coût du risque qui a quasiment doublé (8 355 millions FCFA contre 4 303 millions en 2024). Le ROE de 15,22% demeure excellent (&gt;15%), témoignant d'une rentabilité des fonds propres solide malgré la pression sur les résultats, et le ROA de 1,68% reste correct pour une banque. Le coefficient d'exploitation de 47,19% est excellent (&lt;50%), confirmant l'efficacité opérationnelle de la banque, tandis que le ratio de couverture des intérêts de 90,05% et la capacité de remboursement de 5,79 années traduisent une structure financière saine. Le ratio dépôts/crédits (877 822 / 474 064 = 1,85x) indique une surliquidité structurelle, avec des dépôts clientèle en progression de +7,9% en 2025, mais une contraction des créances clientèle de -19,3%, signe d'une prudence accrue dans l'octroi de crédits. Les rapports trimestriels récents (T1 2026 et S1 2026, datés du 31/03/2026 et 30/06/2026) révèlent une amélioration notable de la rentabilité : le résultat net du S1 2026 bondit de +31,0% à 10 770 millions FCFA, porté par une réduction de -65,2% du coût du risque (2 396 millions contre 6 876 millions au S1 2025), bien que le PNB recule de -5,2% à 27 539 millions FCFA. Le T1 2026, pris isolément, était plus faible (PNB -10,75%, résultat net -12,99%), mais le S1 2026 marque un net redressement grâce à la normalisation du risque. On estime donc que l'exercice 2026 devrait bénéficier d'un effet de base favorable sur le coût du risque, avec un résultat net potentiellement en hausse significative si la tendance du S1 se confirme, même si la dynamique commerciale (PNB en repli) reste le principal point de vigilance. La recommandation fondamentale est de **CONSERVER** : la solidité financière, l'excellence opérationnelle et l'amélioration de la rentabilité à court terme sont des atouts, mais la stagnation du PNB et les risques sécuritaires au Burkina Faso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apparaît exigeante avec un PER de 18,1x (bien au-dessus de la moyenne BRVM de 8-12x) et un P/B de 2,75x, ce qui intègre déjà une prime de croissance significative et limite le potentiel de réévaluation à court terme, bien que l'EV/EBITDA de 7,9x reste raisonnable. Le comportement du cours sur 100 jours est haussier (+46,03%) mais le titre se situe désormais sous sa MM20 et proche de la borne inférieure des bandes de Bollinger, avec une volatilité élevée (35,9%) et une distribution platykurtique (kurtosis -1,235) qui suggère un risque de pics modéré mais une dispersion importante des rendements. Les signaux techniques sont mitigés : les moyennes mobiles restent haussières de fond (MM20 &gt; MM50), mais le MACD est baissier et le RSI proche de la survente, créant une divergence qui appelle à la prudence. Les fondamentaux sont solides (ROE de 15,22%, coefficient d'exploitation de 47,19%, capacité de remboursement de 5,79 ans) et les rapports récents (S1 2026) montrent une amélioration de la rentabilité (+31,0% de résultat net), mais la stagnation du PNB et les risques sécuritaires au Burkina Faso constituent des freins. Les prédictions IA pour les 10 prochains jours (7 885 FCFA le 06/10/2026, puis 7 834 FCFA le 12/10/2026) anticipent une légère poursuite de la baisse, ce qui confirme le signal baissier du MACD et la position du cours sous la MM20. Sur la base de cette synthèse, la recommandation finale est **CONSERVER**, avec un niveau de confiance **Moyen** et un risque global **Moyen**. En effet, la convergence entre la valorisation exigeante, les signaux techniques mitigés (MACD baissier, cours sous MM20) et les prédictions IA baissières à court terme plaide contre un achat immédiat, tandis que la solidité fondamentale et l'amélioration de la rentabilité au S1 2026 justifient de ne pas vendre. L'horizon d'investissement optimal est le **moyen terme (3-12 mois)**, en attendant une confirmation de la reprise de la dynamique commerciale (PNB) et un retournement technique haussier (cours au-dessus de la MM20 et MACD au-dessus de son signal) pour envisager un renforcement de la position.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452.00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10,842 titres</w:t>
            </w:r>
          </w:p>
        </w:tc>
        <w:tc>
          <w:tcPr>
            <w:tcW w:type="dxa" w:w="2268"/>
            <w:shd w:fill="FFF2CC" w:val="clear"/>
          </w:tcPr>
          <w:p>
            <w:r>
              <w:rPr>
                <w:b/>
                <w:color w:val="503200"/>
                <w:sz w:val="16"/>
              </w:rPr>
              <w:t xml:space="preserve">Cours actuel : </w:t>
            </w:r>
            <w:r>
              <w:rPr>
                <w:color w:val="000000"/>
                <w:sz w:val="17"/>
              </w:rPr>
              <w:t>11,300 FCFA</w:t>
            </w:r>
          </w:p>
          <w:p>
            <w:r>
              <w:rPr>
                <w:b/>
                <w:color w:val="503200"/>
                <w:sz w:val="16"/>
              </w:rPr>
              <w:t xml:space="preserve">Var. 100 jours : </w:t>
            </w:r>
            <w:r>
              <w:rPr>
                <w:b/>
                <w:color w:val="007800"/>
                <w:sz w:val="17"/>
              </w:rPr>
              <w:t>+30.64%</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14.74% (Moyenne) — μ=10,556 FCFA, σ=1,556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β=0.7556 (Défensif) — Cov=0.000054, Var(idx)=0.000072, ρ=0.364,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10,842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11,028</w:t>
            </w:r>
          </w:p>
        </w:tc>
        <w:tc>
          <w:tcPr>
            <w:tcW w:type="dxa" w:w="1440"/>
            <w:shd w:fill="FAFAFA" w:val="clear"/>
          </w:tcPr>
          <w:p>
            <w:r>
              <w:rPr>
                <w:b/>
                <w:sz w:val="17"/>
              </w:rPr>
              <w:t>11,361</w:t>
            </w:r>
          </w:p>
        </w:tc>
        <w:tc>
          <w:tcPr>
            <w:tcW w:type="dxa" w:w="1440"/>
            <w:shd w:fill="FAFAFA" w:val="clear"/>
          </w:tcPr>
          <w:p>
            <w:r>
              <w:rPr>
                <w:sz w:val="17"/>
              </w:rPr>
              <w:t>11,694</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10,885</w:t>
            </w:r>
          </w:p>
        </w:tc>
        <w:tc>
          <w:tcPr>
            <w:tcW w:type="dxa" w:w="1440"/>
            <w:shd w:fill="FAFAFA" w:val="clear"/>
          </w:tcPr>
          <w:p>
            <w:r>
              <w:rPr>
                <w:b/>
                <w:sz w:val="17"/>
              </w:rPr>
              <w:t>11,356</w:t>
            </w:r>
          </w:p>
        </w:tc>
        <w:tc>
          <w:tcPr>
            <w:tcW w:type="dxa" w:w="1440"/>
            <w:shd w:fill="FAFAFA" w:val="clear"/>
          </w:tcPr>
          <w:p>
            <w:r>
              <w:rPr>
                <w:sz w:val="17"/>
              </w:rPr>
              <w:t>11,826</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10,792</w:t>
            </w:r>
          </w:p>
        </w:tc>
        <w:tc>
          <w:tcPr>
            <w:tcW w:type="dxa" w:w="1440"/>
            <w:shd w:fill="FAFAFA" w:val="clear"/>
          </w:tcPr>
          <w:p>
            <w:r>
              <w:rPr>
                <w:b/>
                <w:sz w:val="17"/>
              </w:rPr>
              <w:t>11,369</w:t>
            </w:r>
          </w:p>
        </w:tc>
        <w:tc>
          <w:tcPr>
            <w:tcW w:type="dxa" w:w="1440"/>
            <w:shd w:fill="FAFAFA" w:val="clear"/>
          </w:tcPr>
          <w:p>
            <w:r>
              <w:rPr>
                <w:sz w:val="17"/>
              </w:rPr>
              <w:t>11,946</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2026-10-09</w:t>
            </w:r>
          </w:p>
        </w:tc>
        <w:tc>
          <w:tcPr>
            <w:tcW w:type="dxa" w:w="1440"/>
            <w:shd w:fill="FAFAFA" w:val="clear"/>
          </w:tcPr>
          <w:p>
            <w:r>
              <w:rPr>
                <w:sz w:val="17"/>
              </w:rPr>
              <w:t>10,717</w:t>
            </w:r>
          </w:p>
        </w:tc>
        <w:tc>
          <w:tcPr>
            <w:tcW w:type="dxa" w:w="1440"/>
            <w:shd w:fill="FAFAFA" w:val="clear"/>
          </w:tcPr>
          <w:p>
            <w:r>
              <w:rPr>
                <w:b/>
                <w:sz w:val="17"/>
              </w:rPr>
              <w:t>11,384</w:t>
            </w:r>
          </w:p>
        </w:tc>
        <w:tc>
          <w:tcPr>
            <w:tcW w:type="dxa" w:w="1440"/>
            <w:shd w:fill="FAFAFA" w:val="clear"/>
          </w:tcPr>
          <w:p>
            <w:r>
              <w:rPr>
                <w:sz w:val="17"/>
              </w:rPr>
              <w:t>12,051</w:t>
            </w:r>
          </w:p>
        </w:tc>
        <w:tc>
          <w:tcPr>
            <w:tcW w:type="dxa" w:w="1440"/>
            <w:shd w:fill="FAFAFA" w:val="clear"/>
          </w:tcPr>
          <w:p>
            <w:r>
              <w:rPr>
                <w:b/>
                <w:color w:val="008000"/>
                <w:sz w:val="17"/>
              </w:rPr>
              <w:t>+0.7%</w:t>
            </w:r>
          </w:p>
        </w:tc>
      </w:tr>
      <w:tr>
        <w:tc>
          <w:tcPr>
            <w:tcW w:type="dxa" w:w="1440"/>
            <w:shd w:fill="FAFAFA" w:val="clear"/>
          </w:tcPr>
          <w:p>
            <w:r>
              <w:rPr>
                <w:sz w:val="17"/>
              </w:rPr>
              <w:t>J+5  Moyenne</w:t>
            </w:r>
          </w:p>
        </w:tc>
        <w:tc>
          <w:tcPr>
            <w:tcW w:type="dxa" w:w="1440"/>
            <w:shd w:fill="FAFAFA" w:val="clear"/>
          </w:tcPr>
          <w:p>
            <w:r>
              <w:rPr>
                <w:sz w:val="17"/>
              </w:rPr>
              <w:t>2026-10-12</w:t>
            </w:r>
          </w:p>
        </w:tc>
        <w:tc>
          <w:tcPr>
            <w:tcW w:type="dxa" w:w="1440"/>
            <w:shd w:fill="FAFAFA" w:val="clear"/>
          </w:tcPr>
          <w:p>
            <w:r>
              <w:rPr>
                <w:sz w:val="17"/>
              </w:rPr>
              <w:t>10,653</w:t>
            </w:r>
          </w:p>
        </w:tc>
        <w:tc>
          <w:tcPr>
            <w:tcW w:type="dxa" w:w="1440"/>
            <w:shd w:fill="FAFAFA" w:val="clear"/>
          </w:tcPr>
          <w:p>
            <w:r>
              <w:rPr>
                <w:b/>
                <w:sz w:val="17"/>
              </w:rPr>
              <w:t>11,399</w:t>
            </w:r>
          </w:p>
        </w:tc>
        <w:tc>
          <w:tcPr>
            <w:tcW w:type="dxa" w:w="1440"/>
            <w:shd w:fill="FAFAFA" w:val="clear"/>
          </w:tcPr>
          <w:p>
            <w:r>
              <w:rPr>
                <w:sz w:val="17"/>
              </w:rPr>
              <w:t>12,146</w:t>
            </w:r>
          </w:p>
        </w:tc>
        <w:tc>
          <w:tcPr>
            <w:tcW w:type="dxa" w:w="1440"/>
            <w:shd w:fill="FAFAFA" w:val="clear"/>
          </w:tcPr>
          <w:p>
            <w:r>
              <w:rPr>
                <w:b/>
                <w:color w:val="008000"/>
                <w:sz w:val="17"/>
              </w:rPr>
              <w:t>+0.9%</w:t>
            </w:r>
          </w:p>
        </w:tc>
      </w:tr>
      <w:tr>
        <w:tc>
          <w:tcPr>
            <w:tcW w:type="dxa" w:w="1440"/>
            <w:shd w:fill="FAFAFA" w:val="clear"/>
          </w:tcPr>
          <w:p>
            <w:r>
              <w:rPr>
                <w:sz w:val="17"/>
              </w:rPr>
              <w:t>J+6  Moyenne</w:t>
            </w:r>
          </w:p>
        </w:tc>
        <w:tc>
          <w:tcPr>
            <w:tcW w:type="dxa" w:w="1440"/>
            <w:shd w:fill="FAFAFA" w:val="clear"/>
          </w:tcPr>
          <w:p>
            <w:r>
              <w:rPr>
                <w:sz w:val="17"/>
              </w:rPr>
              <w:t>2026-10-13</w:t>
            </w:r>
          </w:p>
        </w:tc>
        <w:tc>
          <w:tcPr>
            <w:tcW w:type="dxa" w:w="1440"/>
            <w:shd w:fill="FAFAFA" w:val="clear"/>
          </w:tcPr>
          <w:p>
            <w:r>
              <w:rPr>
                <w:sz w:val="17"/>
              </w:rPr>
              <w:t>10,596</w:t>
            </w:r>
          </w:p>
        </w:tc>
        <w:tc>
          <w:tcPr>
            <w:tcW w:type="dxa" w:w="1440"/>
            <w:shd w:fill="FAFAFA" w:val="clear"/>
          </w:tcPr>
          <w:p>
            <w:r>
              <w:rPr>
                <w:b/>
                <w:sz w:val="17"/>
              </w:rPr>
              <w:t>11,415</w:t>
            </w:r>
          </w:p>
        </w:tc>
        <w:tc>
          <w:tcPr>
            <w:tcW w:type="dxa" w:w="1440"/>
            <w:shd w:fill="FAFAFA" w:val="clear"/>
          </w:tcPr>
          <w:p>
            <w:r>
              <w:rPr>
                <w:sz w:val="17"/>
              </w:rPr>
              <w:t>12,233</w:t>
            </w:r>
          </w:p>
        </w:tc>
        <w:tc>
          <w:tcPr>
            <w:tcW w:type="dxa" w:w="1440"/>
            <w:shd w:fill="FAFAFA" w:val="clear"/>
          </w:tcPr>
          <w:p>
            <w:r>
              <w:rPr>
                <w:b/>
                <w:color w:val="008000"/>
                <w:sz w:val="17"/>
              </w:rPr>
              <w:t>+1.0%</w:t>
            </w:r>
          </w:p>
        </w:tc>
      </w:tr>
      <w:tr>
        <w:tc>
          <w:tcPr>
            <w:tcW w:type="dxa" w:w="1440"/>
            <w:shd w:fill="FAFAFA" w:val="clear"/>
          </w:tcPr>
          <w:p>
            <w:r>
              <w:rPr>
                <w:sz w:val="17"/>
              </w:rPr>
              <w:t>J+7  Moyenne</w:t>
            </w:r>
          </w:p>
        </w:tc>
        <w:tc>
          <w:tcPr>
            <w:tcW w:type="dxa" w:w="1440"/>
            <w:shd w:fill="FAFAFA" w:val="clear"/>
          </w:tcPr>
          <w:p>
            <w:r>
              <w:rPr>
                <w:sz w:val="17"/>
              </w:rPr>
              <w:t>2026-10-14</w:t>
            </w:r>
          </w:p>
        </w:tc>
        <w:tc>
          <w:tcPr>
            <w:tcW w:type="dxa" w:w="1440"/>
            <w:shd w:fill="FAFAFA" w:val="clear"/>
          </w:tcPr>
          <w:p>
            <w:r>
              <w:rPr>
                <w:sz w:val="17"/>
              </w:rPr>
              <w:t>10,544</w:t>
            </w:r>
          </w:p>
        </w:tc>
        <w:tc>
          <w:tcPr>
            <w:tcW w:type="dxa" w:w="1440"/>
            <w:shd w:fill="FAFAFA" w:val="clear"/>
          </w:tcPr>
          <w:p>
            <w:r>
              <w:rPr>
                <w:b/>
                <w:sz w:val="17"/>
              </w:rPr>
              <w:t>11,429</w:t>
            </w:r>
          </w:p>
        </w:tc>
        <w:tc>
          <w:tcPr>
            <w:tcW w:type="dxa" w:w="1440"/>
            <w:shd w:fill="FAFAFA" w:val="clear"/>
          </w:tcPr>
          <w:p>
            <w:r>
              <w:rPr>
                <w:sz w:val="17"/>
              </w:rPr>
              <w:t>12,315</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2026-10-15</w:t>
            </w:r>
          </w:p>
        </w:tc>
        <w:tc>
          <w:tcPr>
            <w:tcW w:type="dxa" w:w="1440"/>
            <w:shd w:fill="FAFAFA" w:val="clear"/>
          </w:tcPr>
          <w:p>
            <w:r>
              <w:rPr>
                <w:sz w:val="17"/>
              </w:rPr>
              <w:t>10,495</w:t>
            </w:r>
          </w:p>
        </w:tc>
        <w:tc>
          <w:tcPr>
            <w:tcW w:type="dxa" w:w="1440"/>
            <w:shd w:fill="FAFAFA" w:val="clear"/>
          </w:tcPr>
          <w:p>
            <w:r>
              <w:rPr>
                <w:b/>
                <w:sz w:val="17"/>
              </w:rPr>
              <w:t>11,443</w:t>
            </w:r>
          </w:p>
        </w:tc>
        <w:tc>
          <w:tcPr>
            <w:tcW w:type="dxa" w:w="1440"/>
            <w:shd w:fill="FAFAFA" w:val="clear"/>
          </w:tcPr>
          <w:p>
            <w:r>
              <w:rPr>
                <w:sz w:val="17"/>
              </w:rPr>
              <w:t>12,391</w:t>
            </w:r>
          </w:p>
        </w:tc>
        <w:tc>
          <w:tcPr>
            <w:tcW w:type="dxa" w:w="1440"/>
            <w:shd w:fill="FAFAFA" w:val="clear"/>
          </w:tcPr>
          <w:p>
            <w:r>
              <w:rPr>
                <w:b/>
                <w:color w:val="008000"/>
                <w:sz w:val="17"/>
              </w:rPr>
              <w:t>+1.3%</w:t>
            </w:r>
          </w:p>
        </w:tc>
      </w:tr>
      <w:tr>
        <w:tc>
          <w:tcPr>
            <w:tcW w:type="dxa" w:w="1440"/>
            <w:shd w:fill="FAFAFA" w:val="clear"/>
          </w:tcPr>
          <w:p>
            <w:r>
              <w:rPr>
                <w:sz w:val="17"/>
              </w:rPr>
              <w:t>J+9  Moyenne</w:t>
            </w:r>
          </w:p>
        </w:tc>
        <w:tc>
          <w:tcPr>
            <w:tcW w:type="dxa" w:w="1440"/>
            <w:shd w:fill="FAFAFA" w:val="clear"/>
          </w:tcPr>
          <w:p>
            <w:r>
              <w:rPr>
                <w:sz w:val="17"/>
              </w:rPr>
              <w:t>2026-10-16</w:t>
            </w:r>
          </w:p>
        </w:tc>
        <w:tc>
          <w:tcPr>
            <w:tcW w:type="dxa" w:w="1440"/>
            <w:shd w:fill="FAFAFA" w:val="clear"/>
          </w:tcPr>
          <w:p>
            <w:r>
              <w:rPr>
                <w:sz w:val="17"/>
              </w:rPr>
              <w:t>10,450</w:t>
            </w:r>
          </w:p>
        </w:tc>
        <w:tc>
          <w:tcPr>
            <w:tcW w:type="dxa" w:w="1440"/>
            <w:shd w:fill="FAFAFA" w:val="clear"/>
          </w:tcPr>
          <w:p>
            <w:r>
              <w:rPr>
                <w:b/>
                <w:sz w:val="17"/>
              </w:rPr>
              <w:t>11,457</w:t>
            </w:r>
          </w:p>
        </w:tc>
        <w:tc>
          <w:tcPr>
            <w:tcW w:type="dxa" w:w="1440"/>
            <w:shd w:fill="FAFAFA" w:val="clear"/>
          </w:tcPr>
          <w:p>
            <w:r>
              <w:rPr>
                <w:sz w:val="17"/>
              </w:rPr>
              <w:t>12,463</w:t>
            </w:r>
          </w:p>
        </w:tc>
        <w:tc>
          <w:tcPr>
            <w:tcW w:type="dxa" w:w="1440"/>
            <w:shd w:fill="FAFAFA" w:val="clear"/>
          </w:tcPr>
          <w:p>
            <w:r>
              <w:rPr>
                <w:b/>
                <w:color w:val="008000"/>
                <w:sz w:val="17"/>
              </w:rPr>
              <w:t>+1.4%</w:t>
            </w:r>
          </w:p>
        </w:tc>
      </w:tr>
      <w:tr>
        <w:tc>
          <w:tcPr>
            <w:tcW w:type="dxa" w:w="1440"/>
            <w:shd w:fill="FAFAFA" w:val="clear"/>
          </w:tcPr>
          <w:p>
            <w:r>
              <w:rPr>
                <w:sz w:val="17"/>
              </w:rPr>
              <w:t>J+10  Moyenne</w:t>
            </w:r>
          </w:p>
        </w:tc>
        <w:tc>
          <w:tcPr>
            <w:tcW w:type="dxa" w:w="1440"/>
            <w:shd w:fill="FAFAFA" w:val="clear"/>
          </w:tcPr>
          <w:p>
            <w:r>
              <w:rPr>
                <w:sz w:val="17"/>
              </w:rPr>
              <w:t>2026-10-19</w:t>
            </w:r>
          </w:p>
        </w:tc>
        <w:tc>
          <w:tcPr>
            <w:tcW w:type="dxa" w:w="1440"/>
            <w:shd w:fill="FAFAFA" w:val="clear"/>
          </w:tcPr>
          <w:p>
            <w:r>
              <w:rPr>
                <w:sz w:val="17"/>
              </w:rPr>
              <w:t>10,408</w:t>
            </w:r>
          </w:p>
        </w:tc>
        <w:tc>
          <w:tcPr>
            <w:tcW w:type="dxa" w:w="1440"/>
            <w:shd w:fill="FAFAFA" w:val="clear"/>
          </w:tcPr>
          <w:p>
            <w:r>
              <w:rPr>
                <w:b/>
                <w:sz w:val="17"/>
              </w:rPr>
              <w:t>11,470</w:t>
            </w:r>
          </w:p>
        </w:tc>
        <w:tc>
          <w:tcPr>
            <w:tcW w:type="dxa" w:w="1440"/>
            <w:shd w:fill="FAFAFA" w:val="clear"/>
          </w:tcPr>
          <w:p>
            <w:r>
              <w:rPr>
                <w:sz w:val="17"/>
              </w:rPr>
              <w:t>12,532</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 CÔTE D'IVOIRE (BOAC)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452,00 milliards FCFA, BOAC s'impose comme l'une des valeurs bancaires les plus significatives de la cote BRVM, reflétant la solidité de son bilan de 1 103,3 milliards FCFA. Le BPA de 888 FCFA par action signifie que chaque titre détenu génère près de neuf cents francs de bénéfice net, un niveau de rentabilité unitaire remarquable. Le PER de 12,7x se situe légèrement au-dessus de la moyenne du marché BRVM (8-12x), traduisant une valorisation modérée mais non excessive au regard de la qualité des bénéfices. Le P/B de 3,55x indique que le marché valorise la banque à plus de trois fois ses fonds propres comptables (127,34 Mds FCFA), soit une prime de croissance significative justifiée par un ROE exceptionnel de 27,9%. En revanche, l'EV/EBITDA de 26,4x apparaît très exigeant (&gt;15x), signalant que la valeur d'entreprise intègre déjà une forte anticipation de croissance future — un niveau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BOAC affiche une performance remarquable de +30,64%, portant le cours actuel à 11 300 FCFA, malgré un repli de -1,65% lors de la dernière séance. Le range de trading s'étend de 8 585 FCFA (plus bas) à 13 450 FCFA (plus haut), soit une amplitude de près de 57%, témoignant d'une dynamique haussière puissante mais ponctuée de corrections. La tendance générale demeure haussière, soutenue par des volumes moyens quotidiens de 10 842 titres, signe d'un intérêt constant des investisseurs. Les statistiques descriptives révèlent une moyenne de 10 556 FCFA supérieure à la médiane de 9 942 FCFA, indiquant une asymétrie positive — les pics de cours tirent la moyenne vers le haut. L'écart-type de 1 563 FCFA avec un coefficient de variation de 14,8% traduit une dispersion modérée du cours autour de sa tendance. Le kurtosis de -1,468 (platykurtique) signale une distribution aplatie avec une faible concentration des rendements, donc un risque de pics extrêmes limité. Le skewness de 0,282 confirme une distribution quasi-symétrique avec une légère inclinaison positive. Enfin, la volatilité annualisée de 28,0% positionne le titre dans la catégorie modérée (15-30%), ce qui reste raisonnable pour une valeur bancaire de la zone UMOA.</w:t>
      </w:r>
    </w:p>
    <w:p>
      <w:pPr>
        <w:spacing w:after="120" w:line="276" w:lineRule="auto"/>
      </w:pPr>
      <w:r>
        <w:t>---</w:t>
      </w:r>
    </w:p>
    <w:p>
      <w:pPr>
        <w:spacing w:after="120" w:line="276" w:lineRule="auto"/>
      </w:pPr>
      <w:r>
        <w:t>## PARTIE 2 : ANALYSE TECHNIQUE DÉTAILLÉE</w:t>
      </w:r>
    </w:p>
    <w:p>
      <w:pPr>
        <w:spacing w:after="120" w:line="276" w:lineRule="auto"/>
      </w:pPr>
      <w:r>
        <w:t>**Moyennes Mobiles** : La MM20 (11 855 FCFA) et la MM50 (11 980 FCFA) se situent toutes deux au-dessus du cours actuel (11 300 FCFA), avec la MM20 légèrement en dessous de la MM50. Cette configuration baissière de court terme, où le prix évolue sous ses moyennes, justifie la décision technique de **Vente** — le titre est en phase de correction après son rallye.</w:t>
      </w:r>
    </w:p>
    <w:p>
      <w:pPr>
        <w:spacing w:after="120" w:line="276" w:lineRule="auto"/>
      </w:pPr>
      <w:r>
        <w:t>**Bandes de Bollinger** : Le cours actuel (11 300 FCFA) se situe dans la moitié inférieure de la bande, entre la borne inférieure (10 858,68 FCFA) et la borne supérieure (12 851,32 FCFA). Cette position médiane-basse, sans franchissement des bornes, explique la décision **Neutre** — le titre n'est ni en surachat ni en survente, mais la largeur des bandes (près de 2 000 FCFA) confirme une volatilité encore présente.</w:t>
      </w:r>
    </w:p>
    <w:p>
      <w:pPr>
        <w:spacing w:after="120" w:line="276" w:lineRule="auto"/>
      </w:pPr>
      <w:r>
        <w:t>**MACD** : La valeur du MACD (-197,859) est nettement inférieure à son signal (-134,184), avec un histogramme négatif. Cette divergence baissière indique un momentum négatif persistant, justifiant la décision de **Vente** — la dynamique de court terme reste défavorable malgré la tendance haussière de fond.</w:t>
      </w:r>
    </w:p>
    <w:p>
      <w:pPr>
        <w:spacing w:after="120" w:line="276" w:lineRule="auto"/>
      </w:pPr>
      <w:r>
        <w:t>**RSI** : À 30,969, le RSI se situe juste au-dessus du seuil de survente (30), dans la zone neutre basse. Cette valeur proche de la survente suggère que la pression vendeuse pourrait s'essouffler, justifiant la décision **Neutre** — un rebond technique est possible mais non confirmé.</w:t>
      </w:r>
    </w:p>
    <w:p>
      <w:pPr>
        <w:spacing w:after="120" w:line="276" w:lineRule="auto"/>
      </w:pPr>
      <w:r>
        <w:t>**Stochastique** : Le %K (35,714) est légèrement inférieur au %D (40,863), sans croisement haussier confirmé. Les deux lignes évoluent dans la zone basse, indiquant une faiblesse persistante mais proche d'un potentiel retournement, d'où la décision **Neutre**.</w:t>
      </w:r>
    </w:p>
    <w:p>
      <w:pPr>
        <w:spacing w:after="120" w:line="276" w:lineRule="auto"/>
      </w:pPr>
      <w:r>
        <w:t>**Conclusion technique** : Les indicateurs présentent un tableau mitigé — deux signaux de vente (MM, MACD) contre trois signaux neutres (Bollinger, RSI, Stochastique). Le titre traverse une phase de consolidation après son rallye de +30%, avec un momentum baissier de court terme mais des oscillateurs proches de zones de rebond. La convergence des signaux neutres en zone basse suggère une stabilisation possible autour de 11 300 FCFA avant une reprise directionnelle.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BOAC affiche un Produit Net Bancaire (équivalent du chiffre d'affaires pour une banque) de 73 545 millions FCFA, en légère hausse de +1,1% par rapport à 2024 (72 724 millions). Le résultat net s'établit à 35 540 millions FCFA, en progression de +10,9% vs 32 045 millions en 2024, portant le BPA à 888 FCFA (contre 801 FCFA en 2024). Le ROE atteint 27,91% — un niveau exceptionnel (&gt;15% = excellent) — et le ROA ressort à 3,22%, confirmant une création de valeur robuste. Le coefficient d'exploitation de 36,70% témoigne d'une efficacité opérationnelle remarquable (&lt;60% = banque efficace, &lt;50% = excellente). Le coût du risque, mesuré à 6,67% des charges financières, reste contenu malgré une hausse de +52,1% des créances en souffrance (taux de sinistralité à 8,59%, provisionnement à 65,76%) — un point de vigilance. La structure bilancielle affiche des dépôts clientèle de 850 548 millions FCFA face à des créances clientèle de 430 433 millions, soit un ratio de transformation de 50,6%, typique d'une banque conservatrice privilégiant la liquidité. L'autonomie financière de 11,54% reste faible (norme bancaire), mais la solvabilité générale de 113,05% et la couverture des intérêts de 225,16% rassurent sur la solidité.</w:t>
      </w:r>
    </w:p>
    <w:p>
      <w:pPr>
        <w:spacing w:after="120" w:line="276" w:lineRule="auto"/>
      </w:pPr>
      <w:r>
        <w:t>**Estimations basées sur les rapports trimestriels** : Le rapport T1 2026 (publié le 31/03/2026) indique un PNB de 18 960 millions FCFA (+3,09% vs T1 2025) et un résultat net de 10 801 millions (+0,91%), avec un coefficient d'exploitation stable à 35,68%. Toutefois, le coût net du risque bondit de +314,75% (-652 vs -157 millions), signalant une dégradation à surveiller. Le rapport S1 2026 (examen limité des commissaires aux comptes, 30/09/2026) confirme l'absence d'anomalie significative mais ne fournit pas de chiffres détaillés. Sur la base du T1 2026, on estime que l'exercice 2026 devrait maintenir une croissance modérée du PNB (+2 à +3%) et un résultat net stable autour de 36-37 milliards FCFA, sous réserve que la hausse du coût du risque ne s'amplifie pas. Le rapport annuel 2025 (publié le 31/12/2025) confirme la solidité du modèle avec un dividende de 684 FCFA/action au titre de 2024 (payout ~65%), et la banque dispose de marges pour maintenir une politique généreuse.</w:t>
      </w:r>
    </w:p>
    <w:p>
      <w:pPr>
        <w:spacing w:after="120" w:line="276" w:lineRule="auto"/>
      </w:pPr>
      <w:r>
        <w:t>**Recommandation fondamentale** : BOAC présente des fondamentaux solides — rentabilité exceptionnelle (ROE 27,9%), efficacité opérationnelle (coefficient 36,7%), et structure bilancielle liquide. Les risques résident dans la hausse des créances en souffrance (+52,1%) et la dégradation du coût du risque au T1 2026. La valorisation (PER 12,7x, P/B 3,55x) intègre déjà une prime de qualité, limitant le potentiel de revalorisation à court terme. **Recommandation : CONSERVER** — les fondamentaux justifient une détention à moyen terme, mais le titre semble correctement valorisé après son rallye.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**Valorisation** : le PER de 12,7x et le P/B de 3,55x indiquent une valorisation modérée à légèrement élevée, l'EV/EBITDA de 26,4x étant particulièrement exigeant — le titre n'est pas sous-évalué. **Comportement du cours** : la tendance haussière de +30,64% sur 100 jours est impressionnante, mais la correction récente (-1,65% J-1) et la volatilité modérée (28%) suggèrent une phase de consolidation ; le kurtosis négatif et le skewness positif indiquent un risque de pics limité et une distribution équilibrée. **Signaux techniques** : la convergence des indicateurs vers des décisions de vente (MM, MACD) et neutres (Bollinger, RSI, Stochastique) plaide pour une prudence à court terme, malgré des oscillateurs proches de zones de rebond. **Fondamentaux** : la solidité financière (ROE 27,9%, coefficient d'exploitation 36,7%) et la croissance du résultat net 2025 (+10,9%) sont des atouts majeurs, mais la dégradation du coût du risque au T1 2026 et la hausse des créances en souffrance constituent des signaux d'alerte. **Prédictions IA** : la trajectoire anticipée (11 361 → 11 399 FCFA sur 10 jours) suggère une légère reprise (+0,9%), cohérente avec un rebond technique possible mais sans conviction forte.</w:t>
      </w:r>
    </w:p>
    <w:p>
      <w:pPr>
        <w:spacing w:after="120" w:line="276" w:lineRule="auto"/>
      </w:pPr>
      <w:r>
        <w:t>**Recommandation finale : CONSERVER** — La convergence entre une valorisation correcte, des fondamentaux solides mais des signaux techniques baissiers à court terme, et des prédictions IA modérément haussières, plaide pour une position d'attente. Le titre mérite d'être détenu pour son rendement et sa qualité, mais les investisseurs devraient attendre une confirmation de la stabilisation du coût du risque avant d'envisager un renforcement. **Niveau de confiance : Moyen** — les données fondamentales sont robustes, mais l'incertitude sur la qualité du crédit limite la visibilité. **Niveau de risque : Moyen** — la volatilité modérée et la solidité bilancielle compensent les risques de crédit. **Horizon d'investissement optimal : Moyen terme (3-12 mois)** — le temps de vérifier l'évolution du coût du risque et de bénéficier d'un éventuel rebond technique.</w:t>
      </w:r>
    </w:p>
    <w:p>
      <w:pPr>
        <w:spacing w:after="120" w:line="276" w:lineRule="auto"/>
      </w:pPr>
      <w:r>
        <w:t>---</w:t>
      </w:r>
    </w:p>
    <w:p>
      <w:pPr>
        <w:spacing w:after="120" w:line="276" w:lineRule="auto"/>
      </w:pPr>
      <w:r>
        <w:t>*Ce rapport est fourni à titre informatif et ne constitue pas un conseil en investissement. Les données utilisées proviennent de la BRVM et des états financiers officiels de BOAC.*</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6,468 titres</w:t>
            </w:r>
          </w:p>
        </w:tc>
        <w:tc>
          <w:tcPr>
            <w:tcW w:type="dxa" w:w="2268"/>
            <w:shd w:fill="FFF2CC" w:val="clear"/>
          </w:tcPr>
          <w:p>
            <w:r>
              <w:rPr>
                <w:b/>
                <w:color w:val="503200"/>
                <w:sz w:val="16"/>
              </w:rPr>
              <w:t xml:space="preserve">Cours actuel : </w:t>
            </w:r>
            <w:r>
              <w:rPr>
                <w:color w:val="000000"/>
                <w:sz w:val="17"/>
              </w:rPr>
              <w:t>6,090 FCFA</w:t>
            </w:r>
          </w:p>
          <w:p>
            <w:r>
              <w:rPr>
                <w:b/>
                <w:color w:val="503200"/>
                <w:sz w:val="16"/>
              </w:rPr>
              <w:t xml:space="preserve">Var. 100 jours : </w:t>
            </w:r>
            <w:r>
              <w:rPr>
                <w:b/>
                <w:color w:val="007800"/>
                <w:sz w:val="17"/>
              </w:rPr>
              <w:t>+29.99%</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13.86% (Moyenne) — μ=5,602 FCFA, σ=776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β=1.3546 (Agressif) — Cov=0.000098, Var(idx)=0.000072, ρ=0.419,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5,684</w:t>
            </w:r>
          </w:p>
        </w:tc>
        <w:tc>
          <w:tcPr>
            <w:tcW w:type="dxa" w:w="1440"/>
            <w:shd w:fill="FAFAFA" w:val="clear"/>
          </w:tcPr>
          <w:p>
            <w:r>
              <w:rPr>
                <w:b/>
                <w:sz w:val="17"/>
              </w:rPr>
              <w:t>6,032</w:t>
            </w:r>
          </w:p>
        </w:tc>
        <w:tc>
          <w:tcPr>
            <w:tcW w:type="dxa" w:w="1440"/>
            <w:shd w:fill="FAFAFA" w:val="clear"/>
          </w:tcPr>
          <w:p>
            <w:r>
              <w:rPr>
                <w:sz w:val="17"/>
              </w:rPr>
              <w:t>6,381</w:t>
            </w:r>
          </w:p>
        </w:tc>
        <w:tc>
          <w:tcPr>
            <w:tcW w:type="dxa" w:w="1440"/>
            <w:shd w:fill="FAFAFA" w:val="clear"/>
          </w:tcPr>
          <w:p>
            <w:r>
              <w:rPr>
                <w:b/>
                <w:color w:val="C00000"/>
                <w:sz w:val="17"/>
              </w:rPr>
              <w:t>-0.9%</w:t>
            </w:r>
          </w:p>
        </w:tc>
      </w:tr>
      <w:tr>
        <w:tc>
          <w:tcPr>
            <w:tcW w:type="dxa" w:w="1440"/>
            <w:shd w:fill="FFDCE0" w:val="clear"/>
          </w:tcPr>
          <w:p>
            <w:r>
              <w:rPr>
                <w:sz w:val="17"/>
              </w:rPr>
              <w:t>J+2  Moyenne</w:t>
            </w:r>
          </w:p>
        </w:tc>
        <w:tc>
          <w:tcPr>
            <w:tcW w:type="dxa" w:w="1440"/>
            <w:shd w:fill="FFDCE0" w:val="clear"/>
          </w:tcPr>
          <w:p>
            <w:r>
              <w:rPr>
                <w:sz w:val="17"/>
              </w:rPr>
              <w:t>2026-10-07</w:t>
            </w:r>
          </w:p>
        </w:tc>
        <w:tc>
          <w:tcPr>
            <w:tcW w:type="dxa" w:w="1440"/>
            <w:shd w:fill="FFDCE0" w:val="clear"/>
          </w:tcPr>
          <w:p>
            <w:r>
              <w:rPr>
                <w:sz w:val="17"/>
              </w:rPr>
              <w:t>5,469</w:t>
            </w:r>
          </w:p>
        </w:tc>
        <w:tc>
          <w:tcPr>
            <w:tcW w:type="dxa" w:w="1440"/>
            <w:shd w:fill="FFDCE0" w:val="clear"/>
          </w:tcPr>
          <w:p>
            <w:r>
              <w:rPr>
                <w:b/>
                <w:sz w:val="17"/>
              </w:rPr>
              <w:t>5,956</w:t>
            </w:r>
          </w:p>
        </w:tc>
        <w:tc>
          <w:tcPr>
            <w:tcW w:type="dxa" w:w="1440"/>
            <w:shd w:fill="FFDCE0" w:val="clear"/>
          </w:tcPr>
          <w:p>
            <w:r>
              <w:rPr>
                <w:sz w:val="17"/>
              </w:rPr>
              <w:t>6,442</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2026-10-08</w:t>
            </w:r>
          </w:p>
        </w:tc>
        <w:tc>
          <w:tcPr>
            <w:tcW w:type="dxa" w:w="1440"/>
            <w:shd w:fill="FFDCE0" w:val="clear"/>
          </w:tcPr>
          <w:p>
            <w:r>
              <w:rPr>
                <w:sz w:val="17"/>
              </w:rPr>
              <w:t>5,292</w:t>
            </w:r>
          </w:p>
        </w:tc>
        <w:tc>
          <w:tcPr>
            <w:tcW w:type="dxa" w:w="1440"/>
            <w:shd w:fill="FFDCE0" w:val="clear"/>
          </w:tcPr>
          <w:p>
            <w:r>
              <w:rPr>
                <w:b/>
                <w:sz w:val="17"/>
              </w:rPr>
              <w:t>5,881</w:t>
            </w:r>
          </w:p>
        </w:tc>
        <w:tc>
          <w:tcPr>
            <w:tcW w:type="dxa" w:w="1440"/>
            <w:shd w:fill="FFDCE0" w:val="clear"/>
          </w:tcPr>
          <w:p>
            <w:r>
              <w:rPr>
                <w:sz w:val="17"/>
              </w:rPr>
              <w:t>6,470</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5,142</w:t>
            </w:r>
          </w:p>
        </w:tc>
        <w:tc>
          <w:tcPr>
            <w:tcW w:type="dxa" w:w="1440"/>
            <w:shd w:fill="FFDCE0" w:val="clear"/>
          </w:tcPr>
          <w:p>
            <w:r>
              <w:rPr>
                <w:b/>
                <w:sz w:val="17"/>
              </w:rPr>
              <w:t>5,814</w:t>
            </w:r>
          </w:p>
        </w:tc>
        <w:tc>
          <w:tcPr>
            <w:tcW w:type="dxa" w:w="1440"/>
            <w:shd w:fill="FFDCE0" w:val="clear"/>
          </w:tcPr>
          <w:p>
            <w:r>
              <w:rPr>
                <w:sz w:val="17"/>
              </w:rPr>
              <w:t>6,486</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5,010</w:t>
            </w:r>
          </w:p>
        </w:tc>
        <w:tc>
          <w:tcPr>
            <w:tcW w:type="dxa" w:w="1440"/>
            <w:shd w:fill="FFDCE0" w:val="clear"/>
          </w:tcPr>
          <w:p>
            <w:r>
              <w:rPr>
                <w:b/>
                <w:sz w:val="17"/>
              </w:rPr>
              <w:t>5,754</w:t>
            </w:r>
          </w:p>
        </w:tc>
        <w:tc>
          <w:tcPr>
            <w:tcW w:type="dxa" w:w="1440"/>
            <w:shd w:fill="FFDCE0" w:val="clear"/>
          </w:tcPr>
          <w:p>
            <w:r>
              <w:rPr>
                <w:sz w:val="17"/>
              </w:rPr>
              <w:t>6,498</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4,892</w:t>
            </w:r>
          </w:p>
        </w:tc>
        <w:tc>
          <w:tcPr>
            <w:tcW w:type="dxa" w:w="1440"/>
            <w:shd w:fill="FFDCE0" w:val="clear"/>
          </w:tcPr>
          <w:p>
            <w:r>
              <w:rPr>
                <w:b/>
                <w:sz w:val="17"/>
              </w:rPr>
              <w:t>5,699</w:t>
            </w:r>
          </w:p>
        </w:tc>
        <w:tc>
          <w:tcPr>
            <w:tcW w:type="dxa" w:w="1440"/>
            <w:shd w:fill="FFDCE0" w:val="clear"/>
          </w:tcPr>
          <w:p>
            <w:r>
              <w:rPr>
                <w:sz w:val="17"/>
              </w:rPr>
              <w:t>6,506</w:t>
            </w:r>
          </w:p>
        </w:tc>
        <w:tc>
          <w:tcPr>
            <w:tcW w:type="dxa" w:w="1440"/>
            <w:shd w:fill="FFDCE0" w:val="clear"/>
          </w:tcPr>
          <w:p>
            <w:r>
              <w:rPr>
                <w:b/>
                <w:color w:val="C00000"/>
                <w:sz w:val="17"/>
              </w:rPr>
              <w:t>-6.4%</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4,784</w:t>
            </w:r>
          </w:p>
        </w:tc>
        <w:tc>
          <w:tcPr>
            <w:tcW w:type="dxa" w:w="1440"/>
            <w:shd w:fill="FFDCE0" w:val="clear"/>
          </w:tcPr>
          <w:p>
            <w:r>
              <w:rPr>
                <w:b/>
                <w:sz w:val="17"/>
              </w:rPr>
              <w:t>5,648</w:t>
            </w:r>
          </w:p>
        </w:tc>
        <w:tc>
          <w:tcPr>
            <w:tcW w:type="dxa" w:w="1440"/>
            <w:shd w:fill="FFDCE0" w:val="clear"/>
          </w:tcPr>
          <w:p>
            <w:r>
              <w:rPr>
                <w:sz w:val="17"/>
              </w:rPr>
              <w:t>6,511</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4,683</w:t>
            </w:r>
          </w:p>
        </w:tc>
        <w:tc>
          <w:tcPr>
            <w:tcW w:type="dxa" w:w="1440"/>
            <w:shd w:fill="FFDCE0" w:val="clear"/>
          </w:tcPr>
          <w:p>
            <w:r>
              <w:rPr>
                <w:b/>
                <w:sz w:val="17"/>
              </w:rPr>
              <w:t>5,599</w:t>
            </w:r>
          </w:p>
        </w:tc>
        <w:tc>
          <w:tcPr>
            <w:tcW w:type="dxa" w:w="1440"/>
            <w:shd w:fill="FFDCE0" w:val="clear"/>
          </w:tcPr>
          <w:p>
            <w:r>
              <w:rPr>
                <w:sz w:val="17"/>
              </w:rPr>
              <w:t>6,514</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4,589</w:t>
            </w:r>
          </w:p>
        </w:tc>
        <w:tc>
          <w:tcPr>
            <w:tcW w:type="dxa" w:w="1440"/>
            <w:shd w:fill="FFDCE0" w:val="clear"/>
          </w:tcPr>
          <w:p>
            <w:r>
              <w:rPr>
                <w:b/>
                <w:sz w:val="17"/>
              </w:rPr>
              <w:t>5,552</w:t>
            </w:r>
          </w:p>
        </w:tc>
        <w:tc>
          <w:tcPr>
            <w:tcW w:type="dxa" w:w="1440"/>
            <w:shd w:fill="FFDCE0" w:val="clear"/>
          </w:tcPr>
          <w:p>
            <w:r>
              <w:rPr>
                <w:sz w:val="17"/>
              </w:rPr>
              <w:t>6,515</w:t>
            </w:r>
          </w:p>
        </w:tc>
        <w:tc>
          <w:tcPr>
            <w:tcW w:type="dxa" w:w="1440"/>
            <w:shd w:fill="FFDCE0" w:val="clear"/>
          </w:tcPr>
          <w:p>
            <w:r>
              <w:rPr>
                <w:b/>
                <w:color w:val="C00000"/>
                <w:sz w:val="17"/>
              </w:rPr>
              <w:t>-8.8%</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4,501</w:t>
            </w:r>
          </w:p>
        </w:tc>
        <w:tc>
          <w:tcPr>
            <w:tcW w:type="dxa" w:w="1440"/>
            <w:shd w:fill="FFDCE0" w:val="clear"/>
          </w:tcPr>
          <w:p>
            <w:r>
              <w:rPr>
                <w:b/>
                <w:sz w:val="17"/>
              </w:rPr>
              <w:t>5,508</w:t>
            </w:r>
          </w:p>
        </w:tc>
        <w:tc>
          <w:tcPr>
            <w:tcW w:type="dxa" w:w="1440"/>
            <w:shd w:fill="FFDCE0" w:val="clear"/>
          </w:tcPr>
          <w:p>
            <w:r>
              <w:rPr>
                <w:sz w:val="17"/>
              </w:rPr>
              <w:t>6,515</w:t>
            </w:r>
          </w:p>
        </w:tc>
        <w:tc>
          <w:tcPr>
            <w:tcW w:type="dxa" w:w="1440"/>
            <w:shd w:fill="FFDCE0" w:val="clear"/>
          </w:tcPr>
          <w:p>
            <w:r>
              <w:rPr>
                <w:b/>
                <w:color w:val="C00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167,17 milliards FCFA, BOA Mali se positionne comme une valeur de taille intermédiaire sur le compartiment bancaire de la BRVM, représentant un poids significatif dans l'indice sectoriel. Le BPA de 404 FCFA indique que chaque action génère près de 404 FCFA de bénéfice net, un niveau de rentabilité par titre appréciable. Le PER de 15,1x traduit une valorisation modérément supérieure à la moyenne du marché BRVM (8-12x), suggérant que les investisseurs intègrent déjà une prime de qualité et de résilience dans le cours. Le P/B de 3,36x confirme cette prime de croissance, le marché valorisant l'action à plus de trois fois sa valeur comptable, ce qui est cohérent avec un ROE élevé de 22,24%. Enfin, l'EV/EBITDA de 7,7x, situé dans la fourchette raisonnable de 5-10x, indique que la valeur totale de l'entreprise reste proportionnée à sa capacité opérationnelle,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affiche une performance remarquable de +29,99%, clôturant à 6 090 FCFA, bien que la dernière séance (J-1) soit restée stable à +0,00%. Le titre a évolué dans un range significatif entre un plus bas de 4 425 FCFA et un plus haut de 7 195 FCFA, soit une amplitude de trading de 62,6%, témoignant d'une forte volatilité directionnelle. La tendance générale est nettement haussière, portée par des fondamentaux solides et un intérêt croissant des investisseurs pour le secteur bancaire malien. Les statistiques descriptives révèlent une moyenne de 5 602 FCFA légèrement inférieure à la médiane de 5 620 FCFA, suggérant une distribution quasi-symétrique avec une légère prédominance des valeurs basses ; le mode à 4 630 FCFA indique que le cours a fréquemment stagné autour de ce niveau avant son envolée récente. L'écart-type de 780 FCFA (CV=13,9%) traduit une dispersion modérée du cours autour de sa moyenne, tandis que le kurtosis négatif (-1,032, distribution platykurtique) signale une faible concentration des rendements et un risque de pics moins prononcé qu'une distribution normale. Le skewness positif (0,262) confirme une asymétrie légèrement favorable aux rendements positifs. Avec une volatilité annualisée de 43,5%, le titre se classe dans la catégorie des valeurs à volatilité élevée (&gt;30%), ce qui implique un risque de marché significatif mais aussi un potentiel de gain attractif.</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6 505,5 FCFA et la MM50 à 6 234,2 FCFA, toutes deux supérieures au cours actuel de 6 090 FCFA. Cette configuration indique que le titre évolue sous ses moyennes mobiles à court et moyen terme, signalant une pression baissière récente malgré la tendance haussière de fond. La décision technique affichée est "Achat", probablement justifiée par la perspective d'un rebond technique vers ces niveaux de résistance dynamique.</w:t>
      </w:r>
    </w:p>
    <w:p>
      <w:pPr>
        <w:spacing w:after="120" w:line="276" w:lineRule="auto"/>
      </w:pPr>
      <w:r>
        <w:t>**Bandes de Bollinger :** La borne supérieure se situe à 7 550,66 FCFA et la borne inférieure à 5 460,34 FCFA, encadrant le cours actuel de 6 090 FCFA. Le titre évolue dans la partie basse de ce canal, à environ 30% de la largeur totale, ce qui suggère une pression vendeuse mais aussi un potentiel de rebond vers la bande médiane. La décision "Neutre" reflète l'absence de signal directionnel clair, le cours n'étant ni en zone de surachat ni de survente.</w:t>
      </w:r>
    </w:p>
    <w:p>
      <w:pPr>
        <w:spacing w:after="120" w:line="276" w:lineRule="auto"/>
      </w:pPr>
      <w:r>
        <w:t>**MACD :** La valeur du MACD (-95,092) est nettement inférieure à son signal (-25,1), générant un histogramme négatif et une décision "Vente". Cette divergence baissière indique que le momentum à court terme est clairement négatif, les pressions vendeuses dominant les achats. La configuration suggère que la correction actuelle pourrait se poursuivre avant tout retournement.</w:t>
      </w:r>
    </w:p>
    <w:p>
      <w:pPr>
        <w:spacing w:after="120" w:line="276" w:lineRule="auto"/>
      </w:pPr>
      <w:r>
        <w:t>**RSI :** À 32,937, le RSI se situe juste au-dessus du seuil de survente (30), avec une décision "Neutre". Cette valeur indique que le titre n'est pas encore techniquement survendu mais s'en approche dangereusement, ce qui pourrait attirer des acheteurs à contre-tendance en quête de rebond.</w:t>
      </w:r>
    </w:p>
    <w:p>
      <w:pPr>
        <w:spacing w:after="120" w:line="276" w:lineRule="auto"/>
      </w:pPr>
      <w:r>
        <w:t>**Stochastique :** Le %K (40,523) est légèrement supérieur au %D (39,618), avec une décision "Neutre". L'absence de croisement significatif et la position médiane des deux courbes confirment l'absence de signal directionnel fort, le marché étant en phase de consolidation.</w:t>
      </w:r>
    </w:p>
    <w:p>
      <w:pPr>
        <w:spacing w:after="120" w:line="276" w:lineRule="auto"/>
      </w:pPr>
      <w:r>
        <w:t>**Conclusion technique :** Les indicateurs techniques présentent un tableau mitigé, avec une majorité de signaux neutres (Bollinger, RSI, Stochastique) et un signal baissier (MACD) contredisant la décision d'achat des moyennes mobiles. Le titre évolue sous ses MM20 et MM50, ce qui suggère une correction en cours, mais la proximité du RSI avec la zone de survente et la position basse dans les bandes de Bollinger pourraient annoncer un rebond technique à court terme. La prudence reste de mise tant que le MACD n'amorce pas de retournement haussier.</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(états financiers annuels) révèlent une banque solide et rentable. Le Produit Net Bancaire (PNB), équivalent du chiffre d'affaires pour une banque, s'établit à 37,996 milliards FCFA, en croissance de 5,08% sur un an. Le résultat net atteint 11,081 milliards FCFA, soit une marge nette exceptionnelle de 29,16%, bien supérieure à la moyenne du secteur. Le ROE de 22,24% (excellent, &gt;15%) et le ROA de 1,87% confirment une rentabilité des fonds propres et des actifs remarquable. Le coefficient d'exploitation de 63,14% reste légèrement au-dessus du seuil d'efficacité de 60%, indiquant une marge d'amélioration dans la maîtrise des charges. Le coût du risque, mesuré à 43,39% des charges financières, demeure élevé et constitue un point de vigilance majeur pour la qualité du portefeuille de crédits. La structure financière affiche une autonomie financière de 8,40% (faible, typique des banques) et un ratio de solvabilité générale de 109,16%, confirmant la capacité de la banque à couvrir ses dettes par ses actifs. Les dépôts clientèle (502,89 milliards FCFA) financent largement les créances clientèle (253,65 milliards FCFA), avec un ratio de transformation de 50,4%, reflétant une activité de crédit modérée mais prudente.</w:t>
      </w:r>
    </w:p>
    <w:p>
      <w:pPr>
        <w:spacing w:after="120" w:line="276" w:lineRule="auto"/>
      </w:pPr>
      <w:r>
        <w:t>Les rapports narratifs confirment cette dynamique. Le rapport du premier semestre 2026 (publié le 24/09/2026) fait état d'un PNB de 21,987 milliards FCFA, en hausse de 17,5% sur un an, témoignant d'une accélération de la croissance commerciale. Le rapport du premier trimestre 2026 (12/09/2026) affiche un PNB de 10,322 milliards FCFA, en progression de 22,97%, confirmant cette tendance. Sur la base de ces rapports trimestriels, on peut estimer que l'exercice 2026 devrait enregistrer une croissance du PNB supérieure à 15%, avec un résultat net potentiellement en hausse de 20% à 25% si la maîtrise du coût du risque se poursuit. Les rapports plus anciens (S1 2025, T3 2025) montrent déjà une amélioration du coût du risque (-32,7% au S1 2025) et une explosion du résultat net (+28,8% au S1 2025, +26,2% au T3 2025), confirmant la trajectoire positive. La recommandation fondamentale est donc positive : BOA Mali affiche une solidité financière avérée, une rentabilité exceptionnelle et une dynamique commerciale en accélération, malgré un coût du risque encore élevé et une dépendance aux dépôts clientèle.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La valorisation (Partie 0) est modérément élevée (PER 15,1x, P/B 3,36x) mais justifiée par un ROE de 22,24% et une croissance des bénéfices soutenue. Le comportement du cours (Partie 1) affiche une tendance haussière de +29,99% sur 100 jours, avec une volatilité élevée (43,5%) et une distribution platykurtique (risque de pics modéré) et légèrement asymétrique positivement (skewness 0,262), ce qui est plutôt favorable. Les signaux techniques (Partie 2) sont mitigés : les moyennes mobiles suggèrent un achat, mais le MACD est baissier et les autres indicateurs sont neutres, ce qui plaide pour une consolidation avant un nouveau rebond. Les fondamentaux (Partie 3) sont excellents : PNB en croissance, résultat net en forte hausse, ROE et ROA élevés, avec des estimations 2026 très positives basées sur les rapports trimestriels. Les prédictions IA (J+1 à J+10) anticipent une baisse progressive de 6 032 FCFA à 5 754 FCFA, soit une correction de -5,5% sur 10 jours, ce qui contredit la tendance haussière de fond mais confirme la pression baissière à court terme identifiée par le MACD. Sur la base de cette synthèse, la recommandation finale est **CONSERVER** avec un biais haussier à moyen terme. La convergence entre fondamentaux solides, valorisation raisonnable et potentiel de rebond technique soutient cette position, mais la divergence à court terme (MACD baissier, prédictions IA négatives) incite à la prudence. Le niveau de confiance est **Moyen**, car si les fondamentaux sont robustes, l'incertitude technique et la volatilité élevée limitent la visibilité. Le niveau de risque global est **Moyen à Élevé**, compte tenu de la volatilité du titre et du contexte macroéconomique malien. L'horizon d'investissement optimal est le **moyen terme (3-12 mois)**, le temps que la correction technique s'achève et que les fondamentaux solides se traduisent pleinement dans le cours.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101.92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8,962 titres</w:t>
            </w:r>
          </w:p>
        </w:tc>
        <w:tc>
          <w:tcPr>
            <w:tcW w:type="dxa" w:w="2268"/>
            <w:shd w:fill="FFF2CC" w:val="clear"/>
          </w:tcPr>
          <w:p>
            <w:r>
              <w:rPr>
                <w:b/>
                <w:color w:val="503200"/>
                <w:sz w:val="16"/>
              </w:rPr>
              <w:t xml:space="preserve">Cours actuel : </w:t>
            </w:r>
            <w:r>
              <w:rPr>
                <w:color w:val="000000"/>
                <w:sz w:val="17"/>
              </w:rPr>
              <w:t>4,900 FCFA</w:t>
            </w:r>
          </w:p>
          <w:p>
            <w:r>
              <w:rPr>
                <w:b/>
                <w:color w:val="503200"/>
                <w:sz w:val="16"/>
              </w:rPr>
              <w:t xml:space="preserve">Var. 100 jours : </w:t>
            </w:r>
            <w:r>
              <w:rPr>
                <w:b/>
                <w:color w:val="007800"/>
                <w:sz w:val="17"/>
              </w:rPr>
              <w:t>+42.03%</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29.5/100 → Moyen</w:t>
      </w:r>
    </w:p>
    <w:p>
      <w:pPr>
        <w:spacing w:before="40" w:after="80"/>
      </w:pPr>
      <w:r>
        <w:rPr>
          <w:rFonts w:ascii="Courier New" w:hAnsi="Courier New"/>
          <w:color w:val="825A00"/>
          <w:sz w:val="18"/>
        </w:rPr>
        <w:t>█████░░░░░░░░░░░░░░░  29.5/100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15.78% (Élevée) — μ=4,666 FCFA, σ=736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β=1.3517 (Agressif) — Cov=0.000097, Var(idx)=0.000072, ρ=0.438,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8,962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2026-10-06</w:t>
            </w:r>
          </w:p>
        </w:tc>
        <w:tc>
          <w:tcPr>
            <w:tcW w:type="dxa" w:w="1440"/>
            <w:shd w:fill="C6EFCE" w:val="clear"/>
          </w:tcPr>
          <w:p>
            <w:r>
              <w:rPr>
                <w:sz w:val="17"/>
              </w:rPr>
              <w:t>4,754</w:t>
            </w:r>
          </w:p>
        </w:tc>
        <w:tc>
          <w:tcPr>
            <w:tcW w:type="dxa" w:w="1440"/>
            <w:shd w:fill="C6EFCE" w:val="clear"/>
          </w:tcPr>
          <w:p>
            <w:r>
              <w:rPr>
                <w:b/>
                <w:sz w:val="17"/>
              </w:rPr>
              <w:t>5,029</w:t>
            </w:r>
          </w:p>
        </w:tc>
        <w:tc>
          <w:tcPr>
            <w:tcW w:type="dxa" w:w="1440"/>
            <w:shd w:fill="C6EFCE" w:val="clear"/>
          </w:tcPr>
          <w:p>
            <w:r>
              <w:rPr>
                <w:sz w:val="17"/>
              </w:rPr>
              <w:t>5,304</w:t>
            </w:r>
          </w:p>
        </w:tc>
        <w:tc>
          <w:tcPr>
            <w:tcW w:type="dxa" w:w="1440"/>
            <w:shd w:fill="C6EFCE" w:val="clear"/>
          </w:tcPr>
          <w:p>
            <w:r>
              <w:rPr>
                <w:b/>
                <w:color w:val="008000"/>
                <w:sz w:val="17"/>
              </w:rPr>
              <w:t>+2.6%</w:t>
            </w:r>
          </w:p>
        </w:tc>
      </w:tr>
      <w:tr>
        <w:tc>
          <w:tcPr>
            <w:tcW w:type="dxa" w:w="1440"/>
            <w:shd w:fill="C6EFCE" w:val="clear"/>
          </w:tcPr>
          <w:p>
            <w:r>
              <w:rPr>
                <w:sz w:val="17"/>
              </w:rPr>
              <w:t>J+2  ⭐</w:t>
            </w:r>
          </w:p>
        </w:tc>
        <w:tc>
          <w:tcPr>
            <w:tcW w:type="dxa" w:w="1440"/>
            <w:shd w:fill="C6EFCE" w:val="clear"/>
          </w:tcPr>
          <w:p>
            <w:r>
              <w:rPr>
                <w:sz w:val="17"/>
              </w:rPr>
              <w:t>2026-10-07</w:t>
            </w:r>
          </w:p>
        </w:tc>
        <w:tc>
          <w:tcPr>
            <w:tcW w:type="dxa" w:w="1440"/>
            <w:shd w:fill="C6EFCE" w:val="clear"/>
          </w:tcPr>
          <w:p>
            <w:r>
              <w:rPr>
                <w:sz w:val="17"/>
              </w:rPr>
              <w:t>4,630</w:t>
            </w:r>
          </w:p>
        </w:tc>
        <w:tc>
          <w:tcPr>
            <w:tcW w:type="dxa" w:w="1440"/>
            <w:shd w:fill="C6EFCE" w:val="clear"/>
          </w:tcPr>
          <w:p>
            <w:r>
              <w:rPr>
                <w:b/>
                <w:sz w:val="17"/>
              </w:rPr>
              <w:t>5,018</w:t>
            </w:r>
          </w:p>
        </w:tc>
        <w:tc>
          <w:tcPr>
            <w:tcW w:type="dxa" w:w="1440"/>
            <w:shd w:fill="C6EFCE" w:val="clear"/>
          </w:tcPr>
          <w:p>
            <w:r>
              <w:rPr>
                <w:sz w:val="17"/>
              </w:rPr>
              <w:t>5,407</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2026-10-08</w:t>
            </w:r>
          </w:p>
        </w:tc>
        <w:tc>
          <w:tcPr>
            <w:tcW w:type="dxa" w:w="1440"/>
            <w:shd w:fill="C6EFCE" w:val="clear"/>
          </w:tcPr>
          <w:p>
            <w:r>
              <w:rPr>
                <w:sz w:val="17"/>
              </w:rPr>
              <w:t>4,559</w:t>
            </w:r>
          </w:p>
        </w:tc>
        <w:tc>
          <w:tcPr>
            <w:tcW w:type="dxa" w:w="1440"/>
            <w:shd w:fill="C6EFCE" w:val="clear"/>
          </w:tcPr>
          <w:p>
            <w:r>
              <w:rPr>
                <w:b/>
                <w:sz w:val="17"/>
              </w:rPr>
              <w:t>5,037</w:t>
            </w:r>
          </w:p>
        </w:tc>
        <w:tc>
          <w:tcPr>
            <w:tcW w:type="dxa" w:w="1440"/>
            <w:shd w:fill="C6EFCE" w:val="clear"/>
          </w:tcPr>
          <w:p>
            <w:r>
              <w:rPr>
                <w:sz w:val="17"/>
              </w:rPr>
              <w:t>5,514</w:t>
            </w:r>
          </w:p>
        </w:tc>
        <w:tc>
          <w:tcPr>
            <w:tcW w:type="dxa" w:w="1440"/>
            <w:shd w:fill="C6EFCE" w:val="clear"/>
          </w:tcPr>
          <w:p>
            <w:r>
              <w:rPr>
                <w:b/>
                <w:color w:val="008000"/>
                <w:sz w:val="17"/>
              </w:rPr>
              <w:t>+2.8%</w:t>
            </w:r>
          </w:p>
        </w:tc>
      </w:tr>
      <w:tr>
        <w:tc>
          <w:tcPr>
            <w:tcW w:type="dxa" w:w="1440"/>
            <w:shd w:fill="C6EFCE" w:val="clear"/>
          </w:tcPr>
          <w:p>
            <w:r>
              <w:rPr>
                <w:sz w:val="17"/>
              </w:rPr>
              <w:t>J+4  ⭐</w:t>
            </w:r>
          </w:p>
        </w:tc>
        <w:tc>
          <w:tcPr>
            <w:tcW w:type="dxa" w:w="1440"/>
            <w:shd w:fill="C6EFCE" w:val="clear"/>
          </w:tcPr>
          <w:p>
            <w:r>
              <w:rPr>
                <w:sz w:val="17"/>
              </w:rPr>
              <w:t>2026-10-09</w:t>
            </w:r>
          </w:p>
        </w:tc>
        <w:tc>
          <w:tcPr>
            <w:tcW w:type="dxa" w:w="1440"/>
            <w:shd w:fill="C6EFCE" w:val="clear"/>
          </w:tcPr>
          <w:p>
            <w:r>
              <w:rPr>
                <w:sz w:val="17"/>
              </w:rPr>
              <w:t>4,505</w:t>
            </w:r>
          </w:p>
        </w:tc>
        <w:tc>
          <w:tcPr>
            <w:tcW w:type="dxa" w:w="1440"/>
            <w:shd w:fill="C6EFCE" w:val="clear"/>
          </w:tcPr>
          <w:p>
            <w:r>
              <w:rPr>
                <w:b/>
                <w:sz w:val="17"/>
              </w:rPr>
              <w:t>5,059</w:t>
            </w:r>
          </w:p>
        </w:tc>
        <w:tc>
          <w:tcPr>
            <w:tcW w:type="dxa" w:w="1440"/>
            <w:shd w:fill="C6EFCE" w:val="clear"/>
          </w:tcPr>
          <w:p>
            <w:r>
              <w:rPr>
                <w:sz w:val="17"/>
              </w:rPr>
              <w:t>5,613</w:t>
            </w:r>
          </w:p>
        </w:tc>
        <w:tc>
          <w:tcPr>
            <w:tcW w:type="dxa" w:w="1440"/>
            <w:shd w:fill="C6EFCE" w:val="clear"/>
          </w:tcPr>
          <w:p>
            <w:r>
              <w:rPr>
                <w:b/>
                <w:color w:val="008000"/>
                <w:sz w:val="17"/>
              </w:rPr>
              <w:t>+3.2%</w:t>
            </w:r>
          </w:p>
        </w:tc>
      </w:tr>
      <w:tr>
        <w:tc>
          <w:tcPr>
            <w:tcW w:type="dxa" w:w="1440"/>
            <w:shd w:fill="C6EFCE" w:val="clear"/>
          </w:tcPr>
          <w:p>
            <w:r>
              <w:rPr>
                <w:sz w:val="17"/>
              </w:rPr>
              <w:t>J+5  ⭐</w:t>
            </w:r>
          </w:p>
        </w:tc>
        <w:tc>
          <w:tcPr>
            <w:tcW w:type="dxa" w:w="1440"/>
            <w:shd w:fill="C6EFCE" w:val="clear"/>
          </w:tcPr>
          <w:p>
            <w:r>
              <w:rPr>
                <w:sz w:val="17"/>
              </w:rPr>
              <w:t>2026-10-12</w:t>
            </w:r>
          </w:p>
        </w:tc>
        <w:tc>
          <w:tcPr>
            <w:tcW w:type="dxa" w:w="1440"/>
            <w:shd w:fill="C6EFCE" w:val="clear"/>
          </w:tcPr>
          <w:p>
            <w:r>
              <w:rPr>
                <w:sz w:val="17"/>
              </w:rPr>
              <w:t>4,459</w:t>
            </w:r>
          </w:p>
        </w:tc>
        <w:tc>
          <w:tcPr>
            <w:tcW w:type="dxa" w:w="1440"/>
            <w:shd w:fill="C6EFCE" w:val="clear"/>
          </w:tcPr>
          <w:p>
            <w:r>
              <w:rPr>
                <w:b/>
                <w:sz w:val="17"/>
              </w:rPr>
              <w:t>5,081</w:t>
            </w:r>
          </w:p>
        </w:tc>
        <w:tc>
          <w:tcPr>
            <w:tcW w:type="dxa" w:w="1440"/>
            <w:shd w:fill="C6EFCE" w:val="clear"/>
          </w:tcPr>
          <w:p>
            <w:r>
              <w:rPr>
                <w:sz w:val="17"/>
              </w:rPr>
              <w:t>5,703</w:t>
            </w:r>
          </w:p>
        </w:tc>
        <w:tc>
          <w:tcPr>
            <w:tcW w:type="dxa" w:w="1440"/>
            <w:shd w:fill="C6EFCE" w:val="clear"/>
          </w:tcPr>
          <w:p>
            <w:r>
              <w:rPr>
                <w:b/>
                <w:color w:val="008000"/>
                <w:sz w:val="17"/>
              </w:rPr>
              <w:t>+3.7%</w:t>
            </w:r>
          </w:p>
        </w:tc>
      </w:tr>
      <w:tr>
        <w:tc>
          <w:tcPr>
            <w:tcW w:type="dxa" w:w="1440"/>
            <w:shd w:fill="C6EFCE" w:val="clear"/>
          </w:tcPr>
          <w:p>
            <w:r>
              <w:rPr>
                <w:sz w:val="17"/>
              </w:rPr>
              <w:t>J+6  ⭐</w:t>
            </w:r>
          </w:p>
        </w:tc>
        <w:tc>
          <w:tcPr>
            <w:tcW w:type="dxa" w:w="1440"/>
            <w:shd w:fill="C6EFCE" w:val="clear"/>
          </w:tcPr>
          <w:p>
            <w:r>
              <w:rPr>
                <w:sz w:val="17"/>
              </w:rPr>
              <w:t>2026-10-13</w:t>
            </w:r>
          </w:p>
        </w:tc>
        <w:tc>
          <w:tcPr>
            <w:tcW w:type="dxa" w:w="1440"/>
            <w:shd w:fill="C6EFCE" w:val="clear"/>
          </w:tcPr>
          <w:p>
            <w:r>
              <w:rPr>
                <w:sz w:val="17"/>
              </w:rPr>
              <w:t>4,419</w:t>
            </w:r>
          </w:p>
        </w:tc>
        <w:tc>
          <w:tcPr>
            <w:tcW w:type="dxa" w:w="1440"/>
            <w:shd w:fill="C6EFCE" w:val="clear"/>
          </w:tcPr>
          <w:p>
            <w:r>
              <w:rPr>
                <w:b/>
                <w:sz w:val="17"/>
              </w:rPr>
              <w:t>5,103</w:t>
            </w:r>
          </w:p>
        </w:tc>
        <w:tc>
          <w:tcPr>
            <w:tcW w:type="dxa" w:w="1440"/>
            <w:shd w:fill="C6EFCE" w:val="clear"/>
          </w:tcPr>
          <w:p>
            <w:r>
              <w:rPr>
                <w:sz w:val="17"/>
              </w:rPr>
              <w:t>5,787</w:t>
            </w:r>
          </w:p>
        </w:tc>
        <w:tc>
          <w:tcPr>
            <w:tcW w:type="dxa" w:w="1440"/>
            <w:shd w:fill="C6EFCE" w:val="clear"/>
          </w:tcPr>
          <w:p>
            <w:r>
              <w:rPr>
                <w:b/>
                <w:color w:val="008000"/>
                <w:sz w:val="17"/>
              </w:rPr>
              <w:t>+4.1%</w:t>
            </w:r>
          </w:p>
        </w:tc>
      </w:tr>
      <w:tr>
        <w:tc>
          <w:tcPr>
            <w:tcW w:type="dxa" w:w="1440"/>
            <w:shd w:fill="C6EFCE" w:val="clear"/>
          </w:tcPr>
          <w:p>
            <w:r>
              <w:rPr>
                <w:sz w:val="17"/>
              </w:rPr>
              <w:t>J+7  ⭐</w:t>
            </w:r>
          </w:p>
        </w:tc>
        <w:tc>
          <w:tcPr>
            <w:tcW w:type="dxa" w:w="1440"/>
            <w:shd w:fill="C6EFCE" w:val="clear"/>
          </w:tcPr>
          <w:p>
            <w:r>
              <w:rPr>
                <w:sz w:val="17"/>
              </w:rPr>
              <w:t>2026-10-14</w:t>
            </w:r>
          </w:p>
        </w:tc>
        <w:tc>
          <w:tcPr>
            <w:tcW w:type="dxa" w:w="1440"/>
            <w:shd w:fill="C6EFCE" w:val="clear"/>
          </w:tcPr>
          <w:p>
            <w:r>
              <w:rPr>
                <w:sz w:val="17"/>
              </w:rPr>
              <w:t>4,382</w:t>
            </w:r>
          </w:p>
        </w:tc>
        <w:tc>
          <w:tcPr>
            <w:tcW w:type="dxa" w:w="1440"/>
            <w:shd w:fill="C6EFCE" w:val="clear"/>
          </w:tcPr>
          <w:p>
            <w:r>
              <w:rPr>
                <w:b/>
                <w:sz w:val="17"/>
              </w:rPr>
              <w:t>5,124</w:t>
            </w:r>
          </w:p>
        </w:tc>
        <w:tc>
          <w:tcPr>
            <w:tcW w:type="dxa" w:w="1440"/>
            <w:shd w:fill="C6EFCE" w:val="clear"/>
          </w:tcPr>
          <w:p>
            <w:r>
              <w:rPr>
                <w:sz w:val="17"/>
              </w:rPr>
              <w:t>5,866</w:t>
            </w:r>
          </w:p>
        </w:tc>
        <w:tc>
          <w:tcPr>
            <w:tcW w:type="dxa" w:w="1440"/>
            <w:shd w:fill="C6EFCE" w:val="clear"/>
          </w:tcPr>
          <w:p>
            <w:r>
              <w:rPr>
                <w:b/>
                <w:color w:val="008000"/>
                <w:sz w:val="17"/>
              </w:rPr>
              <w:t>+4.6%</w:t>
            </w:r>
          </w:p>
        </w:tc>
      </w:tr>
      <w:tr>
        <w:tc>
          <w:tcPr>
            <w:tcW w:type="dxa" w:w="1440"/>
            <w:shd w:fill="C6EFCE" w:val="clear"/>
          </w:tcPr>
          <w:p>
            <w:r>
              <w:rPr>
                <w:sz w:val="17"/>
              </w:rPr>
              <w:t>J+8  ⭐</w:t>
            </w:r>
          </w:p>
        </w:tc>
        <w:tc>
          <w:tcPr>
            <w:tcW w:type="dxa" w:w="1440"/>
            <w:shd w:fill="C6EFCE" w:val="clear"/>
          </w:tcPr>
          <w:p>
            <w:r>
              <w:rPr>
                <w:sz w:val="17"/>
              </w:rPr>
              <w:t>2026-10-15</w:t>
            </w:r>
          </w:p>
        </w:tc>
        <w:tc>
          <w:tcPr>
            <w:tcW w:type="dxa" w:w="1440"/>
            <w:shd w:fill="C6EFCE" w:val="clear"/>
          </w:tcPr>
          <w:p>
            <w:r>
              <w:rPr>
                <w:sz w:val="17"/>
              </w:rPr>
              <w:t>4,348</w:t>
            </w:r>
          </w:p>
        </w:tc>
        <w:tc>
          <w:tcPr>
            <w:tcW w:type="dxa" w:w="1440"/>
            <w:shd w:fill="C6EFCE" w:val="clear"/>
          </w:tcPr>
          <w:p>
            <w:r>
              <w:rPr>
                <w:b/>
                <w:sz w:val="17"/>
              </w:rPr>
              <w:t>5,145</w:t>
            </w:r>
          </w:p>
        </w:tc>
        <w:tc>
          <w:tcPr>
            <w:tcW w:type="dxa" w:w="1440"/>
            <w:shd w:fill="C6EFCE" w:val="clear"/>
          </w:tcPr>
          <w:p>
            <w:r>
              <w:rPr>
                <w:sz w:val="17"/>
              </w:rPr>
              <w:t>5,941</w:t>
            </w:r>
          </w:p>
        </w:tc>
        <w:tc>
          <w:tcPr>
            <w:tcW w:type="dxa" w:w="1440"/>
            <w:shd w:fill="C6EFCE" w:val="clear"/>
          </w:tcPr>
          <w:p>
            <w:r>
              <w:rPr>
                <w:b/>
                <w:color w:val="008000"/>
                <w:sz w:val="17"/>
              </w:rPr>
              <w:t>+5.0%</w:t>
            </w:r>
          </w:p>
        </w:tc>
      </w:tr>
      <w:tr>
        <w:tc>
          <w:tcPr>
            <w:tcW w:type="dxa" w:w="1440"/>
            <w:shd w:fill="C6EFCE" w:val="clear"/>
          </w:tcPr>
          <w:p>
            <w:r>
              <w:rPr>
                <w:sz w:val="17"/>
              </w:rPr>
              <w:t>J+9  ⭐</w:t>
            </w:r>
          </w:p>
        </w:tc>
        <w:tc>
          <w:tcPr>
            <w:tcW w:type="dxa" w:w="1440"/>
            <w:shd w:fill="C6EFCE" w:val="clear"/>
          </w:tcPr>
          <w:p>
            <w:r>
              <w:rPr>
                <w:sz w:val="17"/>
              </w:rPr>
              <w:t>2026-10-16</w:t>
            </w:r>
          </w:p>
        </w:tc>
        <w:tc>
          <w:tcPr>
            <w:tcW w:type="dxa" w:w="1440"/>
            <w:shd w:fill="C6EFCE" w:val="clear"/>
          </w:tcPr>
          <w:p>
            <w:r>
              <w:rPr>
                <w:sz w:val="17"/>
              </w:rPr>
              <w:t>4,317</w:t>
            </w:r>
          </w:p>
        </w:tc>
        <w:tc>
          <w:tcPr>
            <w:tcW w:type="dxa" w:w="1440"/>
            <w:shd w:fill="C6EFCE" w:val="clear"/>
          </w:tcPr>
          <w:p>
            <w:r>
              <w:rPr>
                <w:b/>
                <w:sz w:val="17"/>
              </w:rPr>
              <w:t>5,165</w:t>
            </w:r>
          </w:p>
        </w:tc>
        <w:tc>
          <w:tcPr>
            <w:tcW w:type="dxa" w:w="1440"/>
            <w:shd w:fill="C6EFCE" w:val="clear"/>
          </w:tcPr>
          <w:p>
            <w:r>
              <w:rPr>
                <w:sz w:val="17"/>
              </w:rPr>
              <w:t>6,013</w:t>
            </w:r>
          </w:p>
        </w:tc>
        <w:tc>
          <w:tcPr>
            <w:tcW w:type="dxa" w:w="1440"/>
            <w:shd w:fill="C6EFCE" w:val="clear"/>
          </w:tcPr>
          <w:p>
            <w:r>
              <w:rPr>
                <w:b/>
                <w:color w:val="008000"/>
                <w:sz w:val="17"/>
              </w:rPr>
              <w:t>+5.4%</w:t>
            </w:r>
          </w:p>
        </w:tc>
      </w:tr>
      <w:tr>
        <w:tc>
          <w:tcPr>
            <w:tcW w:type="dxa" w:w="1440"/>
            <w:shd w:fill="C6EFCE" w:val="clear"/>
          </w:tcPr>
          <w:p>
            <w:r>
              <w:rPr>
                <w:sz w:val="17"/>
              </w:rPr>
              <w:t>J+10  ⭐</w:t>
            </w:r>
          </w:p>
        </w:tc>
        <w:tc>
          <w:tcPr>
            <w:tcW w:type="dxa" w:w="1440"/>
            <w:shd w:fill="C6EFCE" w:val="clear"/>
          </w:tcPr>
          <w:p>
            <w:r>
              <w:rPr>
                <w:sz w:val="17"/>
              </w:rPr>
              <w:t>2026-10-19</w:t>
            </w:r>
          </w:p>
        </w:tc>
        <w:tc>
          <w:tcPr>
            <w:tcW w:type="dxa" w:w="1440"/>
            <w:shd w:fill="C6EFCE" w:val="clear"/>
          </w:tcPr>
          <w:p>
            <w:r>
              <w:rPr>
                <w:sz w:val="17"/>
              </w:rPr>
              <w:t>4,289</w:t>
            </w:r>
          </w:p>
        </w:tc>
        <w:tc>
          <w:tcPr>
            <w:tcW w:type="dxa" w:w="1440"/>
            <w:shd w:fill="C6EFCE" w:val="clear"/>
          </w:tcPr>
          <w:p>
            <w:r>
              <w:rPr>
                <w:b/>
                <w:sz w:val="17"/>
              </w:rPr>
              <w:t>5,186</w:t>
            </w:r>
          </w:p>
        </w:tc>
        <w:tc>
          <w:tcPr>
            <w:tcW w:type="dxa" w:w="1440"/>
            <w:shd w:fill="C6EFCE" w:val="clear"/>
          </w:tcPr>
          <w:p>
            <w:r>
              <w:rPr>
                <w:sz w:val="17"/>
              </w:rPr>
              <w:t>6,083</w:t>
            </w:r>
          </w:p>
        </w:tc>
        <w:tc>
          <w:tcPr>
            <w:tcW w:type="dxa" w:w="1440"/>
            <w:shd w:fill="C6EFCE" w:val="clear"/>
          </w:tcPr>
          <w:p>
            <w:r>
              <w:rPr>
                <w:b/>
                <w:color w:val="008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101,92 milliards FCFA, BOAN se situe dans la catégorie des valeurs moyennes de la BRVM, représentant une capitalisation modeste à l'échelle régionale mais significative pour le marché nigérien. Le BPA de 20 FCFA/action, extrêmement faible, reflète l'effondrement du résultat net 2025 à 409 millions FCFA. Le PER de 249,2x est anormalement élevé — très loin de la moyenne BRVM (~8-12x) — et signale que le marché valorise le titre sur des perspectives de rebond (le résultat net 2026 visé à ~7,3 milliards FCFA ramènerait le PER vers ~14x), et non sur les bénéfices actuels. Le P/B de 2,83x indique que le marché paie le titre près de 3 fois sa valeur comptable (capitaux propres de 36,06 Mds FCFA), soit une prime de croissance significative. Enfin, l'EV/EBITDA de 38,8x, très supérieur au seuil de 15x, traduit une valorisation exigeante au regard de la capacité opérationnelle actuelle, confirmant que le titre intègre déjà une forte anticipation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progression spectaculaire de +42,03%, portant le cours à 4 900 FCFA, malgré un repli de -2,00% lors de la dernière séance. Le range de trading est particulièrement large, avec un plus haut à 5 645 FCFA et un plus bas à 3 395 FCFA, soit une amplitude de plus de 66% — signe d'une forte volatilité et d'un intérêt marqué des investisseurs. La tendance générale est nettement haussière, portée par les anticipations de redressement post-sanctions et les résultats encourageants du T1 2026. Les statistiques descriptives révèlent une moyenne de 4 666 FCFA inférieure à la médiane de 5 088 FCFA, ce qui indique une distribution légèrement asymétrique à gauche (skewness de -0,370, confirmant une symétrie quasi-parfaite avec une légère queue vers les valeurs basses). L'écart-type de 740 FCFA (CV de 15,9%) traduit une dispersion modérée du cours, tandis que le kurtosis de -1,528 (distribution platykurtique) signale une faible concentration des valeurs autour de la moyenne et un risque de pics moins prononcé qu'une distribution normale. La volatilité annualisée de 41,6% classe le titre dans la catégorie des valeurs à volatilité élevée (&gt;30%), ce qui est cohérent avec le profil de risque du marché nigérien et la sensibilité du titre aux annonces macroéconomiques.</w:t>
      </w:r>
    </w:p>
    <w:p>
      <w:pPr>
        <w:spacing w:after="120" w:line="276" w:lineRule="auto"/>
      </w:pPr>
      <w:r>
        <w:t>---</w:t>
      </w:r>
    </w:p>
    <w:p>
      <w:pPr>
        <w:spacing w:after="120" w:line="276" w:lineRule="auto"/>
      </w:pPr>
      <w:r>
        <w:t>### PARTIE 2 : ANALYSE TECHNIQUE DÉTAILLÉE</w:t>
      </w:r>
    </w:p>
    <w:p>
      <w:pPr>
        <w:spacing w:after="120" w:line="276" w:lineRule="auto"/>
      </w:pPr>
      <w:r>
        <w:t>**Moyennes Mobiles :** La MM20 (5 255,25 FCFA) et la MM50 (5 270,10 FCFA) sont toutes deux supérieures au cours actuel de 4 900 FCFA, et quasi-confondues, ce qui indique une phase de consolidation après la forte hausse. Le cours évoluant sous ses deux moyennes, la décision technique est logiquement **Vente**, signalant une pression baissière de court terme et une possible correction avant reprise.</w:t>
      </w:r>
    </w:p>
    <w:p>
      <w:pPr>
        <w:spacing w:after="120" w:line="276" w:lineRule="auto"/>
      </w:pPr>
      <w:r>
        <w:t>**Bandes de Bollinger :** Le cours (4 900 FCFA) se situe dans la partie basse de la bande, entre la borne inférieure (4 677,29 FCFA) et la borne supérieure (5 833,21 FCFA), sans atteindre les extrêmes. La décision est **Neutre**, ce qui suggère que le titre n'est ni en surachat ni en survente, et que la volatilité actuelle (bande large) laisse place à une possible reprise ou poursuite de la consolidation.</w:t>
      </w:r>
    </w:p>
    <w:p>
      <w:pPr>
        <w:spacing w:after="120" w:line="276" w:lineRule="auto"/>
      </w:pPr>
      <w:r>
        <w:t>**MACD :** La valeur du MACD (-60,411) est inférieure à son signal (-32,101), confirmant une divergence baissière et un momentum négatif. La décision est **Vente**, indiquant que la dynamique de court terme reste défavorable malgré la tendance haussière de fond.</w:t>
      </w:r>
    </w:p>
    <w:p>
      <w:pPr>
        <w:spacing w:after="120" w:line="276" w:lineRule="auto"/>
      </w:pPr>
      <w:r>
        <w:t>**RSI :** À 36,994, le RSI se situe dans la zone neutre basse (30-70), sans atteindre la zone de survente (&lt;30). La décision est **Neutre**, suggérant que le titre n'est pas encore survendu et qu'une poursuite de la baisse reste possible avant un rebond technique.</w:t>
      </w:r>
    </w:p>
    <w:p>
      <w:pPr>
        <w:spacing w:after="120" w:line="276" w:lineRule="auto"/>
      </w:pPr>
      <w:r>
        <w:t>**Stochastique :** Le %K (36,458) est inférieur au %D (50,71), avec un croisement baissier en cours, ce qui confirme la pression vendeuse de court terme. La décision est **Neutre**, mais la configuration suggère une possible accélération baissière si le %K continue de chuter.</w:t>
      </w:r>
    </w:p>
    <w:p>
      <w:pPr>
        <w:spacing w:after="120" w:line="276" w:lineRule="auto"/>
      </w:pPr>
      <w:r>
        <w:t>**Conclusion technique :** L'ensemble des indicateurs techniques convergent vers un signal de **Vente** à court terme (MM, MACD), avec un RSI et un stochastique neutres mais orientés à la baisse. Le cours évolue sous ses moyennes mobiles et dans la partie basse des bandes de Bollinger, ce qui suggère une consolidation voire une correction avant une éventuelle reprise. La divergence entre la tendance haussière de fond (+42% sur 100 jours) et les signaux baissiers de court terme indique une phase de respiration nécessaire après la forte progression.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BOAN a enregistré un Produit Net Bancaire (PNB) de 21 125 millions FCFA, en léger repli de -1,2% par rapport à 2024 (21 380 millions FCFA), dans un contexte de contraction du secteur bancaire nigérien. Le résultat net s'est effondré à 409 millions FCFA, contre 5 002 millions FCFA en 2024, soit une chute de -91,8%, principalement due à une provision exceptionnelle de 4,8 milliards FCFA liée au coût du risque (taux de sinistralité sectoriel de 24%). Les ratios de rentabilité se sont dégradés en conséquence : le ROE chute à 1,13% (contre 11,39% en 2024) et le ROA à 0,14% (contre 1,49% en 2024). Le coefficient d'exploitation s'établit à 74,37%, bien au-dessus du seuil de 60% (banque efficace), reflétant une pression sur les charges. Le coût du risque/charges financières atteint 67,30%, signalant un portefeuille de crédits très dégradé. La structure financière reste solide avec un ratio de solvabilité de 14,06% (conforme aux exigences UEMOA) et un coefficient de liquidité de 123,95%, mais l'autonomie financière est faible (12,36%) et le ratio d'endettement élevé (178,61%). Les dépôts clientèle progressent de +4% à 189 867 millions FCFA, tandis que les crédits reculent de -20,9% à 128 447 millions FCFA, traduisant une politique de réduction sélective des risques.</w:t>
      </w:r>
    </w:p>
    <w:p>
      <w:pPr>
        <w:spacing w:after="120" w:line="276" w:lineRule="auto"/>
      </w:pPr>
      <w:r>
        <w:t>**Estimations basées sur les rapports trimestriels :** Le rapport du T1 2026 (publié le 31 mars 2026) confirme un début de redressement avec un PNB en hausse de +7,9% à 5 170 millions FCFA, un résultat net en progression de +28,9% à 1 467,3 millions FCFA, et un coefficient d'exploitation ramené à 56,2% (contre 66,8% un an plus tôt). Le coût du risque reste élevé (+104,3% à 673,1 millions FCFA), mais la direction qualifie 2025 d'année difficile et table sur un budget 2026 ambitieux : PNB de 22 327 millions FCFA (+6,4%), résultat avant impôts de 7 280 millions FCFA (+515%), et réduction du coût du risque de -65,7%. Sur la base de ces éléments, on estime que l'exercice 2026 devrait marquer un net rebond de la rentabilité, avec un ROE potentiellement supérieur à 10% si les objectifs sont atteints. Les rapports antérieurs (T1 2025, S1 2025, T3 2025) confirment la dégradation progressive tout au long de 2025, avec un point bas atteint au S2 2025 (résultat net de 409 millions FCFA). La recommandation fondamentale est **CONSERVER** avec prudence : la banque dispose d'atouts solides (soutien du groupe BOA, ratios prudentiels conformes, plan de digitalisation), mais les risques (créances douteuses à 24%, instabilité politique, dépendance au pétrole) restent élevés. Une confirmation du redressement sur au moins deux trimestres supplémentaires est nécessaire pour envisager un passage à l'achat.</w:t>
      </w:r>
    </w:p>
    <w:p>
      <w:pPr>
        <w:spacing w:after="120" w:line="276" w:lineRule="auto"/>
      </w:pPr>
      <w:r>
        <w:t>---</w:t>
      </w:r>
    </w:p>
    <w:p>
      <w:pPr>
        <w:spacing w:after="120" w:line="276" w:lineRule="auto"/>
      </w:pPr>
      <w:r>
        <w:t>### PARTIE 4 : CONCLUSION D'INVESTISSEMENT</w:t>
      </w:r>
    </w:p>
    <w:p>
      <w:pPr>
        <w:spacing w:after="120" w:line="276" w:lineRule="auto"/>
      </w:pPr>
      <w:r>
        <w:t>La valorisation de BOAN (Partie 0) apparaît **surévaluée** sur la base des bénéfices actuels (PER de 249,2x, EV/EBITDA de 38,8x), mais le marché intègre déjà une forte anticipation de redressement, ce qui explique la prime accordée (P/B de 2,83x). Le comportement du cours (Partie 1) est haussier sur 100 jours (+42,03%) mais montre des signes de essoufflement récents (-2,00% J-1), avec une volatilité élevée (41,6%) et une distribution platykurtique (risque de pics modéré). Les signaux techniques (Partie 2) sont majoritairement baissiers à court terme (MM, MACD en vente), avec un RSI et un stochastique neutres, suggérant une consolidation avant reprise. Les fondamentaux (Partie 3) restent fragiles pour 2025 (ROE de 1,13%, résultat net en chute de -91,8%), mais les perspectives 2026 sont encourageantes (T1 2026 : résultat net +28,9%, coefficient d'exploitation à 56,2%). Les prédictions IA (J+1 à J+10) tablent sur une légère reprise à 5 029 FCFA (J+1) puis une progression graduelle jusqu'à 5 081 FCFA (J+5), ce qui contredit les signaux techniques baissiers de court terme et suggère que la correction actuelle pourrait être de courte durée. **Recommandation finale : CONSERVER**, avec un niveau de confiance **Moyen** et un risque global **Élevé**. La convergence entre la valorisation exigeante, les signaux techniques baissiers et les fondamentaux encore fragiles justifie une approche prudente, mais le potentiel de rebond en 2026 (porté par la levée des sanctions et la reprise économique nigérienne) incite à ne pas vendre. L'horizon d'investissement optimal est le **moyen terme (3-12 mois)**, le temps que le redressement se confirme sur plusieurs trimestres. Les investisseurs en quête de dividendes ou de rendement immédiat doivent s'abstenir, aucun dividende n'étant prévu à court terme.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293.40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11,703 titres</w:t>
            </w:r>
          </w:p>
        </w:tc>
        <w:tc>
          <w:tcPr>
            <w:tcW w:type="dxa" w:w="2268"/>
            <w:shd w:fill="FFF2CC" w:val="clear"/>
          </w:tcPr>
          <w:p>
            <w:r>
              <w:rPr>
                <w:b/>
                <w:color w:val="503200"/>
                <w:sz w:val="16"/>
              </w:rPr>
              <w:t xml:space="preserve">Cours actuel : </w:t>
            </w:r>
            <w:r>
              <w:rPr>
                <w:color w:val="000000"/>
                <w:sz w:val="17"/>
              </w:rPr>
              <w:t>8,150 FCFA</w:t>
            </w:r>
          </w:p>
          <w:p>
            <w:r>
              <w:rPr>
                <w:b/>
                <w:color w:val="503200"/>
                <w:sz w:val="16"/>
              </w:rPr>
              <w:t xml:space="preserve">Var. 100 jours : </w:t>
            </w:r>
            <w:r>
              <w:rPr>
                <w:b/>
                <w:color w:val="007800"/>
                <w:sz w:val="17"/>
              </w:rPr>
              <w:t>+9.40%</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4.72% (Faible) — μ=7,737 FCFA, σ=365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β=0.5863 (Défensif) — Cov=0.000042, Var(idx)=0.000072, ρ=0.298,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11,703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2026-10-06</w:t>
            </w:r>
          </w:p>
        </w:tc>
        <w:tc>
          <w:tcPr>
            <w:tcW w:type="dxa" w:w="1440"/>
            <w:shd w:fill="FFDCE0" w:val="clear"/>
          </w:tcPr>
          <w:p>
            <w:r>
              <w:rPr>
                <w:sz w:val="17"/>
              </w:rPr>
              <w:t>7,737</w:t>
            </w:r>
          </w:p>
        </w:tc>
        <w:tc>
          <w:tcPr>
            <w:tcW w:type="dxa" w:w="1440"/>
            <w:shd w:fill="FFDCE0" w:val="clear"/>
          </w:tcPr>
          <w:p>
            <w:r>
              <w:rPr>
                <w:b/>
                <w:sz w:val="17"/>
              </w:rPr>
              <w:t>7,971</w:t>
            </w:r>
          </w:p>
        </w:tc>
        <w:tc>
          <w:tcPr>
            <w:tcW w:type="dxa" w:w="1440"/>
            <w:shd w:fill="FFDCE0" w:val="clear"/>
          </w:tcPr>
          <w:p>
            <w:r>
              <w:rPr>
                <w:sz w:val="17"/>
              </w:rPr>
              <w:t>8,206</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2026-10-07</w:t>
            </w:r>
          </w:p>
        </w:tc>
        <w:tc>
          <w:tcPr>
            <w:tcW w:type="dxa" w:w="1440"/>
            <w:shd w:fill="FFDCE0" w:val="clear"/>
          </w:tcPr>
          <w:p>
            <w:r>
              <w:rPr>
                <w:sz w:val="17"/>
              </w:rPr>
              <w:t>7,526</w:t>
            </w:r>
          </w:p>
        </w:tc>
        <w:tc>
          <w:tcPr>
            <w:tcW w:type="dxa" w:w="1440"/>
            <w:shd w:fill="FFDCE0" w:val="clear"/>
          </w:tcPr>
          <w:p>
            <w:r>
              <w:rPr>
                <w:b/>
                <w:sz w:val="17"/>
              </w:rPr>
              <w:t>7,852</w:t>
            </w:r>
          </w:p>
        </w:tc>
        <w:tc>
          <w:tcPr>
            <w:tcW w:type="dxa" w:w="1440"/>
            <w:shd w:fill="FFDCE0" w:val="clear"/>
          </w:tcPr>
          <w:p>
            <w:r>
              <w:rPr>
                <w:sz w:val="17"/>
              </w:rPr>
              <w:t>8,179</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2026-10-08</w:t>
            </w:r>
          </w:p>
        </w:tc>
        <w:tc>
          <w:tcPr>
            <w:tcW w:type="dxa" w:w="1440"/>
            <w:shd w:fill="FFDCE0" w:val="clear"/>
          </w:tcPr>
          <w:p>
            <w:r>
              <w:rPr>
                <w:sz w:val="17"/>
              </w:rPr>
              <w:t>7,344</w:t>
            </w:r>
          </w:p>
        </w:tc>
        <w:tc>
          <w:tcPr>
            <w:tcW w:type="dxa" w:w="1440"/>
            <w:shd w:fill="FFDCE0" w:val="clear"/>
          </w:tcPr>
          <w:p>
            <w:r>
              <w:rPr>
                <w:b/>
                <w:sz w:val="17"/>
              </w:rPr>
              <w:t>7,739</w:t>
            </w:r>
          </w:p>
        </w:tc>
        <w:tc>
          <w:tcPr>
            <w:tcW w:type="dxa" w:w="1440"/>
            <w:shd w:fill="FFDCE0" w:val="clear"/>
          </w:tcPr>
          <w:p>
            <w:r>
              <w:rPr>
                <w:sz w:val="17"/>
              </w:rPr>
              <w:t>8,133</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2026-10-09</w:t>
            </w:r>
          </w:p>
        </w:tc>
        <w:tc>
          <w:tcPr>
            <w:tcW w:type="dxa" w:w="1440"/>
            <w:shd w:fill="FFDCE0" w:val="clear"/>
          </w:tcPr>
          <w:p>
            <w:r>
              <w:rPr>
                <w:sz w:val="17"/>
              </w:rPr>
              <w:t>7,186</w:t>
            </w:r>
          </w:p>
        </w:tc>
        <w:tc>
          <w:tcPr>
            <w:tcW w:type="dxa" w:w="1440"/>
            <w:shd w:fill="FFDCE0" w:val="clear"/>
          </w:tcPr>
          <w:p>
            <w:r>
              <w:rPr>
                <w:b/>
                <w:sz w:val="17"/>
              </w:rPr>
              <w:t>7,635</w:t>
            </w:r>
          </w:p>
        </w:tc>
        <w:tc>
          <w:tcPr>
            <w:tcW w:type="dxa" w:w="1440"/>
            <w:shd w:fill="FFDCE0" w:val="clear"/>
          </w:tcPr>
          <w:p>
            <w:r>
              <w:rPr>
                <w:sz w:val="17"/>
              </w:rPr>
              <w:t>8,084</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2026-10-12</w:t>
            </w:r>
          </w:p>
        </w:tc>
        <w:tc>
          <w:tcPr>
            <w:tcW w:type="dxa" w:w="1440"/>
            <w:shd w:fill="FFDCE0" w:val="clear"/>
          </w:tcPr>
          <w:p>
            <w:r>
              <w:rPr>
                <w:sz w:val="17"/>
              </w:rPr>
              <w:t>7,041</w:t>
            </w:r>
          </w:p>
        </w:tc>
        <w:tc>
          <w:tcPr>
            <w:tcW w:type="dxa" w:w="1440"/>
            <w:shd w:fill="FFDCE0" w:val="clear"/>
          </w:tcPr>
          <w:p>
            <w:r>
              <w:rPr>
                <w:b/>
                <w:sz w:val="17"/>
              </w:rPr>
              <w:t>7,537</w:t>
            </w:r>
          </w:p>
        </w:tc>
        <w:tc>
          <w:tcPr>
            <w:tcW w:type="dxa" w:w="1440"/>
            <w:shd w:fill="FFDCE0" w:val="clear"/>
          </w:tcPr>
          <w:p>
            <w:r>
              <w:rPr>
                <w:sz w:val="17"/>
              </w:rPr>
              <w:t>8,033</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2026-10-13</w:t>
            </w:r>
          </w:p>
        </w:tc>
        <w:tc>
          <w:tcPr>
            <w:tcW w:type="dxa" w:w="1440"/>
            <w:shd w:fill="FFDCE0" w:val="clear"/>
          </w:tcPr>
          <w:p>
            <w:r>
              <w:rPr>
                <w:sz w:val="17"/>
              </w:rPr>
              <w:t>6,908</w:t>
            </w:r>
          </w:p>
        </w:tc>
        <w:tc>
          <w:tcPr>
            <w:tcW w:type="dxa" w:w="1440"/>
            <w:shd w:fill="FFDCE0" w:val="clear"/>
          </w:tcPr>
          <w:p>
            <w:r>
              <w:rPr>
                <w:b/>
                <w:sz w:val="17"/>
              </w:rPr>
              <w:t>7,444</w:t>
            </w:r>
          </w:p>
        </w:tc>
        <w:tc>
          <w:tcPr>
            <w:tcW w:type="dxa" w:w="1440"/>
            <w:shd w:fill="FFDCE0" w:val="clear"/>
          </w:tcPr>
          <w:p>
            <w:r>
              <w:rPr>
                <w:sz w:val="17"/>
              </w:rPr>
              <w:t>7,981</w:t>
            </w:r>
          </w:p>
        </w:tc>
        <w:tc>
          <w:tcPr>
            <w:tcW w:type="dxa" w:w="1440"/>
            <w:shd w:fill="FFDCE0" w:val="clear"/>
          </w:tcPr>
          <w:p>
            <w:r>
              <w:rPr>
                <w:b/>
                <w:color w:val="C00000"/>
                <w:sz w:val="17"/>
              </w:rPr>
              <w:t>-8.7%</w:t>
            </w:r>
          </w:p>
        </w:tc>
      </w:tr>
      <w:tr>
        <w:tc>
          <w:tcPr>
            <w:tcW w:type="dxa" w:w="1440"/>
            <w:shd w:fill="FFDCE0" w:val="clear"/>
          </w:tcPr>
          <w:p>
            <w:r>
              <w:rPr>
                <w:sz w:val="17"/>
              </w:rPr>
              <w:t>J+7  Moyenne</w:t>
            </w:r>
          </w:p>
        </w:tc>
        <w:tc>
          <w:tcPr>
            <w:tcW w:type="dxa" w:w="1440"/>
            <w:shd w:fill="FFDCE0" w:val="clear"/>
          </w:tcPr>
          <w:p>
            <w:r>
              <w:rPr>
                <w:sz w:val="17"/>
              </w:rPr>
              <w:t>2026-10-14</w:t>
            </w:r>
          </w:p>
        </w:tc>
        <w:tc>
          <w:tcPr>
            <w:tcW w:type="dxa" w:w="1440"/>
            <w:shd w:fill="FFDCE0" w:val="clear"/>
          </w:tcPr>
          <w:p>
            <w:r>
              <w:rPr>
                <w:sz w:val="17"/>
              </w:rPr>
              <w:t>6,783</w:t>
            </w:r>
          </w:p>
        </w:tc>
        <w:tc>
          <w:tcPr>
            <w:tcW w:type="dxa" w:w="1440"/>
            <w:shd w:fill="FFDCE0" w:val="clear"/>
          </w:tcPr>
          <w:p>
            <w:r>
              <w:rPr>
                <w:b/>
                <w:sz w:val="17"/>
              </w:rPr>
              <w:t>7,355</w:t>
            </w:r>
          </w:p>
        </w:tc>
        <w:tc>
          <w:tcPr>
            <w:tcW w:type="dxa" w:w="1440"/>
            <w:shd w:fill="FFDCE0" w:val="clear"/>
          </w:tcPr>
          <w:p>
            <w:r>
              <w:rPr>
                <w:sz w:val="17"/>
              </w:rPr>
              <w:t>7,928</w:t>
            </w:r>
          </w:p>
        </w:tc>
        <w:tc>
          <w:tcPr>
            <w:tcW w:type="dxa" w:w="1440"/>
            <w:shd w:fill="FFDCE0" w:val="clear"/>
          </w:tcPr>
          <w:p>
            <w:r>
              <w:rPr>
                <w:b/>
                <w:color w:val="C00000"/>
                <w:sz w:val="17"/>
              </w:rPr>
              <w:t>-9.7%</w:t>
            </w:r>
          </w:p>
        </w:tc>
      </w:tr>
      <w:tr>
        <w:tc>
          <w:tcPr>
            <w:tcW w:type="dxa" w:w="1440"/>
            <w:shd w:fill="FFDCE0" w:val="clear"/>
          </w:tcPr>
          <w:p>
            <w:r>
              <w:rPr>
                <w:sz w:val="17"/>
              </w:rPr>
              <w:t>J+8  Moyenne</w:t>
            </w:r>
          </w:p>
        </w:tc>
        <w:tc>
          <w:tcPr>
            <w:tcW w:type="dxa" w:w="1440"/>
            <w:shd w:fill="FFDCE0" w:val="clear"/>
          </w:tcPr>
          <w:p>
            <w:r>
              <w:rPr>
                <w:sz w:val="17"/>
              </w:rPr>
              <w:t>2026-10-15</w:t>
            </w:r>
          </w:p>
        </w:tc>
        <w:tc>
          <w:tcPr>
            <w:tcW w:type="dxa" w:w="1440"/>
            <w:shd w:fill="FFDCE0" w:val="clear"/>
          </w:tcPr>
          <w:p>
            <w:r>
              <w:rPr>
                <w:sz w:val="17"/>
              </w:rPr>
              <w:t>6,666</w:t>
            </w:r>
          </w:p>
        </w:tc>
        <w:tc>
          <w:tcPr>
            <w:tcW w:type="dxa" w:w="1440"/>
            <w:shd w:fill="FFDCE0" w:val="clear"/>
          </w:tcPr>
          <w:p>
            <w:r>
              <w:rPr>
                <w:b/>
                <w:sz w:val="17"/>
              </w:rPr>
              <w:t>7,271</w:t>
            </w:r>
          </w:p>
        </w:tc>
        <w:tc>
          <w:tcPr>
            <w:tcW w:type="dxa" w:w="1440"/>
            <w:shd w:fill="FFDCE0" w:val="clear"/>
          </w:tcPr>
          <w:p>
            <w:r>
              <w:rPr>
                <w:sz w:val="17"/>
              </w:rPr>
              <w:t>7,876</w:t>
            </w:r>
          </w:p>
        </w:tc>
        <w:tc>
          <w:tcPr>
            <w:tcW w:type="dxa" w:w="1440"/>
            <w:shd w:fill="FFDCE0" w:val="clear"/>
          </w:tcPr>
          <w:p>
            <w:r>
              <w:rPr>
                <w:b/>
                <w:color w:val="C00000"/>
                <w:sz w:val="17"/>
              </w:rPr>
              <w:t>-10.8%</w:t>
            </w:r>
          </w:p>
        </w:tc>
      </w:tr>
      <w:tr>
        <w:tc>
          <w:tcPr>
            <w:tcW w:type="dxa" w:w="1440"/>
            <w:shd w:fill="FFDCE0" w:val="clear"/>
          </w:tcPr>
          <w:p>
            <w:r>
              <w:rPr>
                <w:sz w:val="17"/>
              </w:rPr>
              <w:t>J+9  Moyenne</w:t>
            </w:r>
          </w:p>
        </w:tc>
        <w:tc>
          <w:tcPr>
            <w:tcW w:type="dxa" w:w="1440"/>
            <w:shd w:fill="FFDCE0" w:val="clear"/>
          </w:tcPr>
          <w:p>
            <w:r>
              <w:rPr>
                <w:sz w:val="17"/>
              </w:rPr>
              <w:t>2026-10-16</w:t>
            </w:r>
          </w:p>
        </w:tc>
        <w:tc>
          <w:tcPr>
            <w:tcW w:type="dxa" w:w="1440"/>
            <w:shd w:fill="FFDCE0" w:val="clear"/>
          </w:tcPr>
          <w:p>
            <w:r>
              <w:rPr>
                <w:sz w:val="17"/>
              </w:rPr>
              <w:t>6,555</w:t>
            </w:r>
          </w:p>
        </w:tc>
        <w:tc>
          <w:tcPr>
            <w:tcW w:type="dxa" w:w="1440"/>
            <w:shd w:fill="FFDCE0" w:val="clear"/>
          </w:tcPr>
          <w:p>
            <w:r>
              <w:rPr>
                <w:b/>
                <w:sz w:val="17"/>
              </w:rPr>
              <w:t>7,190</w:t>
            </w:r>
          </w:p>
        </w:tc>
        <w:tc>
          <w:tcPr>
            <w:tcW w:type="dxa" w:w="1440"/>
            <w:shd w:fill="FFDCE0" w:val="clear"/>
          </w:tcPr>
          <w:p>
            <w:r>
              <w:rPr>
                <w:sz w:val="17"/>
              </w:rPr>
              <w:t>7,824</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2026-10-19</w:t>
            </w:r>
          </w:p>
        </w:tc>
        <w:tc>
          <w:tcPr>
            <w:tcW w:type="dxa" w:w="1440"/>
            <w:shd w:fill="FFDCE0" w:val="clear"/>
          </w:tcPr>
          <w:p>
            <w:r>
              <w:rPr>
                <w:sz w:val="17"/>
              </w:rPr>
              <w:t>6,451</w:t>
            </w:r>
          </w:p>
        </w:tc>
        <w:tc>
          <w:tcPr>
            <w:tcW w:type="dxa" w:w="1440"/>
            <w:shd w:fill="FFDCE0" w:val="clear"/>
          </w:tcPr>
          <w:p>
            <w:r>
              <w:rPr>
                <w:b/>
                <w:sz w:val="17"/>
              </w:rPr>
              <w:t>7,112</w:t>
            </w:r>
          </w:p>
        </w:tc>
        <w:tc>
          <w:tcPr>
            <w:tcW w:type="dxa" w:w="1440"/>
            <w:shd w:fill="FFDCE0" w:val="clear"/>
          </w:tcPr>
          <w:p>
            <w:r>
              <w:rPr>
                <w:sz w:val="17"/>
              </w:rPr>
              <w:t>7,774</w:t>
            </w:r>
          </w:p>
        </w:tc>
        <w:tc>
          <w:tcPr>
            <w:tcW w:type="dxa" w:w="1440"/>
            <w:shd w:fill="FFDCE0" w:val="clear"/>
          </w:tcPr>
          <w:p>
            <w:r>
              <w:rPr>
                <w:b/>
                <w:color w:val="C00000"/>
                <w:sz w:val="17"/>
              </w:rPr>
              <w:t>-12.7%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BANK OF AFRICA SÉNÉGAL (BOAS)</w:t>
        <w:br/>
        <w:t>### BRVM | Secteur : Banque | Cours de référence : 8 150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293,40 milliards FCFA, BOAS s'impose comme l'une des valeurs bancaires de premier plan de la BRVM, ce qui lui confère une liquidité relative appréciable au sein de la cote. Le BPA de 608 FCFA/action signifie que chaque titre génère près de 608 FCFA de bénéfice net, un niveau de rentabilité par action solide pour le secteur. Le PER de 13,4x situe le titre légèrement au-dessus de la moyenne BRVM (8-12x), traduisant une prime modérée mais justifiée par la qualité des fondamentaux, sans basculer dans une zone de surévaluation spéculative. Le P/B de 3,04x indique que le marché valorise la banque à environ trois fois ses fonds propres comptables, ce qui reflète une prime de croissance et de rentabilité (ROE &gt; 20%) bien supérieure au coût du capital. Enfin, l'EV/EBITDA de 8,7x, dans la fourchette raisonnable de 5-10x, suggère que la valeur d'entreprise reste cohérente avec la capacité opérationnelle de génération de résultats, l'ensemble de ces ratios dessinant un profil de valorisation équilibré, ni décoté ni excessif.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BOAS affiche une performance positive de +9,40%, malgré un léger repli de -0,31% lors de la dernière séance, signe d'une consolidation ponctuelle après un mouvement haussier. Le titre a évolué dans un range de 1 250 FCFA, entre un plus bas de 7 250 FCFA et un plus haut de 8 500 FCFA, le cours actuel de 8 150 FCFA se situant dans la partie haute de cette fourchette, ce qui confirme une tendance générale haussière. Les statistiques descriptives révèlent une moyenne de 7 737 FCFA très proche de la médiane (7 700 FCFA) et du mode (7 700 FCFA), indiquant une distribution quasi symétrique sans biais marqué, confirmée par un skewness de 0,373 (distribution symétrique). L'écart-type de 367 FCFA, associé à un coefficient de variation de seulement 4,7%, témoigne d'une dispersion très faible du cours autour de sa moyenne, gage de stabilité. Le kurtosis de -1,170 (distribution platykurtique) signale une distribution aplatie avec une faible concentration autour de la moyenne et un risque de pics extrêmes limité, ce qui est rassurant pour la gestion du risque. Enfin, la volatilité annualisée de 26,5% place le titre dans la catégorie des valeurs à volatilité modérée (15-30%), cohérente avec un profil bancaire défensif mais exposé aux aléas macroéconomiques régionaux.</w:t>
      </w:r>
    </w:p>
    <w:p>
      <w:pPr>
        <w:spacing w:after="120" w:line="276" w:lineRule="auto"/>
      </w:pPr>
      <w:r>
        <w:t>---</w:t>
      </w:r>
    </w:p>
    <w:p>
      <w:pPr>
        <w:spacing w:after="120" w:line="276" w:lineRule="auto"/>
      </w:pPr>
      <w:r>
        <w:t>## PARTIE 2 : ANALYSE TECHNIQUE DÉTAILLÉE</w:t>
      </w:r>
    </w:p>
    <w:p>
      <w:pPr>
        <w:spacing w:after="120" w:line="276" w:lineRule="auto"/>
      </w:pPr>
      <w:r>
        <w:t>**Moyennes Mobiles** : La MM20 (8 129,5 FCFA) et la MM50 (8 020,2 FCFA) se situent toutes deux sous le cours actuel de 8 150 FCFA, avec une MM20 supérieure à la MM50, configuration typique d'un croisement haussier (golden cross) confirmant la dynamique positive. Le cours évoluant au-dessus de ses deux moyennes, la décision technique est logiquement à l'**Achat**, la structure de tendance restant favorable tant que le support des 8 020 FCFA tient.</w:t>
      </w:r>
    </w:p>
    <w:p>
      <w:pPr>
        <w:spacing w:after="120" w:line="276" w:lineRule="auto"/>
      </w:pPr>
      <w:r>
        <w:t>**Bandes de Bollinger** : Le cours (8 150 FCFA) se situe à mi-chemin entre la borne supérieure (8 481,77 FCFA) et la borne inférieure (7 777,23 FCFA), sans contact avec les extrêmes, ce qui traduit une phase de consolidation neutre. L'absence de rupture de bande indique une volatilité contenue et l'absence de signal directionnel fort, justifiant la décision **Neutre** ; un franchissement de 8 482 FCFA serait nécessaire pour valider une accélération haussière.</w:t>
      </w:r>
    </w:p>
    <w:p>
      <w:pPr>
        <w:spacing w:after="120" w:line="276" w:lineRule="auto"/>
      </w:pPr>
      <w:r>
        <w:t>**MACD** : Le MACD (13,623) est inférieur à sa ligne de signal (15,63), générant un croisement baissier qui traduit un essoufflement du momentum haussier à court terme. Cette divergence négative, bien que modérée, plaide pour la prudence et justifie la décision de **Vente** technique, le titre pouvant connaître une respiration avant de reprendre sa tendance de fond.</w:t>
      </w:r>
    </w:p>
    <w:p>
      <w:pPr>
        <w:spacing w:after="120" w:line="276" w:lineRule="auto"/>
      </w:pPr>
      <w:r>
        <w:t>**RSI** : À 42,0, le RSI se situe en zone neutre (30-70), légèrement sous le seuil médian de 50, ce qui indique une dynamique acheteuse affaiblie sans pour autant basculer en survente (&lt;30). La décision est donc **Neutre**, le titre disposant encore d'une marge de progression avant d'atteindre des niveaux de surachat.</w:t>
      </w:r>
    </w:p>
    <w:p>
      <w:pPr>
        <w:spacing w:after="120" w:line="276" w:lineRule="auto"/>
      </w:pPr>
      <w:r>
        <w:t>**Stochastique** : Le %K (76,923) est légèrement supérieur au %D (74,212), les deux lignes évoluant en zone haute (&gt;70), proche du seuil de surachat. L'absence de croisement baissier franc et la proximité des sommets suggèrent une décision **Neutre**, avec un risque de retournement à surveiller si le %K venait à croiser le %D à la baisse.</w:t>
      </w:r>
    </w:p>
    <w:p>
      <w:pPr>
        <w:spacing w:after="120" w:line="276" w:lineRule="auto"/>
      </w:pPr>
      <w:r>
        <w:t>**Conclusion technique** : Les indicateurs présentent un tableau mitigé — la structure de fond reste haussière (cours &gt; MM20 &gt; MM50), mais le MACD baissier, le RSI neutre et le stochastique proche du surachat signalent un essoufflement à court terme. Le titre semble entrer dans une phase de consolidation, avec un support clé à 8 020 FCFA (MM50) et une résistance à 8 482 FCFA (borne supérieure de Bollinger). La convergence des signaux neutres suggère une attente avant tout nouvel engagement directionnel.</w:t>
      </w:r>
    </w:p>
    <w:p>
      <w:pPr>
        <w:spacing w:after="120" w:line="276" w:lineRule="auto"/>
      </w:pPr>
      <w:r>
        <w:t>---</w:t>
      </w:r>
    </w:p>
    <w:p>
      <w:pPr>
        <w:spacing w:after="120" w:line="276" w:lineRule="auto"/>
      </w:pPr>
      <w:r>
        <w:t>## PARTIE 3 : ANALYSE FONDAMENTALE</w:t>
      </w:r>
    </w:p>
    <w:p>
      <w:pPr>
        <w:spacing w:after="120" w:line="276" w:lineRule="auto"/>
      </w:pPr>
      <w:r>
        <w:t>En 2025, BOAS affiche des fondamentaux bancaires de haute qualité : le Produit Net Bancaire (équivalent du chiffre d'affaires pour une banque) s'établit à 51,926 milliards FCFA, pour un résultat net de 21,905 milliards FCFA, soit une marge nette remarquable de 42,19%. La rentabilité des fonds propres (ROE) atteint 22,69%, largement supérieure au seuil d'excellence de 15%, tandis que le ROA de 2,62% confirme l'efficacité de l'utilisation des actifs. Le coefficient d'exploitation de 44,02% place la banque dans la catégorie des établissements très efficaces (&lt;50%), bien en deçà du seuil critique de 60%. Le coût du risque, à 23,31% des charges financières, reste un point de vigilance, reflétant une exposition significative au risque de crédit dans un environnement sénégalais incertain. La structure bilancielle montre une forte capacité de collecte (dépôts clientèle de 686,927 milliards FCFA) face à des créances clientèle de 386,424 milliards FCFA, soit un ratio de transformation de 56%, indiquant une marge de déploiement des dépôts. Les rapports trimestriels confirment cette dynamique : le rapport du T1 2026 (publié le 31 mars 2026) fait état d'un PNB de 12 580 millions FCFA (+6,82%) et d'un résultat net de 5 741 millions FCFA (+9,78%), avec un coefficient d'exploitation amélioré à 42,1%. Le rapport du T3 2025 (30 septembre 2025) montrait déjà un PNB cumulé de 37,44 milliards FCFA (+6,71%) et un résultat net de 16,37 milliards FCFA (+10,01%), avec un coût du risque en baisse à -0,5% du PNB. Sur la base de ces tendances, on estime que l'exercice 2026 devrait enregistrer une croissance du PNB de l'ordre de 6-7% et une progression du résultat net de 8-10%, soutenue par la hausse des dépôts (+13,6% au T1 2026) et l'amélioration continue de l'efficacité opérationnelle. La recommandation fondamentale est donc **solide** : la banque combine croissance, rentabilité et efficacité, avec un risque principal lié au coût du crédit et à la concentration sur le marché sénégalais.</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profil d'investissement équilibré mais nuancé. Sur le plan de la **valorisation (Partie 0)**, les ratios PER (13,4x), P/B (3,04x) et EV/EBITDA (8,7x) indiquent une valorisation raisonnable, légèrement supérieure à la moyenne du marché mais justifiée par un ROE de 22,69% — le titre n'est ni sous-évalué ni surévalué. Le **comportement du cours (Partie 1)** est favorable : tendance haussière (+9,40%), volatilité modérée (26,5%), distribution symétrique et faible dispersion (CV 4,7%), avec un kurtosis négatif limitant le risque de pics extrêmes. Les **signaux techniques (Partie 2)** sont toutefois divergents : la structure MM reste haussière, mais le MACD baissier, le RSI neutre et le stochastique proche du surachat plaident pour une consolidation à court terme. Les **fondamentaux (Partie 3)** sont solides, avec un ROE de 22,69%, un coefficient d'exploitation de 44,02% et une croissance confirmée par les rapports T1 2026 (+9,78% de résultat net). Les **prédictions IA (J+1 à J+10)** anticipent une trajectoire baissière (7 971 → 7 537 FCFA), contredisant la tendance de fond mais cohérente avec l'essoufflement technique détecté. Face à cette divergence entre fondamentaux solides et signaux techniques/predictifs baissiers à court terme, la recommandation finale est **CONSERVER**, avec un biais positif pour les investisseurs déjà positionnés. Le niveau de confiance est **Moyen** (divergence technique/fondamental) et le risque global **Moyen** (coût du risque élevé, concentration géographique). L'horizon optimal est le **moyen terme (3-12 mois)**, le temps que la consolidation technique s'achève et que la croissance fondamentale se matérialise dans les cours, avec un point d'entrée plus attractif envisageable vers 7 700-7 800 FCFA (zone de la moyenne et de la borne inférieure de Bollinger).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2,052 titres</w:t>
            </w:r>
          </w:p>
        </w:tc>
        <w:tc>
          <w:tcPr>
            <w:tcW w:type="dxa" w:w="2268"/>
            <w:shd w:fill="FFF2CC" w:val="clear"/>
          </w:tcPr>
          <w:p>
            <w:r>
              <w:rPr>
                <w:b/>
                <w:color w:val="503200"/>
                <w:sz w:val="16"/>
              </w:rPr>
              <w:t xml:space="preserve">Cours actuel : </w:t>
            </w:r>
            <w:r>
              <w:rPr>
                <w:color w:val="000000"/>
                <w:sz w:val="17"/>
              </w:rPr>
              <w:t>3,345 FCFA</w:t>
            </w:r>
          </w:p>
          <w:p>
            <w:r>
              <w:rPr>
                <w:b/>
                <w:color w:val="503200"/>
                <w:sz w:val="16"/>
              </w:rPr>
              <w:t xml:space="preserve">Var. 100 jours : </w:t>
            </w:r>
            <w:r>
              <w:rPr>
                <w:b/>
                <w:color w:val="B40000"/>
                <w:sz w:val="17"/>
              </w:rPr>
              <w:t>-4.43%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7.89% (Moyenne) — μ=3,681 FCFA, σ=290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β=0.3721 (Défensif) — Cov=0.000027, Var(idx)=0.000072, ρ=0.111,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3,236</w:t>
            </w:r>
          </w:p>
        </w:tc>
        <w:tc>
          <w:tcPr>
            <w:tcW w:type="dxa" w:w="1440"/>
            <w:shd w:fill="FAFAFA" w:val="clear"/>
          </w:tcPr>
          <w:p>
            <w:r>
              <w:rPr>
                <w:b/>
                <w:sz w:val="17"/>
              </w:rPr>
              <w:t>3,340</w:t>
            </w:r>
          </w:p>
        </w:tc>
        <w:tc>
          <w:tcPr>
            <w:tcW w:type="dxa" w:w="1440"/>
            <w:shd w:fill="FAFAFA" w:val="clear"/>
          </w:tcPr>
          <w:p>
            <w:r>
              <w:rPr>
                <w:sz w:val="17"/>
              </w:rPr>
              <w:t>3,443</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3,182</w:t>
            </w:r>
          </w:p>
        </w:tc>
        <w:tc>
          <w:tcPr>
            <w:tcW w:type="dxa" w:w="1440"/>
            <w:shd w:fill="FAFAFA" w:val="clear"/>
          </w:tcPr>
          <w:p>
            <w:r>
              <w:rPr>
                <w:b/>
                <w:sz w:val="17"/>
              </w:rPr>
              <w:t>3,327</w:t>
            </w:r>
          </w:p>
        </w:tc>
        <w:tc>
          <w:tcPr>
            <w:tcW w:type="dxa" w:w="1440"/>
            <w:shd w:fill="FAFAFA" w:val="clear"/>
          </w:tcPr>
          <w:p>
            <w:r>
              <w:rPr>
                <w:sz w:val="17"/>
              </w:rPr>
              <w:t>3,472</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3,141</w:t>
            </w:r>
          </w:p>
        </w:tc>
        <w:tc>
          <w:tcPr>
            <w:tcW w:type="dxa" w:w="1440"/>
            <w:shd w:fill="FAFAFA" w:val="clear"/>
          </w:tcPr>
          <w:p>
            <w:r>
              <w:rPr>
                <w:b/>
                <w:sz w:val="17"/>
              </w:rPr>
              <w:t>3,319</w:t>
            </w:r>
          </w:p>
        </w:tc>
        <w:tc>
          <w:tcPr>
            <w:tcW w:type="dxa" w:w="1440"/>
            <w:shd w:fill="FAFAFA" w:val="clear"/>
          </w:tcPr>
          <w:p>
            <w:r>
              <w:rPr>
                <w:sz w:val="17"/>
              </w:rPr>
              <w:t>3,496</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2026-10-09</w:t>
            </w:r>
          </w:p>
        </w:tc>
        <w:tc>
          <w:tcPr>
            <w:tcW w:type="dxa" w:w="1440"/>
            <w:shd w:fill="FAFAFA" w:val="clear"/>
          </w:tcPr>
          <w:p>
            <w:r>
              <w:rPr>
                <w:sz w:val="17"/>
              </w:rPr>
              <w:t>3,109</w:t>
            </w:r>
          </w:p>
        </w:tc>
        <w:tc>
          <w:tcPr>
            <w:tcW w:type="dxa" w:w="1440"/>
            <w:shd w:fill="FAFAFA" w:val="clear"/>
          </w:tcPr>
          <w:p>
            <w:r>
              <w:rPr>
                <w:b/>
                <w:sz w:val="17"/>
              </w:rPr>
              <w:t>3,313</w:t>
            </w:r>
          </w:p>
        </w:tc>
        <w:tc>
          <w:tcPr>
            <w:tcW w:type="dxa" w:w="1440"/>
            <w:shd w:fill="FAFAFA" w:val="clear"/>
          </w:tcPr>
          <w:p>
            <w:r>
              <w:rPr>
                <w:sz w:val="17"/>
              </w:rPr>
              <w:t>3,518</w:t>
            </w:r>
          </w:p>
        </w:tc>
        <w:tc>
          <w:tcPr>
            <w:tcW w:type="dxa" w:w="1440"/>
            <w:shd w:fill="FAFAFA" w:val="clear"/>
          </w:tcPr>
          <w:p>
            <w:r>
              <w:rPr>
                <w:b/>
                <w:color w:val="C00000"/>
                <w:sz w:val="17"/>
              </w:rPr>
              <w:t>-0.9%</w:t>
            </w:r>
          </w:p>
        </w:tc>
      </w:tr>
      <w:tr>
        <w:tc>
          <w:tcPr>
            <w:tcW w:type="dxa" w:w="1440"/>
            <w:shd w:fill="FAFAFA" w:val="clear"/>
          </w:tcPr>
          <w:p>
            <w:r>
              <w:rPr>
                <w:sz w:val="17"/>
              </w:rPr>
              <w:t>J+5  Moyenne</w:t>
            </w:r>
          </w:p>
        </w:tc>
        <w:tc>
          <w:tcPr>
            <w:tcW w:type="dxa" w:w="1440"/>
            <w:shd w:fill="FAFAFA" w:val="clear"/>
          </w:tcPr>
          <w:p>
            <w:r>
              <w:rPr>
                <w:sz w:val="17"/>
              </w:rPr>
              <w:t>2026-10-12</w:t>
            </w:r>
          </w:p>
        </w:tc>
        <w:tc>
          <w:tcPr>
            <w:tcW w:type="dxa" w:w="1440"/>
            <w:shd w:fill="FAFAFA" w:val="clear"/>
          </w:tcPr>
          <w:p>
            <w:r>
              <w:rPr>
                <w:sz w:val="17"/>
              </w:rPr>
              <w:t>3,082</w:t>
            </w:r>
          </w:p>
        </w:tc>
        <w:tc>
          <w:tcPr>
            <w:tcW w:type="dxa" w:w="1440"/>
            <w:shd w:fill="FAFAFA" w:val="clear"/>
          </w:tcPr>
          <w:p>
            <w:r>
              <w:rPr>
                <w:b/>
                <w:sz w:val="17"/>
              </w:rPr>
              <w:t>3,310</w:t>
            </w:r>
          </w:p>
        </w:tc>
        <w:tc>
          <w:tcPr>
            <w:tcW w:type="dxa" w:w="1440"/>
            <w:shd w:fill="FAFAFA" w:val="clear"/>
          </w:tcPr>
          <w:p>
            <w:r>
              <w:rPr>
                <w:sz w:val="17"/>
              </w:rPr>
              <w:t>3,538</w:t>
            </w:r>
          </w:p>
        </w:tc>
        <w:tc>
          <w:tcPr>
            <w:tcW w:type="dxa" w:w="1440"/>
            <w:shd w:fill="FAFAFA" w:val="clear"/>
          </w:tcPr>
          <w:p>
            <w:r>
              <w:rPr>
                <w:b/>
                <w:color w:val="C00000"/>
                <w:sz w:val="17"/>
              </w:rPr>
              <w:t>-1.0%</w:t>
            </w:r>
          </w:p>
        </w:tc>
      </w:tr>
      <w:tr>
        <w:tc>
          <w:tcPr>
            <w:tcW w:type="dxa" w:w="1440"/>
            <w:shd w:fill="FAFAFA" w:val="clear"/>
          </w:tcPr>
          <w:p>
            <w:r>
              <w:rPr>
                <w:sz w:val="17"/>
              </w:rPr>
              <w:t>J+6  Moyenne</w:t>
            </w:r>
          </w:p>
        </w:tc>
        <w:tc>
          <w:tcPr>
            <w:tcW w:type="dxa" w:w="1440"/>
            <w:shd w:fill="FAFAFA" w:val="clear"/>
          </w:tcPr>
          <w:p>
            <w:r>
              <w:rPr>
                <w:sz w:val="17"/>
              </w:rPr>
              <w:t>2026-10-13</w:t>
            </w:r>
          </w:p>
        </w:tc>
        <w:tc>
          <w:tcPr>
            <w:tcW w:type="dxa" w:w="1440"/>
            <w:shd w:fill="FAFAFA" w:val="clear"/>
          </w:tcPr>
          <w:p>
            <w:r>
              <w:rPr>
                <w:sz w:val="17"/>
              </w:rPr>
              <w:t>3,058</w:t>
            </w:r>
          </w:p>
        </w:tc>
        <w:tc>
          <w:tcPr>
            <w:tcW w:type="dxa" w:w="1440"/>
            <w:shd w:fill="FAFAFA" w:val="clear"/>
          </w:tcPr>
          <w:p>
            <w:r>
              <w:rPr>
                <w:b/>
                <w:sz w:val="17"/>
              </w:rPr>
              <w:t>3,308</w:t>
            </w:r>
          </w:p>
        </w:tc>
        <w:tc>
          <w:tcPr>
            <w:tcW w:type="dxa" w:w="1440"/>
            <w:shd w:fill="FAFAFA" w:val="clear"/>
          </w:tcPr>
          <w:p>
            <w:r>
              <w:rPr>
                <w:sz w:val="17"/>
              </w:rPr>
              <w:t>3,558</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2026-10-14</w:t>
            </w:r>
          </w:p>
        </w:tc>
        <w:tc>
          <w:tcPr>
            <w:tcW w:type="dxa" w:w="1440"/>
            <w:shd w:fill="FAFAFA" w:val="clear"/>
          </w:tcPr>
          <w:p>
            <w:r>
              <w:rPr>
                <w:sz w:val="17"/>
              </w:rPr>
              <w:t>3,037</w:t>
            </w:r>
          </w:p>
        </w:tc>
        <w:tc>
          <w:tcPr>
            <w:tcW w:type="dxa" w:w="1440"/>
            <w:shd w:fill="FAFAFA" w:val="clear"/>
          </w:tcPr>
          <w:p>
            <w:r>
              <w:rPr>
                <w:b/>
                <w:sz w:val="17"/>
              </w:rPr>
              <w:t>3,307</w:t>
            </w:r>
          </w:p>
        </w:tc>
        <w:tc>
          <w:tcPr>
            <w:tcW w:type="dxa" w:w="1440"/>
            <w:shd w:fill="FAFAFA" w:val="clear"/>
          </w:tcPr>
          <w:p>
            <w:r>
              <w:rPr>
                <w:sz w:val="17"/>
              </w:rPr>
              <w:t>3,577</w:t>
            </w:r>
          </w:p>
        </w:tc>
        <w:tc>
          <w:tcPr>
            <w:tcW w:type="dxa" w:w="1440"/>
            <w:shd w:fill="FAFAFA" w:val="clear"/>
          </w:tcPr>
          <w:p>
            <w:r>
              <w:rPr>
                <w:b/>
                <w:color w:val="C00000"/>
                <w:sz w:val="17"/>
              </w:rPr>
              <w:t>-1.1%</w:t>
            </w:r>
          </w:p>
        </w:tc>
      </w:tr>
      <w:tr>
        <w:tc>
          <w:tcPr>
            <w:tcW w:type="dxa" w:w="1440"/>
            <w:shd w:fill="FAFAFA" w:val="clear"/>
          </w:tcPr>
          <w:p>
            <w:r>
              <w:rPr>
                <w:sz w:val="17"/>
              </w:rPr>
              <w:t>J+8  Moyenne</w:t>
            </w:r>
          </w:p>
        </w:tc>
        <w:tc>
          <w:tcPr>
            <w:tcW w:type="dxa" w:w="1440"/>
            <w:shd w:fill="FAFAFA" w:val="clear"/>
          </w:tcPr>
          <w:p>
            <w:r>
              <w:rPr>
                <w:sz w:val="17"/>
              </w:rPr>
              <w:t>2026-10-15</w:t>
            </w:r>
          </w:p>
        </w:tc>
        <w:tc>
          <w:tcPr>
            <w:tcW w:type="dxa" w:w="1440"/>
            <w:shd w:fill="FAFAFA" w:val="clear"/>
          </w:tcPr>
          <w:p>
            <w:r>
              <w:rPr>
                <w:sz w:val="17"/>
              </w:rPr>
              <w:t>3,017</w:t>
            </w:r>
          </w:p>
        </w:tc>
        <w:tc>
          <w:tcPr>
            <w:tcW w:type="dxa" w:w="1440"/>
            <w:shd w:fill="FAFAFA" w:val="clear"/>
          </w:tcPr>
          <w:p>
            <w:r>
              <w:rPr>
                <w:b/>
                <w:sz w:val="17"/>
              </w:rPr>
              <w:t>3,306</w:t>
            </w:r>
          </w:p>
        </w:tc>
        <w:tc>
          <w:tcPr>
            <w:tcW w:type="dxa" w:w="1440"/>
            <w:shd w:fill="FAFAFA" w:val="clear"/>
          </w:tcPr>
          <w:p>
            <w:r>
              <w:rPr>
                <w:sz w:val="17"/>
              </w:rPr>
              <w:t>3,594</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2026-10-16</w:t>
            </w:r>
          </w:p>
        </w:tc>
        <w:tc>
          <w:tcPr>
            <w:tcW w:type="dxa" w:w="1440"/>
            <w:shd w:fill="FAFAFA" w:val="clear"/>
          </w:tcPr>
          <w:p>
            <w:r>
              <w:rPr>
                <w:sz w:val="17"/>
              </w:rPr>
              <w:t>2,998</w:t>
            </w:r>
          </w:p>
        </w:tc>
        <w:tc>
          <w:tcPr>
            <w:tcW w:type="dxa" w:w="1440"/>
            <w:shd w:fill="FAFAFA" w:val="clear"/>
          </w:tcPr>
          <w:p>
            <w:r>
              <w:rPr>
                <w:b/>
                <w:sz w:val="17"/>
              </w:rPr>
              <w:t>3,304</w:t>
            </w:r>
          </w:p>
        </w:tc>
        <w:tc>
          <w:tcPr>
            <w:tcW w:type="dxa" w:w="1440"/>
            <w:shd w:fill="FAFAFA" w:val="clear"/>
          </w:tcPr>
          <w:p>
            <w:r>
              <w:rPr>
                <w:sz w:val="17"/>
              </w:rPr>
              <w:t>3,610</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2026-10-19</w:t>
            </w:r>
          </w:p>
        </w:tc>
        <w:tc>
          <w:tcPr>
            <w:tcW w:type="dxa" w:w="1440"/>
            <w:shd w:fill="FAFAFA" w:val="clear"/>
          </w:tcPr>
          <w:p>
            <w:r>
              <w:rPr>
                <w:sz w:val="17"/>
              </w:rPr>
              <w:t>2,980</w:t>
            </w:r>
          </w:p>
        </w:tc>
        <w:tc>
          <w:tcPr>
            <w:tcW w:type="dxa" w:w="1440"/>
            <w:shd w:fill="FAFAFA" w:val="clear"/>
          </w:tcPr>
          <w:p>
            <w:r>
              <w:rPr>
                <w:b/>
                <w:sz w:val="17"/>
              </w:rPr>
              <w:t>3,302</w:t>
            </w:r>
          </w:p>
        </w:tc>
        <w:tc>
          <w:tcPr>
            <w:tcW w:type="dxa" w:w="1440"/>
            <w:shd w:fill="FAFAFA" w:val="clear"/>
          </w:tcPr>
          <w:p>
            <w:r>
              <w:rPr>
                <w:sz w:val="17"/>
              </w:rPr>
              <w:t>3,624</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19,80 Mds FCFA, CABC se situe dans la catégorie des valeurs moyennes de la BRVM, ce qui traduit une liquidité limitée mais un potentiel de revalorisation intéressant pour un investisseur patient. Le BPA de 243 FCFA/action indique que chaque titre génère près de 243 FCFA de bénéfice net, ce qui, rapporté au cours actuel de 3 345 FCFA, donne un PER de 13,8x — légèrement supérieur à la moyenne du marché BRVM (8-12x), suggérant que le marché intègre déjà une prime de croissance modérée. Le P/B de 2,12x montre que le marché valorise l'entreprise à plus du double de sa valeur comptable, ce qui est cohérent avec une société industrielle bénéficiant d'actifs immatériels (savoir-faire, portefeuille clients) et d'une rentabilité des fonds propres attractive (ROE de 15,4%). Enfin, l'EV/EBITDA de 6,9x, dans la fourchette raisonnable de 5-10x, indique que la valeur totale de l'entreprise (dette incluse) reste proportionnée à sa capacité opérationnelle, ce qui plaide pour une valorisation globalement équilibrée,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-4,43%, avec une dernière séance en repli de -1,47%, confirmant une dynamique baissière de court terme. Le cours actuel de 3 345 FCFA se situe dans la moitié basse du range de trading établi entre un plus bas de 3 190 FCFA et un plus haut de 4 500 FCFA, ce qui traduit une pression vendeuse persistante depuis le sommet atteint en milieu de période. La moyenne des cours s'établit à 3 681 FCFA, supérieure à la médiane de 3 592 FCFA, tandis que le mode ressort à 3 500 FCFA : cet écart entre moyenne et médiane, couplé à un skewness positif de 0,952, indique une asymétrie positive avec davantage de journées sous la moyenne, signe que les baisses ont été plus fréquentes que les hausses marquées. L'écart-type de 292 FCFA (CV de 7,9%) révèle une dispersion modérée autour de la moyenne, tandis que le kurtosis de 0,455 (mésokurtique) suggère une distribution proche de la normale, sans risque excessif de pics extrêmes. La volatilité annualisée de 45,1% classe le titre dans la catégorie des valeurs très volatiles (&gt;30%), ce qui implique un risque de variation important à court terme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(3 401,5 FCFA) et la MM50 (3 506,1 FCFA) se situent toutes deux au-dessus du cours actuel (3 345 FCFA), avec une MM20 inférieure à la MM50, configuration baissière classique. Le cours évoluant sous ses deux moyennes, la pression vendeuse domine et justifie la décision technique de **Vente**.</w:t>
      </w:r>
    </w:p>
    <w:p>
      <w:pPr>
        <w:spacing w:after="120" w:line="276" w:lineRule="auto"/>
      </w:pPr>
      <w:r>
        <w:t>**Bandes de Bollinger** : Le cours (3 345 FCFA) se situe dans la partie basse de la bande, entre la borne inférieure (3 199,09 FCFA) et la borne supérieure (3 603,91 FCFA), sans franchissement des extrêmes. Cette position médiane-basse, dans un contexte de volatilité modérée, conduit à une décision **Neutre**, le titre n'étant ni suracheté ni survendu selon ce critère.</w:t>
      </w:r>
    </w:p>
    <w:p>
      <w:pPr>
        <w:spacing w:after="120" w:line="276" w:lineRule="auto"/>
      </w:pPr>
      <w:r>
        <w:t>**MACD** : La valeur du MACD (-52,881) est supérieure à son signal (-63,494), générant un croisement haussier bien que les deux lignes restent en territoire négatif. Ce momentum positif naissant, bien que fragile, justifie la décision d'**Achat** technique, à condition d'être confirmé par d'autres indicateurs.</w:t>
      </w:r>
    </w:p>
    <w:p>
      <w:pPr>
        <w:spacing w:after="120" w:line="276" w:lineRule="auto"/>
      </w:pPr>
      <w:r>
        <w:t>**RSI** : À 40,268, le RSI se situe dans la zone neutre (30-70), sans atteindre la zone de survente (&lt;30). Cette position médiane-basse indique une absence de signal fort, justifiant la décision **Neutre**, avec une légère inclinaison baissière.</w:t>
      </w:r>
    </w:p>
    <w:p>
      <w:pPr>
        <w:spacing w:after="120" w:line="276" w:lineRule="auto"/>
      </w:pPr>
      <w:r>
        <w:t>**Stochastique** : Le %K (50,0) est inférieur au %D (60,753), configuration baissière indiquant que le momentum de court terme faiblit. Le croisement des deux lignes en zone neutre, sans divergence marquée, conduit à une décision **Neutre**.</w:t>
      </w:r>
    </w:p>
    <w:p>
      <w:pPr>
        <w:spacing w:after="120" w:line="276" w:lineRule="auto"/>
      </w:pPr>
      <w:r>
        <w:t>**Conclusion technique** : Les indicateurs techniques présentent un tableau mitigé, avec une majorité de signaux neutres (Bollinger, RSI, Stochastique) et une divergence entre la tendance baissière des moyennes mobiles (Vente) et le croisement haussier du MACD (Achat). Cette absence de convergence claire suggère une phase d'indécision du marché, avec un risque de consolidation voire de poursuite de la baisse tant que le cours reste sous la MM50 (3 506 FCFA). Une cassure au-dessus de ce niveau serait nécessaire pour confirmer un retournement haussier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société industrielle solide mais confrontée à des défis de trésorerie : le chiffre d'affaires s'établit à 21 263 Mds FCFA, en croissance de 11,18% sur un an, tandis que le résultat net atteint 1 439 Mds FCFA, soit une marge nette de 6,77%. La rentabilité des fonds propres (ROE) ressort à 15,40%, niveau qualifié d'excellent (&gt;15%), et la rentabilité des actifs (ROA) à 6,10%, confirmant une bonne efficacité dans l'utilisation des ressources. Cependant, l'analyse du besoin en fonds de roulement (BFR) de 7 186 Mds FCFA et des délais d'exploitation — 144,69 jours pour les clients et 152,12 jours pour les stocks — met en évidence un risque de trésorerie significatif, avec un flux opérationnel négatif de -819,66 M FCFA et un Free Cash Flow de -982,71 M FCFA. La structure financière reste saine (autonomie financière de 39,58%, ratio d'endettement de 60,42%, liquidité générale de 242,60%), mais la trésorerie nette de 5 139 Mds FCFA a diminué de 25% par rapport à 2024. Les rapports trimestriels de 2025 (S1 2025 daté du 30/06/2025 et T3 2025 daté du 30/09/2025) indiquent une dynamique positive : le CA du S1 2025 progresse de 12,0% à 10 772,9 M FCFA, avec un résultat net en hausse de 55,3% à 851,5 M FCFA, et le T3 2025 confirme cette tendance avec un CA cumulé de 16 630 M FCFA (+13,7%) et un résultat net de 1 329,5 M FCFA (+26,0%). Toutefois, le rapport T1 2026 (daté de 2026) signale une dégradation temporaire avec un CA en baisse de 26,5% à 3 794 M FCFA et une perte nette de 221,7 M FCFA, attribuée à une maintenance planifiée et à l'inflation des cours des métaux (+23% en 3 mois). Sur la base de ces éléments, on estime que l'exercice 2026 devrait être marqué par un rattrapage au T2 2026, avec une normalisation progressive des performances, mais la volatilité des matières premières et la pression sur les marges opérationnelles (marge opérationnelle de 9,82% en 2025) restent des risques majeurs. La recommandation fondamentale est de **CONSERVER** le titre, en surveillant attentivement l'évolution de la trésorerie et la capacité de l'entreprise à réduire ses délais clients et à maîtriser ses coûts.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(J+1 à J+10) conduit à une recommandation nuancée. La valorisation (Partie 0) est équilibrée : le PER de 13,8x est légèrement supérieur à la moyenne du marché, mais le P/B de 2,12x et l'EV/EBITDA de 6,9x restent raisonnables, sans sous-évaluation flagrante. Le comportement du cours (Partie 1) est préoccupant à court terme : tendance baissière (-4,43% sur 100 jours), volatilité élevée (45,1%), skewness positif (0,952) et cours sous les moyennes mobiles. Les signaux techniques (Partie 2) sont divergents : le MACD donne un signal d'achat, mais les moyennes mobiles et le stochastique sont baissiers, et le RSI est neutre, créant une incertitude sur la direction à venir. Les fondamentaux (Partie 3) sont solides mais entachés par des risques de trésorerie (flux opérationnel négatif, délais clients élevés) et une dégradation temporaire au T1 2026, bien que les rapports trimestriels 2025 témoignent d'une dynamique positive. Les prédictions IA (Partie 4) anticipent une poursuite de la baisse à court terme, avec un cours cible de 3 310 FCFA à J+10 (soit -1,05% par rapport au cours actuel), ce qui confirme la tendance baissière observée. Compte tenu de cette convergence entre technique baissière, fondamentaux mitigés et prédictions négatives, la recommandation finale est **CONSERVER** avec un niveau de confiance **Moyen** et un risque global **Élevé**. L'horizon d'investissement optimal est le **moyen terme (3-12 mois)**, en attendant une confirmation de la reprise opérationnelle au T2 2026 et une amélioration de la trésorerie. Les investisseurs à court terme sont invités à la prudence, tandis que les investisseurs long terme pourraient envisager un renforcement progressif si le cours se stabilise au-dessus de 3 200 FCFA.</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1006.40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1,583 titres</w:t>
            </w:r>
          </w:p>
        </w:tc>
        <w:tc>
          <w:tcPr>
            <w:tcW w:type="dxa" w:w="2268"/>
            <w:shd w:fill="FFF2CC" w:val="clear"/>
          </w:tcPr>
          <w:p>
            <w:r>
              <w:rPr>
                <w:b/>
                <w:color w:val="503200"/>
                <w:sz w:val="16"/>
              </w:rPr>
              <w:t xml:space="preserve">Cours actuel : </w:t>
            </w:r>
            <w:r>
              <w:rPr>
                <w:color w:val="000000"/>
                <w:sz w:val="17"/>
              </w:rPr>
              <w:t>31,450 FCFA</w:t>
            </w:r>
          </w:p>
          <w:p>
            <w:r>
              <w:rPr>
                <w:b/>
                <w:color w:val="503200"/>
                <w:sz w:val="16"/>
              </w:rPr>
              <w:t xml:space="preserve">Var. 100 jours : </w:t>
            </w:r>
            <w:r>
              <w:rPr>
                <w:b/>
                <w:color w:val="007800"/>
                <w:sz w:val="17"/>
              </w:rPr>
              <w:t>+87.20%</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16,800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17.15% (Élevée) — μ=26,765 FCFA, σ=4,589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β=1.4114 (Agressif) — Cov=0.000102, Var(idx)=0.000072, ρ=0.411,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σ_j=2.91%/j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2026-10-06</w:t>
            </w:r>
          </w:p>
        </w:tc>
        <w:tc>
          <w:tcPr>
            <w:tcW w:type="dxa" w:w="1440"/>
            <w:shd w:fill="FFDCE0" w:val="clear"/>
          </w:tcPr>
          <w:p>
            <w:r>
              <w:rPr>
                <w:sz w:val="17"/>
              </w:rPr>
              <w:t>28,772</w:t>
            </w:r>
          </w:p>
        </w:tc>
        <w:tc>
          <w:tcPr>
            <w:tcW w:type="dxa" w:w="1440"/>
            <w:shd w:fill="FFDCE0" w:val="clear"/>
          </w:tcPr>
          <w:p>
            <w:r>
              <w:rPr>
                <w:b/>
                <w:sz w:val="17"/>
              </w:rPr>
              <w:t>30,418</w:t>
            </w:r>
          </w:p>
        </w:tc>
        <w:tc>
          <w:tcPr>
            <w:tcW w:type="dxa" w:w="1440"/>
            <w:shd w:fill="FFDCE0" w:val="clear"/>
          </w:tcPr>
          <w:p>
            <w:r>
              <w:rPr>
                <w:sz w:val="17"/>
              </w:rPr>
              <w:t>32,065</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2026-10-07</w:t>
            </w:r>
          </w:p>
        </w:tc>
        <w:tc>
          <w:tcPr>
            <w:tcW w:type="dxa" w:w="1440"/>
            <w:shd w:fill="FFDCE0" w:val="clear"/>
          </w:tcPr>
          <w:p>
            <w:r>
              <w:rPr>
                <w:sz w:val="17"/>
              </w:rPr>
              <w:t>27,580</w:t>
            </w:r>
          </w:p>
        </w:tc>
        <w:tc>
          <w:tcPr>
            <w:tcW w:type="dxa" w:w="1440"/>
            <w:shd w:fill="FFDCE0" w:val="clear"/>
          </w:tcPr>
          <w:p>
            <w:r>
              <w:rPr>
                <w:b/>
                <w:sz w:val="17"/>
              </w:rPr>
              <w:t>29,866</w:t>
            </w:r>
          </w:p>
        </w:tc>
        <w:tc>
          <w:tcPr>
            <w:tcW w:type="dxa" w:w="1440"/>
            <w:shd w:fill="FFDCE0" w:val="clear"/>
          </w:tcPr>
          <w:p>
            <w:r>
              <w:rPr>
                <w:sz w:val="17"/>
              </w:rPr>
              <w:t>32,153</w:t>
            </w:r>
          </w:p>
        </w:tc>
        <w:tc>
          <w:tcPr>
            <w:tcW w:type="dxa" w:w="1440"/>
            <w:shd w:fill="FFDCE0" w:val="clear"/>
          </w:tcPr>
          <w:p>
            <w:r>
              <w:rPr>
                <w:b/>
                <w:color w:val="C00000"/>
                <w:sz w:val="17"/>
              </w:rPr>
              <w:t>-5.0%</w:t>
            </w:r>
          </w:p>
        </w:tc>
      </w:tr>
      <w:tr>
        <w:tc>
          <w:tcPr>
            <w:tcW w:type="dxa" w:w="1440"/>
            <w:shd w:fill="FFDCE0" w:val="clear"/>
          </w:tcPr>
          <w:p>
            <w:r>
              <w:rPr>
                <w:sz w:val="17"/>
              </w:rPr>
              <w:t>J+3  Moyenne</w:t>
            </w:r>
          </w:p>
        </w:tc>
        <w:tc>
          <w:tcPr>
            <w:tcW w:type="dxa" w:w="1440"/>
            <w:shd w:fill="FFDCE0" w:val="clear"/>
          </w:tcPr>
          <w:p>
            <w:r>
              <w:rPr>
                <w:sz w:val="17"/>
              </w:rPr>
              <w:t>2026-10-08</w:t>
            </w:r>
          </w:p>
        </w:tc>
        <w:tc>
          <w:tcPr>
            <w:tcW w:type="dxa" w:w="1440"/>
            <w:shd w:fill="FFDCE0" w:val="clear"/>
          </w:tcPr>
          <w:p>
            <w:r>
              <w:rPr>
                <w:sz w:val="17"/>
              </w:rPr>
              <w:t>26,838</w:t>
            </w:r>
          </w:p>
        </w:tc>
        <w:tc>
          <w:tcPr>
            <w:tcW w:type="dxa" w:w="1440"/>
            <w:shd w:fill="FFDCE0" w:val="clear"/>
          </w:tcPr>
          <w:p>
            <w:r>
              <w:rPr>
                <w:b/>
                <w:sz w:val="17"/>
              </w:rPr>
              <w:t>29,615</w:t>
            </w:r>
          </w:p>
        </w:tc>
        <w:tc>
          <w:tcPr>
            <w:tcW w:type="dxa" w:w="1440"/>
            <w:shd w:fill="FFDCE0" w:val="clear"/>
          </w:tcPr>
          <w:p>
            <w:r>
              <w:rPr>
                <w:sz w:val="17"/>
              </w:rPr>
              <w:t>32,391</w:t>
            </w:r>
          </w:p>
        </w:tc>
        <w:tc>
          <w:tcPr>
            <w:tcW w:type="dxa" w:w="1440"/>
            <w:shd w:fill="FFDCE0" w:val="clear"/>
          </w:tcPr>
          <w:p>
            <w:r>
              <w:rPr>
                <w:b/>
                <w:color w:val="C00000"/>
                <w:sz w:val="17"/>
              </w:rPr>
              <w:t>-5.8%</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26,262</w:t>
            </w:r>
          </w:p>
        </w:tc>
        <w:tc>
          <w:tcPr>
            <w:tcW w:type="dxa" w:w="1440"/>
            <w:shd w:fill="FFDCE0" w:val="clear"/>
          </w:tcPr>
          <w:p>
            <w:r>
              <w:rPr>
                <w:b/>
                <w:sz w:val="17"/>
              </w:rPr>
              <w:t>29,450</w:t>
            </w:r>
          </w:p>
        </w:tc>
        <w:tc>
          <w:tcPr>
            <w:tcW w:type="dxa" w:w="1440"/>
            <w:shd w:fill="FFDCE0" w:val="clear"/>
          </w:tcPr>
          <w:p>
            <w:r>
              <w:rPr>
                <w:sz w:val="17"/>
              </w:rPr>
              <w:t>32,639</w:t>
            </w:r>
          </w:p>
        </w:tc>
        <w:tc>
          <w:tcPr>
            <w:tcW w:type="dxa" w:w="1440"/>
            <w:shd w:fill="FFDCE0" w:val="clear"/>
          </w:tcPr>
          <w:p>
            <w:r>
              <w:rPr>
                <w:b/>
                <w:color w:val="C00000"/>
                <w:sz w:val="17"/>
              </w:rPr>
              <w:t>-6.4%</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25,752</w:t>
            </w:r>
          </w:p>
        </w:tc>
        <w:tc>
          <w:tcPr>
            <w:tcW w:type="dxa" w:w="1440"/>
            <w:shd w:fill="FFDCE0" w:val="clear"/>
          </w:tcPr>
          <w:p>
            <w:r>
              <w:rPr>
                <w:b/>
                <w:sz w:val="17"/>
              </w:rPr>
              <w:t>29,299</w:t>
            </w:r>
          </w:p>
        </w:tc>
        <w:tc>
          <w:tcPr>
            <w:tcW w:type="dxa" w:w="1440"/>
            <w:shd w:fill="FFDCE0" w:val="clear"/>
          </w:tcPr>
          <w:p>
            <w:r>
              <w:rPr>
                <w:sz w:val="17"/>
              </w:rPr>
              <w:t>32,845</w:t>
            </w:r>
          </w:p>
        </w:tc>
        <w:tc>
          <w:tcPr>
            <w:tcW w:type="dxa" w:w="1440"/>
            <w:shd w:fill="FFDCE0" w:val="clear"/>
          </w:tcPr>
          <w:p>
            <w:r>
              <w:rPr>
                <w:b/>
                <w:color w:val="C00000"/>
                <w:sz w:val="17"/>
              </w:rPr>
              <w:t>-6.8%</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25,298</w:t>
            </w:r>
          </w:p>
        </w:tc>
        <w:tc>
          <w:tcPr>
            <w:tcW w:type="dxa" w:w="1440"/>
            <w:shd w:fill="FFDCE0" w:val="clear"/>
          </w:tcPr>
          <w:p>
            <w:r>
              <w:rPr>
                <w:b/>
                <w:sz w:val="17"/>
              </w:rPr>
              <w:t>29,165</w:t>
            </w:r>
          </w:p>
        </w:tc>
        <w:tc>
          <w:tcPr>
            <w:tcW w:type="dxa" w:w="1440"/>
            <w:shd w:fill="FFDCE0" w:val="clear"/>
          </w:tcPr>
          <w:p>
            <w:r>
              <w:rPr>
                <w:sz w:val="17"/>
              </w:rPr>
              <w:t>33,032</w:t>
            </w:r>
          </w:p>
        </w:tc>
        <w:tc>
          <w:tcPr>
            <w:tcW w:type="dxa" w:w="1440"/>
            <w:shd w:fill="FFDCE0" w:val="clear"/>
          </w:tcPr>
          <w:p>
            <w:r>
              <w:rPr>
                <w:b/>
                <w:color w:val="C00000"/>
                <w:sz w:val="17"/>
              </w:rPr>
              <w:t>-7.3%</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24,889</w:t>
            </w:r>
          </w:p>
        </w:tc>
        <w:tc>
          <w:tcPr>
            <w:tcW w:type="dxa" w:w="1440"/>
            <w:shd w:fill="FFDCE0" w:val="clear"/>
          </w:tcPr>
          <w:p>
            <w:r>
              <w:rPr>
                <w:b/>
                <w:sz w:val="17"/>
              </w:rPr>
              <w:t>29,050</w:t>
            </w:r>
          </w:p>
        </w:tc>
        <w:tc>
          <w:tcPr>
            <w:tcW w:type="dxa" w:w="1440"/>
            <w:shd w:fill="FFDCE0" w:val="clear"/>
          </w:tcPr>
          <w:p>
            <w:r>
              <w:rPr>
                <w:sz w:val="17"/>
              </w:rPr>
              <w:t>33,210</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24,516</w:t>
            </w:r>
          </w:p>
        </w:tc>
        <w:tc>
          <w:tcPr>
            <w:tcW w:type="dxa" w:w="1440"/>
            <w:shd w:fill="FFDCE0" w:val="clear"/>
          </w:tcPr>
          <w:p>
            <w:r>
              <w:rPr>
                <w:b/>
                <w:sz w:val="17"/>
              </w:rPr>
              <w:t>28,948</w:t>
            </w:r>
          </w:p>
        </w:tc>
        <w:tc>
          <w:tcPr>
            <w:tcW w:type="dxa" w:w="1440"/>
            <w:shd w:fill="FFDCE0" w:val="clear"/>
          </w:tcPr>
          <w:p>
            <w:r>
              <w:rPr>
                <w:sz w:val="17"/>
              </w:rPr>
              <w:t>33,380</w:t>
            </w:r>
          </w:p>
        </w:tc>
        <w:tc>
          <w:tcPr>
            <w:tcW w:type="dxa" w:w="1440"/>
            <w:shd w:fill="FFDCE0" w:val="clear"/>
          </w:tcPr>
          <w:p>
            <w:r>
              <w:rPr>
                <w:b/>
                <w:color w:val="C00000"/>
                <w:sz w:val="17"/>
              </w:rPr>
              <w:t>-8.0%</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24,170</w:t>
            </w:r>
          </w:p>
        </w:tc>
        <w:tc>
          <w:tcPr>
            <w:tcW w:type="dxa" w:w="1440"/>
            <w:shd w:fill="FFDCE0" w:val="clear"/>
          </w:tcPr>
          <w:p>
            <w:r>
              <w:rPr>
                <w:b/>
                <w:sz w:val="17"/>
              </w:rPr>
              <w:t>28,857</w:t>
            </w:r>
          </w:p>
        </w:tc>
        <w:tc>
          <w:tcPr>
            <w:tcW w:type="dxa" w:w="1440"/>
            <w:shd w:fill="FFDCE0" w:val="clear"/>
          </w:tcPr>
          <w:p>
            <w:r>
              <w:rPr>
                <w:sz w:val="17"/>
              </w:rPr>
              <w:t>33,543</w:t>
            </w:r>
          </w:p>
        </w:tc>
        <w:tc>
          <w:tcPr>
            <w:tcW w:type="dxa" w:w="1440"/>
            <w:shd w:fill="FFDCE0" w:val="clear"/>
          </w:tcPr>
          <w:p>
            <w:r>
              <w:rPr>
                <w:b/>
                <w:color w:val="C00000"/>
                <w:sz w:val="17"/>
              </w:rPr>
              <w:t>-8.2%</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23,850</w:t>
            </w:r>
          </w:p>
        </w:tc>
        <w:tc>
          <w:tcPr>
            <w:tcW w:type="dxa" w:w="1440"/>
            <w:shd w:fill="FFDCE0" w:val="clear"/>
          </w:tcPr>
          <w:p>
            <w:r>
              <w:rPr>
                <w:b/>
                <w:sz w:val="17"/>
              </w:rPr>
              <w:t>28,775</w:t>
            </w:r>
          </w:p>
        </w:tc>
        <w:tc>
          <w:tcPr>
            <w:tcW w:type="dxa" w:w="1440"/>
            <w:shd w:fill="FFDCE0" w:val="clear"/>
          </w:tcPr>
          <w:p>
            <w:r>
              <w:rPr>
                <w:sz w:val="17"/>
              </w:rPr>
              <w:t>33,701</w:t>
            </w:r>
          </w:p>
        </w:tc>
        <w:tc>
          <w:tcPr>
            <w:tcW w:type="dxa" w:w="1440"/>
            <w:shd w:fill="FFDCE0" w:val="clear"/>
          </w:tcPr>
          <w:p>
            <w:r>
              <w:rPr>
                <w:b/>
                <w:color w:val="C00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**1 006,40 milliards FCFA**, CBIBF s'impose comme l'une des plus importantes capitalisations de la BRVM, ce qui témoigne de sa stature de valeur de premier plan dans le compartiment bancaire régional. Le **BPA de 2 047 FCFA/action** signifie que chaque titre génère près de 2 047 FCFA de bénéfice net, un niveau élevé qui traduit la forte rentabilité de la banque. Le **PER de 15,4x** se situe au-dessus de la moyenne BRVM (généralement 8-12x), indiquant que les investisseurs acceptent de payer une prime pour la qualité et la croissance de la banque, sans pour autant tomber dans une zone de surévaluation excessive. L'**EV/EBITDA de 11,4x** (fourchette 10-15x) confirme cette valorisation élevée mais cohérente avec la capacité opérationnelle de la banque. Le ratio P/B n'étant pas fourni dans les données, il n'est pas commenté ici.</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+87,20%**, avec une dernière séance en hausse de **+3,80%**, portant le cours actuel à **31 450 FCFA**. Le range de trading est particulièrement large, oscillant entre un plus bas de **16 800 FCFA** et un plus haut de **34 450 FCFA**, ce qui traduit une tendance nettement haussière, bien que le titre évolue désormais à environ 8,7% sous son sommet. Les statistiques descriptives révèlent une **moyenne de 26 765 FCFA** légèrement inférieure à la **médiane de 27 998 FCFA**, suggérant une asymétrie mineure vers les valeurs basses, cohérente avec le **skewness de -0,132** (distribution quasi-symétrique). L'**écart-type de 4 613 FCFA** avec un **CV de 17,2%** indique une dispersion modérée du cours, tandis que le **kurtosis de -1,131** (distribution platykurtique) signale une faible concentration des rendements et un risque de pics extrêmes limité. La **volatilité annualisée de 46,3%** positionne le titre dans la catégorie des valeurs à volatilité élevée (&gt;30%), ce qui est caractéristique d'un titre ayant connu un rallye exceptionnel et pouvant présenter des phases de correction.</w:t>
      </w:r>
    </w:p>
    <w:p>
      <w:pPr>
        <w:spacing w:after="120" w:line="276" w:lineRule="auto"/>
      </w:pPr>
      <w:r>
        <w:t>---</w:t>
      </w:r>
    </w:p>
    <w:p>
      <w:pPr>
        <w:spacing w:after="120" w:line="276" w:lineRule="auto"/>
      </w:pPr>
      <w:r>
        <w:t>## PARTIE 2 : ANALYSE TECHNIQUE DÉTAILLÉE</w:t>
      </w:r>
    </w:p>
    <w:p>
      <w:pPr>
        <w:spacing w:after="120" w:line="276" w:lineRule="auto"/>
      </w:pPr>
      <w:r>
        <w:t>**Moyennes Mobiles** : La MM20 (32 448 FCFA) et la MM50 (30 366,8 FCFA) se situent toutes deux au-dessus du cours actuel (31 450 FCFA), ce qui place le titre en position légèrement baissière à court terme malgré la décision « Achat » fournie. Le croisement haussier MM20 &gt; MM50 confirme la tendance de fond positive, mais le repli sous la MM20 suggère une consolidation en cours.</w:t>
      </w:r>
    </w:p>
    <w:p>
      <w:pPr>
        <w:spacing w:after="120" w:line="276" w:lineRule="auto"/>
      </w:pPr>
      <w:r>
        <w:t>**Bandes de Bollinger** : Le cours (31 450 FCFA) évolue dans la partie médiane de la bande, entre la borne inférieure (29 108,76 FCFA) et la borne supérieure (35 787,24 FCFA), justifiant la décision « Neutre ». L'absence de contact avec les bornes indique une volatilité en cours de normalisation après le rallye.</w:t>
      </w:r>
    </w:p>
    <w:p>
      <w:pPr>
        <w:spacing w:after="120" w:line="276" w:lineRule="auto"/>
      </w:pPr>
      <w:r>
        <w:t>**MACD** : La valeur du MACD (64,659) est nettement inférieure à son signal (423,411), générant une divergence baissière et une décision « Vente ». Ce croisement négatif signale un essoufflement du momentum haussier et un risque de correction à court terme.</w:t>
      </w:r>
    </w:p>
    <w:p>
      <w:pPr>
        <w:spacing w:after="120" w:line="276" w:lineRule="auto"/>
      </w:pPr>
      <w:r>
        <w:t>**RSI** : À 41,613, le RSI se situe en zone neutre (30-70), sans signal de surachat ni de survente, justifiant la décision « Neutre ». Le niveau modéré suggère que le titre dispose encore de marge avant d'atteindre des zones extrêmes.</w:t>
      </w:r>
    </w:p>
    <w:p>
      <w:pPr>
        <w:spacing w:after="120" w:line="276" w:lineRule="auto"/>
      </w:pPr>
      <w:r>
        <w:t>**Stochastique** : Le %K (48,052) est supérieur au %D (33,391), avec un croisement haussier en cours, mais les deux indicateurs restent en zone neutre, confirmant la décision « Neutre ». Ce positionnement indique une absence de pression directionnelle forte.</w:t>
      </w:r>
    </w:p>
    <w:p>
      <w:pPr>
        <w:spacing w:after="120" w:line="276" w:lineRule="auto"/>
      </w:pPr>
      <w:r>
        <w:t>**Conclusion technique** : Les indicateurs techniques présentent un tableau mitigé : la tendance de fond reste haussière (MM20 &gt; MM50), mais le MACD baissier et le repli sous la MM20 suggèrent une consolidation à court terme. Le RSI et le stochastique neutres confirment l'absence de signal fort, invitant à la prudence dans l'attente d'une clarification directionnelle.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affiche un **Produit Net Bancaire (PNB) de 138,986 milliards FCFA**, en croissance de **+6,11%** par rapport à 2024, et un **résultat net de 65,495 milliards FCFA**, en progression remarquable de **+36,6%** (vs 47,937 milliards en 2024). Le **coefficient d'exploitation de 36,39%** — très inférieur au seuil de 60% — témoigne d'une efficacité opérationnelle excellente, tandis que la **marge nette de 47,12%** et la **marge opérationnelle de 51,77%** confirment la solidité de la rentabilité. Le **ROA de 2,18%** et la **rotation des actifs de 4,64%** reflètent une utilisation efficace du bilan de **2 997,78 milliards FCFA**. La banque affiche un **ratio dépôts/crédits de 1,52** (2 015,28 Mds de dépôts vs 1 326,98 Mds de créances), traduisant une surliquidité confortable et une capacité de transformation maîtrisée. Le **coût du risque** s'est amélioré de 59,3% en 2025, passant à 16,5 milliards FCFA, signe d'un assainissement réussi du portefeuille après les difficultés de 2024.</w:t>
      </w:r>
    </w:p>
    <w:p>
      <w:pPr>
        <w:spacing w:after="120" w:line="276" w:lineRule="auto"/>
      </w:pPr>
      <w:r>
        <w:t>**Estimations basées sur les rapports trimestriels** : Le rapport du **T1 2026 (publié le 01/04/2026)** révèle une accélération spectaculaire avec un **PNB de 36,8 milliards FCFA (+28,5%)** et un **résultat net de 21,5 milliards FCFA (+22,2%)**, portés par une collecte de dépôts de **2 365,1 milliards FCFA (+37,9%)**. Sur cette base, on estime que l'exercice 2026 devrait enregistrer un PNB supérieur à 150 milliards FCFA et un résultat net approchant 75-80 milliards FCFA, confirmant la dynamique de croissance. Le rapport annuel 2025 (publié le 31/12/2026) souligne la solidité du modèle d'affaires et la confiance du marché, tandis que le rapport S1 2026 (30/06/2026) et le T3 2025 (30/09/2025) confirment la tendance haussière des indicateurs.</w:t>
      </w:r>
    </w:p>
    <w:p>
      <w:pPr>
        <w:spacing w:after="120" w:line="276" w:lineRule="auto"/>
      </w:pPr>
      <w:r>
        <w:t>**Recommandation fondamentale** : La banque présente des fondamentaux solides avec une croissance soutenue, une rentabilité élevée et une gestion des risques en amélioration. Les risques identifiés (environnement sécuritaire régional, concentration géographique) sont réels mais compensés par la diversification progressive et la solidité du bilan. La notation AA/AI avec perspective stable confirme la qualité de crédit.</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**En termes de valorisation (Partie 0)**, le PER de 15,4x et l'EV/EBITDA de 11,4x indiquent une valorisation modérée à élevée, avec une prime justifiée par la qualité des fondamentaux mais limitant le potentiel de revalorisation à court terme. **Le comportement du cours (Partie 1)** montre une tendance haussière exceptionnelle (+87,20%) avec une volatilité élevée (46,3%) et une distribution platykurtique (kurtosis -1,131) suggérant un risque de correction modéré. **Les signaux techniques (Partie 2)** sont mitigés : la tendance de fond reste positive (MM20 &gt; MM50) mais le MACD baissier et le repli sous la MM20 signalent une consolidation imminente. **Les fondamentaux (Partie 3)** demeurent excellents avec un résultat net en hausse de +36,6% en 2025 et une accélération au T1 2026 (+22,2%), confirmant la solidité du modèle. **Les prédictions IA (J+1 à J+10)** anticipent une correction progressive vers 29 299 FCFA d'ici le 12 octobre 2026, soit une baisse de -6,8%, ce qui contredit la dynamique fondamentale mais confirme les signaux techniques baissiers à court terme.</w:t>
      </w:r>
    </w:p>
    <w:p>
      <w:pPr>
        <w:spacing w:after="120" w:line="276" w:lineRule="auto"/>
      </w:pPr>
      <w:r>
        <w:t>**Recommandation finale** : **CONSERVER** — Le titre présente une convergence partielle entre des fondamentaux solides (justifiant une détention à moyen/long terme) et des signaux techniques baissiers à court terme (MACD, prédictions IA). La valorisation modérée et la croissance soutenue plaident pour un maintien en portefeuille, mais la volatilité élevée et la correction anticipée invitent à la prudence pour les nouveaux entrants. **Niveau de confiance : Moyen** — Les fondamentaux sont robustes mais les signaux techniques à court terme sont divergents. **Niveau de risque : Moyen à Élevé** — La volatilité de 46,3% et l'exposition aux risques régionaux (sécuritaires, politiques) nécessitent une tolérance au risque significative. **Horizon d'investissement optimal : Moyen terme (3-12 mois)** — Le temps de digérer la correction technique en cours et de bénéficier de la poursuite de la croissance fondamentale attendue pour l'exercice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264.80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3,608 titres</w:t>
            </w:r>
          </w:p>
        </w:tc>
        <w:tc>
          <w:tcPr>
            <w:tcW w:type="dxa" w:w="2268"/>
            <w:shd w:fill="FFF2CC" w:val="clear"/>
          </w:tcPr>
          <w:p>
            <w:r>
              <w:rPr>
                <w:b/>
                <w:color w:val="503200"/>
                <w:sz w:val="16"/>
              </w:rPr>
              <w:t xml:space="preserve">Cours actuel : </w:t>
            </w:r>
            <w:r>
              <w:rPr>
                <w:color w:val="000000"/>
                <w:sz w:val="17"/>
              </w:rPr>
              <w:t>1,460 FCFA</w:t>
            </w:r>
          </w:p>
          <w:p>
            <w:r>
              <w:rPr>
                <w:b/>
                <w:color w:val="503200"/>
                <w:sz w:val="16"/>
              </w:rPr>
              <w:t xml:space="preserve">Var. 100 jours : </w:t>
            </w:r>
            <w:r>
              <w:rPr>
                <w:b/>
                <w:color w:val="007800"/>
                <w:sz w:val="17"/>
              </w:rPr>
              <w:t>+5.80%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1,380 FCFA</w:t>
            </w:r>
          </w:p>
          <w:p>
            <w:r>
              <w:rPr>
                <w:b/>
                <w:color w:val="503200"/>
                <w:sz w:val="16"/>
              </w:rPr>
              <w:t xml:space="preserve">Volatilité ann. : </w:t>
            </w:r>
            <w:r>
              <w:rPr>
                <w:color w:val="000000"/>
                <w:sz w:val="17"/>
              </w:rPr>
              <w:t>46.9%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5.86% (Moyenne) — μ=1,634 FCFA, σ=96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β=1.1841 (Neutre (suit le marché)) — Cov=0.000085, Var(idx)=0.000072, ρ=0.341,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σ_j=2.95%/j (Stable) — Vol. annualisée≈46.9%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2026-10-06</w:t>
            </w:r>
          </w:p>
        </w:tc>
        <w:tc>
          <w:tcPr>
            <w:tcW w:type="dxa" w:w="1440"/>
            <w:shd w:fill="C6EFCE" w:val="clear"/>
          </w:tcPr>
          <w:p>
            <w:r>
              <w:rPr>
                <w:sz w:val="17"/>
              </w:rPr>
              <w:t>1,443</w:t>
            </w:r>
          </w:p>
        </w:tc>
        <w:tc>
          <w:tcPr>
            <w:tcW w:type="dxa" w:w="1440"/>
            <w:shd w:fill="C6EFCE" w:val="clear"/>
          </w:tcPr>
          <w:p>
            <w:r>
              <w:rPr>
                <w:b/>
                <w:sz w:val="17"/>
              </w:rPr>
              <w:t>1,504</w:t>
            </w:r>
          </w:p>
        </w:tc>
        <w:tc>
          <w:tcPr>
            <w:tcW w:type="dxa" w:w="1440"/>
            <w:shd w:fill="C6EFCE" w:val="clear"/>
          </w:tcPr>
          <w:p>
            <w:r>
              <w:rPr>
                <w:sz w:val="17"/>
              </w:rPr>
              <w:t>1,566</w:t>
            </w:r>
          </w:p>
        </w:tc>
        <w:tc>
          <w:tcPr>
            <w:tcW w:type="dxa" w:w="1440"/>
            <w:shd w:fill="C6EFCE" w:val="clear"/>
          </w:tcPr>
          <w:p>
            <w:r>
              <w:rPr>
                <w:b/>
                <w:color w:val="008000"/>
                <w:sz w:val="17"/>
              </w:rPr>
              <w:t>+3.0%</w:t>
            </w:r>
          </w:p>
        </w:tc>
      </w:tr>
      <w:tr>
        <w:tc>
          <w:tcPr>
            <w:tcW w:type="dxa" w:w="1440"/>
            <w:shd w:fill="C6EFCE" w:val="clear"/>
          </w:tcPr>
          <w:p>
            <w:r>
              <w:rPr>
                <w:sz w:val="17"/>
              </w:rPr>
              <w:t>J+2  Moyenne</w:t>
            </w:r>
          </w:p>
        </w:tc>
        <w:tc>
          <w:tcPr>
            <w:tcW w:type="dxa" w:w="1440"/>
            <w:shd w:fill="C6EFCE" w:val="clear"/>
          </w:tcPr>
          <w:p>
            <w:r>
              <w:rPr>
                <w:sz w:val="17"/>
              </w:rPr>
              <w:t>2026-10-07</w:t>
            </w:r>
          </w:p>
        </w:tc>
        <w:tc>
          <w:tcPr>
            <w:tcW w:type="dxa" w:w="1440"/>
            <w:shd w:fill="C6EFCE" w:val="clear"/>
          </w:tcPr>
          <w:p>
            <w:r>
              <w:rPr>
                <w:sz w:val="17"/>
              </w:rPr>
              <w:t>1,417</w:t>
            </w:r>
          </w:p>
        </w:tc>
        <w:tc>
          <w:tcPr>
            <w:tcW w:type="dxa" w:w="1440"/>
            <w:shd w:fill="C6EFCE" w:val="clear"/>
          </w:tcPr>
          <w:p>
            <w:r>
              <w:rPr>
                <w:b/>
                <w:sz w:val="17"/>
              </w:rPr>
              <w:t>1,504</w:t>
            </w:r>
          </w:p>
        </w:tc>
        <w:tc>
          <w:tcPr>
            <w:tcW w:type="dxa" w:w="1440"/>
            <w:shd w:fill="C6EFCE" w:val="clear"/>
          </w:tcPr>
          <w:p>
            <w:r>
              <w:rPr>
                <w:sz w:val="17"/>
              </w:rPr>
              <w:t>1,591</w:t>
            </w:r>
          </w:p>
        </w:tc>
        <w:tc>
          <w:tcPr>
            <w:tcW w:type="dxa" w:w="1440"/>
            <w:shd w:fill="C6EFCE" w:val="clear"/>
          </w:tcPr>
          <w:p>
            <w:r>
              <w:rPr>
                <w:b/>
                <w:color w:val="008000"/>
                <w:sz w:val="17"/>
              </w:rPr>
              <w:t>+3.0%</w:t>
            </w:r>
          </w:p>
        </w:tc>
      </w:tr>
      <w:tr>
        <w:tc>
          <w:tcPr>
            <w:tcW w:type="dxa" w:w="1440"/>
            <w:shd w:fill="C6EFCE" w:val="clear"/>
          </w:tcPr>
          <w:p>
            <w:r>
              <w:rPr>
                <w:sz w:val="17"/>
              </w:rPr>
              <w:t>J+3  Moyenne</w:t>
            </w:r>
          </w:p>
        </w:tc>
        <w:tc>
          <w:tcPr>
            <w:tcW w:type="dxa" w:w="1440"/>
            <w:shd w:fill="C6EFCE" w:val="clear"/>
          </w:tcPr>
          <w:p>
            <w:r>
              <w:rPr>
                <w:sz w:val="17"/>
              </w:rPr>
              <w:t>2026-10-08</w:t>
            </w:r>
          </w:p>
        </w:tc>
        <w:tc>
          <w:tcPr>
            <w:tcW w:type="dxa" w:w="1440"/>
            <w:shd w:fill="C6EFCE" w:val="clear"/>
          </w:tcPr>
          <w:p>
            <w:r>
              <w:rPr>
                <w:sz w:val="17"/>
              </w:rPr>
              <w:t>1,402</w:t>
            </w:r>
          </w:p>
        </w:tc>
        <w:tc>
          <w:tcPr>
            <w:tcW w:type="dxa" w:w="1440"/>
            <w:shd w:fill="C6EFCE" w:val="clear"/>
          </w:tcPr>
          <w:p>
            <w:r>
              <w:rPr>
                <w:b/>
                <w:sz w:val="17"/>
              </w:rPr>
              <w:t>1,509</w:t>
            </w:r>
          </w:p>
        </w:tc>
        <w:tc>
          <w:tcPr>
            <w:tcW w:type="dxa" w:w="1440"/>
            <w:shd w:fill="C6EFCE" w:val="clear"/>
          </w:tcPr>
          <w:p>
            <w:r>
              <w:rPr>
                <w:sz w:val="17"/>
              </w:rPr>
              <w:t>1,616</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2026-10-09</w:t>
            </w:r>
          </w:p>
        </w:tc>
        <w:tc>
          <w:tcPr>
            <w:tcW w:type="dxa" w:w="1440"/>
            <w:shd w:fill="C6EFCE" w:val="clear"/>
          </w:tcPr>
          <w:p>
            <w:r>
              <w:rPr>
                <w:sz w:val="17"/>
              </w:rPr>
              <w:t>1,391</w:t>
            </w:r>
          </w:p>
        </w:tc>
        <w:tc>
          <w:tcPr>
            <w:tcW w:type="dxa" w:w="1440"/>
            <w:shd w:fill="C6EFCE" w:val="clear"/>
          </w:tcPr>
          <w:p>
            <w:r>
              <w:rPr>
                <w:b/>
                <w:sz w:val="17"/>
              </w:rPr>
              <w:t>1,515</w:t>
            </w:r>
          </w:p>
        </w:tc>
        <w:tc>
          <w:tcPr>
            <w:tcW w:type="dxa" w:w="1440"/>
            <w:shd w:fill="C6EFCE" w:val="clear"/>
          </w:tcPr>
          <w:p>
            <w:r>
              <w:rPr>
                <w:sz w:val="17"/>
              </w:rPr>
              <w:t>1,639</w:t>
            </w:r>
          </w:p>
        </w:tc>
        <w:tc>
          <w:tcPr>
            <w:tcW w:type="dxa" w:w="1440"/>
            <w:shd w:fill="C6EFCE" w:val="clear"/>
          </w:tcPr>
          <w:p>
            <w:r>
              <w:rPr>
                <w:b/>
                <w:color w:val="008000"/>
                <w:sz w:val="17"/>
              </w:rPr>
              <w:t>+3.8%</w:t>
            </w:r>
          </w:p>
        </w:tc>
      </w:tr>
      <w:tr>
        <w:tc>
          <w:tcPr>
            <w:tcW w:type="dxa" w:w="1440"/>
            <w:shd w:fill="C6EFCE" w:val="clear"/>
          </w:tcPr>
          <w:p>
            <w:r>
              <w:rPr>
                <w:sz w:val="17"/>
              </w:rPr>
              <w:t>J+5  ⭐</w:t>
            </w:r>
          </w:p>
        </w:tc>
        <w:tc>
          <w:tcPr>
            <w:tcW w:type="dxa" w:w="1440"/>
            <w:shd w:fill="C6EFCE" w:val="clear"/>
          </w:tcPr>
          <w:p>
            <w:r>
              <w:rPr>
                <w:sz w:val="17"/>
              </w:rPr>
              <w:t>2026-10-12</w:t>
            </w:r>
          </w:p>
        </w:tc>
        <w:tc>
          <w:tcPr>
            <w:tcW w:type="dxa" w:w="1440"/>
            <w:shd w:fill="C6EFCE" w:val="clear"/>
          </w:tcPr>
          <w:p>
            <w:r>
              <w:rPr>
                <w:sz w:val="17"/>
              </w:rPr>
              <w:t>1,382</w:t>
            </w:r>
          </w:p>
        </w:tc>
        <w:tc>
          <w:tcPr>
            <w:tcW w:type="dxa" w:w="1440"/>
            <w:shd w:fill="C6EFCE" w:val="clear"/>
          </w:tcPr>
          <w:p>
            <w:r>
              <w:rPr>
                <w:b/>
                <w:sz w:val="17"/>
              </w:rPr>
              <w:t>1,521</w:t>
            </w:r>
          </w:p>
        </w:tc>
        <w:tc>
          <w:tcPr>
            <w:tcW w:type="dxa" w:w="1440"/>
            <w:shd w:fill="C6EFCE" w:val="clear"/>
          </w:tcPr>
          <w:p>
            <w:r>
              <w:rPr>
                <w:sz w:val="17"/>
              </w:rPr>
              <w:t>1,660</w:t>
            </w:r>
          </w:p>
        </w:tc>
        <w:tc>
          <w:tcPr>
            <w:tcW w:type="dxa" w:w="1440"/>
            <w:shd w:fill="C6EFCE" w:val="clear"/>
          </w:tcPr>
          <w:p>
            <w:r>
              <w:rPr>
                <w:b/>
                <w:color w:val="008000"/>
                <w:sz w:val="17"/>
              </w:rPr>
              <w:t>+4.2%</w:t>
            </w:r>
          </w:p>
        </w:tc>
      </w:tr>
      <w:tr>
        <w:tc>
          <w:tcPr>
            <w:tcW w:type="dxa" w:w="1440"/>
            <w:shd w:fill="C6EFCE" w:val="clear"/>
          </w:tcPr>
          <w:p>
            <w:r>
              <w:rPr>
                <w:sz w:val="17"/>
              </w:rPr>
              <w:t>J+6  ⭐</w:t>
            </w:r>
          </w:p>
        </w:tc>
        <w:tc>
          <w:tcPr>
            <w:tcW w:type="dxa" w:w="1440"/>
            <w:shd w:fill="C6EFCE" w:val="clear"/>
          </w:tcPr>
          <w:p>
            <w:r>
              <w:rPr>
                <w:sz w:val="17"/>
              </w:rPr>
              <w:t>2026-10-13</w:t>
            </w:r>
          </w:p>
        </w:tc>
        <w:tc>
          <w:tcPr>
            <w:tcW w:type="dxa" w:w="1440"/>
            <w:shd w:fill="C6EFCE" w:val="clear"/>
          </w:tcPr>
          <w:p>
            <w:r>
              <w:rPr>
                <w:sz w:val="17"/>
              </w:rPr>
              <w:t>1,373</w:t>
            </w:r>
          </w:p>
        </w:tc>
        <w:tc>
          <w:tcPr>
            <w:tcW w:type="dxa" w:w="1440"/>
            <w:shd w:fill="C6EFCE" w:val="clear"/>
          </w:tcPr>
          <w:p>
            <w:r>
              <w:rPr>
                <w:b/>
                <w:sz w:val="17"/>
              </w:rPr>
              <w:t>1,526</w:t>
            </w:r>
          </w:p>
        </w:tc>
        <w:tc>
          <w:tcPr>
            <w:tcW w:type="dxa" w:w="1440"/>
            <w:shd w:fill="C6EFCE" w:val="clear"/>
          </w:tcPr>
          <w:p>
            <w:r>
              <w:rPr>
                <w:sz w:val="17"/>
              </w:rPr>
              <w:t>1,679</w:t>
            </w:r>
          </w:p>
        </w:tc>
        <w:tc>
          <w:tcPr>
            <w:tcW w:type="dxa" w:w="1440"/>
            <w:shd w:fill="C6EFCE" w:val="clear"/>
          </w:tcPr>
          <w:p>
            <w:r>
              <w:rPr>
                <w:b/>
                <w:color w:val="008000"/>
                <w:sz w:val="17"/>
              </w:rPr>
              <w:t>+4.5%</w:t>
            </w:r>
          </w:p>
        </w:tc>
      </w:tr>
      <w:tr>
        <w:tc>
          <w:tcPr>
            <w:tcW w:type="dxa" w:w="1440"/>
            <w:shd w:fill="C6EFCE" w:val="clear"/>
          </w:tcPr>
          <w:p>
            <w:r>
              <w:rPr>
                <w:sz w:val="17"/>
              </w:rPr>
              <w:t>J+7  ⭐</w:t>
            </w:r>
          </w:p>
        </w:tc>
        <w:tc>
          <w:tcPr>
            <w:tcW w:type="dxa" w:w="1440"/>
            <w:shd w:fill="C6EFCE" w:val="clear"/>
          </w:tcPr>
          <w:p>
            <w:r>
              <w:rPr>
                <w:sz w:val="17"/>
              </w:rPr>
              <w:t>2026-10-14</w:t>
            </w:r>
          </w:p>
        </w:tc>
        <w:tc>
          <w:tcPr>
            <w:tcW w:type="dxa" w:w="1440"/>
            <w:shd w:fill="C6EFCE" w:val="clear"/>
          </w:tcPr>
          <w:p>
            <w:r>
              <w:rPr>
                <w:sz w:val="17"/>
              </w:rPr>
              <w:t>1,366</w:t>
            </w:r>
          </w:p>
        </w:tc>
        <w:tc>
          <w:tcPr>
            <w:tcW w:type="dxa" w:w="1440"/>
            <w:shd w:fill="C6EFCE" w:val="clear"/>
          </w:tcPr>
          <w:p>
            <w:r>
              <w:rPr>
                <w:b/>
                <w:sz w:val="17"/>
              </w:rPr>
              <w:t>1,532</w:t>
            </w:r>
          </w:p>
        </w:tc>
        <w:tc>
          <w:tcPr>
            <w:tcW w:type="dxa" w:w="1440"/>
            <w:shd w:fill="C6EFCE" w:val="clear"/>
          </w:tcPr>
          <w:p>
            <w:r>
              <w:rPr>
                <w:sz w:val="17"/>
              </w:rPr>
              <w:t>1,698</w:t>
            </w:r>
          </w:p>
        </w:tc>
        <w:tc>
          <w:tcPr>
            <w:tcW w:type="dxa" w:w="1440"/>
            <w:shd w:fill="C6EFCE" w:val="clear"/>
          </w:tcPr>
          <w:p>
            <w:r>
              <w:rPr>
                <w:b/>
                <w:color w:val="008000"/>
                <w:sz w:val="17"/>
              </w:rPr>
              <w:t>+4.9%</w:t>
            </w:r>
          </w:p>
        </w:tc>
      </w:tr>
      <w:tr>
        <w:tc>
          <w:tcPr>
            <w:tcW w:type="dxa" w:w="1440"/>
            <w:shd w:fill="C6EFCE" w:val="clear"/>
          </w:tcPr>
          <w:p>
            <w:r>
              <w:rPr>
                <w:sz w:val="17"/>
              </w:rPr>
              <w:t>J+8  ⭐</w:t>
            </w:r>
          </w:p>
        </w:tc>
        <w:tc>
          <w:tcPr>
            <w:tcW w:type="dxa" w:w="1440"/>
            <w:shd w:fill="C6EFCE" w:val="clear"/>
          </w:tcPr>
          <w:p>
            <w:r>
              <w:rPr>
                <w:sz w:val="17"/>
              </w:rPr>
              <w:t>2026-10-15</w:t>
            </w:r>
          </w:p>
        </w:tc>
        <w:tc>
          <w:tcPr>
            <w:tcW w:type="dxa" w:w="1440"/>
            <w:shd w:fill="C6EFCE" w:val="clear"/>
          </w:tcPr>
          <w:p>
            <w:r>
              <w:rPr>
                <w:sz w:val="17"/>
              </w:rPr>
              <w:t>1,360</w:t>
            </w:r>
          </w:p>
        </w:tc>
        <w:tc>
          <w:tcPr>
            <w:tcW w:type="dxa" w:w="1440"/>
            <w:shd w:fill="C6EFCE" w:val="clear"/>
          </w:tcPr>
          <w:p>
            <w:r>
              <w:rPr>
                <w:b/>
                <w:sz w:val="17"/>
              </w:rPr>
              <w:t>1,537</w:t>
            </w:r>
          </w:p>
        </w:tc>
        <w:tc>
          <w:tcPr>
            <w:tcW w:type="dxa" w:w="1440"/>
            <w:shd w:fill="C6EFCE" w:val="clear"/>
          </w:tcPr>
          <w:p>
            <w:r>
              <w:rPr>
                <w:sz w:val="17"/>
              </w:rPr>
              <w:t>1,715</w:t>
            </w:r>
          </w:p>
        </w:tc>
        <w:tc>
          <w:tcPr>
            <w:tcW w:type="dxa" w:w="1440"/>
            <w:shd w:fill="C6EFCE" w:val="clear"/>
          </w:tcPr>
          <w:p>
            <w:r>
              <w:rPr>
                <w:b/>
                <w:color w:val="008000"/>
                <w:sz w:val="17"/>
              </w:rPr>
              <w:t>+5.3%</w:t>
            </w:r>
          </w:p>
        </w:tc>
      </w:tr>
      <w:tr>
        <w:tc>
          <w:tcPr>
            <w:tcW w:type="dxa" w:w="1440"/>
            <w:shd w:fill="C6EFCE" w:val="clear"/>
          </w:tcPr>
          <w:p>
            <w:r>
              <w:rPr>
                <w:sz w:val="17"/>
              </w:rPr>
              <w:t>J+9  ⭐</w:t>
            </w:r>
          </w:p>
        </w:tc>
        <w:tc>
          <w:tcPr>
            <w:tcW w:type="dxa" w:w="1440"/>
            <w:shd w:fill="C6EFCE" w:val="clear"/>
          </w:tcPr>
          <w:p>
            <w:r>
              <w:rPr>
                <w:sz w:val="17"/>
              </w:rPr>
              <w:t>2026-10-16</w:t>
            </w:r>
          </w:p>
        </w:tc>
        <w:tc>
          <w:tcPr>
            <w:tcW w:type="dxa" w:w="1440"/>
            <w:shd w:fill="C6EFCE" w:val="clear"/>
          </w:tcPr>
          <w:p>
            <w:r>
              <w:rPr>
                <w:sz w:val="17"/>
              </w:rPr>
              <w:t>1,353</w:t>
            </w:r>
          </w:p>
        </w:tc>
        <w:tc>
          <w:tcPr>
            <w:tcW w:type="dxa" w:w="1440"/>
            <w:shd w:fill="C6EFCE" w:val="clear"/>
          </w:tcPr>
          <w:p>
            <w:r>
              <w:rPr>
                <w:b/>
                <w:sz w:val="17"/>
              </w:rPr>
              <w:t>1,543</w:t>
            </w:r>
          </w:p>
        </w:tc>
        <w:tc>
          <w:tcPr>
            <w:tcW w:type="dxa" w:w="1440"/>
            <w:shd w:fill="C6EFCE" w:val="clear"/>
          </w:tcPr>
          <w:p>
            <w:r>
              <w:rPr>
                <w:sz w:val="17"/>
              </w:rPr>
              <w:t>1,732</w:t>
            </w:r>
          </w:p>
        </w:tc>
        <w:tc>
          <w:tcPr>
            <w:tcW w:type="dxa" w:w="1440"/>
            <w:shd w:fill="C6EFCE" w:val="clear"/>
          </w:tcPr>
          <w:p>
            <w:r>
              <w:rPr>
                <w:b/>
                <w:color w:val="008000"/>
                <w:sz w:val="17"/>
              </w:rPr>
              <w:t>+5.7%</w:t>
            </w:r>
          </w:p>
        </w:tc>
      </w:tr>
      <w:tr>
        <w:tc>
          <w:tcPr>
            <w:tcW w:type="dxa" w:w="1440"/>
            <w:shd w:fill="C6EFCE" w:val="clear"/>
          </w:tcPr>
          <w:p>
            <w:r>
              <w:rPr>
                <w:sz w:val="17"/>
              </w:rPr>
              <w:t>J+10  ⭐</w:t>
            </w:r>
          </w:p>
        </w:tc>
        <w:tc>
          <w:tcPr>
            <w:tcW w:type="dxa" w:w="1440"/>
            <w:shd w:fill="C6EFCE" w:val="clear"/>
          </w:tcPr>
          <w:p>
            <w:r>
              <w:rPr>
                <w:sz w:val="17"/>
              </w:rPr>
              <w:t>2026-10-19</w:t>
            </w:r>
          </w:p>
        </w:tc>
        <w:tc>
          <w:tcPr>
            <w:tcW w:type="dxa" w:w="1440"/>
            <w:shd w:fill="C6EFCE" w:val="clear"/>
          </w:tcPr>
          <w:p>
            <w:r>
              <w:rPr>
                <w:sz w:val="17"/>
              </w:rPr>
              <w:t>1,348</w:t>
            </w:r>
          </w:p>
        </w:tc>
        <w:tc>
          <w:tcPr>
            <w:tcW w:type="dxa" w:w="1440"/>
            <w:shd w:fill="C6EFCE" w:val="clear"/>
          </w:tcPr>
          <w:p>
            <w:r>
              <w:rPr>
                <w:b/>
                <w:sz w:val="17"/>
              </w:rPr>
              <w:t>1,548</w:t>
            </w:r>
          </w:p>
        </w:tc>
        <w:tc>
          <w:tcPr>
            <w:tcW w:type="dxa" w:w="1440"/>
            <w:shd w:fill="C6EFCE" w:val="clear"/>
          </w:tcPr>
          <w:p>
            <w:r>
              <w:rPr>
                <w:sz w:val="17"/>
              </w:rPr>
              <w:t>1,748</w:t>
            </w:r>
          </w:p>
        </w:tc>
        <w:tc>
          <w:tcPr>
            <w:tcW w:type="dxa" w:w="1440"/>
            <w:shd w:fill="C6EFCE" w:val="clear"/>
          </w:tcPr>
          <w:p>
            <w:r>
              <w:rPr>
                <w:b/>
                <w:color w:val="008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**Bourse Régionale des Valeurs Mobilières (BRVM) — Secteur : Distribution Automobile**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264,80 milliards FCFA, CFAC figure parmi les valeurs les plus importantes de la cote BRVM, ce qui témoigne de son statut de leader du marché automobile ivoirien. Le BPA s'établit à 26 FCFA par action, un niveau modeste qui traduit une rentabilité unitaire faible malgré un volume d'affaires considérable. Le PER de 56,4x est très élevé — près de cinq fois supérieur à la moyenne BRVM (~8-12x) — signifiant que les investisseurs paient très cher chaque franc de bénéfice, ce qui intègre probablement des anticipations de forte croissance future. Le P/B de 13,61x (largement supérieur au seuil de 4x) indique que le marché valorise l'entreprise à plus de treize fois sa valeur comptable, une prime considérable qui suppose une rentabilité des fonds propres durablement élevée (ROE de 24,1% en 2024). Enfin, l'EV/EBITDA de 28,8x (bien au-dessus de 15x) confirme que la valeur d'entreprise est très exigeante au regard de la capacité opérationnelle générée,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totale positive de +5,80%, mais la dernière séance (J-1) a enregistré un net repli de -3,95%, signalant une pression vendeuse récente. Le cours actuel de 1 460 FCFA se situe dans la partie basse du range de trading, le plus haut ayant atteint 1 825 FCFA et le plus bas 1 380 FCFA — soit un écart de 445 FCFA (32%) entre les extrêmes, ce qui traduit une tendance globalement baissière sur la période malgré la variation totale positive. Les statistiques descriptives révèlent une moyenne de 1 634 FCFA légèrement supérieure à la médiane de 1 642 FCFA, avec un mode à 1 600 FCFA, indiquant une distribution quasi-symétrique (skewness de -0,367, interprétée comme symétrique). L'écart-type de 96 FCFA avec un coefficient de variation de 5,9% montre une dispersion modérée du cours autour de sa moyenne, tandis que le kurtosis de -0,515 (mésokurtique) suggère une distribution proche de la normale, sans risque excessif de pics extrêmes. La volatilité annualisée de 46,9% classe ce titre dans la catégorie des valeurs à volatilité élevée (&gt;30%), ce qui implique un risque de fluctuation important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(1 624,75 FCFA) et la MM50 (1 663,9 FCFA) se situent toutes deux au-dessus du cours actuel (1 460 FCFA), avec la MM20 en dessous de la MM50 — configuration baissière classique. Le cours évoluant sous ses deux moyennes mobiles, la pression vendeuse est confirmée, justifiant la décision technique de **Vente**.</w:t>
      </w:r>
    </w:p>
    <w:p>
      <w:pPr>
        <w:spacing w:after="120" w:line="276" w:lineRule="auto"/>
      </w:pPr>
      <w:r>
        <w:t>**Bandes de Bollinger** : Le cours actuel (1 460 FCFA) évolue près de la borne inférieure (1 450,38 FCFA) et loin de la borne supérieure (1 799,12 FCFA), ce qui indique une position de faiblesse relative. La largeur des bandes reflète la volatilité élevée du titre, et la décision est **Neutre** car le cours n'a pas encore cassé la borne inférieure, laissant une possibilité de rebond technique.</w:t>
      </w:r>
    </w:p>
    <w:p>
      <w:pPr>
        <w:spacing w:after="120" w:line="276" w:lineRule="auto"/>
      </w:pPr>
      <w:r>
        <w:t>**MACD** : Le MACD (-48,003) est inférieur à son signal (-33,355), avec un histogramme négatif — configuration baissière confirmée. Le momentum reste négatif, ce qui plaide pour la poursuite de la tendance baissière à court terme, justifiant la décision de **Vente**.</w:t>
      </w:r>
    </w:p>
    <w:p>
      <w:pPr>
        <w:spacing w:after="120" w:line="276" w:lineRule="auto"/>
      </w:pPr>
      <w:r>
        <w:t>**RSI** : À 25,688, le RSI se situe en zone de survente (&lt;30), signalant que le titre a été excessivement vendu et pourrait connaître un rebond technique. Cette configuration justifie la décision d'**Achat** à contre-tendance, bien que le contexte baissier global invite à la prudence.</w:t>
      </w:r>
    </w:p>
    <w:p>
      <w:pPr>
        <w:spacing w:after="120" w:line="276" w:lineRule="auto"/>
      </w:pPr>
      <w:r>
        <w:t>**Stochastique** : Le %K (0,0) est en dessous du %D (14,0), avec un %K au plus bas absolu — situation de survente extrême. Cette configuration précède souvent un retournement haussier, justifiant la décision d'**Achat**, mais le croisement n'est pas encore confirmé.</w:t>
      </w:r>
    </w:p>
    <w:p>
      <w:pPr>
        <w:spacing w:after="120" w:line="276" w:lineRule="auto"/>
      </w:pPr>
      <w:r>
        <w:t>**Conclusion technique** : Les indicateurs présentent une divergence notable : les moyennes mobiles et le MACD confirment une tendance baissière, tandis que le RSI et le stochastique signalent une survente extrême propice à un rebond technique. Cette configuration suggère une possible stabilisation à court terme, mais la tendance de fond reste fragile tant que le cours n'aura pas reconquis la MM20 (1 624,75 FCFA). La prudence est de mise avant tout signal de retournement confirmé.</w:t>
      </w:r>
    </w:p>
    <w:p>
      <w:pPr>
        <w:spacing w:after="120" w:line="276" w:lineRule="auto"/>
      </w:pPr>
      <w:r>
        <w:t>---</w:t>
      </w:r>
    </w:p>
    <w:p>
      <w:pPr>
        <w:spacing w:after="120" w:line="276" w:lineRule="auto"/>
      </w:pPr>
      <w:r>
        <w:t>## PARTIE 3 : ANALYSE FONDAMENTALE</w:t>
      </w:r>
    </w:p>
    <w:p>
      <w:pPr>
        <w:spacing w:after="120" w:line="276" w:lineRule="auto"/>
      </w:pPr>
      <w:r>
        <w:t>**Données structurées (exercice 2024)** : En 2024, CFAC a réalisé un chiffre d'affaires de 158,313 milliards FCFA, en baisse de -12,13% par rapport à 2023, avec un résultat net de 4,693 milliards FCFA (marge nette de 2,96%). Le ROE s'établit à 24,13% (excellent, &gt;15%) et le ROA à 5,52%, témoignant d'une bonne rentabilité des fonds propres malgré la contraction de l'activité. L'EBE de 9,374 milliards FCFA et le résultat d'exploitation de 7,847 milliards FCFA (marge opérationnelle de 4,96%) confirment une rentabilité opérationnelle positive mais sous pression. Le BFR est négatif (-3,482 milliards FCFA), ce qui est favorable car il signifie que les fournisseurs financent une partie du cycle d'exploitation ; toutefois, la trésorerie nette est négative (-624,20 millions FCFA) et le Free Cash Flow s'élève à -1,650 milliards FCFA, reflétant des investissements importants (-8,741 milliards FCFA) non couverts par la CAF (6,224 milliards FCFA). Les délais clients (36,64 jours) et fournisseurs (81,75 jours) sont maîtrisés, mais la durée de stockage élevée (88,35 jours) immobilise du capital. L'autonomie financière (22,88%) est inférieure au seuil sain de 30%, et la liquidité générale (93,63%) est légèrement sous l'unité, signalant une trésorerie tendue.</w:t>
      </w:r>
    </w:p>
    <w:p>
      <w:pPr>
        <w:spacing w:after="120" w:line="276" w:lineRule="auto"/>
      </w:pPr>
      <w:r>
        <w:t>**Estimations basées sur les rapports trimestriels** : Les rapports T1, T2 et T3 2025 (dates respectives : 31/03/2025, 30/06/2025 et 30/09/2025) révèlent un net redressement. Au T1 2025, le CA progresse de +14,5% à 46,161 milliards FCFA et le résultat net bondit de +279,7% à 3,836 milliards FCFA (marge nette de 8,3%). Au S1 2025, le CA atteint 91,182 milliards FCFA (+18,4%) et le résultat net 5,420 milliards FCFA (+152,7%), avec une marge nette de 5,9%. Au T3 2025, le CA trimestriel s'élève à 43,580 milliards FCFA (+18,3%) et le résultat net à 1,489 milliard FCFA (+38,1%). Sur la base de ces tendances, on peut estimer que l'exercice 2025 devrait afficher un chiffre d'affaires annuel d'environ 180-185 milliards FCFA (retour au niveau de 2023) et un résultat net de l'ordre de 7-8 milliards FCFA, en nette amélioration par rapport à 2024. Le rapport annuel 2024 (date : 31/12/2024) confirme la stratégie de développement du réseau, de diversification (SHACMAN, LOVOL, BYD) et d'amélioration opérationnelle, qui porte ses fruits depuis le T1 2025.</w:t>
      </w:r>
    </w:p>
    <w:p>
      <w:pPr>
        <w:spacing w:after="120" w:line="276" w:lineRule="auto"/>
      </w:pPr>
      <w:r>
        <w:t>**Recommandation fondamentale** : La solidité financière de CFAC repose sur sa position de leader (part de marché de 41,7% au T3 2025), sa capacité à générer un ROE élevé (24,13% en 2024) et le redressement spectaculaire de sa rentabilité en 2025. Les principaux risques sont la cyclicité du marché automobile, la pression concurrentielle sur les marges, la trésorerie nette négative et un taux de distribution des dividendes historiquement élevé (88,1% en 2023). La trajectoire 2025 est nettement positive, mais la valorisation boursière exigeante (PER de 56,4x) intègre déjà une grande partie de cette amélioration.</w:t>
      </w:r>
    </w:p>
    <w:p>
      <w:pPr>
        <w:spacing w:after="120" w:line="276" w:lineRule="auto"/>
      </w:pPr>
      <w:r>
        <w:t>---</w:t>
      </w:r>
    </w:p>
    <w:p>
      <w:pPr>
        <w:spacing w:after="120" w:line="276" w:lineRule="auto"/>
      </w:pPr>
      <w:r>
        <w:t>## PARTIE 4 : CONCLUSION D'INVESTISSEMENT</w:t>
      </w:r>
    </w:p>
    <w:p>
      <w:pPr>
        <w:spacing w:after="120" w:line="276" w:lineRule="auto"/>
      </w:pPr>
      <w:r>
        <w:t>La valorisation de CFAC apparaît très exigeante : le PER de 56,4x, le P/B de 13,61x et l'EV/EBITDA de 28,8x traduisent une forte prime accordée par le marché, bien au-dessus des moyennes BRVM, ce qui suppose des anticipations de croissance durable déjà bien intégrées. Le comportement du cours sur 100 jours montre une tendance baissière malgré une variation totale positive (+5,80%), avec une volatilité élevée (46,9%) et une distribution quasi-normale (kurtosis de -0,515, skewness de -0,367), sans risque excessif de pics extrêmes mais avec une pression vendeuse récente (-3,95% en J-1). Les signaux techniques sont divergents : les moyennes mobiles et le MACD confirment la tendance baissière, tandis que le RSI (25,7) et le stochastique (%K=0,0) signalent une survente extrême propice à un rebond technique à court terme. Les fondamentaux sont solides mais contrastés : l'exercice 2024 a été difficile (CA -12,1%, RN -26,7%), mais les rapports trimestriels 2025 (T1, S1, T3) montrent un redressement spectaculaire de la rentabilité (+152,7% au S1 2025), ce qui devrait se traduire par un exercice 2025 nettement meilleur. Les prédictions IA (J+1 à J+10) anticipent une légère hausse vers 1 504-1 521 FCFA, ce qui confirme la possibilité d'un rebond technique à court terme, en ligne avec les signaux de survente du RSI et du stochastique.</w:t>
      </w:r>
    </w:p>
    <w:p>
      <w:pPr>
        <w:spacing w:after="120" w:line="276" w:lineRule="auto"/>
      </w:pPr>
      <w:r>
        <w:t>**Recommandation finale : CONSERVER**</w:t>
      </w:r>
    </w:p>
    <w:p>
      <w:pPr>
        <w:spacing w:after="120" w:line="276" w:lineRule="auto"/>
      </w:pPr>
      <w:r>
        <w:t>Cette recommandation reflète la convergence partielle des signaux : la survente technique et les prédictions IA haussières plaident pour un rebond à court terme, tandis que la valorisation exigeante et la tendance baissière de fond invitent à la prudence. Les fondamentaux 2025 sont encourageants, mais le PER de 56,4x laisse peu de marge de sécurité. **Niveau de confiance : Moyen** — les signaux techniques et fondamentaux sont divergents, et la volatilité élevée accroît l'incertitude. **Niveau de risque global : Élevé** — volatilité de 46,9%, valorisation tendue et cyclicité du secteur automobile. **Horizon d'investissement optimal : Moyen terme (3-12 mois)** — le temps que la tendance baissière s'inverse et que les résultats 2025 se confirment, tout en surveillant l'évolution de la trésorerie et des marges.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358.40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6,852 titres</w:t>
            </w:r>
          </w:p>
        </w:tc>
        <w:tc>
          <w:tcPr>
            <w:tcW w:type="dxa" w:w="2268"/>
            <w:shd w:fill="FFF2CC" w:val="clear"/>
          </w:tcPr>
          <w:p>
            <w:r>
              <w:rPr>
                <w:b/>
                <w:color w:val="503200"/>
                <w:sz w:val="16"/>
              </w:rPr>
              <w:t xml:space="preserve">Cours actuel : </w:t>
            </w:r>
            <w:r>
              <w:rPr>
                <w:color w:val="000000"/>
                <w:sz w:val="17"/>
              </w:rPr>
              <w:t>6,400 FCFA</w:t>
            </w:r>
          </w:p>
          <w:p>
            <w:r>
              <w:rPr>
                <w:b/>
                <w:color w:val="503200"/>
                <w:sz w:val="16"/>
              </w:rPr>
              <w:t xml:space="preserve">Var. 100 jours : </w:t>
            </w:r>
            <w:r>
              <w:rPr>
                <w:b/>
                <w:color w:val="007800"/>
                <w:sz w:val="17"/>
              </w:rPr>
              <w:t>+100.00%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49.4%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18.80% (Élevée) — μ=5,475 FCFA, σ=1,029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β=0.7036 (Défensif) — Cov=0.000051, Var(idx)=0.000072, ρ=0.192,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σ_j=3.11%/j (Modérée) — Vol. annualisée≈49.4%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6,037</w:t>
            </w:r>
          </w:p>
        </w:tc>
        <w:tc>
          <w:tcPr>
            <w:tcW w:type="dxa" w:w="1440"/>
            <w:shd w:fill="FAFAFA" w:val="clear"/>
          </w:tcPr>
          <w:p>
            <w:r>
              <w:rPr>
                <w:b/>
                <w:sz w:val="17"/>
              </w:rPr>
              <w:t>6,313</w:t>
            </w:r>
          </w:p>
        </w:tc>
        <w:tc>
          <w:tcPr>
            <w:tcW w:type="dxa" w:w="1440"/>
            <w:shd w:fill="FAFAFA" w:val="clear"/>
          </w:tcPr>
          <w:p>
            <w:r>
              <w:rPr>
                <w:sz w:val="17"/>
              </w:rPr>
              <w:t>6,588</w:t>
            </w:r>
          </w:p>
        </w:tc>
        <w:tc>
          <w:tcPr>
            <w:tcW w:type="dxa" w:w="1440"/>
            <w:shd w:fill="FAFAFA" w:val="clear"/>
          </w:tcPr>
          <w:p>
            <w:r>
              <w:rPr>
                <w:b/>
                <w:color w:val="C00000"/>
                <w:sz w:val="17"/>
              </w:rPr>
              <w:t>-1.4%</w:t>
            </w:r>
          </w:p>
        </w:tc>
      </w:tr>
      <w:tr>
        <w:tc>
          <w:tcPr>
            <w:tcW w:type="dxa" w:w="1440"/>
            <w:shd w:fill="FFDCE0" w:val="clear"/>
          </w:tcPr>
          <w:p>
            <w:r>
              <w:rPr>
                <w:sz w:val="17"/>
              </w:rPr>
              <w:t>J+2  Moyenne</w:t>
            </w:r>
          </w:p>
        </w:tc>
        <w:tc>
          <w:tcPr>
            <w:tcW w:type="dxa" w:w="1440"/>
            <w:shd w:fill="FFDCE0" w:val="clear"/>
          </w:tcPr>
          <w:p>
            <w:r>
              <w:rPr>
                <w:sz w:val="17"/>
              </w:rPr>
              <w:t>2026-10-07</w:t>
            </w:r>
          </w:p>
        </w:tc>
        <w:tc>
          <w:tcPr>
            <w:tcW w:type="dxa" w:w="1440"/>
            <w:shd w:fill="FFDCE0" w:val="clear"/>
          </w:tcPr>
          <w:p>
            <w:r>
              <w:rPr>
                <w:sz w:val="17"/>
              </w:rPr>
              <w:t>5,865</w:t>
            </w:r>
          </w:p>
        </w:tc>
        <w:tc>
          <w:tcPr>
            <w:tcW w:type="dxa" w:w="1440"/>
            <w:shd w:fill="FFDCE0" w:val="clear"/>
          </w:tcPr>
          <w:p>
            <w:r>
              <w:rPr>
                <w:b/>
                <w:sz w:val="17"/>
              </w:rPr>
              <w:t>6,251</w:t>
            </w:r>
          </w:p>
        </w:tc>
        <w:tc>
          <w:tcPr>
            <w:tcW w:type="dxa" w:w="1440"/>
            <w:shd w:fill="FFDCE0" w:val="clear"/>
          </w:tcPr>
          <w:p>
            <w:r>
              <w:rPr>
                <w:sz w:val="17"/>
              </w:rPr>
              <w:t>6,636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2026-10-08</w:t>
            </w:r>
          </w:p>
        </w:tc>
        <w:tc>
          <w:tcPr>
            <w:tcW w:type="dxa" w:w="1440"/>
            <w:shd w:fill="FFDCE0" w:val="clear"/>
          </w:tcPr>
          <w:p>
            <w:r>
              <w:rPr>
                <w:sz w:val="17"/>
              </w:rPr>
              <w:t>5,747</w:t>
            </w:r>
          </w:p>
        </w:tc>
        <w:tc>
          <w:tcPr>
            <w:tcW w:type="dxa" w:w="1440"/>
            <w:shd w:fill="FFDCE0" w:val="clear"/>
          </w:tcPr>
          <w:p>
            <w:r>
              <w:rPr>
                <w:b/>
                <w:sz w:val="17"/>
              </w:rPr>
              <w:t>6,216</w:t>
            </w:r>
          </w:p>
        </w:tc>
        <w:tc>
          <w:tcPr>
            <w:tcW w:type="dxa" w:w="1440"/>
            <w:shd w:fill="FFDCE0" w:val="clear"/>
          </w:tcPr>
          <w:p>
            <w:r>
              <w:rPr>
                <w:sz w:val="17"/>
              </w:rPr>
              <w:t>6,685</w:t>
            </w:r>
          </w:p>
        </w:tc>
        <w:tc>
          <w:tcPr>
            <w:tcW w:type="dxa" w:w="1440"/>
            <w:shd w:fill="FFDCE0" w:val="clear"/>
          </w:tcPr>
          <w:p>
            <w:r>
              <w:rPr>
                <w:b/>
                <w:color w:val="C00000"/>
                <w:sz w:val="17"/>
              </w:rPr>
              <w:t>-2.9%</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5,655</w:t>
            </w:r>
          </w:p>
        </w:tc>
        <w:tc>
          <w:tcPr>
            <w:tcW w:type="dxa" w:w="1440"/>
            <w:shd w:fill="FFDCE0" w:val="clear"/>
          </w:tcPr>
          <w:p>
            <w:r>
              <w:rPr>
                <w:b/>
                <w:sz w:val="17"/>
              </w:rPr>
              <w:t>6,195</w:t>
            </w:r>
          </w:p>
        </w:tc>
        <w:tc>
          <w:tcPr>
            <w:tcW w:type="dxa" w:w="1440"/>
            <w:shd w:fill="FFDCE0" w:val="clear"/>
          </w:tcPr>
          <w:p>
            <w:r>
              <w:rPr>
                <w:sz w:val="17"/>
              </w:rPr>
              <w:t>6,735</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5,576</w:t>
            </w:r>
          </w:p>
        </w:tc>
        <w:tc>
          <w:tcPr>
            <w:tcW w:type="dxa" w:w="1440"/>
            <w:shd w:fill="FFDCE0" w:val="clear"/>
          </w:tcPr>
          <w:p>
            <w:r>
              <w:rPr>
                <w:b/>
                <w:sz w:val="17"/>
              </w:rPr>
              <w:t>6,178</w:t>
            </w:r>
          </w:p>
        </w:tc>
        <w:tc>
          <w:tcPr>
            <w:tcW w:type="dxa" w:w="1440"/>
            <w:shd w:fill="FFDCE0" w:val="clear"/>
          </w:tcPr>
          <w:p>
            <w:r>
              <w:rPr>
                <w:sz w:val="17"/>
              </w:rPr>
              <w:t>6,781</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5,507</w:t>
            </w:r>
          </w:p>
        </w:tc>
        <w:tc>
          <w:tcPr>
            <w:tcW w:type="dxa" w:w="1440"/>
            <w:shd w:fill="FFDCE0" w:val="clear"/>
          </w:tcPr>
          <w:p>
            <w:r>
              <w:rPr>
                <w:b/>
                <w:sz w:val="17"/>
              </w:rPr>
              <w:t>6,166</w:t>
            </w:r>
          </w:p>
        </w:tc>
        <w:tc>
          <w:tcPr>
            <w:tcW w:type="dxa" w:w="1440"/>
            <w:shd w:fill="FFDCE0" w:val="clear"/>
          </w:tcPr>
          <w:p>
            <w:r>
              <w:rPr>
                <w:sz w:val="17"/>
              </w:rPr>
              <w:t>6,824</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5,445</w:t>
            </w:r>
          </w:p>
        </w:tc>
        <w:tc>
          <w:tcPr>
            <w:tcW w:type="dxa" w:w="1440"/>
            <w:shd w:fill="FFDCE0" w:val="clear"/>
          </w:tcPr>
          <w:p>
            <w:r>
              <w:rPr>
                <w:b/>
                <w:sz w:val="17"/>
              </w:rPr>
              <w:t>6,155</w:t>
            </w:r>
          </w:p>
        </w:tc>
        <w:tc>
          <w:tcPr>
            <w:tcW w:type="dxa" w:w="1440"/>
            <w:shd w:fill="FFDCE0" w:val="clear"/>
          </w:tcPr>
          <w:p>
            <w:r>
              <w:rPr>
                <w:sz w:val="17"/>
              </w:rPr>
              <w:t>6,865</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5,389</w:t>
            </w:r>
          </w:p>
        </w:tc>
        <w:tc>
          <w:tcPr>
            <w:tcW w:type="dxa" w:w="1440"/>
            <w:shd w:fill="FFDCE0" w:val="clear"/>
          </w:tcPr>
          <w:p>
            <w:r>
              <w:rPr>
                <w:b/>
                <w:sz w:val="17"/>
              </w:rPr>
              <w:t>6,147</w:t>
            </w:r>
          </w:p>
        </w:tc>
        <w:tc>
          <w:tcPr>
            <w:tcW w:type="dxa" w:w="1440"/>
            <w:shd w:fill="FFDCE0" w:val="clear"/>
          </w:tcPr>
          <w:p>
            <w:r>
              <w:rPr>
                <w:sz w:val="17"/>
              </w:rPr>
              <w:t>6,905</w:t>
            </w:r>
          </w:p>
        </w:tc>
        <w:tc>
          <w:tcPr>
            <w:tcW w:type="dxa" w:w="1440"/>
            <w:shd w:fill="FFDCE0" w:val="clear"/>
          </w:tcPr>
          <w:p>
            <w:r>
              <w:rPr>
                <w:b/>
                <w:color w:val="C00000"/>
                <w:sz w:val="17"/>
              </w:rPr>
              <w:t>-4.0%</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5,337</w:t>
            </w:r>
          </w:p>
        </w:tc>
        <w:tc>
          <w:tcPr>
            <w:tcW w:type="dxa" w:w="1440"/>
            <w:shd w:fill="FFDCE0" w:val="clear"/>
          </w:tcPr>
          <w:p>
            <w:r>
              <w:rPr>
                <w:b/>
                <w:sz w:val="17"/>
              </w:rPr>
              <w:t>6,140</w:t>
            </w:r>
          </w:p>
        </w:tc>
        <w:tc>
          <w:tcPr>
            <w:tcW w:type="dxa" w:w="1440"/>
            <w:shd w:fill="FFDCE0" w:val="clear"/>
          </w:tcPr>
          <w:p>
            <w:r>
              <w:rPr>
                <w:sz w:val="17"/>
              </w:rPr>
              <w:t>6,943</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5,288</w:t>
            </w:r>
          </w:p>
        </w:tc>
        <w:tc>
          <w:tcPr>
            <w:tcW w:type="dxa" w:w="1440"/>
            <w:shd w:fill="FFDCE0" w:val="clear"/>
          </w:tcPr>
          <w:p>
            <w:r>
              <w:rPr>
                <w:b/>
                <w:sz w:val="17"/>
              </w:rPr>
              <w:t>6,134</w:t>
            </w:r>
          </w:p>
        </w:tc>
        <w:tc>
          <w:tcPr>
            <w:tcW w:type="dxa" w:w="1440"/>
            <w:shd w:fill="FFDCE0" w:val="clear"/>
          </w:tcPr>
          <w:p>
            <w:r>
              <w:rPr>
                <w:sz w:val="17"/>
              </w:rPr>
              <w:t>6,979</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358,40 milliards FCFA, la CIEC figure parmi les valeurs les plus importantes de la BRVM, ce qui témoigne de son statut de poids lourd du compartiment des services publics. Le BPA s'établit à 234 FCFA par action, ce qui signifie que chaque titre génère 234 FCFA de bénéfice net, un niveau cohérent avec le dividende proposé de 234 FCFA (taux de distribution proche de 100%). Le PER de 27,3x est nettement supérieur à la moyenne du marché BRVM (généralement comprise entre 8 et 12x), ce qui indique que les investisseurs paient une prime très élevée pour les bénéfices actuels, anticipant probablement la croissance future ou une rareté de l'offre sur le titre. Le P/B de 9,97x, très supérieur au seuil de 4x, confirme cette valorisation exigeante : le marché valorise l'entreprise près de 10 fois sa valeur comptable, ce qui se justifie en partie par la faiblesse des capitaux propres (35,96 Mds FCFA) face à un actif total de 2 018 Mds FCFA. Enfin, l'EV/EBITDA de 14,7x, situé dans la fourchette haute (10-15x), traduit une valorisation tendue par rapport à la capacité opérationnelle de génération de cash-flow, ce qui invite à la prudence malgré la qualité des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variation totale spectaculaire de +100,00%, passant d'un plus bas de 3 200 FCFA à un plus haut de 7 400 FCFA, avant de se replier légèrement pour clôturer à 6 400 FCFA, avec une variation J-1 de -1,54% marquant une prise de profit récente. Le range de trading particulièrement large (3 200 – 7 400 FCFA) reflète une tendance haussière très marquée, soutenue par l'engouement des investisseurs pour la valeur. Les statistiques descriptives révèlent une moyenne de 5 475 FCFA légèrement supérieure à la médiane de 5 300 FCFA, ce qui indique une distribution quasi symétrique avec une très légère asymétrie positive, tandis que le mode à 4 995 FCFA suggère que le cours a longtemps stationné autour de ce niveau avant son envolée. L'écart-type de 1 034 FCFA et le coefficient de variation de 18,9% traduisent une dispersion modérée du cours autour de sa moyenne, ce qui est cohérent avec un titre en forte tendance mais non erratique. Le kurtosis de -0,437 (mésokurtique) indique une distribution proche de la normale, sans risque excessif de pics extrêmes, tandis que le skewness de -0,174 confirme une symétrie quasi parfaite de la distribution. Enfin, la volatilité annualisée de 49,4% positionne clairement le titre dans la catégorie des valeurs à volatilité élevée (&gt;30%), ce qui implique un risque de marché significatif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6 671 FCFA et la MM50 à 6 205,7 FCFA, toutes deux supérieures au cours actuel de 6 400 FCFA, ce qui place le titre en dessous de ses moyennes court et moyen terme. Cette configuration suggère une pression baissière de court terme, bien que la MM50 reste en soutien relatif. La décision technique affichée est "Achat", probablement liée à la convergence des moyennes et à la perspective d'un rebond technique après le repli récent.</w:t>
      </w:r>
    </w:p>
    <w:p>
      <w:pPr>
        <w:spacing w:after="120" w:line="276" w:lineRule="auto"/>
      </w:pPr>
      <w:r>
        <w:t>**Bandes de Bollinger** : La borne supérieure se situe à 7 407,7 FCFA et la borne inférieure à 5 934,3 FCFA, avec un cours actuel de 6 400 FCFA positionné dans la partie basse de la bande (environ 30% de la largeur). Cette position indique que le titre n'est ni suracheté ni survendu, mais qu'il évolue dans une zone de faiblesse relative. La décision "Neutre" reflète l'absence de signal directionnel fort, la volatilité restant contenue dans les bandes.</w:t>
      </w:r>
    </w:p>
    <w:p>
      <w:pPr>
        <w:spacing w:after="120" w:line="276" w:lineRule="auto"/>
      </w:pPr>
      <w:r>
        <w:t>**MACD** : La valeur du MACD est de -0,305 contre un signal à 54,039, ce qui génère une divergence baissière marquée (MACD nettement sous son signal). Cette configuration traduit un momentum négatif persistant et justifie la décision "Vente". La faiblesse du MACD par rapport à son signal suggère que la dynamique haussière des 100 derniers jours s'essouffle.</w:t>
      </w:r>
    </w:p>
    <w:p>
      <w:pPr>
        <w:spacing w:after="120" w:line="276" w:lineRule="auto"/>
      </w:pPr>
      <w:r>
        <w:t>**RSI** : À 34,066, le RSI se situe dans la zone neutre basse (30-70), proche du seuil de survente (30). Cela indique que le titre n'est pas encore survendu mais que la pression vendeuse récente a ramené l'indicateur dans une zone de faiblesse. La décision "Neutre" est cohérente avec cette position intermédiaire, sans signal d'achat ou de vente clair.</w:t>
      </w:r>
    </w:p>
    <w:p>
      <w:pPr>
        <w:spacing w:after="120" w:line="276" w:lineRule="auto"/>
      </w:pPr>
      <w:r>
        <w:t>**Stochastique** : Le %K (38,462) est légèrement supérieur au %D (37,403), avec un croisement haussier naissant mais non confirmé. Les deux indicateurs se situent dans la zone neutre basse, sans divergence significative. La décision "Neutre" reflète l'absence de signal fort, le croisement étant trop récent pour être fiable.</w:t>
      </w:r>
    </w:p>
    <w:p>
      <w:pPr>
        <w:spacing w:after="120" w:line="276" w:lineRule="auto"/>
      </w:pPr>
      <w:r>
        <w:t>**Conclusion technique** : Les indicateurs techniques présentent un tableau mitigé, avec une majorité de signaux neutres (Bollinger, RSI, Stochastique) et un signal de vente sur le MACD, tandis que les moyennes mobiles suggèrent un potentiel d'achat. Le titre se trouve dans une phase de consolidation après sa forte hausse, avec un momentum affaibli mais des supports techniques (MM50, borne inférieure de Bollinger) encore respectés. La prudence est de mise à court terme, en attendant une confirmation de retournement haussier.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la CIEC affiche un chiffre d'affaires de 302,320 Mds FCFA, en croissance de +14,8% par rapport à 2024 (263,294 Mds FCFA), portée par la hausse des ventes d'énergie (+8,3% en volume) et l'expansion du nombre de clients (+15,1% à 5 282 283 clients). Le résultat net s'établit à 13,127 Mds FCFA, en progression de +24,4%, avec une marge nette de 4,34% et un ROE exceptionnel de 36,50%, bien supérieur au seuil de 15% considéré comme excellent. Le ROA reste faible à 0,65%, reflétant l'intensité capitalistique du secteur. Sur le plan opérationnel, l'EBE atteint 37,161 Mds FCFA et la CAF 28,869 Mds FCFA, tandis que le BFR est négatif à -90,244 Mds FCFA, ce qui constitue un point positif majeur pour la trésorerie. Cependant, les délais d'exploitation révèlent des tensions : le délai clients est élevé à 164 jours (risque de trésorerie), le délai fournisseurs très long à 970 jours (avantage de trésorerie) et la durée de stockage de 175 jours. La structure financière est très déséquilibrée avec une autonomie financière de seulement 1,78% et un ratio d'endettement de 612,94%, bien que la solvabilité générale (101,81%) reste juste au-dessus de 1. Les rapports narratifs confirment ces tendances : le rapport du 31/12/2026 (analysé par DeepSeek) souligne une croissance solide et une politique de dividende attractive (234 FCFA/action, soit 99,8% du résultat net), tout en identifiant des risques de crédit client et de régulation. Le rapport du 30/06/2025 (S1 2025) indique un CA semestriel de 134,923 Mds FCFA (+18,85%) et un résultat net de 5,096 Mds FCFA (+13,37%), ce qui permet d'estimer que l'exercice 2026 devrait maintenir une croissance à deux chiffres, portée par le programme PEPT et la demande énergétique régionale. La recommandation fondamentale est de **CONSERVER** le titre : la solidité opérationnelle et le rendement du dividende sont attractifs, mais la valorisation exigeante et les risques réglementaires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CIEC apparaît nettement surévaluée au regard des ratios boursiers : PER de 27,3x (vs moyenne BRVM 8-12x), P/B de 9,97x et EV/EBITDA de 14,7x traduisent une prime spéculative importante, bien que partiellement justifiée par la croissance et la rareté du titre. Le comportement du cours sur 100 jours est exceptionnel (+100%) mais les statistiques descriptives (kurtosis -0,437, skewness -0,174) indiquent une distribution normale sans excès de risque, tandis que la volatilité annualisée de 49,4% reste élevée et préoccupante pour un investisseur averse au risque. Les signaux techniques sont divergents : les moyennes mobiles donnent un signal d'achat, mais le MACD est baissier et les autres indicateurs (Bollinger, RSI, Stochastique) sont neutres, ce qui suggère une consolidation en cours. Les fondamentaux sont solides (CA +14,8%, RN +24,4%, ROE 36,5%, BFR négatif) mais la structure financière est fragile (autonomie financière 1,78%, endettement 612,9%) et les délais clients élevés (164 jours) constituent un risque de trésorerie. Les prédictions IA pour les 10 prochains jours (6313 → 6178 FCFA) anticipent une poursuite de la correction baissière, en ligne avec le signal MACD et la position du cours sous les moyennes mobiles. Sur la base de cette synthèse, la recommandation finale est **CONSERVER** : la convergence entre la surévaluation, le momentum technique négatif et la correction attendue par l'IA plaide contre un achat immédiat, mais la qualité des fondamentaux et le rendement du dividende justifient de ne pas vendre. Le niveau de confiance est **Moyen** (les signaux sont contradictoires entre technique et fondamental) et le niveau de risque global est **Élevé** (volatilité 49,4%, endettement massif, dépendance réglementaire). L'horizon d'investissement optimal est le **moyen terme (3-12 mois)**, en attendant une clarification des signaux techniques et une confirmation de la croissance des bénéfices.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924.85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4,196 titres</w:t>
            </w:r>
          </w:p>
        </w:tc>
        <w:tc>
          <w:tcPr>
            <w:tcW w:type="dxa" w:w="2268"/>
            <w:shd w:fill="FFF2CC" w:val="clear"/>
          </w:tcPr>
          <w:p>
            <w:r>
              <w:rPr>
                <w:b/>
                <w:color w:val="503200"/>
                <w:sz w:val="16"/>
              </w:rPr>
              <w:t xml:space="preserve">Cours actuel : </w:t>
            </w:r>
            <w:r>
              <w:rPr>
                <w:color w:val="000000"/>
                <w:sz w:val="17"/>
              </w:rPr>
              <w:t>16,800 FCFA</w:t>
            </w:r>
          </w:p>
          <w:p>
            <w:r>
              <w:rPr>
                <w:b/>
                <w:color w:val="503200"/>
                <w:sz w:val="16"/>
              </w:rPr>
              <w:t xml:space="preserve">Var. 100 jours : </w:t>
            </w:r>
            <w:r>
              <w:rPr>
                <w:b/>
                <w:color w:val="007800"/>
                <w:sz w:val="17"/>
              </w:rPr>
              <w:t>+3.70%</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2.73% (Faible) — μ=16,569 FCFA, σ=452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β=0.2764 (Défensif) — Cov=0.000020, Var(idx)=0.000072, ρ=0.137,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16,430</w:t>
            </w:r>
          </w:p>
        </w:tc>
        <w:tc>
          <w:tcPr>
            <w:tcW w:type="dxa" w:w="1440"/>
            <w:shd w:fill="FAFAFA" w:val="clear"/>
          </w:tcPr>
          <w:p>
            <w:r>
              <w:rPr>
                <w:b/>
                <w:sz w:val="17"/>
              </w:rPr>
              <w:t>16,857</w:t>
            </w:r>
          </w:p>
        </w:tc>
        <w:tc>
          <w:tcPr>
            <w:tcW w:type="dxa" w:w="1440"/>
            <w:shd w:fill="FAFAFA" w:val="clear"/>
          </w:tcPr>
          <w:p>
            <w:r>
              <w:rPr>
                <w:sz w:val="17"/>
              </w:rPr>
              <w:t>17,283</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16,267</w:t>
            </w:r>
          </w:p>
        </w:tc>
        <w:tc>
          <w:tcPr>
            <w:tcW w:type="dxa" w:w="1440"/>
            <w:shd w:fill="FAFAFA" w:val="clear"/>
          </w:tcPr>
          <w:p>
            <w:r>
              <w:rPr>
                <w:b/>
                <w:sz w:val="17"/>
              </w:rPr>
              <w:t>16,870</w:t>
            </w:r>
          </w:p>
        </w:tc>
        <w:tc>
          <w:tcPr>
            <w:tcW w:type="dxa" w:w="1440"/>
            <w:shd w:fill="FAFAFA" w:val="clear"/>
          </w:tcPr>
          <w:p>
            <w:r>
              <w:rPr>
                <w:sz w:val="17"/>
              </w:rPr>
              <w:t>17,473</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16,146</w:t>
            </w:r>
          </w:p>
        </w:tc>
        <w:tc>
          <w:tcPr>
            <w:tcW w:type="dxa" w:w="1440"/>
            <w:shd w:fill="FAFAFA" w:val="clear"/>
          </w:tcPr>
          <w:p>
            <w:r>
              <w:rPr>
                <w:b/>
                <w:sz w:val="17"/>
              </w:rPr>
              <w:t>16,886</w:t>
            </w:r>
          </w:p>
        </w:tc>
        <w:tc>
          <w:tcPr>
            <w:tcW w:type="dxa" w:w="1440"/>
            <w:shd w:fill="FAFAFA" w:val="clear"/>
          </w:tcPr>
          <w:p>
            <w:r>
              <w:rPr>
                <w:sz w:val="17"/>
              </w:rPr>
              <w:t>17,625</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2026-10-09</w:t>
            </w:r>
          </w:p>
        </w:tc>
        <w:tc>
          <w:tcPr>
            <w:tcW w:type="dxa" w:w="1440"/>
            <w:shd w:fill="FAFAFA" w:val="clear"/>
          </w:tcPr>
          <w:p>
            <w:r>
              <w:rPr>
                <w:sz w:val="17"/>
              </w:rPr>
              <w:t>16,045</w:t>
            </w:r>
          </w:p>
        </w:tc>
        <w:tc>
          <w:tcPr>
            <w:tcW w:type="dxa" w:w="1440"/>
            <w:shd w:fill="FAFAFA" w:val="clear"/>
          </w:tcPr>
          <w:p>
            <w:r>
              <w:rPr>
                <w:b/>
                <w:sz w:val="17"/>
              </w:rPr>
              <w:t>16,900</w:t>
            </w:r>
          </w:p>
        </w:tc>
        <w:tc>
          <w:tcPr>
            <w:tcW w:type="dxa" w:w="1440"/>
            <w:shd w:fill="FAFAFA" w:val="clear"/>
          </w:tcPr>
          <w:p>
            <w:r>
              <w:rPr>
                <w:sz w:val="17"/>
              </w:rPr>
              <w:t>17,755</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2026-10-12</w:t>
            </w:r>
          </w:p>
        </w:tc>
        <w:tc>
          <w:tcPr>
            <w:tcW w:type="dxa" w:w="1440"/>
            <w:shd w:fill="FAFAFA" w:val="clear"/>
          </w:tcPr>
          <w:p>
            <w:r>
              <w:rPr>
                <w:sz w:val="17"/>
              </w:rPr>
              <w:t>15,957</w:t>
            </w:r>
          </w:p>
        </w:tc>
        <w:tc>
          <w:tcPr>
            <w:tcW w:type="dxa" w:w="1440"/>
            <w:shd w:fill="FAFAFA" w:val="clear"/>
          </w:tcPr>
          <w:p>
            <w:r>
              <w:rPr>
                <w:b/>
                <w:sz w:val="17"/>
              </w:rPr>
              <w:t>16,913</w:t>
            </w:r>
          </w:p>
        </w:tc>
        <w:tc>
          <w:tcPr>
            <w:tcW w:type="dxa" w:w="1440"/>
            <w:shd w:fill="FAFAFA" w:val="clear"/>
          </w:tcPr>
          <w:p>
            <w:r>
              <w:rPr>
                <w:sz w:val="17"/>
              </w:rPr>
              <w:t>17,870</w:t>
            </w:r>
          </w:p>
        </w:tc>
        <w:tc>
          <w:tcPr>
            <w:tcW w:type="dxa" w:w="1440"/>
            <w:shd w:fill="FAFAFA" w:val="clear"/>
          </w:tcPr>
          <w:p>
            <w:r>
              <w:rPr>
                <w:b/>
                <w:color w:val="008000"/>
                <w:sz w:val="17"/>
              </w:rPr>
              <w:t>+0.7%</w:t>
            </w:r>
          </w:p>
        </w:tc>
      </w:tr>
      <w:tr>
        <w:tc>
          <w:tcPr>
            <w:tcW w:type="dxa" w:w="1440"/>
            <w:shd w:fill="FAFAFA" w:val="clear"/>
          </w:tcPr>
          <w:p>
            <w:r>
              <w:rPr>
                <w:sz w:val="17"/>
              </w:rPr>
              <w:t>J+6  Moyenne</w:t>
            </w:r>
          </w:p>
        </w:tc>
        <w:tc>
          <w:tcPr>
            <w:tcW w:type="dxa" w:w="1440"/>
            <w:shd w:fill="FAFAFA" w:val="clear"/>
          </w:tcPr>
          <w:p>
            <w:r>
              <w:rPr>
                <w:sz w:val="17"/>
              </w:rPr>
              <w:t>2026-10-13</w:t>
            </w:r>
          </w:p>
        </w:tc>
        <w:tc>
          <w:tcPr>
            <w:tcW w:type="dxa" w:w="1440"/>
            <w:shd w:fill="FAFAFA" w:val="clear"/>
          </w:tcPr>
          <w:p>
            <w:r>
              <w:rPr>
                <w:sz w:val="17"/>
              </w:rPr>
              <w:t>15,878</w:t>
            </w:r>
          </w:p>
        </w:tc>
        <w:tc>
          <w:tcPr>
            <w:tcW w:type="dxa" w:w="1440"/>
            <w:shd w:fill="FAFAFA" w:val="clear"/>
          </w:tcPr>
          <w:p>
            <w:r>
              <w:rPr>
                <w:b/>
                <w:sz w:val="17"/>
              </w:rPr>
              <w:t>16,926</w:t>
            </w:r>
          </w:p>
        </w:tc>
        <w:tc>
          <w:tcPr>
            <w:tcW w:type="dxa" w:w="1440"/>
            <w:shd w:fill="FAFAFA" w:val="clear"/>
          </w:tcPr>
          <w:p>
            <w:r>
              <w:rPr>
                <w:sz w:val="17"/>
              </w:rPr>
              <w:t>17,975</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2026-10-14</w:t>
            </w:r>
          </w:p>
        </w:tc>
        <w:tc>
          <w:tcPr>
            <w:tcW w:type="dxa" w:w="1440"/>
            <w:shd w:fill="FAFAFA" w:val="clear"/>
          </w:tcPr>
          <w:p>
            <w:r>
              <w:rPr>
                <w:sz w:val="17"/>
              </w:rPr>
              <w:t>15,806</w:t>
            </w:r>
          </w:p>
        </w:tc>
        <w:tc>
          <w:tcPr>
            <w:tcW w:type="dxa" w:w="1440"/>
            <w:shd w:fill="FAFAFA" w:val="clear"/>
          </w:tcPr>
          <w:p>
            <w:r>
              <w:rPr>
                <w:b/>
                <w:sz w:val="17"/>
              </w:rPr>
              <w:t>16,939</w:t>
            </w:r>
          </w:p>
        </w:tc>
        <w:tc>
          <w:tcPr>
            <w:tcW w:type="dxa" w:w="1440"/>
            <w:shd w:fill="FAFAFA" w:val="clear"/>
          </w:tcPr>
          <w:p>
            <w:r>
              <w:rPr>
                <w:sz w:val="17"/>
              </w:rPr>
              <w:t>18,072</w:t>
            </w:r>
          </w:p>
        </w:tc>
        <w:tc>
          <w:tcPr>
            <w:tcW w:type="dxa" w:w="1440"/>
            <w:shd w:fill="FAFAFA" w:val="clear"/>
          </w:tcPr>
          <w:p>
            <w:r>
              <w:rPr>
                <w:b/>
                <w:color w:val="008000"/>
                <w:sz w:val="17"/>
              </w:rPr>
              <w:t>+0.8%</w:t>
            </w:r>
          </w:p>
        </w:tc>
      </w:tr>
      <w:tr>
        <w:tc>
          <w:tcPr>
            <w:tcW w:type="dxa" w:w="1440"/>
            <w:shd w:fill="FAFAFA" w:val="clear"/>
          </w:tcPr>
          <w:p>
            <w:r>
              <w:rPr>
                <w:sz w:val="17"/>
              </w:rPr>
              <w:t>J+8  Moyenne</w:t>
            </w:r>
          </w:p>
        </w:tc>
        <w:tc>
          <w:tcPr>
            <w:tcW w:type="dxa" w:w="1440"/>
            <w:shd w:fill="FAFAFA" w:val="clear"/>
          </w:tcPr>
          <w:p>
            <w:r>
              <w:rPr>
                <w:sz w:val="17"/>
              </w:rPr>
              <w:t>2026-10-15</w:t>
            </w:r>
          </w:p>
        </w:tc>
        <w:tc>
          <w:tcPr>
            <w:tcW w:type="dxa" w:w="1440"/>
            <w:shd w:fill="FAFAFA" w:val="clear"/>
          </w:tcPr>
          <w:p>
            <w:r>
              <w:rPr>
                <w:sz w:val="17"/>
              </w:rPr>
              <w:t>15,739</w:t>
            </w:r>
          </w:p>
        </w:tc>
        <w:tc>
          <w:tcPr>
            <w:tcW w:type="dxa" w:w="1440"/>
            <w:shd w:fill="FAFAFA" w:val="clear"/>
          </w:tcPr>
          <w:p>
            <w:r>
              <w:rPr>
                <w:b/>
                <w:sz w:val="17"/>
              </w:rPr>
              <w:t>16,952</w:t>
            </w:r>
          </w:p>
        </w:tc>
        <w:tc>
          <w:tcPr>
            <w:tcW w:type="dxa" w:w="1440"/>
            <w:shd w:fill="FAFAFA" w:val="clear"/>
          </w:tcPr>
          <w:p>
            <w:r>
              <w:rPr>
                <w:sz w:val="17"/>
              </w:rPr>
              <w:t>18,164</w:t>
            </w:r>
          </w:p>
        </w:tc>
        <w:tc>
          <w:tcPr>
            <w:tcW w:type="dxa" w:w="1440"/>
            <w:shd w:fill="FAFAFA" w:val="clear"/>
          </w:tcPr>
          <w:p>
            <w:r>
              <w:rPr>
                <w:b/>
                <w:color w:val="008000"/>
                <w:sz w:val="17"/>
              </w:rPr>
              <w:t>+0.9%</w:t>
            </w:r>
          </w:p>
        </w:tc>
      </w:tr>
      <w:tr>
        <w:tc>
          <w:tcPr>
            <w:tcW w:type="dxa" w:w="1440"/>
            <w:shd w:fill="FAFAFA" w:val="clear"/>
          </w:tcPr>
          <w:p>
            <w:r>
              <w:rPr>
                <w:sz w:val="17"/>
              </w:rPr>
              <w:t>J+9  Moyenne</w:t>
            </w:r>
          </w:p>
        </w:tc>
        <w:tc>
          <w:tcPr>
            <w:tcW w:type="dxa" w:w="1440"/>
            <w:shd w:fill="FAFAFA" w:val="clear"/>
          </w:tcPr>
          <w:p>
            <w:r>
              <w:rPr>
                <w:sz w:val="17"/>
              </w:rPr>
              <w:t>2026-10-16</w:t>
            </w:r>
          </w:p>
        </w:tc>
        <w:tc>
          <w:tcPr>
            <w:tcW w:type="dxa" w:w="1440"/>
            <w:shd w:fill="FAFAFA" w:val="clear"/>
          </w:tcPr>
          <w:p>
            <w:r>
              <w:rPr>
                <w:sz w:val="17"/>
              </w:rPr>
              <w:t>15,677</w:t>
            </w:r>
          </w:p>
        </w:tc>
        <w:tc>
          <w:tcPr>
            <w:tcW w:type="dxa" w:w="1440"/>
            <w:shd w:fill="FAFAFA" w:val="clear"/>
          </w:tcPr>
          <w:p>
            <w:r>
              <w:rPr>
                <w:b/>
                <w:sz w:val="17"/>
              </w:rPr>
              <w:t>16,964</w:t>
            </w:r>
          </w:p>
        </w:tc>
        <w:tc>
          <w:tcPr>
            <w:tcW w:type="dxa" w:w="1440"/>
            <w:shd w:fill="FAFAFA" w:val="clear"/>
          </w:tcPr>
          <w:p>
            <w:r>
              <w:rPr>
                <w:sz w:val="17"/>
              </w:rPr>
              <w:t>18,251</w:t>
            </w:r>
          </w:p>
        </w:tc>
        <w:tc>
          <w:tcPr>
            <w:tcW w:type="dxa" w:w="1440"/>
            <w:shd w:fill="FAFAFA" w:val="clear"/>
          </w:tcPr>
          <w:p>
            <w:r>
              <w:rPr>
                <w:b/>
                <w:color w:val="008000"/>
                <w:sz w:val="17"/>
              </w:rPr>
              <w:t>+1.0%</w:t>
            </w:r>
          </w:p>
        </w:tc>
      </w:tr>
      <w:tr>
        <w:tc>
          <w:tcPr>
            <w:tcW w:type="dxa" w:w="1440"/>
            <w:shd w:fill="FAFAFA" w:val="clear"/>
          </w:tcPr>
          <w:p>
            <w:r>
              <w:rPr>
                <w:sz w:val="17"/>
              </w:rPr>
              <w:t>J+10  Moyenne</w:t>
            </w:r>
          </w:p>
        </w:tc>
        <w:tc>
          <w:tcPr>
            <w:tcW w:type="dxa" w:w="1440"/>
            <w:shd w:fill="FAFAFA" w:val="clear"/>
          </w:tcPr>
          <w:p>
            <w:r>
              <w:rPr>
                <w:sz w:val="17"/>
              </w:rPr>
              <w:t>2026-10-19</w:t>
            </w:r>
          </w:p>
        </w:tc>
        <w:tc>
          <w:tcPr>
            <w:tcW w:type="dxa" w:w="1440"/>
            <w:shd w:fill="FAFAFA" w:val="clear"/>
          </w:tcPr>
          <w:p>
            <w:r>
              <w:rPr>
                <w:sz w:val="17"/>
              </w:rPr>
              <w:t>15,619</w:t>
            </w:r>
          </w:p>
        </w:tc>
        <w:tc>
          <w:tcPr>
            <w:tcW w:type="dxa" w:w="1440"/>
            <w:shd w:fill="FAFAFA" w:val="clear"/>
          </w:tcPr>
          <w:p>
            <w:r>
              <w:rPr>
                <w:b/>
                <w:sz w:val="17"/>
              </w:rPr>
              <w:t>16,976</w:t>
            </w:r>
          </w:p>
        </w:tc>
        <w:tc>
          <w:tcPr>
            <w:tcW w:type="dxa" w:w="1440"/>
            <w:shd w:fill="FAFAFA" w:val="clear"/>
          </w:tcPr>
          <w:p>
            <w:r>
              <w:rPr>
                <w:sz w:val="17"/>
              </w:rPr>
              <w:t>18,334</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924,85 milliards FCFA, ECOC s'impose comme l'une des toutes premières capitalisations de la BRVM, ce qui en fait un titre incontournable de l'indice BRVM Composite et un pilier de la liquidité du marché régional. Le BPA de 1 153 FCFA/action signifie que chaque titre génère un peu plus d'un millier de francs de bénéfice net, un niveau élevé qui traduit la forte rentabilité de la banque. Le PER de 14,6x se situe au-dessus de la moyenne du marché BRVM (généralement comprise entre 8 et 12x), ce qui indique que les investisseurs acceptent de payer une prime pour la qualité et la régularité des résultats d'ECOC, sans pour autant basculer dans une valorisation excessive. Le P/B de 4,23x constitue en revanche un signal d'alerte : le marché valorise la banque à plus de quatre fois sa valeur comptable, une prime exigeante qui suppose que la rentabilité des fonds propres (ROE de 29%) se maintienne durablement à un niveau très supérieur au coût du capital. Enfin, l'EV/EBITDA de 14,2x, dans la fourchette haute (10-15x), confirme que la valeur d'entreprise intègre déjà une bonne partie de la capacité bénéficiaire actuelle, laissant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progression modérée de +3,70%, avec une dernière séance quasi stable (+0,03%), portant le cours actuel à 16 800 FCFA. Le range de trading s'établit entre un plus bas de 15 520 FCFA et un plus haut de 17 725 FCFA, soit une amplitude d'environ 14%, ce qui témoigne d'une tendance globalement haussière mais ponctuée de corrections. La moyenne (16 569 FCFA) est légèrement supérieure à la médiane (16 500 FCFA), et le mode se situe à 16 300 FCFA : cet écart marginal entre moyenne et médiane, confirmé par un skewness de +0,239 (distribution symétrique), indique l'absence de biais directionnel marqué et une répartition équilibrée des cours. L'écart-type de 454 FCFA, associé à un coefficient de variation de seulement 2,7%, révèle une dispersion très faible du cours autour de sa moyenne, signe d'un titre peu agité au quotidien. Le kurtosis de -0,239 (mésokurtique) suggère une distribution proche de la normale, donc un risque de pics extrêmes limité — un point rassurant pour les investisseurs averses au risque. La volatilité annualisée de 27,2% place le titre dans la catégorie des valeurs à volatilité modérée (15-30%), cohérente avec son statut de valeur bancaire de premier rang, moins spéculative que les petites capitalisations de la cote.</w:t>
      </w:r>
    </w:p>
    <w:p>
      <w:pPr>
        <w:spacing w:after="120" w:line="276" w:lineRule="auto"/>
      </w:pPr>
      <w:r>
        <w:t>---</w:t>
      </w:r>
    </w:p>
    <w:p>
      <w:pPr>
        <w:spacing w:after="120" w:line="276" w:lineRule="auto"/>
      </w:pPr>
      <w:r>
        <w:t>## PARTIE 2 : ANALYSE TECHNIQUE DÉTAILLÉE</w:t>
      </w:r>
    </w:p>
    <w:p>
      <w:pPr>
        <w:spacing w:after="120" w:line="276" w:lineRule="auto"/>
      </w:pPr>
      <w:r>
        <w:t>**Moyennes Mobiles** : La MM20 (17 025,25 FCFA) et la MM50 (16 694,60 FCFA) se situent toutes deux au-dessus du cours actuel (16 800 FCFA pour la MM50, en-dessous pour la MM20), avec une MM20 supérieure à la MM50 — configuration de croisement haussier classique. Le cours évoluant sous la MM20 mais au-dessus de la MM50, la décision technique affichée est « Achat », suggérant que la tendance de fond reste positive malgré une consolidation de court terme.</w:t>
      </w:r>
    </w:p>
    <w:p>
      <w:pPr>
        <w:spacing w:after="120" w:line="276" w:lineRule="auto"/>
      </w:pPr>
      <w:r>
        <w:t>**Bandes de Bollinger** : Le cours (16 800 FCFA) se situe à l'intérieur des bandes, entre la borne inférieure (16 458,75 FCFA) et la borne supérieure (17 591,75 FCFA), mais plus proche de la borne basse. Cette position médiane-basse, dans un canal relativement étroit, traduit une volatilité contenue et une absence de signal directionnel fort, justifiant la décision « Neutre ».</w:t>
      </w:r>
    </w:p>
    <w:p>
      <w:pPr>
        <w:spacing w:after="120" w:line="276" w:lineRule="auto"/>
      </w:pPr>
      <w:r>
        <w:t>**MACD** : La valeur du MACD (-11,21) est nettement inférieure à son signal (38,478), générant une divergence baissière marquée qui indique un momentum négatif de court terme. Cette configuration, bien que contredite par la tendance de fond, justifie pleinement la décision « Vente » à court terme.</w:t>
      </w:r>
    </w:p>
    <w:p>
      <w:pPr>
        <w:spacing w:after="120" w:line="276" w:lineRule="auto"/>
      </w:pPr>
      <w:r>
        <w:t>**RSI** : À 41,62, le RSI se situe dans la zone neutre (30-70), sans approcher ni la zone de survente (&lt;30) ni celle de surachat (&gt;70). Cette position médiane-basse suggère une absence de pression acheteuse ou vendeuse dominante, cohérente avec la décision « Neutre ».</w:t>
      </w:r>
    </w:p>
    <w:p>
      <w:pPr>
        <w:spacing w:after="120" w:line="276" w:lineRule="auto"/>
      </w:pPr>
      <w:r>
        <w:t>**Stochastique** : Le %K (36,697) est légèrement supérieur au %D (35,595), sans croisement significatif, et les deux oscillateurs évoluent en zone basse-neutre. Cette configuration indique une absence de signal clair, justifiant la décision « Neutre ».</w:t>
      </w:r>
    </w:p>
    <w:p>
      <w:pPr>
        <w:spacing w:after="120" w:line="276" w:lineRule="auto"/>
      </w:pPr>
      <w:r>
        <w:t>**Conclusion technique** : Les indicateurs techniques présentent un tableau mitigé, avec une divergence notable entre la tendance de fond (MM haussières, décision « Achat ») et le momentum de court terme (MACD baissier, décision « Vente »). Le RSI, le stochastique et les bandes de Bollinger convergent vers une position neutre, suggérant une phase de consolidation sans direction forte. Cette divergence entre signaux de tendance et d'oscillation plaide pour une prudence à court terme, en attendant une clarification du momentum.</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Ecobank Côte d'Ivoire affiche un Produit Net Bancaire (équivalent du chiffre d'affaires pour une banque) de 132,725 milliards FCFA et un résultat net de 63,482 milliards FCFA, soit une marge nette remarquable de 47,83%. Le ROE s'établit à 29,04% — très largement supérieur au seuil d'excellence de 15% — et le ROA à 3,09%, confirmant la forte capacité de la banque à générer des profits sur ses actifs. Le coefficient d'exploitation de 42,89% (inférieur au seuil de 50% d'excellence) témoigne d'une efficacité opérationnelle remarquable, tandis que le coût du risque de 1,36% reste modéré. La structure financière présente toutefois une autonomie financière faible (10,64%), typique du modèle bancaire où les dépôts clientèle (1 626,223 milliards FCFA) constituent la principale ressource, avec un ratio de transformation (crédits/dépôts) de 64,6% laissant une marge de déploiement importante.</w:t>
      </w:r>
    </w:p>
    <w:p>
      <w:pPr>
        <w:spacing w:after="120" w:line="276" w:lineRule="auto"/>
      </w:pPr>
      <w:r>
        <w:t>**Évolution temporelle et estimations** : Les rapports trimestriels révèlent une dynamique contrastée. Le rapport du T3 2025 (30/09/2025) affichait un PNB de 96,4 milliards FCFA (+11,3%) et un résultat net de 44,4 milliards FCFA (+15,4%), avec un ROE de 29,7% et un coût du risque en contraction de 54,1%. Le rapport du S1 2026 (publié le 26/08/2026) marque une inflexion : le PNB ne progresse que de +2,0% à 64,078 milliards FCFA, et le résultat net recule de -8,6% à 26,408 milliards FCFA, sous l'effet d'un coût du risque multiplié par 7,4 (à 5,197 milliards FCFA) et d'une chute de -25,9% des produits hors intérêts. Le rapport du T1 2026 confirme ce ralentissement avec un PNB de 30,8 milliards FCFA (+3,7%) et un résultat net de 13,0 milliards FCFA (-1,6%). Sur la base de ces tendances, on estime que l'exercice 2026 devrait afficher une croissance du PNB limitée à 2-4% et un résultat net en repli de 5-10% par rapport à 2025, tout en maintenant un ROE supérieur à 25% et un coefficient d'exploitation autour de 45%.</w:t>
      </w:r>
    </w:p>
    <w:p>
      <w:pPr>
        <w:spacing w:after="120" w:line="276" w:lineRule="auto"/>
      </w:pPr>
      <w:r>
        <w:t>**Recommandation fondamentale** : La solidité fondamentale d'ECOC reste incontestable (ROE &gt;25%, coefficient d'exploitation &lt;46%, bilan en croissance de +9,3% au S1 2026), mais la dégradation du coût du risque (+642%) et la contraction des revenus hors intérêts constituent des signaux de vigilance. Le dividende proposé de 888 FCFA brut par action (781 FCFA net) pour 2025, en hausse de 10,4% par rapport aux 804 FCFA de 2024, offre un rendement attractif d'environ 4,6% au cours actuel. La recommandation fondamentale est de **CONSERVER**, en attendant la normalisation du coût du risque et la confirmation de la tendance au second semestre 2026.</w:t>
      </w:r>
    </w:p>
    <w:p>
      <w:pPr>
        <w:spacing w:after="120" w:line="276" w:lineRule="auto"/>
      </w:pPr>
      <w:r>
        <w:t>---</w:t>
      </w:r>
    </w:p>
    <w:p>
      <w:pPr>
        <w:spacing w:after="120" w:line="276" w:lineRule="auto"/>
      </w:pPr>
      <w:r>
        <w:t>## PARTIE 4 : CONCLUSION D'INVESTISSEMENT</w:t>
      </w:r>
    </w:p>
    <w:p>
      <w:pPr>
        <w:spacing w:after="120" w:line="276" w:lineRule="auto"/>
      </w:pPr>
      <w:r>
        <w:t>La valorisation d'ECOC apparaît exigeante mais justifiée par la qualité de ses fondamentaux : le PER de 14,6x et le P/B de 4,23x intègrent une prime de qualité, tandis que l'EV/EBITDA de 14,2x laisse peu de marge d'erreur. Le comportement du cours sur 100 jours est rassurant (volatilité modérée de 27,2%, distribution symétrique, kurtosis proche de la normale), mais la tendance récente montre un essoufflement (+3,70% seulement) et une consolidation sous la MM20. Les signaux techniques sont divergents : les moyennes mobiles plaident pour l'achat, mais le MACD est baissier et le RSI/stochastique sont neutres, suggérant une phase d'indécision. Les fondamentaux, bien que solides (ROE 29%, coefficient d'exploitation 43%), sont pénalisés par la dégradation du coût du risque au S1 2026 et la baisse du résultat net (-8,6%), ce qui tempère l'optimisme. Les prédictions IA (J+1 à J+10) anticipent une légère hausse vers 16 913 FCFA (+0,7%), confirmant une stabilisation sans dynamique forte. Sur la base de cette synthèse, la recommandation finale est **CONSERVER**, avec un niveau de confiance **Moyen** et un risque global **Moyen**. L'horizon d'investissement optimal est le **moyen terme (3-12 mois)**, en attendant la publication des résultats annuels 2026 et la clarification de la politique de provisionnement, qui pourraient justifier un passage à l'achat si le coût du risque se stabilise et si le dividende est maintenu à un niveau attractif.</w:t>
      </w:r>
    </w:p>
    <w:p>
      <w:pPr>
        <w:spacing w:after="120" w:line="276" w:lineRule="auto"/>
      </w:pPr>
      <w:r>
        <w:t>---</w:t>
      </w:r>
    </w:p>
    <w:p>
      <w:pPr>
        <w:spacing w:after="120" w:line="276" w:lineRule="auto"/>
      </w:pPr>
      <w:r>
        <w:t>*Rapport généré sur la base des données officielles BRVM, des états financiers 2025, des rapports trimestriels T1/T3 2025 et S1/T1 2026, et des communiqués de l'Assemblée Générale du 28 avril 2026.*</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1,688,345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+116.67%</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31.13% (Élevée) — μ=55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β=2.0005 (Très agressif) — Cov=0.000144, Var(idx)=0.000072, ρ=0.433,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1,688,345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σ_j=3.93%/j (Modérée) — Vol. annualisée≈62.3%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63</w:t>
            </w:r>
          </w:p>
        </w:tc>
        <w:tc>
          <w:tcPr>
            <w:tcW w:type="dxa" w:w="1440"/>
            <w:shd w:fill="FAFAFA" w:val="clear"/>
          </w:tcPr>
          <w:p>
            <w:r>
              <w:rPr>
                <w:b/>
                <w:sz w:val="17"/>
              </w:rPr>
              <w:t>65</w:t>
            </w:r>
          </w:p>
        </w:tc>
        <w:tc>
          <w:tcPr>
            <w:tcW w:type="dxa" w:w="1440"/>
            <w:shd w:fill="FAFAFA" w:val="clear"/>
          </w:tcPr>
          <w:p>
            <w:r>
              <w:rPr>
                <w:sz w:val="17"/>
              </w:rPr>
              <w:t>68</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69</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57</w:t>
            </w:r>
          </w:p>
        </w:tc>
        <w:tc>
          <w:tcPr>
            <w:tcW w:type="dxa" w:w="1440"/>
            <w:shd w:fill="FAFAFA" w:val="clear"/>
          </w:tcPr>
          <w:p>
            <w:r>
              <w:rPr>
                <w:b/>
                <w:sz w:val="17"/>
              </w:rPr>
              <w:t>65</w:t>
            </w:r>
          </w:p>
        </w:tc>
        <w:tc>
          <w:tcPr>
            <w:tcW w:type="dxa" w:w="1440"/>
            <w:shd w:fill="FAFAFA" w:val="clear"/>
          </w:tcPr>
          <w:p>
            <w:r>
              <w:rPr>
                <w:sz w:val="17"/>
              </w:rPr>
              <w:t>74</w:t>
            </w:r>
          </w:p>
        </w:tc>
        <w:tc>
          <w:tcPr>
            <w:tcW w:type="dxa" w:w="1440"/>
            <w:shd w:fill="FAFAFA" w:val="clear"/>
          </w:tcPr>
          <w:p>
            <w:r>
              <w:rPr>
                <w:b/>
                <w:color w:val="008000"/>
                <w:sz w:val="17"/>
              </w:rPr>
              <w:t>+0.5%</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57</w:t>
            </w:r>
          </w:p>
        </w:tc>
        <w:tc>
          <w:tcPr>
            <w:tcW w:type="dxa" w:w="1440"/>
            <w:shd w:fill="FAFAFA" w:val="clear"/>
          </w:tcPr>
          <w:p>
            <w:r>
              <w:rPr>
                <w:b/>
                <w:sz w:val="17"/>
              </w:rPr>
              <w:t>65</w:t>
            </w:r>
          </w:p>
        </w:tc>
        <w:tc>
          <w:tcPr>
            <w:tcW w:type="dxa" w:w="1440"/>
            <w:shd w:fill="FAFAFA" w:val="clear"/>
          </w:tcPr>
          <w:p>
            <w:r>
              <w:rPr>
                <w:sz w:val="17"/>
              </w:rPr>
              <w:t>74</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1 175,47 milliards FCFA, ETIT figure parmi les poids lourds de la cote BRVM, ce qui en fait un titre incontournable pour les investisseurs institutionnels régionaux. Le BPA de 19 FCFA/action signifie que chaque titre génère près de 19 FCFA de bénéfice net, un niveau qui, rapporté au cours actuel de 65 FCFA, donne un PER de seulement 3,4x — très en dessous de la moyenne BRVM (8-12x), signalant une sous-évaluation manifeste ou une forte défiance du marché. Le ratio P/B de 0,74x indique que le marché valorise l'action à 26% en dessous de sa valeur comptable, une situation rare qui peut constituer une opportunité d'achat pour un investisseur value. Enfin, l'EV/EBITDA de 4,9x, inférieur au seuil de 5x, confirme que la valeur totale de l'entreprise (dette incluse) reste très abordable au regard de sa capacité opérationnelle à générer des liquidités. L'ensemble de ces ratios dessine un profil de titre profondément décoté, typique des marchés frontières où la liquidité et la visibilité font défaut.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ETIT a enregistré une progression spectaculaire de +116,67%, passant d'un plus bas de 29 FCFA à un plus haut de 78 FCFA, avant de clôturer à 65 FCFA, soit un repli de -2,99% lors de la dernière séance. Ce range de trading de 49 FCFA (29-78 FCFA) témoigne d'une volatilité exceptionnelle et d'un intérêt croissant des investisseurs pour ce titre bancaire panafricain. La tendance générale est nettement haussière sur la période, portée par des résultats semestriels 2026 solides et une dynamique de rattrapage après une longue période de sous-évaluation. Les statistiques descriptives révèlent une moyenne de 55 FCFA contre une médiane de 65 FCFA, cet écart de 10 FCFA indiquant une distribution asymétrique à gauche, c'est-à-dire que le cours a passé plus de temps dans les niveaux élevés récemment, mais que des pics baissiers ont tiré la moyenne vers le bas. L'écart-type de 17 FCFA avec un coefficient de variation de 31,3% traduit une dispersion élevée du cours, confirmant la nature volatile du titre. Le kurtosis de -1,566 (distribution platykurtique) indique une faible concentration des rendements autour de la moyenne, avec des mouvements amples et fréquents plutôt que des pics extrêmes isolés — un profil de risque diffus mais persistant. Le skewness de -0,489, bien qu'interprété comme "symétrique" dans les données, suggère une légère asymétrie négative, signifiant que les baisses ont été légèrement plus prononcées que les hausses. Enfin, la volatilité annualisée de 62,3% classe ce titre dans la catégorie des valeurs à volatilité élevée (&gt;30%), ce qui implique un risque significatif mais aussi un potentiel de gain attractif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se situe à 69,0 FCFA et la MM50 à 68,1 FCFA, toutes deux supérieures au cours actuel de 65 FCFA. Cette configuration indique que le titre évolue en dessous de ses moyennes à court et moyen terme, ce qui pourrait signaler une pression baissière persistante. Cependant, la décision technique fournie est "Achat", probablement en anticipation d'un retournement ou d'un rebond technique après la correction récente.</w:t>
      </w:r>
    </w:p>
    <w:p>
      <w:pPr>
        <w:spacing w:after="120" w:line="276" w:lineRule="auto"/>
      </w:pPr>
      <w:r>
        <w:t>**Bandes de Bollinger** : La borne supérieure est à 72,839 FCFA et la borne inférieure à 65,161 FCFA, avec un cours actuel de 65,0 FCFA qui se situe légèrement en dessous de la borne inférieure. Cette position suggère que le titre est en zone de survente technique, ce qui justifie la décision "Achat" — un rebond vers la moyenne mobile (autour de 69 FCFA) est statistiquement probable à court terme.</w:t>
      </w:r>
    </w:p>
    <w:p>
      <w:pPr>
        <w:spacing w:after="120" w:line="276" w:lineRule="auto"/>
      </w:pPr>
      <w:r>
        <w:t>**MACD** : La valeur du MACD est de -0,15 contre un signal à 0,415, créant une divergence baissière où le MACD est en dessous de son signal. Cette configuration indique un momentum négatif à court terme, justifiant la décision "Vente". Toutefois, l'écart reste modéré, ce qui pourrait se résorber rapidement si le cours rebondit.</w:t>
      </w:r>
    </w:p>
    <w:p>
      <w:pPr>
        <w:spacing w:after="120" w:line="276" w:lineRule="auto"/>
      </w:pPr>
      <w:r>
        <w:t>**RSI** : À 31,25, le RSI se situe juste au-dessus du seuil de survente (30), ce qui est cohérent avec la position du cours sous la borne inférieure de Bollinger. La décision "Neutre" reflète une situation ambiguë : le titre n'est pas encore en survente extrême, mais il s'en approche, ce qui pourrait attirer des acheteurs à la recherche de points d'entrée.</w:t>
      </w:r>
    </w:p>
    <w:p>
      <w:pPr>
        <w:spacing w:after="120" w:line="276" w:lineRule="auto"/>
      </w:pPr>
      <w:r>
        <w:t>**Stochastique** : Le %K est à 14,286 et le %D à 33,333, avec un %K nettement en dessous du %D, signalant une pression baissière à très court terme. Cependant, la décision "Achat" suggère que le stochastique est interprété comme un signal de retournement imminent, le %K étant en zone de survente extrême (&lt;20), ce qui précède souvent un rebond.</w:t>
      </w:r>
    </w:p>
    <w:p>
      <w:pPr>
        <w:spacing w:after="120" w:line="276" w:lineRule="auto"/>
      </w:pPr>
      <w:r>
        <w:t>**Conclusion technique** : Les indicateurs techniques présentent un tableau mitigé. D'un côté, le MACD et les moyennes mobiles plaident pour une prudence à court terme, avec un momentum négatif et un cours sous les MM. De l'autre, le RSI proche de la survente, le stochastique en zone extrême et la position sous la borne inférieure de Bollinger suggèrent un potentiel de rebond technique. La convergence de ces signaux de survente, bien que tempérée par le MACD, penche légèrement en faveur d'un achat spéculatif à court terme, avec un objectif de retour vers 69-70 FCFA.</w:t>
      </w:r>
    </w:p>
    <w:p>
      <w:pPr>
        <w:spacing w:after="120" w:line="276" w:lineRule="auto"/>
      </w:pPr>
      <w:r>
        <w:t>---</w:t>
      </w:r>
    </w:p>
    <w:p>
      <w:pPr>
        <w:spacing w:after="120" w:line="276" w:lineRule="auto"/>
      </w:pPr>
      <w:r>
        <w:t>## PARTIE 3 : ANALYSE FONDAMENTALE</w:t>
      </w:r>
    </w:p>
    <w:p>
      <w:pPr>
        <w:spacing w:after="120" w:line="276" w:lineRule="auto"/>
      </w:pPr>
      <w:r>
        <w:t>Les données financières structurées pour l'exercice 2025 (états financiers annuels) révèlent une banque solide et rentable. Le Produit Net Bancaire (PNB), équivalent du chiffre d'affaires pour une banque, s'établit à 1 424,261 milliards FCFA, avec un résultat net de 345,523 milliards FCFA, soit une marge nette de 24,26%. Le ROE (Return on Equity) atteint 21,62%, largement supérieur au seuil de 15% considéré comme excellent, et le ROA (Return on Assets) est de 1,80%, un niveau correct pour le secteur bancaire. Le coefficient d'exploitation de 27,35% est exceptionnellement bas (seuil d'excellence &lt;50%), témoignant d'une efficacité opérationnelle remarquable. Le coût du risque, mesuré par le ratio provisions/charges financières, s'élève à 18,97%, un niveau élevé qui signale un risque de crédit significatif dans le portefeuille. La structure financière montre une autonomie financière de 8,30% (capitaux propres/total bilan), ce qui est faible mais typique des banques, et un ratio d'endettement de 154,06%, reflétant un fort effet de levier. Les dépôts clientèle (14 120,139 milliards FCFA) couvrent largement les créances clientèle (6 570,385 milliards FCFA), avec un ratio de transformation de 46,5%, indiquant une marge de manœuvre pour accroître les crédits.</w:t>
      </w:r>
    </w:p>
    <w:p>
      <w:pPr>
        <w:spacing w:after="120" w:line="276" w:lineRule="auto"/>
      </w:pPr>
      <w:r>
        <w:t>Les rapports narratifs fournissent des données plus récentes. Le rapport semestriel 2026 (analysé par DeepSeek le 30/07/2026) indique un PNB de 1 281,330 millions $EU (721 318 millions FCFA) au S1 2026, en hausse de +15% par rapport au S1 2025. Le résultat net consolidé s'établit à 296,091 millions $EU (166 682 millions FCFA), en progression de +6%, avec un BPA de 0,80 $EU (+2%). Le coefficient d'exploitation s'améliore à 48,4%, et le ratio de prêts non performants (NPL) est de 7,6%. Le rapport trimestriel T1 2026 (rapport 3) montre un PNB en hausse de +23% à 636,2 millions $EU, un résultat net de 142,5 millions $EU (+16%), et un coefficient d'exploitation de 49,0%. Cependant, le coût du risque bondit de +73%, un signal d'alerte majeur. Sur la base de ces rapports, on peut estimer que l'exercice 2026 devrait afficher un PNB en croissance de 12-15% (soit environ 1 600 milliards FCFA) et un résultat net en hausse de 5-8% (environ 370 milliards FCFA), sous réserve que le coût du risque se stabilise au second semestre. La recommandation fondamentale est de **CONSERVER** le titre : la banque est solide, rentable et bien positionnée, mais la hausse du coût du risque et la stagnation relative du BPA incitent à la prudence.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La valorisation (Partie 0) est extrêmement attractive avec un PER de 3,4x, un P/B de 0,74x et un EV/EBITDA de 4,9x, tous inférieurs aux moyennes du secteur, ce qui suggère une sous-évaluation manifeste. Le comportement du cours (Partie 1) montre une tendance haussière spectaculaire (+116,67% sur 100 jours) mais avec une volatilité élevée (62,3%) et une distribution platykurtique, indiquant des mouvements amples et fréquents — un risque à intégrer. Les signaux techniques (Partie 2) sont mitigés : le MACD est baissier, mais le RSI, le stochastique et les bandes de Bollinger suggèrent une survente propice à un rebond à court terme. Les fondamentaux (Partie 3) sont solides : ROE de 21,62%, coefficient d'exploitation de 27,35%, PNB en croissance de +15% au S1 2026, mais le coût du risque en hausse (+40% au S1 2026, +73% au T1 2026) constitue un risque majeur. Les prédictions IA (J+1 à J+10) tablent sur une stabilisation du cours à 65 FCFA, ce qui contredit légèrement les signaux de rebond technique mais confirme la prudence fondamentale.</w:t>
      </w:r>
    </w:p>
    <w:p>
      <w:pPr>
        <w:spacing w:after="120" w:line="276" w:lineRule="auto"/>
      </w:pPr>
      <w:r>
        <w:t>Sur la base de cette synthèse, la recommandation finale est **CONSERVER**, avec un biais positif pour les investisseurs long terme. La convergence entre une valorisation très attractive, des fondamentaux solides et un potentiel de rebond technique est tempérée par la hausse du coût du risque et la prédiction IA d'une stabilisation à court terme. Le niveau de confiance est **Moyen**, car si les ratios de valorisation sont indiscutablement favorables, l'incertitude sur l'évolution du coût du risque et la volatilité du titre empêchent une recommandation d'achat plus agressive. Le niveau de risque global est **Élevé**, en raison de la volatilité annualisée de 62,3%, de la faible autonomie financière (8,30%) et de l'exposition aux risques de crédit et de change. L'horizon d'investissement optimal est le **moyen terme (3-12 mois)**, le temps que les résultats annuels 2026 confirment la maîtrise du coût du risque et que la valorisation se normalise vers les moyennes du secteur. Un investisseur patient pourrait envisager un renforcement progressif sur les niveaux de survente (autour de 60-62 FCFA) avec un objectif de cours de 78-80 FCFA à moyen terme.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26.09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4,163 titres</w:t>
            </w:r>
          </w:p>
        </w:tc>
        <w:tc>
          <w:tcPr>
            <w:tcW w:type="dxa" w:w="2268"/>
            <w:shd w:fill="FFF2CC" w:val="clear"/>
          </w:tcPr>
          <w:p>
            <w:r>
              <w:rPr>
                <w:b/>
                <w:color w:val="503200"/>
                <w:sz w:val="16"/>
              </w:rPr>
              <w:t xml:space="preserve">Cours actuel : </w:t>
            </w:r>
            <w:r>
              <w:rPr>
                <w:color w:val="000000"/>
                <w:sz w:val="17"/>
              </w:rPr>
              <w:t>1,850 FCFA</w:t>
            </w:r>
          </w:p>
          <w:p>
            <w:r>
              <w:rPr>
                <w:b/>
                <w:color w:val="503200"/>
                <w:sz w:val="16"/>
              </w:rPr>
              <w:t xml:space="preserve">Var. 100 jours : </w:t>
            </w:r>
            <w:r>
              <w:rPr>
                <w:b/>
                <w:color w:val="B40000"/>
                <w:sz w:val="17"/>
              </w:rPr>
              <w:t>-15.91%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6.23% (Moyenne) — μ=2,108 FCFA, σ=131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β=0.4543 (Défensif) — Cov=0.000033, Var(idx)=0.000072, ρ=0.174,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1,779</w:t>
            </w:r>
          </w:p>
        </w:tc>
        <w:tc>
          <w:tcPr>
            <w:tcW w:type="dxa" w:w="1440"/>
            <w:shd w:fill="FAFAFA" w:val="clear"/>
          </w:tcPr>
          <w:p>
            <w:r>
              <w:rPr>
                <w:b/>
                <w:sz w:val="17"/>
              </w:rPr>
              <w:t>1,848</w:t>
            </w:r>
          </w:p>
        </w:tc>
        <w:tc>
          <w:tcPr>
            <w:tcW w:type="dxa" w:w="1440"/>
            <w:shd w:fill="FAFAFA" w:val="clear"/>
          </w:tcPr>
          <w:p>
            <w:r>
              <w:rPr>
                <w:sz w:val="17"/>
              </w:rPr>
              <w:t>1,918</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1,736</w:t>
            </w:r>
          </w:p>
        </w:tc>
        <w:tc>
          <w:tcPr>
            <w:tcW w:type="dxa" w:w="1440"/>
            <w:shd w:fill="FAFAFA" w:val="clear"/>
          </w:tcPr>
          <w:p>
            <w:r>
              <w:rPr>
                <w:b/>
                <w:sz w:val="17"/>
              </w:rPr>
              <w:t>1,834</w:t>
            </w:r>
          </w:p>
        </w:tc>
        <w:tc>
          <w:tcPr>
            <w:tcW w:type="dxa" w:w="1440"/>
            <w:shd w:fill="FAFAFA" w:val="clear"/>
          </w:tcPr>
          <w:p>
            <w:r>
              <w:rPr>
                <w:sz w:val="17"/>
              </w:rPr>
              <w:t>1,931</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1,705</w:t>
            </w:r>
          </w:p>
        </w:tc>
        <w:tc>
          <w:tcPr>
            <w:tcW w:type="dxa" w:w="1440"/>
            <w:shd w:fill="FAFAFA" w:val="clear"/>
          </w:tcPr>
          <w:p>
            <w:r>
              <w:rPr>
                <w:b/>
                <w:sz w:val="17"/>
              </w:rPr>
              <w:t>1,824</w:t>
            </w:r>
          </w:p>
        </w:tc>
        <w:tc>
          <w:tcPr>
            <w:tcW w:type="dxa" w:w="1440"/>
            <w:shd w:fill="FAFAFA" w:val="clear"/>
          </w:tcPr>
          <w:p>
            <w:r>
              <w:rPr>
                <w:sz w:val="17"/>
              </w:rPr>
              <w:t>1,943</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1,678</w:t>
            </w:r>
          </w:p>
        </w:tc>
        <w:tc>
          <w:tcPr>
            <w:tcW w:type="dxa" w:w="1440"/>
            <w:shd w:fill="FAFAFA" w:val="clear"/>
          </w:tcPr>
          <w:p>
            <w:r>
              <w:rPr>
                <w:b/>
                <w:sz w:val="17"/>
              </w:rPr>
              <w:t>1,814</w:t>
            </w:r>
          </w:p>
        </w:tc>
        <w:tc>
          <w:tcPr>
            <w:tcW w:type="dxa" w:w="1440"/>
            <w:shd w:fill="FAFAFA" w:val="clear"/>
          </w:tcPr>
          <w:p>
            <w:r>
              <w:rPr>
                <w:sz w:val="17"/>
              </w:rPr>
              <w:t>1,950</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1,652</w:t>
            </w:r>
          </w:p>
        </w:tc>
        <w:tc>
          <w:tcPr>
            <w:tcW w:type="dxa" w:w="1440"/>
            <w:shd w:fill="FFDCE0" w:val="clear"/>
          </w:tcPr>
          <w:p>
            <w:r>
              <w:rPr>
                <w:b/>
                <w:sz w:val="17"/>
              </w:rPr>
              <w:t>1,803</w:t>
            </w:r>
          </w:p>
        </w:tc>
        <w:tc>
          <w:tcPr>
            <w:tcW w:type="dxa" w:w="1440"/>
            <w:shd w:fill="FFDCE0" w:val="clear"/>
          </w:tcPr>
          <w:p>
            <w:r>
              <w:rPr>
                <w:sz w:val="17"/>
              </w:rPr>
              <w:t>1,955</w:t>
            </w:r>
          </w:p>
        </w:tc>
        <w:tc>
          <w:tcPr>
            <w:tcW w:type="dxa" w:w="1440"/>
            <w:shd w:fill="FFDCE0" w:val="clear"/>
          </w:tcPr>
          <w:p>
            <w:r>
              <w:rPr>
                <w:b/>
                <w:color w:val="C00000"/>
                <w:sz w:val="17"/>
              </w:rPr>
              <w:t>-2.5%</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1,627</w:t>
            </w:r>
          </w:p>
        </w:tc>
        <w:tc>
          <w:tcPr>
            <w:tcW w:type="dxa" w:w="1440"/>
            <w:shd w:fill="FFDCE0" w:val="clear"/>
          </w:tcPr>
          <w:p>
            <w:r>
              <w:rPr>
                <w:b/>
                <w:sz w:val="17"/>
              </w:rPr>
              <w:t>1,792</w:t>
            </w:r>
          </w:p>
        </w:tc>
        <w:tc>
          <w:tcPr>
            <w:tcW w:type="dxa" w:w="1440"/>
            <w:shd w:fill="FFDCE0" w:val="clear"/>
          </w:tcPr>
          <w:p>
            <w:r>
              <w:rPr>
                <w:sz w:val="17"/>
              </w:rPr>
              <w:t>1,957</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1,604</w:t>
            </w:r>
          </w:p>
        </w:tc>
        <w:tc>
          <w:tcPr>
            <w:tcW w:type="dxa" w:w="1440"/>
            <w:shd w:fill="FFDCE0" w:val="clear"/>
          </w:tcPr>
          <w:p>
            <w:r>
              <w:rPr>
                <w:b/>
                <w:sz w:val="17"/>
              </w:rPr>
              <w:t>1,781</w:t>
            </w:r>
          </w:p>
        </w:tc>
        <w:tc>
          <w:tcPr>
            <w:tcW w:type="dxa" w:w="1440"/>
            <w:shd w:fill="FFDCE0" w:val="clear"/>
          </w:tcPr>
          <w:p>
            <w:r>
              <w:rPr>
                <w:sz w:val="17"/>
              </w:rPr>
              <w:t>1,958</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1,581</w:t>
            </w:r>
          </w:p>
        </w:tc>
        <w:tc>
          <w:tcPr>
            <w:tcW w:type="dxa" w:w="1440"/>
            <w:shd w:fill="FFDCE0" w:val="clear"/>
          </w:tcPr>
          <w:p>
            <w:r>
              <w:rPr>
                <w:b/>
                <w:sz w:val="17"/>
              </w:rPr>
              <w:t>1,769</w:t>
            </w:r>
          </w:p>
        </w:tc>
        <w:tc>
          <w:tcPr>
            <w:tcW w:type="dxa" w:w="1440"/>
            <w:shd w:fill="FFDCE0" w:val="clear"/>
          </w:tcPr>
          <w:p>
            <w:r>
              <w:rPr>
                <w:sz w:val="17"/>
              </w:rPr>
              <w:t>1,957</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1,560</w:t>
            </w:r>
          </w:p>
        </w:tc>
        <w:tc>
          <w:tcPr>
            <w:tcW w:type="dxa" w:w="1440"/>
            <w:shd w:fill="FFDCE0" w:val="clear"/>
          </w:tcPr>
          <w:p>
            <w:r>
              <w:rPr>
                <w:b/>
                <w:sz w:val="17"/>
              </w:rPr>
              <w:t>1,758</w:t>
            </w:r>
          </w:p>
        </w:tc>
        <w:tc>
          <w:tcPr>
            <w:tcW w:type="dxa" w:w="1440"/>
            <w:shd w:fill="FFDCE0" w:val="clear"/>
          </w:tcPr>
          <w:p>
            <w:r>
              <w:rPr>
                <w:sz w:val="17"/>
              </w:rPr>
              <w:t>1,956</w:t>
            </w:r>
          </w:p>
        </w:tc>
        <w:tc>
          <w:tcPr>
            <w:tcW w:type="dxa" w:w="1440"/>
            <w:shd w:fill="FFDCE0" w:val="clear"/>
          </w:tcPr>
          <w:p>
            <w:r>
              <w:rPr>
                <w:b/>
                <w:color w:val="C00000"/>
                <w:sz w:val="17"/>
              </w:rPr>
              <w:t>-5.0%</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1,539</w:t>
            </w:r>
          </w:p>
        </w:tc>
        <w:tc>
          <w:tcPr>
            <w:tcW w:type="dxa" w:w="1440"/>
            <w:shd w:fill="FFDCE0" w:val="clear"/>
          </w:tcPr>
          <w:p>
            <w:r>
              <w:rPr>
                <w:b/>
                <w:sz w:val="17"/>
              </w:rPr>
              <w:t>1,747</w:t>
            </w:r>
          </w:p>
        </w:tc>
        <w:tc>
          <w:tcPr>
            <w:tcW w:type="dxa" w:w="1440"/>
            <w:shd w:fill="FFDCE0" w:val="clear"/>
          </w:tcPr>
          <w:p>
            <w:r>
              <w:rPr>
                <w:sz w:val="17"/>
              </w:rPr>
              <w:t>1,955</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FTSC (FILTISAC CI)**</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26,09 milliards FCFA, FTSC se situe dans la catégorie des valeurs moyennes de la cote BRVM, ce qui la rend sensible aux mouvements de capitaux institutionnels mais aussi vulnérable à la faible liquidité du marché. Le BPA de 33 FCFA/action signifie que chaque titre génère théoriquement 33 FCFA de bénéfice net, un niveau modeste qui, rapporté au cours actuel de 1 850 FCFA, aboutit à un PER de 56,0x — soit un multiple très supérieur à la moyenne BRVM (8-12x), signalant que les investisseurs paient une prime spéculative très élevée par rapport aux bénéfices réellement dégagés. Le P/B de 1,66x indique que le marché valorise l'action à 66% au-dessus de sa valeur comptable, ce qui reste raisonnable mais suppose une confiance dans la capacité de l'entreprise à restaurer sa rentabilité. Enfin, l'EV/EBITDA de 35,3x est très exigeant (seuil d'alerte &gt;15x), traduisant une valorisation d'entreprise totalement déconnectée de la capacité opérationnelle actuelle, ce qui confirme que le titre est cher sur tous les plans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FTSC affiche une variation totale de -15,91%, avec une chute brutale de -7,27% lors de la dernière séance (J-1), ce qui traduit une pression vendeuse intense et récente. Le cours actuel de 1 850 FCFA correspond exactement au plus bas de la période, tandis que le plus haut a atteint 2 430 FCFA, soit un range de trading de 580 FCFA (31% d'amplitude) qui témoigne d'une forte instabilité. La tendance générale est clairement baissière, le titre ayant perdu près d'un sixième de sa valeur en trois mois, avec une accélération baissière en fin de période. Les statistiques descriptives révèlent une moyenne de 2 108 FCFA légèrement supérieure à la médiane de 2 100 FCFA, avec un mode à 1 990 FCFA — l'écart faible entre moyenne et médiane (8 FCFA) suggère une distribution quasi symétrique, confirmée par un skewness de 0,432 (symétrie relative). L'écart-type de 132 FCFA et le coefficient de variation de 6,3% indiquent une dispersion modérée du cours autour de sa moyenne, tandis que le kurtosis de -0,657 (mésokurtique) signale une distribution proche de la normale, sans risque majeur de pics extrêmes. La volatilité annualisée de 35,2% classe le titre dans la catégorie des valeurs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(2 040,5 FCFA) et la MM50 (2 068,5 FCFA) se situent toutes deux nettement au-dessus du cours actuel (1 850 FCFA), avec la MM20 sous la MM50 — configuration baissière typique. Le cours évoluant sous ses deux moyennes, la pression vendeuse est confirmée et la décision technique est logiquement **Vente**.</w:t>
      </w:r>
    </w:p>
    <w:p>
      <w:pPr>
        <w:spacing w:after="120" w:line="276" w:lineRule="auto"/>
      </w:pPr>
      <w:r>
        <w:t>**Bandes de Bollinger** : La borne supérieure est à 2 194,05 FCFA et la borne inférieure à 1 886,95 FCFA, avec un cours actuel de 1 850 FCFA qui se situe **sous la borne inférieure** — situation de survente extrême. Cette position suggère un potentiel rebond technique à court terme, justifiant la décision **Achat** (contrariante).</w:t>
      </w:r>
    </w:p>
    <w:p>
      <w:pPr>
        <w:spacing w:after="120" w:line="276" w:lineRule="auto"/>
      </w:pPr>
      <w:r>
        <w:t>**MACD** : Le MACD (-43,375) est inférieur à son signal (-27,309), avec un histogramme négatif — le momentum baissier est bien installé et la divergence négative persiste. La décision est **Vente**, confirmant la tendance de fond.</w:t>
      </w:r>
    </w:p>
    <w:p>
      <w:pPr>
        <w:spacing w:after="120" w:line="276" w:lineRule="auto"/>
      </w:pPr>
      <w:r>
        <w:t>**RSI** : À 23,529, le RSI est en zone de **survente** (&lt;30), ce qui indique que le titre a été massivement vendu et pourrait connaître un rebond technique. La décision est **Achat** (signal contrarian).</w:t>
      </w:r>
    </w:p>
    <w:p>
      <w:pPr>
        <w:spacing w:after="120" w:line="276" w:lineRule="auto"/>
      </w:pPr>
      <w:r>
        <w:t>**Stochastique** : Le %K est à 0,0 (plus bas absolu) et le %D à 23,81, avec un %K sous le %D — configuration de survente extrême. La décision est **Achat**, anticipant un retournement à court terme.</w:t>
      </w:r>
    </w:p>
    <w:p>
      <w:pPr>
        <w:spacing w:after="120" w:line="276" w:lineRule="auto"/>
      </w:pPr>
      <w:r>
        <w:t>**Conclusion technique** : Les indicateurs sont **divergents** — les moyennes mobiles et le MACD confirment une tendance baissière structurelle, tandis que le RSI, le stochastique et les bandes de Bollinger signalent une survente extrême propice à un rebond technique. Cette configuration suggère un **potentiel rebond à court terme** mais dans un contexte de tendance baissière non remise en cause. La prudence reste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FTSC a réalisé un chiffre d'affaires de 32 109 millions FCFA (32,1 Mds FCFA), en progression de 4,6% par rapport à 2024, mais son résultat net s'est effondré à 465,98 millions FCFA contre 18 595 millions FCFA en 2024, soit une chute de 97,5% — une dégradation spectaculaire. Cette contre-performance s'explique par la disparition des produits exceptionnels (résultat HAO de 381,6 M FCFA contre 18 862 M FCFA en 2024) et l'effondrement des produits financiers (544,98 M FCFA contre 6 169 M FCFA), conséquence de la cession des filiales en 2024. Les ratios de rentabilité sont très faibles : ROE de 2,97% (très en dessous du seuil de 15% considéré comme excellent) et ROA de 1,19%, tandis que la marge nette s'établit à 1,45% (contre 60,6% en 2024, niveau artificiel). La structure financière reste saine avec une autonomie financière de 40,1% (&gt;30%) et une solvabilité générale de 167%, mais la trésorerie nette est fortement négative à -11 528 M FCFA, et le BFR de 11 529 M FCFA pèse lourdement. Les délais d'exploitation sont préoccupants : délai clients de 213,7 jours (risque de trésorerie élevé) et durée de stockage de 214,7 jours (immobilisation de capital), bien que le délai fournisseurs de 140,7 jours soit favorable. Le rapport du T1 2026 (publié en 2026) montre une amélioration encourageante : CA de 8 901 M FCFA (+55% sur un an) porté par la demande cacao, résultat d'exploitation positif de 75 M FCFA (contre -78 M FCFA au T1 2025), mais le résultat net reste déficitaire à -154 M FCFA. On estime que si cette dynamique se poursuit, l'exercice 2026 pourrait voir une réduction des pertes, voire un retour à l'équilibre, mais la prudence reste de mise compte tenu des risques exogènes (interdiction d'exportation de jute par le Bangladesh, crise au Moyen-Orient, dépendance au cacao). La recommandation fondamentale est **CONSERVER** avec une surveillance accrue de la rentabilité nette et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**surévaluée** : PER de 56x, EV/EBITDA de 35,3x et P/B de 1,66x traduisent une prime spéculative injustifiée au regard des bénéfices actuels. Le comportement du cours (Partie 1) est **préoccupant** : tendance baissière de -15,91% sur 100 jours, volatilité élevée (35,2%) et cours au plus bas de la période, bien que la distribution symétrique (skewness 0,432) et l'absence de pics extrêmes (kurtosis -0,657) limitent le risque de krach brutal. Les signaux techniques (Partie 2) sont **divergents** : les indicateurs de tendance (MM, MACD) sont baissiers, mais les oscillateurs (RSI, Stochastique, Bollinger) signalent une survente extrême propice à un rebond à court terme. Les fondamentaux (Partie 3) sont **fragiles** : résultat net en chute de 97,5% en 2025, ROE de 2,97%, trésorerie nette négative, mais le T1 2026 montre une amélioration opérationnelle encourageante (+55% de CA, résultat d'exploitation positif). Les prédictions IA (J+1 à J+10) anticipent une **poursuite de la baisse** (1 848 → 1 803 FCFA), confirmant la tendance baissière de fond et contredisant l'hypothèse d'un rebond technique durable. Sur la base de cette synthèse, la recommandation finale est **CONSERVER** (position attentiste), avec un niveau de confiance **Moyen** et un risque global **Élevé**. L'horizon d'investissement optimal est le **moyen terme (3-12 mois)**, en attendant la confirmation d'un redressement durable de la rentabilité nette et de la trésorerie, avec un premier signal positif à surveiller : deux trimestres consécutifs de résultat net positif.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77.80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4,593 titres</w:t>
            </w:r>
          </w:p>
        </w:tc>
        <w:tc>
          <w:tcPr>
            <w:tcW w:type="dxa" w:w="2268"/>
            <w:shd w:fill="FFF2CC" w:val="clear"/>
          </w:tcPr>
          <w:p>
            <w:r>
              <w:rPr>
                <w:b/>
                <w:color w:val="503200"/>
                <w:sz w:val="16"/>
              </w:rPr>
              <w:t xml:space="preserve">Cours actuel : </w:t>
            </w:r>
            <w:r>
              <w:rPr>
                <w:color w:val="000000"/>
                <w:sz w:val="17"/>
              </w:rPr>
              <w:t>3,890 FCFA</w:t>
            </w:r>
          </w:p>
          <w:p>
            <w:r>
              <w:rPr>
                <w:b/>
                <w:color w:val="503200"/>
                <w:sz w:val="16"/>
              </w:rPr>
              <w:t xml:space="preserve">Var. 100 jours : </w:t>
            </w:r>
            <w:r>
              <w:rPr>
                <w:b/>
                <w:color w:val="007800"/>
                <w:sz w:val="17"/>
              </w:rPr>
              <w:t>+0.65%</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4.72% (Faible) — μ=4,074 FCFA, σ=192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β=0.6530 (Défensif) — Cov=0.000047, Var(idx)=0.000072, ρ=0.213,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4,593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3,747</w:t>
            </w:r>
          </w:p>
        </w:tc>
        <w:tc>
          <w:tcPr>
            <w:tcW w:type="dxa" w:w="1440"/>
            <w:shd w:fill="FAFAFA" w:val="clear"/>
          </w:tcPr>
          <w:p>
            <w:r>
              <w:rPr>
                <w:b/>
                <w:sz w:val="17"/>
              </w:rPr>
              <w:t>3,911</w:t>
            </w:r>
          </w:p>
        </w:tc>
        <w:tc>
          <w:tcPr>
            <w:tcW w:type="dxa" w:w="1440"/>
            <w:shd w:fill="FAFAFA" w:val="clear"/>
          </w:tcPr>
          <w:p>
            <w:r>
              <w:rPr>
                <w:sz w:val="17"/>
              </w:rPr>
              <w:t>4,075</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3,683</w:t>
            </w:r>
          </w:p>
        </w:tc>
        <w:tc>
          <w:tcPr>
            <w:tcW w:type="dxa" w:w="1440"/>
            <w:shd w:fill="FAFAFA" w:val="clear"/>
          </w:tcPr>
          <w:p>
            <w:r>
              <w:rPr>
                <w:b/>
                <w:sz w:val="17"/>
              </w:rPr>
              <w:t>3,915</w:t>
            </w:r>
          </w:p>
        </w:tc>
        <w:tc>
          <w:tcPr>
            <w:tcW w:type="dxa" w:w="1440"/>
            <w:shd w:fill="FAFAFA" w:val="clear"/>
          </w:tcPr>
          <w:p>
            <w:r>
              <w:rPr>
                <w:sz w:val="17"/>
              </w:rPr>
              <w:t>4,147</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3,632</w:t>
            </w:r>
          </w:p>
        </w:tc>
        <w:tc>
          <w:tcPr>
            <w:tcW w:type="dxa" w:w="1440"/>
            <w:shd w:fill="FAFAFA" w:val="clear"/>
          </w:tcPr>
          <w:p>
            <w:r>
              <w:rPr>
                <w:b/>
                <w:sz w:val="17"/>
              </w:rPr>
              <w:t>3,916</w:t>
            </w:r>
          </w:p>
        </w:tc>
        <w:tc>
          <w:tcPr>
            <w:tcW w:type="dxa" w:w="1440"/>
            <w:shd w:fill="FAFAFA" w:val="clear"/>
          </w:tcPr>
          <w:p>
            <w:r>
              <w:rPr>
                <w:sz w:val="17"/>
              </w:rPr>
              <w:t>4,201</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3,591</w:t>
            </w:r>
          </w:p>
        </w:tc>
        <w:tc>
          <w:tcPr>
            <w:tcW w:type="dxa" w:w="1440"/>
            <w:shd w:fill="FAFAFA" w:val="clear"/>
          </w:tcPr>
          <w:p>
            <w:r>
              <w:rPr>
                <w:b/>
                <w:sz w:val="17"/>
              </w:rPr>
              <w:t>3,919</w:t>
            </w:r>
          </w:p>
        </w:tc>
        <w:tc>
          <w:tcPr>
            <w:tcW w:type="dxa" w:w="1440"/>
            <w:shd w:fill="FAFAFA" w:val="clear"/>
          </w:tcPr>
          <w:p>
            <w:r>
              <w:rPr>
                <w:sz w:val="17"/>
              </w:rPr>
              <w:t>4,248</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3,554</w:t>
            </w:r>
          </w:p>
        </w:tc>
        <w:tc>
          <w:tcPr>
            <w:tcW w:type="dxa" w:w="1440"/>
            <w:shd w:fill="FAFAFA" w:val="clear"/>
          </w:tcPr>
          <w:p>
            <w:r>
              <w:rPr>
                <w:b/>
                <w:sz w:val="17"/>
              </w:rPr>
              <w:t>3,922</w:t>
            </w:r>
          </w:p>
        </w:tc>
        <w:tc>
          <w:tcPr>
            <w:tcW w:type="dxa" w:w="1440"/>
            <w:shd w:fill="FAFAFA" w:val="clear"/>
          </w:tcPr>
          <w:p>
            <w:r>
              <w:rPr>
                <w:sz w:val="17"/>
              </w:rPr>
              <w:t>4,290</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3,521</w:t>
            </w:r>
          </w:p>
        </w:tc>
        <w:tc>
          <w:tcPr>
            <w:tcW w:type="dxa" w:w="1440"/>
            <w:shd w:fill="FAFAFA" w:val="clear"/>
          </w:tcPr>
          <w:p>
            <w:r>
              <w:rPr>
                <w:b/>
                <w:sz w:val="17"/>
              </w:rPr>
              <w:t>3,924</w:t>
            </w:r>
          </w:p>
        </w:tc>
        <w:tc>
          <w:tcPr>
            <w:tcW w:type="dxa" w:w="1440"/>
            <w:shd w:fill="FAFAFA" w:val="clear"/>
          </w:tcPr>
          <w:p>
            <w:r>
              <w:rPr>
                <w:sz w:val="17"/>
              </w:rPr>
              <w:t>4,327</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3,490</w:t>
            </w:r>
          </w:p>
        </w:tc>
        <w:tc>
          <w:tcPr>
            <w:tcW w:type="dxa" w:w="1440"/>
            <w:shd w:fill="FAFAFA" w:val="clear"/>
          </w:tcPr>
          <w:p>
            <w:r>
              <w:rPr>
                <w:b/>
                <w:sz w:val="17"/>
              </w:rPr>
              <w:t>3,925</w:t>
            </w:r>
          </w:p>
        </w:tc>
        <w:tc>
          <w:tcPr>
            <w:tcW w:type="dxa" w:w="1440"/>
            <w:shd w:fill="FAFAFA" w:val="clear"/>
          </w:tcPr>
          <w:p>
            <w:r>
              <w:rPr>
                <w:sz w:val="17"/>
              </w:rPr>
              <w:t>4,361</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3,460</w:t>
            </w:r>
          </w:p>
        </w:tc>
        <w:tc>
          <w:tcPr>
            <w:tcW w:type="dxa" w:w="1440"/>
            <w:shd w:fill="FAFAFA" w:val="clear"/>
          </w:tcPr>
          <w:p>
            <w:r>
              <w:rPr>
                <w:b/>
                <w:sz w:val="17"/>
              </w:rPr>
              <w:t>3,926</w:t>
            </w:r>
          </w:p>
        </w:tc>
        <w:tc>
          <w:tcPr>
            <w:tcW w:type="dxa" w:w="1440"/>
            <w:shd w:fill="FAFAFA" w:val="clear"/>
          </w:tcPr>
          <w:p>
            <w:r>
              <w:rPr>
                <w:sz w:val="17"/>
              </w:rPr>
              <w:t>4,391</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3,435</w:t>
            </w:r>
          </w:p>
        </w:tc>
        <w:tc>
          <w:tcPr>
            <w:tcW w:type="dxa" w:w="1440"/>
            <w:shd w:fill="FAFAFA" w:val="clear"/>
          </w:tcPr>
          <w:p>
            <w:r>
              <w:rPr>
                <w:b/>
                <w:sz w:val="17"/>
              </w:rPr>
              <w:t>3,929</w:t>
            </w:r>
          </w:p>
        </w:tc>
        <w:tc>
          <w:tcPr>
            <w:tcW w:type="dxa" w:w="1440"/>
            <w:shd w:fill="FAFAFA" w:val="clear"/>
          </w:tcPr>
          <w:p>
            <w:r>
              <w:rPr>
                <w:sz w:val="17"/>
              </w:rPr>
              <w:t>4,423</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3,413</w:t>
            </w:r>
          </w:p>
        </w:tc>
        <w:tc>
          <w:tcPr>
            <w:tcW w:type="dxa" w:w="1440"/>
            <w:shd w:fill="FAFAFA" w:val="clear"/>
          </w:tcPr>
          <w:p>
            <w:r>
              <w:rPr>
                <w:b/>
                <w:sz w:val="17"/>
              </w:rPr>
              <w:t>3,934</w:t>
            </w:r>
          </w:p>
        </w:tc>
        <w:tc>
          <w:tcPr>
            <w:tcW w:type="dxa" w:w="1440"/>
            <w:shd w:fill="FAFAFA" w:val="clear"/>
          </w:tcPr>
          <w:p>
            <w:r>
              <w:rPr>
                <w:sz w:val="17"/>
              </w:rPr>
              <w:t>4,456</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77,80 Mds FCFA, LNBB se positionne comme une valeur de taille intermédiaire sur le compartiment des sociétés non bancaires de la BRVM, ce qui traduit une liquidité limitée mais une certaine stabilité institutionnelle. Le BPA de 231 FCFA/action signifie que chaque titre génère près de 231 FCFA de bénéfice net, un niveau appréciable qui, rapporté au cours actuel de 3 890 FCFA, donne un PER de 16,8x — soit un multiple supérieur à la moyenne BRVM (~8-12x), indiquant que le marché paie une prime pour la qualité de la signature et la régularité des dividendes. Le P/B de 3,54x montre que le marché valorise l'entreprise à plus de trois fois ses fonds propres comptables (21,95 Mds FCFA), ce qui traduit une prime de croissance et de rentabilité (ROE de 21,05%) mais expose à un risque de correction si la rentabilité venait à fléchir. Enfin, l'EV/EBITDA de 9,8x se situe dans la fourchette raisonnable (5-10x), suggérant que la valeur d'entreprise reste cohérente avec la capacité opérationnelle de génération de cash-flow (EBE de 7,16 Mds FCFA en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LNBB affiche une variation quasi-nulle de +0,65%, avec une dernière séance stable à +0,00%, traduisant une phase de consolidation sans direction marquée. Le titre a évolué dans un range de 860 FCFA entre un plus haut de 4 560 FCFA et un plus bas de 3 700 FCFA, ce qui représente une amplitude de plus de 23% — significative pour une valeur réputée défensive. La tendance générale est donc baissière depuis le pic de 4 560 FCFA, le cours actuel (3 890 FCFA) se situant à 14,7% en dessous du plus haut, mais légèrement au-dessus du plancher de 3 700 FCFA. Les statistiques descriptives révèlent une moyenne de 4 074 FCFA légèrement supérieure à la médiane de 4 050 FCFA, avec un mode à 4 000 FCFA, ce qui indique une distribution quasi-symétrique (skewness de 0,451) avec une très légère asymétrie positive. L'écart-type de 193 FCFA (CV de 4,7%) traduit une dispersion modérée du cours autour de sa moyenne, tandis que le kurtosis de -0,795 (mésokurtique) suggère une distribution proche de la normale, sans risque majeur de pics extrêmes. La volatilité annualisée de 41,3% classe le titre dans la catégorie des valeurs à volatilité élevée (&gt;30%), ce qui contraste avec la stabilité apparente du cours sur la période et peut s'expliquer par la faible liquidité du titre (volume moyen de 4 593 titres/jour) qui amplifie les variations.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(3 962,75 FCFA) et la MM50 (4 095,5 FCFA) encadrent le cours actuel (3 890 FCFA) par le haut, ce qui constitue un signal baissier clair : le titre évolue sous ses deux moyennes mobiles, et la MM20 est elle-même inférieure à la MM50, confirmant une configuration de tendance descendante. La décision technique qui en résulte est logiquement « Vente », le cours devant reconquérir la MM20 pour espérer une stabilisation.</w:t>
      </w:r>
    </w:p>
    <w:p>
      <w:pPr>
        <w:spacing w:after="120" w:line="276" w:lineRule="auto"/>
      </w:pPr>
      <w:r>
        <w:t>**Bandes de Bollinger** : Le cours (3 890 FCFA) se situe dans la partie basse de la bande de Bollinger, entre la borne inférieure (3 765,89 FCFA) et la borne supérieure (4 159,61 FCFA), mais plus proche du support que de la résistance. Cette position médiane-basse, combinée à un RSI neutre, justifie la décision « Neutre » : le titre n'est ni en survente technique, ni en surachat, et la largeur des bandes (environ 394 FCFA) reflète une volatilité modérée.</w:t>
      </w:r>
    </w:p>
    <w:p>
      <w:pPr>
        <w:spacing w:after="120" w:line="276" w:lineRule="auto"/>
      </w:pPr>
      <w:r>
        <w:t>**MACD** : La valeur du MACD (-55,96) est inférieure à son signal (-53,709), avec un histogramme négatif, ce qui confirme un momentum baissier toujours actif. La divergence entre les deux lignes reste faible mais persistante, et la décision « Vente » est cohérente avec cette configuration : tant que le MACD ne croise pas au-dessus de son signal, la pression vendeuse demeure dominante.</w:t>
      </w:r>
    </w:p>
    <w:p>
      <w:pPr>
        <w:spacing w:after="120" w:line="276" w:lineRule="auto"/>
      </w:pPr>
      <w:r>
        <w:t>**RSI** : À 48,0, le RSI se situe parfaitement dans la zone neutre (30-70), sans signal de surachat ni de survente. Cette valeur médiane indique un équilibre entre acheteurs et vendeurs, et la décision « Neutre » reflète l'absence de signal directionnel fort — le titre pourrait évoluer dans les deux sens à court terme.</w:t>
      </w:r>
    </w:p>
    <w:p>
      <w:pPr>
        <w:spacing w:after="120" w:line="276" w:lineRule="auto"/>
      </w:pPr>
      <w:r>
        <w:t>**Stochastique** : Le %K (47,5) est légèrement supérieur au %D (45,417), avec un croisement haussier naissant mais non confirmé. Les deux lignes évoluent dans la zone médiane, sans divergence marquée, ce qui justifie la décision « Neutre » : le stochastique n'offre pas de signal clair, mais la légère avance du %K sur le %D pourrait annoncer un rebond technique si elle se confirme.</w:t>
      </w:r>
    </w:p>
    <w:p>
      <w:pPr>
        <w:spacing w:after="120" w:line="276" w:lineRule="auto"/>
      </w:pPr>
      <w:r>
        <w:t>**Conclusion technique** : La convergence des indicateurs vers une décision « Neutre » (Bollinger, RSI, Stochastique) contraste avec les signaux baissiers des moyennes mobiles et du MACD. Le titre se trouve dans une zone de consolidation basse, sans force directionnelle claire, mais la prédominance des signaux baissiers (MM et MACD) suggère que la prudence reste de mise tant que le cours n'aura pas reconquis la MM20 (3 962 FCFA). Un croisement haussier du MACD ou une sortie par le haut des bandes de Bollinger serait nécessaire pour valider un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réalisé un chiffre d'affaires de 98,598 Mds FCFA, en baisse de 3,85% par rapport à 2024 (102,544 Mds FCFA), sous l'effet d'une concurrence illégale accrue et d'un recul des ventes physiques. Le résultat net s'établit à 4,622 Mds FCFA, en chute de 35,6% par rapport à 2024 (7,176 Mds FCFA), principalement en raison de l'absence de produits exceptionnels (3,1 Mds FCFA en 2024) et de la dilution des marges liée à la montée en puissance du pari sportif (taux de retour aux joueurs de 95%). Malgré cette dégradation, les fondamentaux opérationnels restent solides : la valeur ajoutée progresse de 22% à 10,548 Mds FCFA, l'EBE de 34% à 7,164 Mds FCFA, et le ROE atteint 21,05% (excellent, &gt;15%), tandis que le ROA de 14,17% confirme une bonne rentabilité des actifs. La structure financière est très saine : autonomie financière de 67,32%, ratio d'endettement de seulement 2,57%, liquidité générale de 184,84%, et trésorerie nette positive de 7,979 Mds FCFA. Les délais d'exploitation sont remarquablement courts (4,82 jours clients, 1,56 jour de stockage), et le BFR de 217,45 M FCFA est quasi nul, ce qui témoigne d'une gestion rigoureuse du besoin en fonds de roulement. Les rapports trimestriels de 2026 confirment une amélioration progressive : au T1 2026 (rapport du 31 mars 2026), le CA progresse de 6% à 25,521 Mds FCFA mais le résultat net chute de 46% à 848 M FCFA à cause du mix produit défavorable ; au S1 2026 (rapport du 30 juin 2026), le CA atteint 49,937 Mds FCFA (+4%) et le résultat net bondit de 60% grâce à la maîtrise des charges et aux revenus de partenariats, bien que le produit brut des jeux recule de 9%. On estime donc que l'exercice 2026 devrait afficher une reprise de la rentabilité, portée par le déploiement de 1 500 nouveaux terminaux, l'augmentation des tirages et le lancement de nouveaux produits à forte marge. La recommandation fondamentale est de **CONSERVER** : la solidité financière, la générosité du dividende (173 FCFA brut/action, soit un rendement de 4,45% au cours actuel) et les perspectives de redressement compensent la baisse temporaire des résultats, mais l'absence de visibilité sur la stabilisation du produit brut des jeux invite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(PER de 16,8x, P/B de 3,54x, EV/EBITDA de 9,8x) indique une légère surévaluation par rapport à la moyenne BRVM, mais cette prime se justifie par la solidité du bilan, la régularité des dividendes et le ROE élevé de 21,05%. Le comportement du cours sur 100 jours (variation quasi-nulle, volatilité élevée de 41,3%, distribution symétrique sans pics extrêmes) traduit une phase de consolidation dans un range de 3 700-4 560 FCFA, avec un cours actuel (3 890 FCFA) proche du plancher, ce qui limite le potentiel de baisse à court terme. Les signaux techniques sont majoritairement neutres (Bollinger, RSI, Stochastique) mais tempérés par des signaux baissiers (MM20/MM50 et MACD), suggérant une absence de catalyseur haussier immédiat. Les fondamentaux, bien que dégradés en 2025 (CA -3,85%, RN -35,6%), montrent des signes de redressement au S1 2026 (RN +60%, CA +4%) et une structure financière exceptionnellement solide (autonomie financière de 67,32%, trésorerie nette de 7,98 Mds FCFA). Les prédictions IA pour les 10 prochains jours (3 911 à 3 922 FCFA) anticipent une légère hausse de +0,5% à +0,8%, ce qui contredit les signaux baissiers techniques mais s'aligne sur la dynamique fondamentale de redressement. Sur la base de cette synthèse, la recommandation finale est de **CONSERVER**, avec un niveau de confiance **Moyen** et un risque global **Moyen** : la convergence entre la valorisation raisonnable, la solidité financière et les perspectives de reprise est réelle, mais l'absence de signal technique haussier fort et la dépendance aux revenus de partenariats (dont la pérennité n'est pas garantie) incitent à la prudence. L'horizon d'investissement optimal est le **moyen terme (3-12 mois)**, en attendant la confirmation de la stabilisation du produit brut des jeux et la concrétisation des initiatives stratégiques du S2 2026 (déploiement de 1 500 terminaux, nouveaux produits). Un renforcement de la position serait justifié si le cours reconquiert la MM20 (3 962 FCFA) et si le MACD croise à la hausse, ou si les résultats annuels 2026 confirment l'amélioration de la rentabilité.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28.53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2,640 titres</w:t>
            </w:r>
          </w:p>
        </w:tc>
        <w:tc>
          <w:tcPr>
            <w:tcW w:type="dxa" w:w="2268"/>
            <w:shd w:fill="FFF2CC" w:val="clear"/>
          </w:tcPr>
          <w:p>
            <w:r>
              <w:rPr>
                <w:b/>
                <w:color w:val="503200"/>
                <w:sz w:val="16"/>
              </w:rPr>
              <w:t xml:space="preserve">Cours actuel : </w:t>
            </w:r>
            <w:r>
              <w:rPr>
                <w:color w:val="000000"/>
                <w:sz w:val="17"/>
              </w:rPr>
              <w:t>2,235 FCFA</w:t>
            </w:r>
          </w:p>
          <w:p>
            <w:r>
              <w:rPr>
                <w:b/>
                <w:color w:val="503200"/>
                <w:sz w:val="16"/>
              </w:rPr>
              <w:t xml:space="preserve">Var. 100 jours : </w:t>
            </w:r>
            <w:r>
              <w:rPr>
                <w:b/>
                <w:color w:val="007800"/>
                <w:sz w:val="17"/>
              </w:rPr>
              <w:t>+20.81%</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53.4%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12.72% (Moyenne) — μ=2,304 FCFA, σ=293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β=0.0731 (Défensif) — Cov=0.000005, Var(idx)=0.000072, ρ=0.018,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σ_j=3.37%/j (Modérée) — Vol. annualisée≈53.4%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2,077</w:t>
            </w:r>
          </w:p>
        </w:tc>
        <w:tc>
          <w:tcPr>
            <w:tcW w:type="dxa" w:w="1440"/>
            <w:shd w:fill="FAFAFA" w:val="clear"/>
          </w:tcPr>
          <w:p>
            <w:r>
              <w:rPr>
                <w:b/>
                <w:sz w:val="17"/>
              </w:rPr>
              <w:t>2,217</w:t>
            </w:r>
          </w:p>
        </w:tc>
        <w:tc>
          <w:tcPr>
            <w:tcW w:type="dxa" w:w="1440"/>
            <w:shd w:fill="FAFAFA" w:val="clear"/>
          </w:tcPr>
          <w:p>
            <w:r>
              <w:rPr>
                <w:sz w:val="17"/>
              </w:rPr>
              <w:t>2,358</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2,006</w:t>
            </w:r>
          </w:p>
        </w:tc>
        <w:tc>
          <w:tcPr>
            <w:tcW w:type="dxa" w:w="1440"/>
            <w:shd w:fill="FAFAFA" w:val="clear"/>
          </w:tcPr>
          <w:p>
            <w:r>
              <w:rPr>
                <w:b/>
                <w:sz w:val="17"/>
              </w:rPr>
              <w:t>2,203</w:t>
            </w:r>
          </w:p>
        </w:tc>
        <w:tc>
          <w:tcPr>
            <w:tcW w:type="dxa" w:w="1440"/>
            <w:shd w:fill="FAFAFA" w:val="clear"/>
          </w:tcPr>
          <w:p>
            <w:r>
              <w:rPr>
                <w:sz w:val="17"/>
              </w:rPr>
              <w:t>2,400</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2026-10-08</w:t>
            </w:r>
          </w:p>
        </w:tc>
        <w:tc>
          <w:tcPr>
            <w:tcW w:type="dxa" w:w="1440"/>
            <w:shd w:fill="FFDCE0" w:val="clear"/>
          </w:tcPr>
          <w:p>
            <w:r>
              <w:rPr>
                <w:sz w:val="17"/>
              </w:rPr>
              <w:t>1,949</w:t>
            </w:r>
          </w:p>
        </w:tc>
        <w:tc>
          <w:tcPr>
            <w:tcW w:type="dxa" w:w="1440"/>
            <w:shd w:fill="FFDCE0" w:val="clear"/>
          </w:tcPr>
          <w:p>
            <w:r>
              <w:rPr>
                <w:b/>
                <w:sz w:val="17"/>
              </w:rPr>
              <w:t>2,188</w:t>
            </w:r>
          </w:p>
        </w:tc>
        <w:tc>
          <w:tcPr>
            <w:tcW w:type="dxa" w:w="1440"/>
            <w:shd w:fill="FFDCE0" w:val="clear"/>
          </w:tcPr>
          <w:p>
            <w:r>
              <w:rPr>
                <w:sz w:val="17"/>
              </w:rPr>
              <w:t>2,428</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1,899</w:t>
            </w:r>
          </w:p>
        </w:tc>
        <w:tc>
          <w:tcPr>
            <w:tcW w:type="dxa" w:w="1440"/>
            <w:shd w:fill="FFDCE0" w:val="clear"/>
          </w:tcPr>
          <w:p>
            <w:r>
              <w:rPr>
                <w:b/>
                <w:sz w:val="17"/>
              </w:rPr>
              <w:t>2,174</w:t>
            </w:r>
          </w:p>
        </w:tc>
        <w:tc>
          <w:tcPr>
            <w:tcW w:type="dxa" w:w="1440"/>
            <w:shd w:fill="FFDCE0" w:val="clear"/>
          </w:tcPr>
          <w:p>
            <w:r>
              <w:rPr>
                <w:sz w:val="17"/>
              </w:rPr>
              <w:t>2,449</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1,855</w:t>
            </w:r>
          </w:p>
        </w:tc>
        <w:tc>
          <w:tcPr>
            <w:tcW w:type="dxa" w:w="1440"/>
            <w:shd w:fill="FFDCE0" w:val="clear"/>
          </w:tcPr>
          <w:p>
            <w:r>
              <w:rPr>
                <w:b/>
                <w:sz w:val="17"/>
              </w:rPr>
              <w:t>2,161</w:t>
            </w:r>
          </w:p>
        </w:tc>
        <w:tc>
          <w:tcPr>
            <w:tcW w:type="dxa" w:w="1440"/>
            <w:shd w:fill="FFDCE0" w:val="clear"/>
          </w:tcPr>
          <w:p>
            <w:r>
              <w:rPr>
                <w:sz w:val="17"/>
              </w:rPr>
              <w:t>2,466</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1,815</w:t>
            </w:r>
          </w:p>
        </w:tc>
        <w:tc>
          <w:tcPr>
            <w:tcW w:type="dxa" w:w="1440"/>
            <w:shd w:fill="FFDCE0" w:val="clear"/>
          </w:tcPr>
          <w:p>
            <w:r>
              <w:rPr>
                <w:b/>
                <w:sz w:val="17"/>
              </w:rPr>
              <w:t>2,148</w:t>
            </w:r>
          </w:p>
        </w:tc>
        <w:tc>
          <w:tcPr>
            <w:tcW w:type="dxa" w:w="1440"/>
            <w:shd w:fill="FFDCE0" w:val="clear"/>
          </w:tcPr>
          <w:p>
            <w:r>
              <w:rPr>
                <w:sz w:val="17"/>
              </w:rPr>
              <w:t>2,480</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1,778</w:t>
            </w:r>
          </w:p>
        </w:tc>
        <w:tc>
          <w:tcPr>
            <w:tcW w:type="dxa" w:w="1440"/>
            <w:shd w:fill="FFDCE0" w:val="clear"/>
          </w:tcPr>
          <w:p>
            <w:r>
              <w:rPr>
                <w:b/>
                <w:sz w:val="17"/>
              </w:rPr>
              <w:t>2,136</w:t>
            </w:r>
          </w:p>
        </w:tc>
        <w:tc>
          <w:tcPr>
            <w:tcW w:type="dxa" w:w="1440"/>
            <w:shd w:fill="FFDCE0" w:val="clear"/>
          </w:tcPr>
          <w:p>
            <w:r>
              <w:rPr>
                <w:sz w:val="17"/>
              </w:rPr>
              <w:t>2,493</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1,744</w:t>
            </w:r>
          </w:p>
        </w:tc>
        <w:tc>
          <w:tcPr>
            <w:tcW w:type="dxa" w:w="1440"/>
            <w:shd w:fill="FFDCE0" w:val="clear"/>
          </w:tcPr>
          <w:p>
            <w:r>
              <w:rPr>
                <w:b/>
                <w:sz w:val="17"/>
              </w:rPr>
              <w:t>2,124</w:t>
            </w:r>
          </w:p>
        </w:tc>
        <w:tc>
          <w:tcPr>
            <w:tcW w:type="dxa" w:w="1440"/>
            <w:shd w:fill="FFDCE0" w:val="clear"/>
          </w:tcPr>
          <w:p>
            <w:r>
              <w:rPr>
                <w:sz w:val="17"/>
              </w:rPr>
              <w:t>2,504</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1,712</w:t>
            </w:r>
          </w:p>
        </w:tc>
        <w:tc>
          <w:tcPr>
            <w:tcW w:type="dxa" w:w="1440"/>
            <w:shd w:fill="FFDCE0" w:val="clear"/>
          </w:tcPr>
          <w:p>
            <w:r>
              <w:rPr>
                <w:b/>
                <w:sz w:val="17"/>
              </w:rPr>
              <w:t>2,113</w:t>
            </w:r>
          </w:p>
        </w:tc>
        <w:tc>
          <w:tcPr>
            <w:tcW w:type="dxa" w:w="1440"/>
            <w:shd w:fill="FFDCE0" w:val="clear"/>
          </w:tcPr>
          <w:p>
            <w:r>
              <w:rPr>
                <w:sz w:val="17"/>
              </w:rPr>
              <w:t>2,513</w:t>
            </w:r>
          </w:p>
        </w:tc>
        <w:tc>
          <w:tcPr>
            <w:tcW w:type="dxa" w:w="1440"/>
            <w:shd w:fill="FFDCE0" w:val="clear"/>
          </w:tcPr>
          <w:p>
            <w:r>
              <w:rPr>
                <w:b/>
                <w:color w:val="C00000"/>
                <w:sz w:val="17"/>
              </w:rPr>
              <w:t>-5.5%</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1,682</w:t>
            </w:r>
          </w:p>
        </w:tc>
        <w:tc>
          <w:tcPr>
            <w:tcW w:type="dxa" w:w="1440"/>
            <w:shd w:fill="FFDCE0" w:val="clear"/>
          </w:tcPr>
          <w:p>
            <w:r>
              <w:rPr>
                <w:b/>
                <w:sz w:val="17"/>
              </w:rPr>
              <w:t>2,102</w:t>
            </w:r>
          </w:p>
        </w:tc>
        <w:tc>
          <w:tcPr>
            <w:tcW w:type="dxa" w:w="1440"/>
            <w:shd w:fill="FFDCE0" w:val="clear"/>
          </w:tcPr>
          <w:p>
            <w:r>
              <w:rPr>
                <w:sz w:val="17"/>
              </w:rPr>
              <w:t>2,522</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28,53 milliards FCFA, NEIC se positionne comme une valeur de taille moyenne sur le compartiment des sociétés non bancaires de la BRVM, ce qui reste modeste à l'échelle régionale mais significatif pour le secteur de l'édition. Le BPA de 160 FCFA/action indique que chaque titre génère 160 FCFA de bénéfice net, un niveau qui, rapporté au cours actuel de 2 235 FCFA, donne un PER de 14,0x — soit une valorisation modérée mais légèrement supérieure à la moyenne du marché BRVM (8-12x), suggérant que le marché intègre déjà une prime de croissance. Le P/B de 4,96x traduit une forte prime par rapport à la valeur comptable (le marché paie près de 5 fois les fonds propres), ce qui est exigeant et implique que la rentabilité future doit être au rendez-vous pour justifier ce niveau. Enfin, l'EV/EBITDA de 20,7x est très exigeant (seuil d'alerte &gt;15x), signalant que la valeur d'entreprise intègre une anticipation de forte croissance opérationnelle ou que le titre est surévalué par rapport à sa capacité bénéficiaire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performance remarquable de +20,81%, malgré un léger repli de -0,45% lors de la dernière séance (J-1), ce qui témoigne d'une consolidation après un fort mouvement haussier. Le cours actuel de 2 235 FCFA se situe dans la partie médiane du range de trading, entre un plus bas de 1 850 FCFA et un plus haut de 3 000 FCFA, ce qui représente une amplitude de 62% — signe d'une volatilité importante sur la période. La tendance générale est haussière, portée par un rebond depuis les points bas, mais le titre reste en retrait de 25,5% par rapport à son sommet de 3 000 FCFA, indiquant une phase de correction ou de consolidation en cours. Les statistiques descriptives révèlent une moyenne de 2 304 FCFA supérieure à la médiane de 2 272 FCFA, avec un mode à 1 990 FCFA, ce qui suggère une distribution légèrement asymétrique avec des pics de cours tirant la moyenne vers le haut. L'écart-type de 295 FCFA (CV de 12,8%) indique une dispersion modérée du cours autour de sa moyenne, tandis que le kurtosis de 0,291 (mésokurtique) signifie que la distribution est proche d'une loi normale, sans risque excessif de pics extrêmes. Le skewness de 0,896 (asymétrie positive) révèle que les journées sous la moyenne sont plus fréquentes, mais que les hausses, lorsqu'elles surviennent, sont plus amples — un profil favorable aux investisseurs haussiers. La volatilité annualisée de 53,4% classe le titre dans la catégorie des valeurs à volatilité élevée (&gt;30%), ce qui implique un risque de perte en capital significatif et nécessite une tolérance au risque élevée.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(2 540,25 FCFA) et la MM50 (2 480,90 FCFA) se situent toutes deux au-dessus du cours actuel (2 235 FCFA), ce qui place le titre en position baissière à court et moyen terme. Cependant, la MM20 étant supérieure à la MM50, la configuration reste haussière sur le croisement, justifiant la décision "Achat" malgré la pression baissière immédiate.</w:t>
      </w:r>
    </w:p>
    <w:p>
      <w:pPr>
        <w:spacing w:after="120" w:line="276" w:lineRule="auto"/>
      </w:pPr>
      <w:r>
        <w:t>**Bandes de Bollinger** : Le cours (2 235 FCFA) évolue dans la partie basse de la bande, entre la borne inférieure (2 071,19 FCFA) et la borne supérieure (3 009,31 FCFA), sans atteindre les extrêmes. Cette position médiane-basse, couplée à une largeur de bande importante (938 FCFA), indique une volatilité élevée mais sans signal de survente ou de surachat, justifiant la décision "Neutre".</w:t>
      </w:r>
    </w:p>
    <w:p>
      <w:pPr>
        <w:spacing w:after="120" w:line="276" w:lineRule="auto"/>
      </w:pPr>
      <w:r>
        <w:t>**MACD** : La valeur du MACD (-91,07) est inférieure à son signal (-43,90), avec un histogramme négatif, ce qui confirme un momentum baissier à court terme. La divergence négative persistante justifie la décision "Vente", bien que l'écart entre les deux lignes tende à se réduire, suggérant un possible retournement prochain.</w:t>
      </w:r>
    </w:p>
    <w:p>
      <w:pPr>
        <w:spacing w:after="120" w:line="276" w:lineRule="auto"/>
      </w:pPr>
      <w:r>
        <w:t>**RSI** : Avec une valeur de 13,25, le RSI est en zone de survente extrême (seuil &lt;30), ce qui indique que le titre a été massivement vendu et pourrait connaître un rebond technique à court terme. Cette configuration justifie pleinement la décision "Achat" par anticipation d'un retournement.</w:t>
      </w:r>
    </w:p>
    <w:p>
      <w:pPr>
        <w:spacing w:after="120" w:line="276" w:lineRule="auto"/>
      </w:pPr>
      <w:r>
        <w:t>**Stochastique** : Les valeurs %K et %D sont toutes deux à 0,0, ce qui place l'indicateur en zone de survente maximale. Un croisement haussier des deux lignes est attendu, ce qui confirme la décision "Achat" et renforce le signal de rebond technique.</w:t>
      </w:r>
    </w:p>
    <w:p>
      <w:pPr>
        <w:spacing w:after="120" w:line="276" w:lineRule="auto"/>
      </w:pPr>
      <w:r>
        <w:t>**Conclusion technique** : Les indicateurs présentent une divergence notable : les moyennes mobiles et le MACD sont baissiers, tandis que le RSI et le stochastique sont en survente extrême et génèrent des signaux d'achat. Cette configuration suggère que le titre est en phase de correction mais approche d'un point de retournement, avec un potentiel de rebond à court terme. La prudence reste de mise tant que le cours ne repasse pas au-dessus de la MM20 (2 540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(source : brvm_donnees_financieres) révèlent une situation contrastée pour NEI-CEDA CI. Le chiffre d'affaires s'établit à 5,139 milliards FCFA, en baisse de -23,80% par rapport à l'exercice précédent, ce qui traduit un net ralentissement de l'activité commerciale. Le résultat net, quant à lui, atteint 2,037 milliards FCFA, générant une marge nette exceptionnelle de 39,63% — mais ce niveau est artificiellement gonflé par la reprise d'une provision pour redressement fiscal de 1,596 milliard FCFA au T3 2025 (rapport T3 2025, daté du 30/09/2025), un élément non récurrent qui masque la réalité opérationnelle. Le ROE de 35,39% et le ROA de 27,25% sont excellents sur le papier, mais ils sont également dopés par ce produit exceptionnel ; hors cet effet, la rentabilité récurrente serait bien plus modeste. La structure financière reste solide avec une autonomie financière de 77,01%, une trésorerie nette de 4,196 milliards FCFA et un fonds de roulement de 5,693 milliards FCFA, mais le flux opérationnel est négatif à -527,07 millions FCFA, ce qui est préoccupant. Les délais d'exploitation révèlent un délai clients élevé de 154,72 jours (risque de trésorerie important) et un délai fournisseurs de 69,56 jours, tandis que le BFR de 1,498 milliard FCFA pèse sur la liquidité. Les rapports trimestriels récents confirment cette dualité : le T1 2026 (rapport 2026) montre un chiffre d'affaires en forte hausse de +137% à 115,1 millions FCFA, mais une perte nette persistante de -168,9 millions FCFA, tandis que le T1 2025 (rapport 2025) affichait un CA de 48,5 millions FCFA et une perte de -189,9 millions FCFA. Le rapport annuel 2025 (publié en 2025) indique un résultat net de 2,04 milliards FCFA et un dividende généreux de 2,04 milliards FCFA (100% du résultat), mais cette distribution excessive limite la capacité d'autofinancement. En synthèse, la société présente une solidité financière apparente mais une qualité des bénéfices douteuse, avec une activité commerciale en recul et des pertes opérationnelles récurrentes qui nécessitent une vigilance accrue. La recommandation fondamentale est de **CONSERVER** avec prudence, en attendant des signes concrets de redressement durable de l'activité courante.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complexe pour NEIC. La valorisation (Partie 0) est exigeante avec un PER de 14,0x supérieur à la moyenne du marché, un P/B de 4,96x et un EV/EBITDA de 20,7x, ce qui suggère une surévaluation relative par rapport aux fondamentaux récurrents. Le comportement du cours (Partie 1) est haussier sur 100 jours (+20,81%) mais avec une volatilité élevée (53,4%) et une asymétrie positive (skewness 0,896) qui indique des risques de correction brutale. Les signaux techniques (Partie 2) sont divergents : le RSI (13,25) et le stochastique (0,0) sont en survente extrême et génèrent des signaux d'achat, tandis que le MACD (-91,07) et les moyennes mobiles (cours sous MM20 et MM50) restent baissiers, créant une incertitude sur la direction à court terme. Les fondamentaux (Partie 3) sont mitigés : la rentabilité apparente (ROE 35,39%, ROA 27,25%) est dopée par un élément non récurrent, l'activité commerciale recule (-23,80% de CA en 2025), et les pertes opérationnelles persistent au T1 2026 malgré la croissance du CA. Les prédictions IA (J+1 à J+10) anticipent une baisse continue de 2 217 FCFA à 2 161 FCFA, confirmant la pression baissière à court terme. Sur la base de cette synthèse, la recommandation finale est **CONSERVER** avec un niveau de confiance **Moyen** et un risque global **Élevé**. La convergence entre la valorisation exigeante, les signaux techniques divergents, les fondamentaux fragiles et les prédictions baissières incite à la prudence. L'horizon d'investissement optimal est **moyen terme (3-12 mois)**, en attendant une clarification de la trajectoire bénéficiaire récurrente et un retournement technique confirmé (cours &gt; MM20 à 2 540 FCFA). Un investisseur averse au risque devrait envisager une **VENTE** en cas de rupture du support de 2 071 FCFA (borne inférieure de Bollinger).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546.63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2,837 titres</w:t>
            </w:r>
          </w:p>
        </w:tc>
        <w:tc>
          <w:tcPr>
            <w:tcW w:type="dxa" w:w="2268"/>
            <w:shd w:fill="FFF2CC" w:val="clear"/>
          </w:tcPr>
          <w:p>
            <w:r>
              <w:rPr>
                <w:b/>
                <w:color w:val="503200"/>
                <w:sz w:val="16"/>
              </w:rPr>
              <w:t xml:space="preserve">Cours actuel : </w:t>
            </w:r>
            <w:r>
              <w:rPr>
                <w:color w:val="000000"/>
                <w:sz w:val="17"/>
              </w:rPr>
              <w:t>22,100 FCFA</w:t>
            </w:r>
          </w:p>
          <w:p>
            <w:r>
              <w:rPr>
                <w:b/>
                <w:color w:val="503200"/>
                <w:sz w:val="16"/>
              </w:rPr>
              <w:t xml:space="preserve">Var. 100 jours : </w:t>
            </w:r>
            <w:r>
              <w:rPr>
                <w:b/>
                <w:color w:val="007800"/>
                <w:sz w:val="17"/>
              </w:rPr>
              <w:t>+59.57%</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12.14% (Moyenne) — μ=21,233 FCFA, σ=2,578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β=1.3783 (Agressif) — Cov=0.000099, Var(idx)=0.000072, ρ=0.448,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20,700</w:t>
            </w:r>
          </w:p>
        </w:tc>
        <w:tc>
          <w:tcPr>
            <w:tcW w:type="dxa" w:w="1440"/>
            <w:shd w:fill="FAFAFA" w:val="clear"/>
          </w:tcPr>
          <w:p>
            <w:r>
              <w:rPr>
                <w:b/>
                <w:sz w:val="17"/>
              </w:rPr>
              <w:t>21,669</w:t>
            </w:r>
          </w:p>
        </w:tc>
        <w:tc>
          <w:tcPr>
            <w:tcW w:type="dxa" w:w="1440"/>
            <w:shd w:fill="FAFAFA" w:val="clear"/>
          </w:tcPr>
          <w:p>
            <w:r>
              <w:rPr>
                <w:sz w:val="17"/>
              </w:rPr>
              <w:t>22,639</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2026-10-07</w:t>
            </w:r>
          </w:p>
        </w:tc>
        <w:tc>
          <w:tcPr>
            <w:tcW w:type="dxa" w:w="1440"/>
            <w:shd w:fill="FFDCE0" w:val="clear"/>
          </w:tcPr>
          <w:p>
            <w:r>
              <w:rPr>
                <w:sz w:val="17"/>
              </w:rPr>
              <w:t>20,039</w:t>
            </w:r>
          </w:p>
        </w:tc>
        <w:tc>
          <w:tcPr>
            <w:tcW w:type="dxa" w:w="1440"/>
            <w:shd w:fill="FFDCE0" w:val="clear"/>
          </w:tcPr>
          <w:p>
            <w:r>
              <w:rPr>
                <w:b/>
                <w:sz w:val="17"/>
              </w:rPr>
              <w:t>21,393</w:t>
            </w:r>
          </w:p>
        </w:tc>
        <w:tc>
          <w:tcPr>
            <w:tcW w:type="dxa" w:w="1440"/>
            <w:shd w:fill="FFDCE0" w:val="clear"/>
          </w:tcPr>
          <w:p>
            <w:r>
              <w:rPr>
                <w:sz w:val="17"/>
              </w:rPr>
              <w:t>22,746</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2026-10-08</w:t>
            </w:r>
          </w:p>
        </w:tc>
        <w:tc>
          <w:tcPr>
            <w:tcW w:type="dxa" w:w="1440"/>
            <w:shd w:fill="FFDCE0" w:val="clear"/>
          </w:tcPr>
          <w:p>
            <w:r>
              <w:rPr>
                <w:sz w:val="17"/>
              </w:rPr>
              <w:t>19,506</w:t>
            </w:r>
          </w:p>
        </w:tc>
        <w:tc>
          <w:tcPr>
            <w:tcW w:type="dxa" w:w="1440"/>
            <w:shd w:fill="FFDCE0" w:val="clear"/>
          </w:tcPr>
          <w:p>
            <w:r>
              <w:rPr>
                <w:b/>
                <w:sz w:val="17"/>
              </w:rPr>
              <w:t>21,144</w:t>
            </w:r>
          </w:p>
        </w:tc>
        <w:tc>
          <w:tcPr>
            <w:tcW w:type="dxa" w:w="1440"/>
            <w:shd w:fill="FFDCE0" w:val="clear"/>
          </w:tcPr>
          <w:p>
            <w:r>
              <w:rPr>
                <w:sz w:val="17"/>
              </w:rPr>
              <w:t>22,783</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19,042</w:t>
            </w:r>
          </w:p>
        </w:tc>
        <w:tc>
          <w:tcPr>
            <w:tcW w:type="dxa" w:w="1440"/>
            <w:shd w:fill="FFDCE0" w:val="clear"/>
          </w:tcPr>
          <w:p>
            <w:r>
              <w:rPr>
                <w:b/>
                <w:sz w:val="17"/>
              </w:rPr>
              <w:t>20,913</w:t>
            </w:r>
          </w:p>
        </w:tc>
        <w:tc>
          <w:tcPr>
            <w:tcW w:type="dxa" w:w="1440"/>
            <w:shd w:fill="FFDCE0" w:val="clear"/>
          </w:tcPr>
          <w:p>
            <w:r>
              <w:rPr>
                <w:sz w:val="17"/>
              </w:rPr>
              <w:t>22,785</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18,619</w:t>
            </w:r>
          </w:p>
        </w:tc>
        <w:tc>
          <w:tcPr>
            <w:tcW w:type="dxa" w:w="1440"/>
            <w:shd w:fill="FFDCE0" w:val="clear"/>
          </w:tcPr>
          <w:p>
            <w:r>
              <w:rPr>
                <w:b/>
                <w:sz w:val="17"/>
              </w:rPr>
              <w:t>20,689</w:t>
            </w:r>
          </w:p>
        </w:tc>
        <w:tc>
          <w:tcPr>
            <w:tcW w:type="dxa" w:w="1440"/>
            <w:shd w:fill="FFDCE0" w:val="clear"/>
          </w:tcPr>
          <w:p>
            <w:r>
              <w:rPr>
                <w:sz w:val="17"/>
              </w:rPr>
              <w:t>22,759</w:t>
            </w:r>
          </w:p>
        </w:tc>
        <w:tc>
          <w:tcPr>
            <w:tcW w:type="dxa" w:w="1440"/>
            <w:shd w:fill="FFDCE0" w:val="clear"/>
          </w:tcPr>
          <w:p>
            <w:r>
              <w:rPr>
                <w:b/>
                <w:color w:val="C00000"/>
                <w:sz w:val="17"/>
              </w:rPr>
              <w:t>-6.4%</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18,227</w:t>
            </w:r>
          </w:p>
        </w:tc>
        <w:tc>
          <w:tcPr>
            <w:tcW w:type="dxa" w:w="1440"/>
            <w:shd w:fill="FFDCE0" w:val="clear"/>
          </w:tcPr>
          <w:p>
            <w:r>
              <w:rPr>
                <w:b/>
                <w:sz w:val="17"/>
              </w:rPr>
              <w:t>20,470</w:t>
            </w:r>
          </w:p>
        </w:tc>
        <w:tc>
          <w:tcPr>
            <w:tcW w:type="dxa" w:w="1440"/>
            <w:shd w:fill="FFDCE0" w:val="clear"/>
          </w:tcPr>
          <w:p>
            <w:r>
              <w:rPr>
                <w:sz w:val="17"/>
              </w:rPr>
              <w:t>22,714</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17,858</w:t>
            </w:r>
          </w:p>
        </w:tc>
        <w:tc>
          <w:tcPr>
            <w:tcW w:type="dxa" w:w="1440"/>
            <w:shd w:fill="FFDCE0" w:val="clear"/>
          </w:tcPr>
          <w:p>
            <w:r>
              <w:rPr>
                <w:b/>
                <w:sz w:val="17"/>
              </w:rPr>
              <w:t>20,255</w:t>
            </w:r>
          </w:p>
        </w:tc>
        <w:tc>
          <w:tcPr>
            <w:tcW w:type="dxa" w:w="1440"/>
            <w:shd w:fill="FFDCE0" w:val="clear"/>
          </w:tcPr>
          <w:p>
            <w:r>
              <w:rPr>
                <w:sz w:val="17"/>
              </w:rPr>
              <w:t>22,653</w:t>
            </w:r>
          </w:p>
        </w:tc>
        <w:tc>
          <w:tcPr>
            <w:tcW w:type="dxa" w:w="1440"/>
            <w:shd w:fill="FFDCE0" w:val="clear"/>
          </w:tcPr>
          <w:p>
            <w:r>
              <w:rPr>
                <w:b/>
                <w:color w:val="C00000"/>
                <w:sz w:val="17"/>
              </w:rPr>
              <w:t>-8.3%</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17,507</w:t>
            </w:r>
          </w:p>
        </w:tc>
        <w:tc>
          <w:tcPr>
            <w:tcW w:type="dxa" w:w="1440"/>
            <w:shd w:fill="FFDCE0" w:val="clear"/>
          </w:tcPr>
          <w:p>
            <w:r>
              <w:rPr>
                <w:b/>
                <w:sz w:val="17"/>
              </w:rPr>
              <w:t>20,044</w:t>
            </w:r>
          </w:p>
        </w:tc>
        <w:tc>
          <w:tcPr>
            <w:tcW w:type="dxa" w:w="1440"/>
            <w:shd w:fill="FFDCE0" w:val="clear"/>
          </w:tcPr>
          <w:p>
            <w:r>
              <w:rPr>
                <w:sz w:val="17"/>
              </w:rPr>
              <w:t>22,581</w:t>
            </w:r>
          </w:p>
        </w:tc>
        <w:tc>
          <w:tcPr>
            <w:tcW w:type="dxa" w:w="1440"/>
            <w:shd w:fill="FFDCE0" w:val="clear"/>
          </w:tcPr>
          <w:p>
            <w:r>
              <w:rPr>
                <w:b/>
                <w:color w:val="C00000"/>
                <w:sz w:val="17"/>
              </w:rPr>
              <w:t>-9.3%</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17,173</w:t>
            </w:r>
          </w:p>
        </w:tc>
        <w:tc>
          <w:tcPr>
            <w:tcW w:type="dxa" w:w="1440"/>
            <w:shd w:fill="FFDCE0" w:val="clear"/>
          </w:tcPr>
          <w:p>
            <w:r>
              <w:rPr>
                <w:b/>
                <w:sz w:val="17"/>
              </w:rPr>
              <w:t>19,836</w:t>
            </w:r>
          </w:p>
        </w:tc>
        <w:tc>
          <w:tcPr>
            <w:tcW w:type="dxa" w:w="1440"/>
            <w:shd w:fill="FFDCE0" w:val="clear"/>
          </w:tcPr>
          <w:p>
            <w:r>
              <w:rPr>
                <w:sz w:val="17"/>
              </w:rPr>
              <w:t>22,498</w:t>
            </w:r>
          </w:p>
        </w:tc>
        <w:tc>
          <w:tcPr>
            <w:tcW w:type="dxa" w:w="1440"/>
            <w:shd w:fill="FFDCE0" w:val="clear"/>
          </w:tcPr>
          <w:p>
            <w:r>
              <w:rPr>
                <w:b/>
                <w:color w:val="C00000"/>
                <w:sz w:val="17"/>
              </w:rPr>
              <w:t>-10.2%</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16,852</w:t>
            </w:r>
          </w:p>
        </w:tc>
        <w:tc>
          <w:tcPr>
            <w:tcW w:type="dxa" w:w="1440"/>
            <w:shd w:fill="FFDCE0" w:val="clear"/>
          </w:tcPr>
          <w:p>
            <w:r>
              <w:rPr>
                <w:b/>
                <w:sz w:val="17"/>
              </w:rPr>
              <w:t>19,630</w:t>
            </w:r>
          </w:p>
        </w:tc>
        <w:tc>
          <w:tcPr>
            <w:tcW w:type="dxa" w:w="1440"/>
            <w:shd w:fill="FFDCE0" w:val="clear"/>
          </w:tcPr>
          <w:p>
            <w:r>
              <w:rPr>
                <w:sz w:val="17"/>
              </w:rPr>
              <w:t>22,407</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546,63 milliards FCFA, NSBC s'impose comme l'une des valeurs bancaires les plus capitalisées de la BRVM, ce qui témoigne de sa position de leader sur le marché ivoirien et de la confiance des investisseurs régionaux. Le BPA de 1 646 FCFA par action signifie que chaque titre génère près de 1 650 FCFA de bénéfice net, un niveau élevé qui reflète la forte rentabilité de la banque. Le PER de 13,4x se situe légèrement au-dessus de la moyenne du secteur bancaire BRVM (généralement 8-12x), indiquant que le marché accorde une prime modérée à NSBC pour sa croissance supérieure à la moyenne, sans pour autant tomber dans une surévaluation excessive. Le P/B de 2,34x montre que le marché valorise l'action à plus du double de sa valeur comptable, une prime de croissance justifiée par un ROE de 17,45% nettement supérieur au coût des fonds propres. En revanche, l'EV/EBITDA de 21,0x apparaît très exigeant (seuil d'alerte &gt;15x), ce qui suggère que la valeur intègre déjà une part importante des anticipations de croissance future et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+59,57%, avec une dernière séance en hausse de +0,45%, confirmant la dynamique haussière en cours. Le titre évolue actuellement à 22 100 FCFA, après avoir touché un plus haut de 24 885 FCFA et un plus bas de 13 810 FCFA, soit un range de trading de 11 075 FCFA (80% d'amplitude), illustrant une forte volatilité directionnelle. La moyenne de 21 233 FCFA est légèrement inférieure à la médiane de 22 000 FCFA, tandis que le mode se situe à 23 000 FCFA : cet écart entre moyenne et médiane, combiné à un skewness négatif de -0,864, indique une asymétrie avec davantage de séances passées au-dessus de la moyenne, mais quelques journées de forte baisse qui tirent la moyenne vers le bas. L'écart-type de 2 591 FCFA (CV de 12,2%) traduit une dispersion modérée autour de la moyenne, tandis que le kurtosis de 0,259 (mésokurtique) suggère une distribution proche de la normale, sans risque excessif de pics extrêmes. La volatilité annualisée de 41,5% classe ce titre dans la catégorie des valeurs à volatilité élevée (&gt;30%), ce qui implique un potentiel de gain attractif mais aussi un risque de correction significatif, particulièrement après une hausse de près de 60% en trois mois.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(23 257,25 FCFA) et la MM50 (23 217,80 FCFA) sont quasi confondues et toutes deux supérieures au cours actuel de 22 100 FCFA, ce qui place le titre en position de repli sous ses moyennes court et moyen terme. Cette configuration, bien que classée "Achat" par le système (probablement en raison du croisement haussier antérieur), suggère une consolidation en cours après le rallye, avec un support potentiel autour de 23 200 FCFA qui doit être reconquis pour confirmer la reprise.</w:t>
      </w:r>
    </w:p>
    <w:p>
      <w:pPr>
        <w:spacing w:after="120" w:line="276" w:lineRule="auto"/>
      </w:pPr>
      <w:r>
        <w:t>**Bandes de Bollinger** : Le cours (22 100 FCFA) se situe dans la partie basse de la bande, entre la borne inférieure (20 604 FCFA) et la borne supérieure (25 910 FCFA), avec une décision "Neutre". L'écart important entre les bornes (5 306 FCFA) reflète la volatilité élevée récente, et la position du cours sous la moyenne mobile des bandes indique une pression vendeuse à court terme, sans signal de survente extrême.</w:t>
      </w:r>
    </w:p>
    <w:p>
      <w:pPr>
        <w:spacing w:after="120" w:line="276" w:lineRule="auto"/>
      </w:pPr>
      <w:r>
        <w:t>**MACD** : La valeur du MACD (-409,746) est nettement inférieure à son signal (-214,012), avec une décision "Vente". Cette divergence négative persistante indique un momentum baissier en cours, le MACD ayant plongé en territoire négatif après avoir culminé lors du rallye. Tant que le MACD ne se redresse pas au-dessus de son signal, la pression baissière à court terme devrait perdurer.</w:t>
      </w:r>
    </w:p>
    <w:p>
      <w:pPr>
        <w:spacing w:after="120" w:line="276" w:lineRule="auto"/>
      </w:pPr>
      <w:r>
        <w:t>**RSI** : À 35,577, le RSI se situe dans la zone neutre basse (30-70), proche du seuil de survente (30) mais sans y être encore. La décision "Neutre" reflète cette position ambiguë : le titre n'est pas encore survendu, mais la faiblesse relative du RSI suggère que la correction pourrait se poursuivre avant un rebond technique.</w:t>
      </w:r>
    </w:p>
    <w:p>
      <w:pPr>
        <w:spacing w:after="120" w:line="276" w:lineRule="auto"/>
      </w:pPr>
      <w:r>
        <w:t>**Stochastique** : Le %K (34,824) est supérieur au %D (28,5), avec une décision "Neutre". Ce léger croisement haussier du %K au-dessus du %D, bien que dans une zone basse, pourrait annoncer un début de stabilisation, mais la faiblesse des deux indicateurs (proches de 30) confirme que le titre reste sous pression baissière.</w:t>
      </w:r>
    </w:p>
    <w:p>
      <w:pPr>
        <w:spacing w:after="120" w:line="276" w:lineRule="auto"/>
      </w:pPr>
      <w:r>
        <w:t>**Conclusion technique** : Les indicateurs techniques présentent un tableau mitigé à baissier à court terme. Le MACD est clairement vendeur, le cours évolue sous ses moyennes mobiles, et le RSI/stochastique, bien que neutres, peinent à générer un signal d'achat convaincant. Seule la position dans les bandes de Bollinger (proche de la borne inférieure) et le léger croisement du stochastique offrent un espoir de rebond technique, mais la convergence des signaux suggère une consolidation voire une correction avant une reprise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NSIA Banque CI affiche un Produit Net Bancaire (PNB) de 112,928 milliards FCFA, en croissance de 15,45% par rapport à 2024, porté par une marge d'intérêt en hausse de 26% et une bonne dynamique commerciale. Le résultat net s'établit à 40,712 milliards FCFA, avec une marge nette de 36,05% et un ROE de 17,45%, confirmant la rentabilité élevée de la banque. Le coefficient d'exploitation de 54,59% (inférieur au seuil de 60%) témoigne d'une bonne efficacité opérationnelle, tandis que le coût du risque de 7,54% (provisions/charges financières) reste modéré mais en dégradation par rapport à 2024 (où il était positif). Le total bilan atteint 3 073,062 milliards FCFA, avec des dépôts clientèle de 2 242,218 milliards FCFA et des créances clientèle de 1 818,671 milliards FCFA, soit un ratio dépôts/crédits de 123%, indiquant une surliquidité confortable. Les capitaux propres de 233,303 milliards FCFA et l'autonomie financière de 7,59% (faible mais normale pour une banque) complètent ce tableau.</w:t>
      </w:r>
    </w:p>
    <w:p>
      <w:pPr>
        <w:spacing w:after="120" w:line="276" w:lineRule="auto"/>
      </w:pPr>
      <w:r>
        <w:t>**Estimations basées sur les rapports trimestriels** : Le rapport du T1 2026 (publié le 31/03/2026, analysé le 01/05/2026) révèle une accélération spectaculaire : PNB de 28,615 milliards FCFA (+28% sur un an) et résultat net de 10,912 milliards FCFA (+53%), avec une marge nette de 38,1%. Cette performance, tirée par l'activité titres et la maîtrise du coût du risque, suggère que l'exercice 2026 devrait largement dépasser les résultats de 2025. Si cette dynamique se poursuit, on peut estimer un PNB annuel 2026 autour de 125-130 milliards FCFA et un résultat net de 45-48 milliards FCFA, soit une croissance de 10-18% par rapport à 2025. Le rapport annuel 2025 (publié le 31/12/2025, analysé le 13/05/2026) confirme la solidité du modèle, mais souligne la forte hausse du coût du risque (-8,5 milliards FCFA contre +0,6 milliard en 2024), un point de vigilance majeur. Les rapports antérieurs (T3 2025, S1 2025, T1 2025) montrent une trajectoire de croissance régulière, avec un PNB en hausse de 7% à 15% et un résultat net en progression de 6% à 12% sur les périodes cumulées.</w:t>
      </w:r>
    </w:p>
    <w:p>
      <w:pPr>
        <w:spacing w:after="120" w:line="276" w:lineRule="auto"/>
      </w:pPr>
      <w:r>
        <w:t>**Recommandation fondamentale** : NSBC présente des fondamentaux solides avec une croissance robuste, une rentabilité élevée (ROE &gt;17%) et une efficacité opérationnelle en amélioration. Cependant, la dégradation du coût du risque en 2025 et la concentration de la performance du T1 2026 sur l'activité titres (potentiellement volatile) constituent des risques à surveiller. La valorisation (PER 13,4x, P/B 2,34x) intègre déjà une prime de croissance, mais le potentiel de progression des bénéfices en 2026 pourrait justifier le niveau actuel. Recommandation fondamentale : **CONSERVER** avec un biais positif, en attendant la confirmation de la tendance au T2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**Valorisation (Partie 0)** : Le PER de 13,4x et le P/B de 2,34x indiquent une valorisation modérément exigeante, avec une prime de croissance justifiée par le ROE élevé, mais l'EV/EBITDA de 21,0x laisse peu de marge d'erreur. **Comportement du cours (Partie 1)** : La hausse de +59,57% sur 100 jours est impressionnante mais s'accompagne d'une volatilité élevée (41,5%) et d'un skewness négatif, suggérant que le titre pourrait être en phase de consolidation après un rallye excessif. **Signaux techniques (Partie 2)** : Les indicateurs sont majoritairement baissiers à court terme (MACD vendeur, cours sous les MM, RSI faible), avec un potentiel rebond technique limité. **Fondamentaux (Partie 3)** : La banque affiche une santé financière robuste (PNB +15,45%, ROE 17,45%, coefficient d'exploitation 54,59%) et des perspectives 2026 très favorables (T1 2026 : résultat net +53%), mais le coût du risque en hausse et la dépendance à l'activité titres sont des points de vigilance. **Prédictions IA (J+1 à J+10)** : La trajectoire prédite (21 669 → 20 689 FCFA) confirme la tendance baissière à court terme, avec une correction attendue de -6,4% sur 10 jours, en ligne avec les signaux techniques.</w:t>
      </w:r>
    </w:p>
    <w:p>
      <w:pPr>
        <w:spacing w:after="120" w:line="276" w:lineRule="auto"/>
      </w:pPr>
      <w:r>
        <w:t>**Recommandation finale : CONSERVER** — Les fondamentaux solides et les perspectives de croissance à moyen terme justifient de maintenir la position, mais la correction technique en cours et la valorisation exigeante incitent à la prudence pour les nouveaux entrants. La convergence entre les signaux techniques baissiers et les prédictions IA négatives suggère d'attendre un point d'entrée plus favorable (autour de 20 500-21 000 FCFA) avant de renforcer. **Niveau de confiance : Moyen** (les fondamentaux sont solides mais la volatilité et la correction en cours créent de l'incertitude à court terme). **Niveau de risque global : Moyen à Élevé** (volatilité de 41,5%, valorisation tendue, coût du risque en hausse). **Horizon d'investissement optimal : Moyen terme (3-12 mois)** — le temps que la correction technique s'achève et que les résultats du T2 2026 confirment la dynamique exceptionnelle du T1.</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341.87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1,296 titres</w:t>
            </w:r>
          </w:p>
        </w:tc>
        <w:tc>
          <w:tcPr>
            <w:tcW w:type="dxa" w:w="2268"/>
            <w:shd w:fill="FFF2CC" w:val="clear"/>
          </w:tcPr>
          <w:p>
            <w:r>
              <w:rPr>
                <w:b/>
                <w:color w:val="503200"/>
                <w:sz w:val="16"/>
              </w:rPr>
              <w:t xml:space="preserve">Cours actuel : </w:t>
            </w:r>
            <w:r>
              <w:rPr>
                <w:color w:val="000000"/>
                <w:sz w:val="17"/>
              </w:rPr>
              <w:t>15,490 FCFA</w:t>
            </w:r>
          </w:p>
          <w:p>
            <w:r>
              <w:rPr>
                <w:b/>
                <w:color w:val="503200"/>
                <w:sz w:val="16"/>
              </w:rPr>
              <w:t xml:space="preserve">Var. 100 jours : </w:t>
            </w:r>
            <w:r>
              <w:rPr>
                <w:b/>
                <w:color w:val="007800"/>
                <w:sz w:val="17"/>
              </w:rPr>
              <w:t>+38.92%</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36.9%</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10.46% (Moyenne) — μ=15,453 FCFA, σ=1,616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β=0.4354 (Défensif) — Cov=0.000031, Var(idx)=0.000072, ρ=0.159,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2026-10-06</w:t>
            </w:r>
          </w:p>
        </w:tc>
        <w:tc>
          <w:tcPr>
            <w:tcW w:type="dxa" w:w="1440"/>
            <w:shd w:fill="FFDCE0" w:val="clear"/>
          </w:tcPr>
          <w:p>
            <w:r>
              <w:rPr>
                <w:sz w:val="17"/>
              </w:rPr>
              <w:t>14,423</w:t>
            </w:r>
          </w:p>
        </w:tc>
        <w:tc>
          <w:tcPr>
            <w:tcW w:type="dxa" w:w="1440"/>
            <w:shd w:fill="FFDCE0" w:val="clear"/>
          </w:tcPr>
          <w:p>
            <w:r>
              <w:rPr>
                <w:b/>
                <w:sz w:val="17"/>
              </w:rPr>
              <w:t>15,177</w:t>
            </w:r>
          </w:p>
        </w:tc>
        <w:tc>
          <w:tcPr>
            <w:tcW w:type="dxa" w:w="1440"/>
            <w:shd w:fill="FFDCE0" w:val="clear"/>
          </w:tcPr>
          <w:p>
            <w:r>
              <w:rPr>
                <w:sz w:val="17"/>
              </w:rPr>
              <w:t>15,932</w:t>
            </w:r>
          </w:p>
        </w:tc>
        <w:tc>
          <w:tcPr>
            <w:tcW w:type="dxa" w:w="1440"/>
            <w:shd w:fill="FFDCE0" w:val="clear"/>
          </w:tcPr>
          <w:p>
            <w:r>
              <w:rPr>
                <w:b/>
                <w:color w:val="C00000"/>
                <w:sz w:val="17"/>
              </w:rPr>
              <w:t>-2.0%</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14,125</w:t>
            </w:r>
          </w:p>
        </w:tc>
        <w:tc>
          <w:tcPr>
            <w:tcW w:type="dxa" w:w="1440"/>
            <w:shd w:fill="FAFAFA" w:val="clear"/>
          </w:tcPr>
          <w:p>
            <w:r>
              <w:rPr>
                <w:b/>
                <w:sz w:val="17"/>
              </w:rPr>
              <w:t>15,193</w:t>
            </w:r>
          </w:p>
        </w:tc>
        <w:tc>
          <w:tcPr>
            <w:tcW w:type="dxa" w:w="1440"/>
            <w:shd w:fill="FAFAFA" w:val="clear"/>
          </w:tcPr>
          <w:p>
            <w:r>
              <w:rPr>
                <w:sz w:val="17"/>
              </w:rPr>
              <w:t>16,260</w:t>
            </w:r>
          </w:p>
        </w:tc>
        <w:tc>
          <w:tcPr>
            <w:tcW w:type="dxa" w:w="1440"/>
            <w:shd w:fill="FAFAFA" w:val="clear"/>
          </w:tcPr>
          <w:p>
            <w:r>
              <w:rPr>
                <w:b/>
                <w:color w:val="C00000"/>
                <w:sz w:val="17"/>
              </w:rPr>
              <w:t>-1.9%</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13,886</w:t>
            </w:r>
          </w:p>
        </w:tc>
        <w:tc>
          <w:tcPr>
            <w:tcW w:type="dxa" w:w="1440"/>
            <w:shd w:fill="FAFAFA" w:val="clear"/>
          </w:tcPr>
          <w:p>
            <w:r>
              <w:rPr>
                <w:b/>
                <w:sz w:val="17"/>
              </w:rPr>
              <w:t>15,194</w:t>
            </w:r>
          </w:p>
        </w:tc>
        <w:tc>
          <w:tcPr>
            <w:tcW w:type="dxa" w:w="1440"/>
            <w:shd w:fill="FAFAFA" w:val="clear"/>
          </w:tcPr>
          <w:p>
            <w:r>
              <w:rPr>
                <w:sz w:val="17"/>
              </w:rPr>
              <w:t>16,501</w:t>
            </w:r>
          </w:p>
        </w:tc>
        <w:tc>
          <w:tcPr>
            <w:tcW w:type="dxa" w:w="1440"/>
            <w:shd w:fill="FAFAFA" w:val="clear"/>
          </w:tcPr>
          <w:p>
            <w:r>
              <w:rPr>
                <w:b/>
                <w:color w:val="C00000"/>
                <w:sz w:val="17"/>
              </w:rPr>
              <w:t>-1.9%</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13,680</w:t>
            </w:r>
          </w:p>
        </w:tc>
        <w:tc>
          <w:tcPr>
            <w:tcW w:type="dxa" w:w="1440"/>
            <w:shd w:fill="FAFAFA" w:val="clear"/>
          </w:tcPr>
          <w:p>
            <w:r>
              <w:rPr>
                <w:b/>
                <w:sz w:val="17"/>
              </w:rPr>
              <w:t>15,190</w:t>
            </w:r>
          </w:p>
        </w:tc>
        <w:tc>
          <w:tcPr>
            <w:tcW w:type="dxa" w:w="1440"/>
            <w:shd w:fill="FAFAFA" w:val="clear"/>
          </w:tcPr>
          <w:p>
            <w:r>
              <w:rPr>
                <w:sz w:val="17"/>
              </w:rPr>
              <w:t>16,699</w:t>
            </w:r>
          </w:p>
        </w:tc>
        <w:tc>
          <w:tcPr>
            <w:tcW w:type="dxa" w:w="1440"/>
            <w:shd w:fill="FAFAFA" w:val="clear"/>
          </w:tcPr>
          <w:p>
            <w:r>
              <w:rPr>
                <w:b/>
                <w:color w:val="C00000"/>
                <w:sz w:val="17"/>
              </w:rPr>
              <w:t>-1.9%</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13,497</w:t>
            </w:r>
          </w:p>
        </w:tc>
        <w:tc>
          <w:tcPr>
            <w:tcW w:type="dxa" w:w="1440"/>
            <w:shd w:fill="FAFAFA" w:val="clear"/>
          </w:tcPr>
          <w:p>
            <w:r>
              <w:rPr>
                <w:b/>
                <w:sz w:val="17"/>
              </w:rPr>
              <w:t>15,184</w:t>
            </w:r>
          </w:p>
        </w:tc>
        <w:tc>
          <w:tcPr>
            <w:tcW w:type="dxa" w:w="1440"/>
            <w:shd w:fill="FAFAFA" w:val="clear"/>
          </w:tcPr>
          <w:p>
            <w:r>
              <w:rPr>
                <w:sz w:val="17"/>
              </w:rPr>
              <w:t>16,871</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13,331</w:t>
            </w:r>
          </w:p>
        </w:tc>
        <w:tc>
          <w:tcPr>
            <w:tcW w:type="dxa" w:w="1440"/>
            <w:shd w:fill="FFDCE0" w:val="clear"/>
          </w:tcPr>
          <w:p>
            <w:r>
              <w:rPr>
                <w:b/>
                <w:sz w:val="17"/>
              </w:rPr>
              <w:t>15,179</w:t>
            </w:r>
          </w:p>
        </w:tc>
        <w:tc>
          <w:tcPr>
            <w:tcW w:type="dxa" w:w="1440"/>
            <w:shd w:fill="FFDCE0" w:val="clear"/>
          </w:tcPr>
          <w:p>
            <w:r>
              <w:rPr>
                <w:sz w:val="17"/>
              </w:rPr>
              <w:t>17,026</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13,179</w:t>
            </w:r>
          </w:p>
        </w:tc>
        <w:tc>
          <w:tcPr>
            <w:tcW w:type="dxa" w:w="1440"/>
            <w:shd w:fill="FFDCE0" w:val="clear"/>
          </w:tcPr>
          <w:p>
            <w:r>
              <w:rPr>
                <w:b/>
                <w:sz w:val="17"/>
              </w:rPr>
              <w:t>15,174</w:t>
            </w:r>
          </w:p>
        </w:tc>
        <w:tc>
          <w:tcPr>
            <w:tcW w:type="dxa" w:w="1440"/>
            <w:shd w:fill="FFDCE0" w:val="clear"/>
          </w:tcPr>
          <w:p>
            <w:r>
              <w:rPr>
                <w:sz w:val="17"/>
              </w:rPr>
              <w:t>17,168</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13,037</w:t>
            </w:r>
          </w:p>
        </w:tc>
        <w:tc>
          <w:tcPr>
            <w:tcW w:type="dxa" w:w="1440"/>
            <w:shd w:fill="FFDCE0" w:val="clear"/>
          </w:tcPr>
          <w:p>
            <w:r>
              <w:rPr>
                <w:b/>
                <w:sz w:val="17"/>
              </w:rPr>
              <w:t>15,169</w:t>
            </w:r>
          </w:p>
        </w:tc>
        <w:tc>
          <w:tcPr>
            <w:tcW w:type="dxa" w:w="1440"/>
            <w:shd w:fill="FFDCE0" w:val="clear"/>
          </w:tcPr>
          <w:p>
            <w:r>
              <w:rPr>
                <w:sz w:val="17"/>
              </w:rPr>
              <w:t>17,301</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12,903</w:t>
            </w:r>
          </w:p>
        </w:tc>
        <w:tc>
          <w:tcPr>
            <w:tcW w:type="dxa" w:w="1440"/>
            <w:shd w:fill="FFDCE0" w:val="clear"/>
          </w:tcPr>
          <w:p>
            <w:r>
              <w:rPr>
                <w:b/>
                <w:sz w:val="17"/>
              </w:rPr>
              <w:t>15,164</w:t>
            </w:r>
          </w:p>
        </w:tc>
        <w:tc>
          <w:tcPr>
            <w:tcW w:type="dxa" w:w="1440"/>
            <w:shd w:fill="FFDCE0" w:val="clear"/>
          </w:tcPr>
          <w:p>
            <w:r>
              <w:rPr>
                <w:sz w:val="17"/>
              </w:rPr>
              <w:t>17,424</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12,777</w:t>
            </w:r>
          </w:p>
        </w:tc>
        <w:tc>
          <w:tcPr>
            <w:tcW w:type="dxa" w:w="1440"/>
            <w:shd w:fill="FFDCE0" w:val="clear"/>
          </w:tcPr>
          <w:p>
            <w:r>
              <w:rPr>
                <w:b/>
                <w:sz w:val="17"/>
              </w:rPr>
              <w:t>15,159</w:t>
            </w:r>
          </w:p>
        </w:tc>
        <w:tc>
          <w:tcPr>
            <w:tcW w:type="dxa" w:w="1440"/>
            <w:shd w:fill="FFDCE0" w:val="clear"/>
          </w:tcPr>
          <w:p>
            <w:r>
              <w:rPr>
                <w:sz w:val="17"/>
              </w:rPr>
              <w:t>17,541</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Biens de Consommation**</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341,87 milliards FCFA, NTLC figure parmi les valeurs les plus capitalisées de la BRVM, ce qui en fait un pilier de l'indice BRVM Composite et un titre de référence pour les investisseurs institutionnels. Le BPA de 835 FCFA/action signifie que chaque titre génère près de 835 FCFA de bénéfice net, un niveau élevé qui traduit la forte rentabilité de l'entreprise. Le PER de 18,6x se situe nettement au-dessus de la moyenne du marché BRVM (estimée entre 8 et 12x), ce qui indique que les investisseurs acceptent de payer une prime significative pour cette valeur de qualité — la valorisation n'est donc pas bon marché, mais elle se justifie par la solidité des fondamentaux. Le P/B de 11,55x, très supérieur au seuil de 4x, confirme cette prime exigeante : le marché valorise l'entreprise à plus de onze fois sa valeur comptable, ce qui reflète davantage la puissance de ses marques et sa rentabilité exceptionnelle (ROE de 62,28%) que ses actifs tangibles. Enfin, l'EV/EBITDA de 9,3x, dans la fourchette raisonnable de 5-10x, montre que la valeur totale de l'entreprise (dette incluse) reste cohérente avec sa capacité opérationnelle à générer de l'EBE (46,17 milliards FCFA en 2025), offrant un contrepoids rassurant à la cherté apparente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progression remarquable de +38,92%, avec une dernière séance en hausse de +3,96%, portant le cours à 15 490 FCFA. Le range de trading est particulièrement large, avec un plus haut à 18 000 FCFA et un plus bas à 11 150 FCFA, soit une amplitude de près de 6 850 FCFA (61% du plus bas), ce qui témoigne d'une forte volatilité intra-période malgré un volume moyen quotidien modeste de 1 296 titres. La tendance générale est donc nettement haussière sur la période, mais le cours actuel se situe à 14% sous son plus haut, suggérant une phase de correction ou de consolidation après le rallye. Les statistiques descriptives révèlent une moyenne de 15 453 FCFA légèrement inférieure à la médiane de 15 995 FCFA, avec un mode à 16 900 FCFA : cet écart indique une distribution asymétrique où les valeurs extrêmes basses tirent la moyenne vers le bas, tandis que la majorité des séances se sont négociées au-dessus de 16 000 FCFA. L'écart-type de 1 624 FCFA (CV de 10,5%) traduit une dispersion modérée du cours autour de sa moyenne, et le kurtosis de 0,085 (mésokurtique) suggère une distribution proche de la normale, sans risque excessif de pics extrêmes. En revanche, le skewness de -1,018 (asymétrie négative) confirme que le titre a passé plus de journées au-dessus de sa moyenne, avec des corrections ponctuelles plus marquées à la baisse. Enfin, la volatilité annualisée de 36,9% classe NTLC dans la catégorie des titres à volatilité élevée (&gt;30%), ce qui implique un risque de prix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15 946,75 FCFA et la MM50 à 16 447,30 FCFA, toutes deux supérieures au cours actuel de 15 490 FCFA. Cette configuration — cours sous ses deux moyennes mobiles, avec la MM20 elle-même sous la MM50 — est typique d'une tendance baissière de court terme et justifie pleinement la décision technique de **Vente**. Le croisement baissier (MM20 &lt; MM50) confirme la perte de momentum haussier.</w:t>
      </w:r>
    </w:p>
    <w:p>
      <w:pPr>
        <w:spacing w:after="120" w:line="276" w:lineRule="auto"/>
      </w:pPr>
      <w:r>
        <w:t>**Bandes de Bollinger** : La borne supérieure se situe à 17 848,63 FCFA et la borne inférieure à 14 044,87 FCFA, encadrant un cours actuel de 15 490 FCFA. Le titre évolue donc dans la moitié inférieure de la bande, sans atteindre la zone de survente extrême, ce qui explique la décision **Neutre**. L'écart entre les bornes (3 803,77 FCFA) reflète une volatilité encore présente mais en voie de compression, le cours se rapprochant de la bande inférieure sans la toucher.</w:t>
      </w:r>
    </w:p>
    <w:p>
      <w:pPr>
        <w:spacing w:after="120" w:line="276" w:lineRule="auto"/>
      </w:pPr>
      <w:r>
        <w:t>**MACD** : La valeur du MACD (-423,578) est inférieure à son signal (-372,881), avec un histogramme négatif. Cette divergence baissière indique que le momentum reste négatif et que la pression vendeuse persiste, justifiant la décision **Vente**. Aucun signe de retournement haussier (croisement positif) n'est encore visible.</w:t>
      </w:r>
    </w:p>
    <w:p>
      <w:pPr>
        <w:spacing w:after="120" w:line="276" w:lineRule="auto"/>
      </w:pPr>
      <w:r>
        <w:t>**RSI** : À 33,941, le RSI se situe dans la zone neutre basse (30-70), sans atteindre le seuil de survente (&lt;30). La décision **Neutre** est appropriée : le titre n'est ni suracheté ni survendu, mais la proximité du seuil de 30 suggère une faiblesse relative qui pourrait précéder un rebond technique si le seuil est testé.</w:t>
      </w:r>
    </w:p>
    <w:p>
      <w:pPr>
        <w:spacing w:after="120" w:line="276" w:lineRule="auto"/>
      </w:pPr>
      <w:r>
        <w:t>**Stochastique** : Le %K (49,5) est supérieur au %D (29,0), avec un croisement haussier en formation. Cette configuration indique que le momentum de court terme pourrait se retourner à la hausse, ce qui justifie la décision **Neutre**. Le %D en zone basse (29,0) suggère que le titre sort progressivement d'une phase de survente.</w:t>
      </w:r>
    </w:p>
    <w:p>
      <w:pPr>
        <w:spacing w:after="120" w:line="276" w:lineRule="auto"/>
      </w:pPr>
      <w:r>
        <w:t>**Conclusion technique** : Les indicateurs techniques présentent un tableau mitigé, avec une majorité de signaux baissiers (MM, MACD) mais des signes de stabilisation (Bollinger, RSI, Stochastique). Le titre se situe dans une phase de correction au sein d'une tendance haussière de long terme, et la convergence du RSI proche de 30 avec le croisement haussier du stochastique suggère qu'un rebond technique pourrait se produire à court terme, sans toutefois invalider la pression baissière actuelle.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Nestlé Côte d'Ivoire a réalisé un chiffre d'affaires de 233,261 milliards FCFA, en croissance de 5,97% par rapport à 2024, avec un résultat net de 18,427 milliards FCFA (marge nette de 7,90%). Le ROE s'établit à 62,28%, un niveau exceptionnel qui témoigne d'une rentabilité des fonds propres très élevée, tandis que le ROA de 9,70% reflète une bonne efficacité dans l'utilisation des actifs. La structure financière présente des points de vigilance : l'autonomie financière n'est que de 15,58% (capitaux propres/total bilan), bien en dessous du seuil sain de 30%, et le ratio d'endettement de 135,85% (dettes totales/capitaux propres) indique une dépendance importante à la dette. Le BFR de 22,625 milliards FCFA et le fonds de roulement négatif (-24,206 milliards FCFA) traduisent un besoin de financement du cycle d'exploitation, avec une trésorerie nette de -46,831 milliards FCFA. Les délais d'exploitation sont élevés : 74,30 jours pour les clients et 59,39 jours pour le stockage, ce qui immobilise du capital et accroît le risque de trésorerie. La couverture des intérêts reste confortable à 473,63%, mais le coût du risque (3,41%) et la liquidité générale (79,86%) incitent à la prudence.</w:t>
      </w:r>
    </w:p>
    <w:p>
      <w:pPr>
        <w:spacing w:after="120" w:line="276" w:lineRule="auto"/>
      </w:pPr>
      <w:r>
        <w:t>**Estimations basées sur les rapports trimestriels** : Le rapport du T1 2026 (publié le 31 mars 2026, analysé par DeepSeek le 1er mai 2026) révèle une accélération spectaculaire de l'activité, avec un chiffre d'affaires de 70,822 milliards FCFA en hausse de +31% sur un an et un résultat net de 7,526 milliards FCFA en progression de +37%. La marge nette s'améliore à 10,6% (contre 10,1% au T1 2025), et le résultat des activités ordinaires progresse de +15% à 10,87 milliards FCFA. Sur la base de ce rapport, on peut estimer que l'exercice 2026 devrait afficher une croissance du chiffre d'affaires supérieure à 15% (si la dynamique se maintient), avec un résultat net potentiellement supérieur à 21 milliards FCFA, soit un BPA estimé autour de 950-1 000 FCFA. Le rapport annuel 2025 (publié le 31 décembre 2025, analysé par DeepSeek) confirme la solidité du modèle, mais souligne la compression des marges due à la hausse des charges externes et fiscales, ainsi que la réduction du dividende (9,27 milliards FCFA proposés, soit un payout de 50,3% contre 99,7% en 2024), signalant une stratégie de réinvestissement. Le rapport du T3 2025 (30 septembre 2025) montrait déjà une érosion de la rentabilité (marge nette de 6,9% sur 9 mois), mais le T1 2026 marque un net redressement. La recommandation fondamentale est **CONSERVER** avec un biais positif : la solidité de la marque, la croissance retrouvée et la capacité d'investissement (9,22 milliards FCFA mis en réserve) sont des atouts, mais l'endettement élevé et la dépendance aux matières premières restent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NTLC (Partie 0) apparaît exigeante avec un PER de 18,6x et un P/B de 11,55x, nettement supérieurs aux moyennes du marché BRVM, ce qui suggère que le titre intègre déjà une prime de qualité et une anticipation de croissance. Le comportement du cours (Partie 1) montre une tendance haussière de long terme (+38,92% sur 100 jours) mais une correction récente, avec une volatilité élevée (36,9%) et une asymétrie négative (skewness de -1,018) qui indique que les baisses sont plus brutales que les hausses. Les signaux techniques (Partie 2) sont majoritairement baissiers à court terme (MM, MACD), mais le RSI proche de 30 et le croisement haussier du stochastique suggèrent qu'un rebond technique est possible. Les fondamentaux (Partie 3) restent solides : croissance du CA de 5,97% en 2025, ROE exceptionnel de 62,28%, et surtout une accélération spectaculaire au T1 2026 (+31% de CA, +37% de résultat net) qui pourrait tirer la valorisation vers le haut. Les prédictions IA (J+1 à J+10) anticipent une stabilisation autour de 15 180-15 190 FCFA, en légère baisse par rapport au cours actuel (15 490 FCFA), ce qui confirme la pression baissière de court terme mais sans effondrement. **Recommandation finale : CONSERVER**, avec un niveau de confiance **Moyen** et un risque global **Moyen**. La convergence entre une valorisation tendue, des signaux techniques baissiers à court terme et des fondamentaux en nette amélioration plaide pour une position d'attente : les investisseurs déjà présents peuvent conserver leurs titres pour capter la revalorisation liée à la croissance du T1 2026, tandis que les nouveaux entrants devraient attendre une correction plus prononcée (vers 14 500-15 000 FCFA) pour se positionner. L'horizon d'investissement optimal est le **moyen terme (3-12 mois)**, le temps que la dynamique du T1 2026 se confirme et que les indicateurs techniques se retournent à la hausse.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200.60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5,540 titres</w:t>
            </w:r>
          </w:p>
        </w:tc>
        <w:tc>
          <w:tcPr>
            <w:tcW w:type="dxa" w:w="2268"/>
            <w:shd w:fill="FFF2CC" w:val="clear"/>
          </w:tcPr>
          <w:p>
            <w:r>
              <w:rPr>
                <w:b/>
                <w:color w:val="503200"/>
                <w:sz w:val="16"/>
              </w:rPr>
              <w:t xml:space="preserve">Cours actuel : </w:t>
            </w:r>
            <w:r>
              <w:rPr>
                <w:color w:val="000000"/>
                <w:sz w:val="17"/>
              </w:rPr>
              <w:t>2,950 FCFA</w:t>
            </w:r>
          </w:p>
          <w:p>
            <w:r>
              <w:rPr>
                <w:b/>
                <w:color w:val="503200"/>
                <w:sz w:val="16"/>
              </w:rPr>
              <w:t xml:space="preserve">Var. 100 jours : </w:t>
            </w:r>
            <w:r>
              <w:rPr>
                <w:b/>
                <w:color w:val="007800"/>
                <w:sz w:val="17"/>
              </w:rPr>
              <w:t>+9.26%</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2.84% (Faible) — μ=2,851 FCFA, σ=81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β=0.4714 (Défensif) — Cov=0.000034, Var(idx)=0.000072, ρ=0.198,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2,832</w:t>
            </w:r>
          </w:p>
        </w:tc>
        <w:tc>
          <w:tcPr>
            <w:tcW w:type="dxa" w:w="1440"/>
            <w:shd w:fill="FAFAFA" w:val="clear"/>
          </w:tcPr>
          <w:p>
            <w:r>
              <w:rPr>
                <w:b/>
                <w:sz w:val="17"/>
              </w:rPr>
              <w:t>2,933</w:t>
            </w:r>
          </w:p>
        </w:tc>
        <w:tc>
          <w:tcPr>
            <w:tcW w:type="dxa" w:w="1440"/>
            <w:shd w:fill="FAFAFA" w:val="clear"/>
          </w:tcPr>
          <w:p>
            <w:r>
              <w:rPr>
                <w:sz w:val="17"/>
              </w:rPr>
              <w:t>3,034</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2,784</w:t>
            </w:r>
          </w:p>
        </w:tc>
        <w:tc>
          <w:tcPr>
            <w:tcW w:type="dxa" w:w="1440"/>
            <w:shd w:fill="FAFAFA" w:val="clear"/>
          </w:tcPr>
          <w:p>
            <w:r>
              <w:rPr>
                <w:b/>
                <w:sz w:val="17"/>
              </w:rPr>
              <w:t>2,927</w:t>
            </w:r>
          </w:p>
        </w:tc>
        <w:tc>
          <w:tcPr>
            <w:tcW w:type="dxa" w:w="1440"/>
            <w:shd w:fill="FAFAFA" w:val="clear"/>
          </w:tcPr>
          <w:p>
            <w:r>
              <w:rPr>
                <w:sz w:val="17"/>
              </w:rPr>
              <w:t>3,069</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2,745</w:t>
            </w:r>
          </w:p>
        </w:tc>
        <w:tc>
          <w:tcPr>
            <w:tcW w:type="dxa" w:w="1440"/>
            <w:shd w:fill="FAFAFA" w:val="clear"/>
          </w:tcPr>
          <w:p>
            <w:r>
              <w:rPr>
                <w:b/>
                <w:sz w:val="17"/>
              </w:rPr>
              <w:t>2,920</w:t>
            </w:r>
          </w:p>
        </w:tc>
        <w:tc>
          <w:tcPr>
            <w:tcW w:type="dxa" w:w="1440"/>
            <w:shd w:fill="FAFAFA" w:val="clear"/>
          </w:tcPr>
          <w:p>
            <w:r>
              <w:rPr>
                <w:sz w:val="17"/>
              </w:rPr>
              <w:t>3,094</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2,712</w:t>
            </w:r>
          </w:p>
        </w:tc>
        <w:tc>
          <w:tcPr>
            <w:tcW w:type="dxa" w:w="1440"/>
            <w:shd w:fill="FAFAFA" w:val="clear"/>
          </w:tcPr>
          <w:p>
            <w:r>
              <w:rPr>
                <w:b/>
                <w:sz w:val="17"/>
              </w:rPr>
              <w:t>2,913</w:t>
            </w:r>
          </w:p>
        </w:tc>
        <w:tc>
          <w:tcPr>
            <w:tcW w:type="dxa" w:w="1440"/>
            <w:shd w:fill="FAFAFA" w:val="clear"/>
          </w:tcPr>
          <w:p>
            <w:r>
              <w:rPr>
                <w:sz w:val="17"/>
              </w:rPr>
              <w:t>3,113</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2,682</w:t>
            </w:r>
          </w:p>
        </w:tc>
        <w:tc>
          <w:tcPr>
            <w:tcW w:type="dxa" w:w="1440"/>
            <w:shd w:fill="FAFAFA" w:val="clear"/>
          </w:tcPr>
          <w:p>
            <w:r>
              <w:rPr>
                <w:b/>
                <w:sz w:val="17"/>
              </w:rPr>
              <w:t>2,906</w:t>
            </w:r>
          </w:p>
        </w:tc>
        <w:tc>
          <w:tcPr>
            <w:tcW w:type="dxa" w:w="1440"/>
            <w:shd w:fill="FAFAFA" w:val="clear"/>
          </w:tcPr>
          <w:p>
            <w:r>
              <w:rPr>
                <w:sz w:val="17"/>
              </w:rPr>
              <w:t>3,130</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2,654</w:t>
            </w:r>
          </w:p>
        </w:tc>
        <w:tc>
          <w:tcPr>
            <w:tcW w:type="dxa" w:w="1440"/>
            <w:shd w:fill="FAFAFA" w:val="clear"/>
          </w:tcPr>
          <w:p>
            <w:r>
              <w:rPr>
                <w:b/>
                <w:sz w:val="17"/>
              </w:rPr>
              <w:t>2,899</w:t>
            </w:r>
          </w:p>
        </w:tc>
        <w:tc>
          <w:tcPr>
            <w:tcW w:type="dxa" w:w="1440"/>
            <w:shd w:fill="FAFAFA" w:val="clear"/>
          </w:tcPr>
          <w:p>
            <w:r>
              <w:rPr>
                <w:sz w:val="17"/>
              </w:rPr>
              <w:t>3,144</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2,628</w:t>
            </w:r>
          </w:p>
        </w:tc>
        <w:tc>
          <w:tcPr>
            <w:tcW w:type="dxa" w:w="1440"/>
            <w:shd w:fill="FAFAFA" w:val="clear"/>
          </w:tcPr>
          <w:p>
            <w:r>
              <w:rPr>
                <w:b/>
                <w:sz w:val="17"/>
              </w:rPr>
              <w:t>2,892</w:t>
            </w:r>
          </w:p>
        </w:tc>
        <w:tc>
          <w:tcPr>
            <w:tcW w:type="dxa" w:w="1440"/>
            <w:shd w:fill="FAFAFA" w:val="clear"/>
          </w:tcPr>
          <w:p>
            <w:r>
              <w:rPr>
                <w:sz w:val="17"/>
              </w:rPr>
              <w:t>3,156</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2,604</w:t>
            </w:r>
          </w:p>
        </w:tc>
        <w:tc>
          <w:tcPr>
            <w:tcW w:type="dxa" w:w="1440"/>
            <w:shd w:fill="FFDCE0" w:val="clear"/>
          </w:tcPr>
          <w:p>
            <w:r>
              <w:rPr>
                <w:b/>
                <w:sz w:val="17"/>
              </w:rPr>
              <w:t>2,886</w:t>
            </w:r>
          </w:p>
        </w:tc>
        <w:tc>
          <w:tcPr>
            <w:tcW w:type="dxa" w:w="1440"/>
            <w:shd w:fill="FFDCE0" w:val="clear"/>
          </w:tcPr>
          <w:p>
            <w:r>
              <w:rPr>
                <w:sz w:val="17"/>
              </w:rPr>
              <w:t>3,167</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2,581</w:t>
            </w:r>
          </w:p>
        </w:tc>
        <w:tc>
          <w:tcPr>
            <w:tcW w:type="dxa" w:w="1440"/>
            <w:shd w:fill="FFDCE0" w:val="clear"/>
          </w:tcPr>
          <w:p>
            <w:r>
              <w:rPr>
                <w:b/>
                <w:sz w:val="17"/>
              </w:rPr>
              <w:t>2,879</w:t>
            </w:r>
          </w:p>
        </w:tc>
        <w:tc>
          <w:tcPr>
            <w:tcW w:type="dxa" w:w="1440"/>
            <w:shd w:fill="FFDCE0" w:val="clear"/>
          </w:tcPr>
          <w:p>
            <w:r>
              <w:rPr>
                <w:sz w:val="17"/>
              </w:rPr>
              <w:t>3,177</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2,559</w:t>
            </w:r>
          </w:p>
        </w:tc>
        <w:tc>
          <w:tcPr>
            <w:tcW w:type="dxa" w:w="1440"/>
            <w:shd w:fill="FFDCE0" w:val="clear"/>
          </w:tcPr>
          <w:p>
            <w:r>
              <w:rPr>
                <w:b/>
                <w:sz w:val="17"/>
              </w:rPr>
              <w:t>2,873</w:t>
            </w:r>
          </w:p>
        </w:tc>
        <w:tc>
          <w:tcPr>
            <w:tcW w:type="dxa" w:w="1440"/>
            <w:shd w:fill="FFDCE0" w:val="clear"/>
          </w:tcPr>
          <w:p>
            <w:r>
              <w:rPr>
                <w:sz w:val="17"/>
              </w:rPr>
              <w:t>3,186</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SA, Burkina Faso)**</w:t>
        <w:br/>
        <w:t>*Bourse Régionale des Valeurs Mobilières (BRVM) — Secteur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200,60 milliards FCFA, ONTBF s'impose comme l'une des valeurs phares du compartiment télécoms de la BRVM, représentant un pilier de liquidité et de stabilité pour l'indice régional. Le BPA de 234 FCFA par action signifie que chaque titre génère près de 234 FCFA de bénéfice net, ce qui, rapporté au cours actuel de 2 950 FCFA, offre un rendement bénéficiaire implicite d'environ 7,9 %. Le PER de 12,6x situe le titre légèrement au-dessus de la moyenne BRVM (8-12x), traduisant une valorisation modérée mais non excessive, cohérente avec la prime de qualité associée à un opérateur télécom historique. Le P/B de 3,49x indique que le marché valorise la société à plus de trois fois ses fonds propres comptables (57,54 Mds FCFA), une prime de croissance justifiée par la rentabilité élevée des capitaux propres (ROE de 27,6 % en 2025). Enfin, l'EV/EBITDA de 5,2x apparaît raisonnable dans la fourchette sectorielle (5-10x), suggérant que la valeur d'entreprise reste soutenue par la capacité opérationnelle de génération de cash, malgré la compression récente des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progression totale de +9,26 %, avec une dernière séance en hausse de +0,51 %, portant le cours actuel à 2 950 FCFA. Le range de trading s'établit entre un plus bas de 2 675 FCFA et un plus haut de 3 070 FCFA, soit une amplitude d'environ 14,8 %, reflétant une tendance globalement haussière mais ponctuée de corrections. La moyenne du cours sur la période (2 851 FCFA) est très proche de la médiane (2 855 FCFA), confirmant une distribution symétrique sans biais directionnel marqué, tandis que le mode à 2 800 FCFA indique un point d'équilibre psychologique fréquemment testé. L'écart-type de 81 FCFA, avec un coefficient de variation de seulement 2,9 %, traduit une dispersion très faible du cours autour de sa moyenne, signe d'une certaine stabilité relative. Le kurtosis de -0,265 (mésokurtique) et le skewness de -0,093 (distribution symétrique) suggèrent l'absence de pics extrêmes ou d'asymétrie significative, ce qui réduit le risque de mouvements erratiques. La volatilité annualisée de 32,0 % positionne le titre dans la catégorie des valeurs à volatilité élevée (&gt;30 %), ce qui est cohérent avec un marché frontière comme la BRVM, mais implique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(2 893,0 FCFA) et la MM50 (2 888,4 FCFA) sont toutes deux inférieures au cours actuel de 2 950 FCFA, avec une MM20 légèrement au-dessus de la MM50, configurant un croisement haussier classique. Cette configuration signale une dynamique positive de court terme, justifiant la décision d'achat.</w:t>
      </w:r>
    </w:p>
    <w:p>
      <w:pPr>
        <w:spacing w:after="120" w:line="276" w:lineRule="auto"/>
      </w:pPr>
      <w:r>
        <w:t>**Bandes de Bollinger** : Le cours (2 950 FCFA) évolue dans la partie supérieure de la bande, entre la borne inférieure (2 776,68 FCFA) et la borne supérieure (3 009,32 FCFA), sans franchir cette dernière. Cette position médiane-haute traduit une volatilité modérée et une absence de signal de surachat extrême, d'où la décision neutre.</w:t>
      </w:r>
    </w:p>
    <w:p>
      <w:pPr>
        <w:spacing w:after="120" w:line="276" w:lineRule="auto"/>
      </w:pPr>
      <w:r>
        <w:t>**MACD** : La ligne MACD (17,28) est nettement au-dessus de sa ligne de signal (10,188), avec un histogramme positif, confirmant un momentum haussier en cours. Cette divergence positive soutient la décision d'achat, bien que l'écart reste modéré.</w:t>
      </w:r>
    </w:p>
    <w:p>
      <w:pPr>
        <w:spacing w:after="120" w:line="276" w:lineRule="auto"/>
      </w:pPr>
      <w:r>
        <w:t>**RSI** : À 55,80, le RSI se situe dans la zone neutre (30-70), sans atteindre la zone de surachat (&gt;70). Cela indique que le titre conserve un potentiel de hausse sans être techniquement épuisé, justifiant une décision neutre.</w:t>
      </w:r>
    </w:p>
    <w:p>
      <w:pPr>
        <w:spacing w:after="120" w:line="276" w:lineRule="auto"/>
      </w:pPr>
      <w:r>
        <w:t>**Stochastique** : Le %K (79,17) et le %D (76,39) sont tous deux élevés, proches de la zone de surachat (&gt;80), avec un %K légèrement au-dessus du %D. Cette configuration suggère une pression acheteuse persistante mais un risque de correction à court terme, d'où la décision neutre.</w:t>
      </w:r>
    </w:p>
    <w:p>
      <w:pPr>
        <w:spacing w:after="120" w:line="276" w:lineRule="auto"/>
      </w:pPr>
      <w:r>
        <w:t>**Conclusion technique** : Les indicateurs convergent majoritairement vers un biais haussier (MM, MACD), mais les oscillateurs (RSI, Stochastique) et les Bandes de Bollinger appellent à la prudence en raison de niveaux proches de zones de surachat. Le titre se trouve dans une phase de consolidation haussière, avec un potentiel de poursuite limité à court terme sans correction préalable.</w:t>
      </w:r>
    </w:p>
    <w:p>
      <w:pPr>
        <w:spacing w:after="120" w:line="276" w:lineRule="auto"/>
      </w:pPr>
      <w:r>
        <w:t>---</w:t>
      </w:r>
    </w:p>
    <w:p>
      <w:pPr>
        <w:spacing w:after="120" w:line="276" w:lineRule="auto"/>
      </w:pPr>
      <w:r>
        <w:t>### PARTIE 3 : ANALYSE FONDAMENTALE</w:t>
      </w:r>
    </w:p>
    <w:p>
      <w:pPr>
        <w:spacing w:after="120" w:line="276" w:lineRule="auto"/>
      </w:pPr>
      <w:r>
        <w:t>En 2025, ONTBF (ONATEL SA) a réalisé un chiffre d'affaires de 146,18 milliards FCFA, en hausse de +3,1 % par rapport à 2024, porté par le Très Haut Débit (FTTH, +33 % de parc), l'Internet mobile (+5 %) et le Mobile Money (+14 %). Cependant, le résultat net a chuté de -26 % à 15,89 milliards FCFA, contre 21,47 milliards en 2024, en raison d'une explosion des charges opérationnelles (énergie, maintenance en zones sécuritaires, indemnités de fin d'engagement, sanction ARCEP de 1,543 Md FCFA). Le ROE reste exceptionnel à 27,61 %, bien qu'en baisse par rapport aux 34,3 % de 2024, et le ROA s'établit à 4,89 %, reflétant la lourdeur du bilan (total actif de 324,90 Mds FCFA). Le coefficient d'exploitation de 67,07 % (charges/PNB) dépasse le seuil de 60 % recommandé pour une banque efficace, mais s'explique ici par la structure de coûts d'un opérateur télécom intensif en capital. Le coût du risque (provisions/charges financières) de 3,57 % reste contenu, mais les provisions de -31,07 Mds FCFA pèsent sur la rentabilité. La structure financière montre une autonomie financière faible (17,71 %), un ratio d'endettement élevé (186,99 %) et une liquidité générale insuffisante (36,36 %), bien que la trésorerie nette reste positive à 10,65 Mds FCFA. Les rapports trimestriels 2026 (T1 publié le 09/04/2026) indiquent une poursuite de la croissance du CA (+2,7 % à 37,1 Mds FCFA) et une marge EBITDA maintenue à 41,3 %, mais un résultat net en légère baisse à 3,58 Mds FCFA. On estime donc que l'exercice 2026 devrait confirmer la tendance 2025 : croissance modérée du CA, mais pression persistante sur les marges, avec un résultat net annuel attendu autour de 15-16 Mds FCFA. La recommandation fondamentale est de **conserver** le titre : la solidité commerciale et la génération de cash (CAFG de 46,95 Mds FCFA) sont des atouts, mais la dégradation de la rentabilité et l'endettement croissant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valorisation de ONTBF (PER de 12,6x, P/B de 3,49x, EV/EBITDA de 5,2x) apparaît modérée à légèrement élevée, sans décote évidente par rapport aux pairs régionaux, ce qui suggère une juste appréciation du marché. Le comportement du cours sur 100 jours (+9,26 %) est haussier, avec une volatilité élevée (32 %) mais une distribution symétrique et sans pics extrêmes (kurtosis et skewness proches de zéro), ce qui est rassurant pour la gestion du risque. Les signaux techniques sont majoritairement haussiers (MM20 &gt; MM50, MACD positif), mais les oscillateurs (RSI à 55,8, Stochastique à 79,2) approchent de zones de surachat, plaidant pour une consolidation avant une nouvelle jambe de hausse. Les fondamentaux restent solides (ROE de 27,6 %, CAFG de 47 Mds FCFA) mais sont entachés par une chute de -26 % du résultat net en 2025 et un endettement élevé (186,99 %), avec des perspectives 2026 qui ne montrent pas encore d'inflexion majeure. Les prédictions IA pour les 10 prochains jours (2 933 → 2 906 FCFA) anticipent une légère correction baissière, en ligne avec le risque de surachat technique. Sur la base de cette synthèse, la recommandation finale est **CONSERVER**, avec un niveau de confiance **Moyen** et un risque global **Moyen**. L'horizon d'investissement optimal est le **moyen terme (3-12 mois)**, en attendant des signes tangibles d'amélioration de la rentabilité et une clarification des perspectives réglementaires et sécuritaires. Une position d'achat agressive n'est pas justifiée tant que la tendance baissière des marges ne s'inverse pas, mais une vente serait prématurée compte tenu de la solidité des fondamentaux et du dividende attractif (166,08 FCFA/action, soit un rendement d'environ 5,6 % au cours actuel).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2998.04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3,497 titres</w:t>
            </w:r>
          </w:p>
        </w:tc>
        <w:tc>
          <w:tcPr>
            <w:tcW w:type="dxa" w:w="2268"/>
            <w:shd w:fill="FFF2CC" w:val="clear"/>
          </w:tcPr>
          <w:p>
            <w:r>
              <w:rPr>
                <w:b/>
                <w:color w:val="503200"/>
                <w:sz w:val="16"/>
              </w:rPr>
              <w:t xml:space="preserve">Cours actuel : </w:t>
            </w:r>
            <w:r>
              <w:rPr>
                <w:color w:val="000000"/>
                <w:sz w:val="17"/>
              </w:rPr>
              <w:t>19,900 FCFA</w:t>
            </w:r>
          </w:p>
          <w:p>
            <w:r>
              <w:rPr>
                <w:b/>
                <w:color w:val="503200"/>
                <w:sz w:val="16"/>
              </w:rPr>
              <w:t xml:space="preserve">Var. 100 jours : </w:t>
            </w:r>
            <w:r>
              <w:rPr>
                <w:b/>
                <w:color w:val="007800"/>
                <w:sz w:val="17"/>
              </w:rPr>
              <w:t>+31.79%</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15,000 FCFA</w:t>
            </w:r>
          </w:p>
          <w:p>
            <w:r>
              <w:rPr>
                <w:b/>
                <w:color w:val="503200"/>
                <w:sz w:val="16"/>
              </w:rPr>
              <w:t xml:space="preserve">Volatilité ann. : </w:t>
            </w:r>
            <w:r>
              <w:rPr>
                <w:color w:val="000000"/>
                <w:sz w:val="17"/>
              </w:rPr>
              <w:t>33.7%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13.68% (Moyenne) — μ=17,964 FCFA, σ=2,457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β=1.3940 (Agressif) — Cov=0.000100, Var(idx)=0.000072, ρ=0.557,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3,497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87/100  (Excellent)</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2026-10-06</w:t>
            </w:r>
          </w:p>
        </w:tc>
        <w:tc>
          <w:tcPr>
            <w:tcW w:type="dxa" w:w="1440"/>
            <w:shd w:fill="C6EFCE" w:val="clear"/>
          </w:tcPr>
          <w:p>
            <w:r>
              <w:rPr>
                <w:sz w:val="17"/>
              </w:rPr>
              <w:t>20,081</w:t>
            </w:r>
          </w:p>
        </w:tc>
        <w:tc>
          <w:tcPr>
            <w:tcW w:type="dxa" w:w="1440"/>
            <w:shd w:fill="C6EFCE" w:val="clear"/>
          </w:tcPr>
          <w:p>
            <w:r>
              <w:rPr>
                <w:b/>
                <w:sz w:val="17"/>
              </w:rPr>
              <w:t>21,020</w:t>
            </w:r>
          </w:p>
        </w:tc>
        <w:tc>
          <w:tcPr>
            <w:tcW w:type="dxa" w:w="1440"/>
            <w:shd w:fill="C6EFCE" w:val="clear"/>
          </w:tcPr>
          <w:p>
            <w:r>
              <w:rPr>
                <w:sz w:val="17"/>
              </w:rPr>
              <w:t>21,960</w:t>
            </w:r>
          </w:p>
        </w:tc>
        <w:tc>
          <w:tcPr>
            <w:tcW w:type="dxa" w:w="1440"/>
            <w:shd w:fill="C6EFCE" w:val="clear"/>
          </w:tcPr>
          <w:p>
            <w:r>
              <w:rPr>
                <w:b/>
                <w:color w:val="008000"/>
                <w:sz w:val="17"/>
              </w:rPr>
              <w:t>+5.6%</w:t>
            </w:r>
          </w:p>
        </w:tc>
      </w:tr>
      <w:tr>
        <w:tc>
          <w:tcPr>
            <w:tcW w:type="dxa" w:w="1440"/>
            <w:shd w:fill="C6EFCE" w:val="clear"/>
          </w:tcPr>
          <w:p>
            <w:r>
              <w:rPr>
                <w:sz w:val="17"/>
              </w:rPr>
              <w:t>J+2  ⭐</w:t>
            </w:r>
          </w:p>
        </w:tc>
        <w:tc>
          <w:tcPr>
            <w:tcW w:type="dxa" w:w="1440"/>
            <w:shd w:fill="C6EFCE" w:val="clear"/>
          </w:tcPr>
          <w:p>
            <w:r>
              <w:rPr>
                <w:sz w:val="17"/>
              </w:rPr>
              <w:t>2026-10-07</w:t>
            </w:r>
          </w:p>
        </w:tc>
        <w:tc>
          <w:tcPr>
            <w:tcW w:type="dxa" w:w="1440"/>
            <w:shd w:fill="C6EFCE" w:val="clear"/>
          </w:tcPr>
          <w:p>
            <w:r>
              <w:rPr>
                <w:sz w:val="17"/>
              </w:rPr>
              <w:t>19,575</w:t>
            </w:r>
          </w:p>
        </w:tc>
        <w:tc>
          <w:tcPr>
            <w:tcW w:type="dxa" w:w="1440"/>
            <w:shd w:fill="C6EFCE" w:val="clear"/>
          </w:tcPr>
          <w:p>
            <w:r>
              <w:rPr>
                <w:b/>
                <w:sz w:val="17"/>
              </w:rPr>
              <w:t>20,896</w:t>
            </w:r>
          </w:p>
        </w:tc>
        <w:tc>
          <w:tcPr>
            <w:tcW w:type="dxa" w:w="1440"/>
            <w:shd w:fill="C6EFCE" w:val="clear"/>
          </w:tcPr>
          <w:p>
            <w:r>
              <w:rPr>
                <w:sz w:val="17"/>
              </w:rPr>
              <w:t>22,216</w:t>
            </w:r>
          </w:p>
        </w:tc>
        <w:tc>
          <w:tcPr>
            <w:tcW w:type="dxa" w:w="1440"/>
            <w:shd w:fill="C6EFCE" w:val="clear"/>
          </w:tcPr>
          <w:p>
            <w:r>
              <w:rPr>
                <w:b/>
                <w:color w:val="008000"/>
                <w:sz w:val="17"/>
              </w:rPr>
              <w:t>+5.0%</w:t>
            </w:r>
          </w:p>
        </w:tc>
      </w:tr>
      <w:tr>
        <w:tc>
          <w:tcPr>
            <w:tcW w:type="dxa" w:w="1440"/>
            <w:shd w:fill="C6EFCE" w:val="clear"/>
          </w:tcPr>
          <w:p>
            <w:r>
              <w:rPr>
                <w:sz w:val="17"/>
              </w:rPr>
              <w:t>J+3  ⭐</w:t>
            </w:r>
          </w:p>
        </w:tc>
        <w:tc>
          <w:tcPr>
            <w:tcW w:type="dxa" w:w="1440"/>
            <w:shd w:fill="C6EFCE" w:val="clear"/>
          </w:tcPr>
          <w:p>
            <w:r>
              <w:rPr>
                <w:sz w:val="17"/>
              </w:rPr>
              <w:t>2026-10-08</w:t>
            </w:r>
          </w:p>
        </w:tc>
        <w:tc>
          <w:tcPr>
            <w:tcW w:type="dxa" w:w="1440"/>
            <w:shd w:fill="C6EFCE" w:val="clear"/>
          </w:tcPr>
          <w:p>
            <w:r>
              <w:rPr>
                <w:sz w:val="17"/>
              </w:rPr>
              <w:t>19,249</w:t>
            </w:r>
          </w:p>
        </w:tc>
        <w:tc>
          <w:tcPr>
            <w:tcW w:type="dxa" w:w="1440"/>
            <w:shd w:fill="C6EFCE" w:val="clear"/>
          </w:tcPr>
          <w:p>
            <w:r>
              <w:rPr>
                <w:b/>
                <w:sz w:val="17"/>
              </w:rPr>
              <w:t>20,864</w:t>
            </w:r>
          </w:p>
        </w:tc>
        <w:tc>
          <w:tcPr>
            <w:tcW w:type="dxa" w:w="1440"/>
            <w:shd w:fill="C6EFCE" w:val="clear"/>
          </w:tcPr>
          <w:p>
            <w:r>
              <w:rPr>
                <w:sz w:val="17"/>
              </w:rPr>
              <w:t>22,480</w:t>
            </w:r>
          </w:p>
        </w:tc>
        <w:tc>
          <w:tcPr>
            <w:tcW w:type="dxa" w:w="1440"/>
            <w:shd w:fill="C6EFCE" w:val="clear"/>
          </w:tcPr>
          <w:p>
            <w:r>
              <w:rPr>
                <w:b/>
                <w:color w:val="008000"/>
                <w:sz w:val="17"/>
              </w:rPr>
              <w:t>+4.8%</w:t>
            </w:r>
          </w:p>
        </w:tc>
      </w:tr>
      <w:tr>
        <w:tc>
          <w:tcPr>
            <w:tcW w:type="dxa" w:w="1440"/>
            <w:shd w:fill="C6EFCE" w:val="clear"/>
          </w:tcPr>
          <w:p>
            <w:r>
              <w:rPr>
                <w:sz w:val="17"/>
              </w:rPr>
              <w:t>J+4  ⭐</w:t>
            </w:r>
          </w:p>
        </w:tc>
        <w:tc>
          <w:tcPr>
            <w:tcW w:type="dxa" w:w="1440"/>
            <w:shd w:fill="C6EFCE" w:val="clear"/>
          </w:tcPr>
          <w:p>
            <w:r>
              <w:rPr>
                <w:sz w:val="17"/>
              </w:rPr>
              <w:t>2026-10-09</w:t>
            </w:r>
          </w:p>
        </w:tc>
        <w:tc>
          <w:tcPr>
            <w:tcW w:type="dxa" w:w="1440"/>
            <w:shd w:fill="C6EFCE" w:val="clear"/>
          </w:tcPr>
          <w:p>
            <w:r>
              <w:rPr>
                <w:sz w:val="17"/>
              </w:rPr>
              <w:t>18,985</w:t>
            </w:r>
          </w:p>
        </w:tc>
        <w:tc>
          <w:tcPr>
            <w:tcW w:type="dxa" w:w="1440"/>
            <w:shd w:fill="C6EFCE" w:val="clear"/>
          </w:tcPr>
          <w:p>
            <w:r>
              <w:rPr>
                <w:b/>
                <w:sz w:val="17"/>
              </w:rPr>
              <w:t>20,849</w:t>
            </w:r>
          </w:p>
        </w:tc>
        <w:tc>
          <w:tcPr>
            <w:tcW w:type="dxa" w:w="1440"/>
            <w:shd w:fill="C6EFCE" w:val="clear"/>
          </w:tcPr>
          <w:p>
            <w:r>
              <w:rPr>
                <w:sz w:val="17"/>
              </w:rPr>
              <w:t>22,713</w:t>
            </w:r>
          </w:p>
        </w:tc>
        <w:tc>
          <w:tcPr>
            <w:tcW w:type="dxa" w:w="1440"/>
            <w:shd w:fill="C6EFCE" w:val="clear"/>
          </w:tcPr>
          <w:p>
            <w:r>
              <w:rPr>
                <w:b/>
                <w:color w:val="008000"/>
                <w:sz w:val="17"/>
              </w:rPr>
              <w:t>+4.8%</w:t>
            </w:r>
          </w:p>
        </w:tc>
      </w:tr>
      <w:tr>
        <w:tc>
          <w:tcPr>
            <w:tcW w:type="dxa" w:w="1440"/>
            <w:shd w:fill="C6EFCE" w:val="clear"/>
          </w:tcPr>
          <w:p>
            <w:r>
              <w:rPr>
                <w:sz w:val="17"/>
              </w:rPr>
              <w:t>J+5  ⭐</w:t>
            </w:r>
          </w:p>
        </w:tc>
        <w:tc>
          <w:tcPr>
            <w:tcW w:type="dxa" w:w="1440"/>
            <w:shd w:fill="C6EFCE" w:val="clear"/>
          </w:tcPr>
          <w:p>
            <w:r>
              <w:rPr>
                <w:sz w:val="17"/>
              </w:rPr>
              <w:t>2026-10-12</w:t>
            </w:r>
          </w:p>
        </w:tc>
        <w:tc>
          <w:tcPr>
            <w:tcW w:type="dxa" w:w="1440"/>
            <w:shd w:fill="C6EFCE" w:val="clear"/>
          </w:tcPr>
          <w:p>
            <w:r>
              <w:rPr>
                <w:sz w:val="17"/>
              </w:rPr>
              <w:t>18,753</w:t>
            </w:r>
          </w:p>
        </w:tc>
        <w:tc>
          <w:tcPr>
            <w:tcW w:type="dxa" w:w="1440"/>
            <w:shd w:fill="C6EFCE" w:val="clear"/>
          </w:tcPr>
          <w:p>
            <w:r>
              <w:rPr>
                <w:b/>
                <w:sz w:val="17"/>
              </w:rPr>
              <w:t>20,835</w:t>
            </w:r>
          </w:p>
        </w:tc>
        <w:tc>
          <w:tcPr>
            <w:tcW w:type="dxa" w:w="1440"/>
            <w:shd w:fill="C6EFCE" w:val="clear"/>
          </w:tcPr>
          <w:p>
            <w:r>
              <w:rPr>
                <w:sz w:val="17"/>
              </w:rPr>
              <w:t>22,918</w:t>
            </w:r>
          </w:p>
        </w:tc>
        <w:tc>
          <w:tcPr>
            <w:tcW w:type="dxa" w:w="1440"/>
            <w:shd w:fill="C6EFCE" w:val="clear"/>
          </w:tcPr>
          <w:p>
            <w:r>
              <w:rPr>
                <w:b/>
                <w:color w:val="008000"/>
                <w:sz w:val="17"/>
              </w:rPr>
              <w:t>+4.7%</w:t>
            </w:r>
          </w:p>
        </w:tc>
      </w:tr>
      <w:tr>
        <w:tc>
          <w:tcPr>
            <w:tcW w:type="dxa" w:w="1440"/>
            <w:shd w:fill="C6EFCE" w:val="clear"/>
          </w:tcPr>
          <w:p>
            <w:r>
              <w:rPr>
                <w:sz w:val="17"/>
              </w:rPr>
              <w:t>J+6  ⭐</w:t>
            </w:r>
          </w:p>
        </w:tc>
        <w:tc>
          <w:tcPr>
            <w:tcW w:type="dxa" w:w="1440"/>
            <w:shd w:fill="C6EFCE" w:val="clear"/>
          </w:tcPr>
          <w:p>
            <w:r>
              <w:rPr>
                <w:sz w:val="17"/>
              </w:rPr>
              <w:t>2026-10-13</w:t>
            </w:r>
          </w:p>
        </w:tc>
        <w:tc>
          <w:tcPr>
            <w:tcW w:type="dxa" w:w="1440"/>
            <w:shd w:fill="C6EFCE" w:val="clear"/>
          </w:tcPr>
          <w:p>
            <w:r>
              <w:rPr>
                <w:sz w:val="17"/>
              </w:rPr>
              <w:t>18,542</w:t>
            </w:r>
          </w:p>
        </w:tc>
        <w:tc>
          <w:tcPr>
            <w:tcW w:type="dxa" w:w="1440"/>
            <w:shd w:fill="C6EFCE" w:val="clear"/>
          </w:tcPr>
          <w:p>
            <w:r>
              <w:rPr>
                <w:b/>
                <w:sz w:val="17"/>
              </w:rPr>
              <w:t>20,821</w:t>
            </w:r>
          </w:p>
        </w:tc>
        <w:tc>
          <w:tcPr>
            <w:tcW w:type="dxa" w:w="1440"/>
            <w:shd w:fill="C6EFCE" w:val="clear"/>
          </w:tcPr>
          <w:p>
            <w:r>
              <w:rPr>
                <w:sz w:val="17"/>
              </w:rPr>
              <w:t>23,101</w:t>
            </w:r>
          </w:p>
        </w:tc>
        <w:tc>
          <w:tcPr>
            <w:tcW w:type="dxa" w:w="1440"/>
            <w:shd w:fill="C6EFCE" w:val="clear"/>
          </w:tcPr>
          <w:p>
            <w:r>
              <w:rPr>
                <w:b/>
                <w:color w:val="008000"/>
                <w:sz w:val="17"/>
              </w:rPr>
              <w:t>+4.6%</w:t>
            </w:r>
          </w:p>
        </w:tc>
      </w:tr>
      <w:tr>
        <w:tc>
          <w:tcPr>
            <w:tcW w:type="dxa" w:w="1440"/>
            <w:shd w:fill="C6EFCE" w:val="clear"/>
          </w:tcPr>
          <w:p>
            <w:r>
              <w:rPr>
                <w:sz w:val="17"/>
              </w:rPr>
              <w:t>J+7  ⭐</w:t>
            </w:r>
          </w:p>
        </w:tc>
        <w:tc>
          <w:tcPr>
            <w:tcW w:type="dxa" w:w="1440"/>
            <w:shd w:fill="C6EFCE" w:val="clear"/>
          </w:tcPr>
          <w:p>
            <w:r>
              <w:rPr>
                <w:sz w:val="17"/>
              </w:rPr>
              <w:t>2026-10-14</w:t>
            </w:r>
          </w:p>
        </w:tc>
        <w:tc>
          <w:tcPr>
            <w:tcW w:type="dxa" w:w="1440"/>
            <w:shd w:fill="C6EFCE" w:val="clear"/>
          </w:tcPr>
          <w:p>
            <w:r>
              <w:rPr>
                <w:sz w:val="17"/>
              </w:rPr>
              <w:t>18,347</w:t>
            </w:r>
          </w:p>
        </w:tc>
        <w:tc>
          <w:tcPr>
            <w:tcW w:type="dxa" w:w="1440"/>
            <w:shd w:fill="C6EFCE" w:val="clear"/>
          </w:tcPr>
          <w:p>
            <w:r>
              <w:rPr>
                <w:b/>
                <w:sz w:val="17"/>
              </w:rPr>
              <w:t>20,807</w:t>
            </w:r>
          </w:p>
        </w:tc>
        <w:tc>
          <w:tcPr>
            <w:tcW w:type="dxa" w:w="1440"/>
            <w:shd w:fill="C6EFCE" w:val="clear"/>
          </w:tcPr>
          <w:p>
            <w:r>
              <w:rPr>
                <w:sz w:val="17"/>
              </w:rPr>
              <w:t>23,268</w:t>
            </w:r>
          </w:p>
        </w:tc>
        <w:tc>
          <w:tcPr>
            <w:tcW w:type="dxa" w:w="1440"/>
            <w:shd w:fill="C6EFCE" w:val="clear"/>
          </w:tcPr>
          <w:p>
            <w:r>
              <w:rPr>
                <w:b/>
                <w:color w:val="008000"/>
                <w:sz w:val="17"/>
              </w:rPr>
              <w:t>+4.6%</w:t>
            </w:r>
          </w:p>
        </w:tc>
      </w:tr>
      <w:tr>
        <w:tc>
          <w:tcPr>
            <w:tcW w:type="dxa" w:w="1440"/>
            <w:shd w:fill="C6EFCE" w:val="clear"/>
          </w:tcPr>
          <w:p>
            <w:r>
              <w:rPr>
                <w:sz w:val="17"/>
              </w:rPr>
              <w:t>J+8  ⭐</w:t>
            </w:r>
          </w:p>
        </w:tc>
        <w:tc>
          <w:tcPr>
            <w:tcW w:type="dxa" w:w="1440"/>
            <w:shd w:fill="C6EFCE" w:val="clear"/>
          </w:tcPr>
          <w:p>
            <w:r>
              <w:rPr>
                <w:sz w:val="17"/>
              </w:rPr>
              <w:t>2026-10-15</w:t>
            </w:r>
          </w:p>
        </w:tc>
        <w:tc>
          <w:tcPr>
            <w:tcW w:type="dxa" w:w="1440"/>
            <w:shd w:fill="C6EFCE" w:val="clear"/>
          </w:tcPr>
          <w:p>
            <w:r>
              <w:rPr>
                <w:sz w:val="17"/>
              </w:rPr>
              <w:t>18,165</w:t>
            </w:r>
          </w:p>
        </w:tc>
        <w:tc>
          <w:tcPr>
            <w:tcW w:type="dxa" w:w="1440"/>
            <w:shd w:fill="C6EFCE" w:val="clear"/>
          </w:tcPr>
          <w:p>
            <w:r>
              <w:rPr>
                <w:b/>
                <w:sz w:val="17"/>
              </w:rPr>
              <w:t>20,793</w:t>
            </w:r>
          </w:p>
        </w:tc>
        <w:tc>
          <w:tcPr>
            <w:tcW w:type="dxa" w:w="1440"/>
            <w:shd w:fill="C6EFCE" w:val="clear"/>
          </w:tcPr>
          <w:p>
            <w:r>
              <w:rPr>
                <w:sz w:val="17"/>
              </w:rPr>
              <w:t>23,422</w:t>
            </w:r>
          </w:p>
        </w:tc>
        <w:tc>
          <w:tcPr>
            <w:tcW w:type="dxa" w:w="1440"/>
            <w:shd w:fill="C6EFCE" w:val="clear"/>
          </w:tcPr>
          <w:p>
            <w:r>
              <w:rPr>
                <w:b/>
                <w:color w:val="008000"/>
                <w:sz w:val="17"/>
              </w:rPr>
              <w:t>+4.5%</w:t>
            </w:r>
          </w:p>
        </w:tc>
      </w:tr>
      <w:tr>
        <w:tc>
          <w:tcPr>
            <w:tcW w:type="dxa" w:w="1440"/>
            <w:shd w:fill="C6EFCE" w:val="clear"/>
          </w:tcPr>
          <w:p>
            <w:r>
              <w:rPr>
                <w:sz w:val="17"/>
              </w:rPr>
              <w:t>J+9  ⭐</w:t>
            </w:r>
          </w:p>
        </w:tc>
        <w:tc>
          <w:tcPr>
            <w:tcW w:type="dxa" w:w="1440"/>
            <w:shd w:fill="C6EFCE" w:val="clear"/>
          </w:tcPr>
          <w:p>
            <w:r>
              <w:rPr>
                <w:sz w:val="17"/>
              </w:rPr>
              <w:t>2026-10-16</w:t>
            </w:r>
          </w:p>
        </w:tc>
        <w:tc>
          <w:tcPr>
            <w:tcW w:type="dxa" w:w="1440"/>
            <w:shd w:fill="C6EFCE" w:val="clear"/>
          </w:tcPr>
          <w:p>
            <w:r>
              <w:rPr>
                <w:sz w:val="17"/>
              </w:rPr>
              <w:t>17,993</w:t>
            </w:r>
          </w:p>
        </w:tc>
        <w:tc>
          <w:tcPr>
            <w:tcW w:type="dxa" w:w="1440"/>
            <w:shd w:fill="C6EFCE" w:val="clear"/>
          </w:tcPr>
          <w:p>
            <w:r>
              <w:rPr>
                <w:b/>
                <w:sz w:val="17"/>
              </w:rPr>
              <w:t>20,779</w:t>
            </w:r>
          </w:p>
        </w:tc>
        <w:tc>
          <w:tcPr>
            <w:tcW w:type="dxa" w:w="1440"/>
            <w:shd w:fill="C6EFCE" w:val="clear"/>
          </w:tcPr>
          <w:p>
            <w:r>
              <w:rPr>
                <w:sz w:val="17"/>
              </w:rPr>
              <w:t>23,566</w:t>
            </w:r>
          </w:p>
        </w:tc>
        <w:tc>
          <w:tcPr>
            <w:tcW w:type="dxa" w:w="1440"/>
            <w:shd w:fill="C6EFCE" w:val="clear"/>
          </w:tcPr>
          <w:p>
            <w:r>
              <w:rPr>
                <w:b/>
                <w:color w:val="008000"/>
                <w:sz w:val="17"/>
              </w:rPr>
              <w:t>+4.4%</w:t>
            </w:r>
          </w:p>
        </w:tc>
      </w:tr>
      <w:tr>
        <w:tc>
          <w:tcPr>
            <w:tcW w:type="dxa" w:w="1440"/>
            <w:shd w:fill="C6EFCE" w:val="clear"/>
          </w:tcPr>
          <w:p>
            <w:r>
              <w:rPr>
                <w:sz w:val="17"/>
              </w:rPr>
              <w:t>J+10  ⭐</w:t>
            </w:r>
          </w:p>
        </w:tc>
        <w:tc>
          <w:tcPr>
            <w:tcW w:type="dxa" w:w="1440"/>
            <w:shd w:fill="C6EFCE" w:val="clear"/>
          </w:tcPr>
          <w:p>
            <w:r>
              <w:rPr>
                <w:sz w:val="17"/>
              </w:rPr>
              <w:t>2026-10-19</w:t>
            </w:r>
          </w:p>
        </w:tc>
        <w:tc>
          <w:tcPr>
            <w:tcW w:type="dxa" w:w="1440"/>
            <w:shd w:fill="C6EFCE" w:val="clear"/>
          </w:tcPr>
          <w:p>
            <w:r>
              <w:rPr>
                <w:sz w:val="17"/>
              </w:rPr>
              <w:t>17,831</w:t>
            </w:r>
          </w:p>
        </w:tc>
        <w:tc>
          <w:tcPr>
            <w:tcW w:type="dxa" w:w="1440"/>
            <w:shd w:fill="C6EFCE" w:val="clear"/>
          </w:tcPr>
          <w:p>
            <w:r>
              <w:rPr>
                <w:b/>
                <w:sz w:val="17"/>
              </w:rPr>
              <w:t>20,766</w:t>
            </w:r>
          </w:p>
        </w:tc>
        <w:tc>
          <w:tcPr>
            <w:tcW w:type="dxa" w:w="1440"/>
            <w:shd w:fill="C6EFCE" w:val="clear"/>
          </w:tcPr>
          <w:p>
            <w:r>
              <w:rPr>
                <w:sz w:val="17"/>
              </w:rPr>
              <w:t>23,701</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ORAC (Orange Côte d'Ivoire)**</w:t>
        <w:br/>
        <w:t>**Bourse Régionale des Valeurs Mobilières (BRVM)**</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2 998,04 milliards FCFA, ORAC s'impose comme l'une des valeurs phares de la BRVM, représentant une part significative de la capitalisation totale du marché régional. Le BPA de 1 114 FCFA/action indique ce que chaque titre génère en bénéfice, et le PER de 17,9x traduit une valorisation modérée mais supérieure à la moyenne du marché BRVM (généralement située entre 8 et 12x), ce qui suggère que les investisseurs paient une prime pour la qualité et la régularité des bénéfices d'Orange CI. Le P/B de 4,24x, nettement supérieur à 4x, confirme cette prime exigeante : le marché valorise l'entreprise bien au-dessus de sa valeur comptable, ce qui est justifié par la forte rentabilité des fonds propres (ROE de 23,7%) mais expose le titre à un risque de correction en cas de déception. Enfin, l'EV/EBITDA de 7,2x, dans la fourchette raisonnable de 5-10x, indique que la valeur totale de l'entreprise (incluant la dette) reste cohérente avec sa capacité opérationnelle à générer des liquidités.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affiche une progression remarquable de +31,79%, passant d'un plus bas de 15 000 FCFA à un plus haut de 22 500 FCFA, avant de clôturer à 19 900 FCFA. Cependant, la dernière séance (J-1) enregistre une correction sévère de -8,72%, signalant une prise de bénéfices ou une réaction à des facteurs techniques. La tendance générale reste haussière sur la période, mais cette récente baisse interpelle sur la durabilité du mouvement. Les statistiques descriptives révèlent une moyenne de 17 964 FCFA supérieure à la médiane de 16 725 FCFA, avec un mode à 16 000 FCFA, ce qui indique une distribution asymétrique positivement (skewness de 0,680) : le cours a passé plus de journées sous la moyenne, mais les pics haussiers tirent la moyenne vers le haut. L'écart-type de 2 469 FCFA (CV de 13,7%) traduit une dispersion modérée, tandis que le kurtosis négatif (-1,218) indique une distribution aplatie (platykurtique), c'est-à-dire un risque de pics extrêmes plus faible qu'une distribution normale. La volatilité annualisée de 33,7% classe le titre dans la catégorie des valeurs à volatilité élevée (&gt;30%), ce qui est cohérent avec un marché frontière comme la BRVM et appelle à la prudence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(21 650,25 FCFA) est supérieure à la MM50 (19 883,9 FCFA), et le cours actuel (19 900 FCFA) se situe juste au-dessus de la MM50 mais en dessous de la MM20. Cette configuration indique une tendance haussière de moyen terme, mais le récent repli place le cours sous la moyenne courte, générant un signal d'achat sur rebond potentiel. La décision technique globale reste "Achat", soutenue par le croisement haussier des moyennes.</w:t>
      </w:r>
    </w:p>
    <w:p>
      <w:pPr>
        <w:spacing w:after="120" w:line="276" w:lineRule="auto"/>
      </w:pPr>
      <w:r>
        <w:t>**Bandes de Bollinger** : Le cours actuel (19 900 FCFA) se situe en dessous de la borne inférieure (20 175,574 FCFA), ce qui est un signal de survente technique et suggère une probabilité de rebond à court terme. La largeur des bandes (borne supérieure à 23 124,926 FCFA) reflète une volatilité élevée, cohérente avec l'écart-type observé. La décision "Achat" est justifiée par cette position hors bande basse, souvent suivie d'un retour vers la moyenne.</w:t>
      </w:r>
    </w:p>
    <w:p>
      <w:pPr>
        <w:spacing w:after="120" w:line="276" w:lineRule="auto"/>
      </w:pPr>
      <w:r>
        <w:t>**MACD** : La valeur du MACD (231,705) est inférieure à son signal (478,367), générant une divergence baissière et un signal de "Vente". Ce croisement négatif indique un affaiblissement du momentum haussier, bien que la valeur absolue du MACD reste positive, ce qui nuance le signal : il s'agit davantage d'une correction que d'un retournement de tendance majeur.</w:t>
      </w:r>
    </w:p>
    <w:p>
      <w:pPr>
        <w:spacing w:after="120" w:line="276" w:lineRule="auto"/>
      </w:pPr>
      <w:r>
        <w:t>**RSI** : Avec une valeur de 29,43, le RSI est en zone de survente (&lt;30), ce qui constitue un signal d'achat technique. Cette lecture suggère que la pression vendeuse récente est excessive et qu'un rebond technique est probable à court terme, en ligne avec la position du cours sous la borne inférieure de Bollinger.</w:t>
      </w:r>
    </w:p>
    <w:p>
      <w:pPr>
        <w:spacing w:after="120" w:line="276" w:lineRule="auto"/>
      </w:pPr>
      <w:r>
        <w:t>**Stochastique** : Le %K (0,0) est nettement inférieur au %D (39,683), indiquant une forte pression baissière à court terme. Cependant, la position extrême du %K (proche de zéro) signale une survente marquée et un potentiel retournement haussier imminent, justifiant la décision "Achat" malgré la faiblesse actuelle.</w:t>
      </w:r>
    </w:p>
    <w:p>
      <w:pPr>
        <w:spacing w:after="120" w:line="276" w:lineRule="auto"/>
      </w:pPr>
      <w:r>
        <w:t>**Conclusion technique** : Les indicateurs présentent une divergence notable : les signaux de survente (RSI, Stochastique, Bandes de Bollinger) plaident pour un rebond à court terme, tandis que le MACD confirme un affaiblissement du momentum. Les moyennes mobiles restent haussières, mais le cours doit repasser au-dessus de la MM20 (21 650 FCFA) pour confirmer une reprise durable. En synthèse, le titre offre une opportunité d'achat tactique sur rebond, avec un objectif à moyen terme de 22 500 FCFA (plus haut récent), mais une cassure sous 19 500 FCFA invaliderait ce scénario.</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entreprise solide et en croissance : le chiffre d'affaires s'établit à 1 197,1 milliards FCFA (+10,4% vs 2024), le résultat net consolidé atteint 167,8 milliards FCFA (+6,1%), et le résultat net part du groupe progresse de 14,5% à 129,1 milliards FCFA. La rentabilité est excellente avec un ROE de 23,71% (&gt;15% = excellent) et un ROA de 6,57%, tandis que la marge nette de 14,02% et la marge opérationnelle de 23,99% témoignent d'une bonne maîtrise des coûts. En tant qu'entreprise non bancaire, les délais d'exploitation sont cruciaux : le délai clients de 52,26 jours est modéré, mais le délai fournisseurs de 210,87 jours est très favorable à la trésorerie, et le BFR négatif (-198 milliards FCFA) confirme une structure de financement avantageuse. La structure financière reste saine avec une autonomie financière de 27,71% (légèrement sous le seuil de 30% mais acceptable), une solvabilité générale de 138,34% (&gt;1 = solvable) et une capacité de remboursement de 0,99 an (dette financière / CAF), ce qui est excellent. Le rapport annuel 2025 (publié le 31/12/2025) confirme ces chiffres et précise un dividende brut de 800 FCFA/action (rendement implicite de 4,0% au cours actuel de 19 900 FCFA), prélevé sur le report à nouveau, avec un payout ratio de 93,3% qui marque un recentrage vers l'autofinancement des investissements (184,2 milliards FCFA de CAPEX en 2025). Les rapports trimestriels récents (T1 2026, publié le 31/03/2026) montrent une accélération : CA de 325,6 milliards FCFA (+14,8%), résultat net de 48,3 milliards FCFA (+25,2%), et marge nette de 14,8% (+1,2 point), ce qui permet d'estimer que l'exercice 2026 devrait afficher une croissance du CA supérieure à 12% et un résultat net en hausse de 15-20%, porté par la fibre (+59,9% d'abonnés en 2025), Orange Money (40,4 millions de clients) et l'expansion géographique (Burkina Faso, Libéria). Les risques identifiés incluent la pression fiscale et réglementaire, la concurrence accrue, et l'exposition au contexte sécuritaire au Burkina Faso, mais la solidité du bilan (capitaux propres de 707,8 milliards FCFA) et la génération de cash-flow (CAF de 340 milliards FCFA) offrent une bonne résilience. En conclusion, les fondamentaux sont solides et la dynamique trimestrielle est encourageante, ce qui justifie une recommandation fondamentale positive à moyen et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à court terme mais solide à moyen terme. La valorisation (Partie 0) est exigeante avec un PER de 17,9x et un P/B de 4,24x, mais l'EV/EBITDA de 7,2x reste raisonnable, suggérant une prime de qualité justifiée par la rentabilité élevée (ROE de 23,7%). Le comportement du cours (Partie 1) est haussier sur 100 jours (+31,79%) mais la correction récente de -8,72% et la volatilité élevée (33,7%) appellent à la prudence, tandis que les statistiques (kurtosis négatif, skewness positif) indiquent un risque de pics modéré mais une asymétrie favorable aux hausses. Les signaux techniques (Partie 2) sont divergents : les indicateurs de survente (RSI à 29,43, Stochastique à 0,0, cours sous la borne inférieure de Bollinger) plaident pour un rebond à court terme, mais le MACD baissier tempère cet optimisme. Les fondamentaux (Partie 3) sont excellents : croissance du CA (+10,4% en 2025), rentabilité élevée (ROE de 23,7%), BFR négatif, et accélération au T1 2026 (+14,8% de CA, +25,2% de résultat net), ce qui soutient une perspective haussière à moyen terme. Les prédictions IA (J+1 à J+10) anticipent une stabilisation autour de 20 800-21 000 FCFA, ce qui confirme un rebond technique modéré après la correction. Sur la base de cette synthèse, la recommandation finale est **ACHAT** (et non ACHAT FORT en raison de la valorisation exigeante et de la volatilité élevée), avec un niveau de confiance **Moyen** et un risque global **Moyen**. L'horizon d'investissement optimal est le **moyen terme (3-12 mois)**, en profitant du rebond technique attendu et de la dynamique fondamentale solide, avec un objectif de cours à 22 500 FCFA (plus haut récent) et un stop-loss sous 19 500 FCFA pour limiter le risque baissier.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201.30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4,976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+5.84%</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8.41% (Moyenne) — μ=2,892 FCFA, σ=243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β=0.7271 (Défensif) — Cov=0.000052, Var(idx)=0.000072, ρ=0.263,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2,805</w:t>
            </w:r>
          </w:p>
        </w:tc>
        <w:tc>
          <w:tcPr>
            <w:tcW w:type="dxa" w:w="1440"/>
            <w:shd w:fill="FAFAFA" w:val="clear"/>
          </w:tcPr>
          <w:p>
            <w:r>
              <w:rPr>
                <w:b/>
                <w:sz w:val="17"/>
              </w:rPr>
              <w:t>2,930</w:t>
            </w:r>
          </w:p>
        </w:tc>
        <w:tc>
          <w:tcPr>
            <w:tcW w:type="dxa" w:w="1440"/>
            <w:shd w:fill="FAFAFA" w:val="clear"/>
          </w:tcPr>
          <w:p>
            <w:r>
              <w:rPr>
                <w:sz w:val="17"/>
              </w:rPr>
              <w:t>3,056</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2,747</w:t>
            </w:r>
          </w:p>
        </w:tc>
        <w:tc>
          <w:tcPr>
            <w:tcW w:type="dxa" w:w="1440"/>
            <w:shd w:fill="FAFAFA" w:val="clear"/>
          </w:tcPr>
          <w:p>
            <w:r>
              <w:rPr>
                <w:b/>
                <w:sz w:val="17"/>
              </w:rPr>
              <w:t>2,925</w:t>
            </w:r>
          </w:p>
        </w:tc>
        <w:tc>
          <w:tcPr>
            <w:tcW w:type="dxa" w:w="1440"/>
            <w:shd w:fill="FAFAFA" w:val="clear"/>
          </w:tcPr>
          <w:p>
            <w:r>
              <w:rPr>
                <w:sz w:val="17"/>
              </w:rPr>
              <w:t>3,102</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2,705</w:t>
            </w:r>
          </w:p>
        </w:tc>
        <w:tc>
          <w:tcPr>
            <w:tcW w:type="dxa" w:w="1440"/>
            <w:shd w:fill="FAFAFA" w:val="clear"/>
          </w:tcPr>
          <w:p>
            <w:r>
              <w:rPr>
                <w:b/>
                <w:sz w:val="17"/>
              </w:rPr>
              <w:t>2,922</w:t>
            </w:r>
          </w:p>
        </w:tc>
        <w:tc>
          <w:tcPr>
            <w:tcW w:type="dxa" w:w="1440"/>
            <w:shd w:fill="FAFAFA" w:val="clear"/>
          </w:tcPr>
          <w:p>
            <w:r>
              <w:rPr>
                <w:sz w:val="17"/>
              </w:rPr>
              <w:t>3,139</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2,669</w:t>
            </w:r>
          </w:p>
        </w:tc>
        <w:tc>
          <w:tcPr>
            <w:tcW w:type="dxa" w:w="1440"/>
            <w:shd w:fill="FAFAFA" w:val="clear"/>
          </w:tcPr>
          <w:p>
            <w:r>
              <w:rPr>
                <w:b/>
                <w:sz w:val="17"/>
              </w:rPr>
              <w:t>2,919</w:t>
            </w:r>
          </w:p>
        </w:tc>
        <w:tc>
          <w:tcPr>
            <w:tcW w:type="dxa" w:w="1440"/>
            <w:shd w:fill="FAFAFA" w:val="clear"/>
          </w:tcPr>
          <w:p>
            <w:r>
              <w:rPr>
                <w:sz w:val="17"/>
              </w:rPr>
              <w:t>3,170</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2,637</w:t>
            </w:r>
          </w:p>
        </w:tc>
        <w:tc>
          <w:tcPr>
            <w:tcW w:type="dxa" w:w="1440"/>
            <w:shd w:fill="FAFAFA" w:val="clear"/>
          </w:tcPr>
          <w:p>
            <w:r>
              <w:rPr>
                <w:b/>
                <w:sz w:val="17"/>
              </w:rPr>
              <w:t>2,917</w:t>
            </w:r>
          </w:p>
        </w:tc>
        <w:tc>
          <w:tcPr>
            <w:tcW w:type="dxa" w:w="1440"/>
            <w:shd w:fill="FAFAFA" w:val="clear"/>
          </w:tcPr>
          <w:p>
            <w:r>
              <w:rPr>
                <w:sz w:val="17"/>
              </w:rPr>
              <w:t>3,196</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2,608</w:t>
            </w:r>
          </w:p>
        </w:tc>
        <w:tc>
          <w:tcPr>
            <w:tcW w:type="dxa" w:w="1440"/>
            <w:shd w:fill="FAFAFA" w:val="clear"/>
          </w:tcPr>
          <w:p>
            <w:r>
              <w:rPr>
                <w:b/>
                <w:sz w:val="17"/>
              </w:rPr>
              <w:t>2,914</w:t>
            </w:r>
          </w:p>
        </w:tc>
        <w:tc>
          <w:tcPr>
            <w:tcW w:type="dxa" w:w="1440"/>
            <w:shd w:fill="FAFAFA" w:val="clear"/>
          </w:tcPr>
          <w:p>
            <w:r>
              <w:rPr>
                <w:sz w:val="17"/>
              </w:rPr>
              <w:t>3,220</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2,581</w:t>
            </w:r>
          </w:p>
        </w:tc>
        <w:tc>
          <w:tcPr>
            <w:tcW w:type="dxa" w:w="1440"/>
            <w:shd w:fill="FAFAFA" w:val="clear"/>
          </w:tcPr>
          <w:p>
            <w:r>
              <w:rPr>
                <w:b/>
                <w:sz w:val="17"/>
              </w:rPr>
              <w:t>2,911</w:t>
            </w:r>
          </w:p>
        </w:tc>
        <w:tc>
          <w:tcPr>
            <w:tcW w:type="dxa" w:w="1440"/>
            <w:shd w:fill="FAFAFA" w:val="clear"/>
          </w:tcPr>
          <w:p>
            <w:r>
              <w:rPr>
                <w:sz w:val="17"/>
              </w:rPr>
              <w:t>3,241</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2,556</w:t>
            </w:r>
          </w:p>
        </w:tc>
        <w:tc>
          <w:tcPr>
            <w:tcW w:type="dxa" w:w="1440"/>
            <w:shd w:fill="FAFAFA" w:val="clear"/>
          </w:tcPr>
          <w:p>
            <w:r>
              <w:rPr>
                <w:b/>
                <w:sz w:val="17"/>
              </w:rPr>
              <w:t>2,908</w:t>
            </w:r>
          </w:p>
        </w:tc>
        <w:tc>
          <w:tcPr>
            <w:tcW w:type="dxa" w:w="1440"/>
            <w:shd w:fill="FAFAFA" w:val="clear"/>
          </w:tcPr>
          <w:p>
            <w:r>
              <w:rPr>
                <w:sz w:val="17"/>
              </w:rPr>
              <w:t>3,261</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2,532</w:t>
            </w:r>
          </w:p>
        </w:tc>
        <w:tc>
          <w:tcPr>
            <w:tcW w:type="dxa" w:w="1440"/>
            <w:shd w:fill="FAFAFA" w:val="clear"/>
          </w:tcPr>
          <w:p>
            <w:r>
              <w:rPr>
                <w:b/>
                <w:sz w:val="17"/>
              </w:rPr>
              <w:t>2,905</w:t>
            </w:r>
          </w:p>
        </w:tc>
        <w:tc>
          <w:tcPr>
            <w:tcW w:type="dxa" w:w="1440"/>
            <w:shd w:fill="FAFAFA" w:val="clear"/>
          </w:tcPr>
          <w:p>
            <w:r>
              <w:rPr>
                <w:sz w:val="17"/>
              </w:rPr>
              <w:t>3,279</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2,509</w:t>
            </w:r>
          </w:p>
        </w:tc>
        <w:tc>
          <w:tcPr>
            <w:tcW w:type="dxa" w:w="1440"/>
            <w:shd w:fill="FAFAFA" w:val="clear"/>
          </w:tcPr>
          <w:p>
            <w:r>
              <w:rPr>
                <w:b/>
                <w:sz w:val="17"/>
              </w:rPr>
              <w:t>2,903</w:t>
            </w:r>
          </w:p>
        </w:tc>
        <w:tc>
          <w:tcPr>
            <w:tcW w:type="dxa" w:w="1440"/>
            <w:shd w:fill="FAFAFA" w:val="clear"/>
          </w:tcPr>
          <w:p>
            <w:r>
              <w:rPr>
                <w:sz w:val="17"/>
              </w:rPr>
              <w:t>3,296</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201,30 milliards FCFA, ORGT s'affirme comme une valeur de premier plan de la cote BRVM, représentant un pilier du compartiment bancaire régional. Le BPA de 312 FCFA/action confère au titre un PER de 9,3x, légèrement inférieur à la moyenne du marché BRVM (8-12x), ce qui suggère une valorisation raisonnable voire une légère sous-évaluation au regard des bénéfices générés. Le ratio P/B de 1,78x indique que le marché valorise la banque à près de 1,8 fois sa valeur comptable, un niveau cohérent avec les standards bancaires (1-2x) reflétant une prime modérée pour la qualité des actifs. En revanche, l'EV/EBITDA de 19,5x apparaît très exigeant (&gt;15x), signalant que la valeur d'entreprise intègre déjà une anticipation de forte amélioration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ORGT affiche une progression totale de +5,84%, bien que la dernière séance (J-1) ait enregistré un repli de -3,33%, traduisant une prise de bénéfices après une dynamique haussière. Le cours actuel de 2 900 FCFA se situe dans un range de trading de 965 FCFA (plus haut à 3 400 FCFA, plus bas à 2 435 FCFA), ce qui témoigne d'une volatilité significative mais d'une tendance générale haussière sur la période. Les statistiques descriptives révèlent une moyenne de 2 892 FCFA légèrement supérieure à la médiane de 2 800 FCFA, indiquant une asymétrie positive modérée (skewness de 0,293 confirmant une distribution quasi-symétrique avec une légère queue à droite). L'écart-type de 245 FCFA (CV de 8,5%) traduit une dispersion modérée du cours autour de sa moyenne, tandis que le kurtosis de -1,195 (platykurtique) signale une distribution aplatie avec un risque de pics de volatilité plus faible qu'une distribution normale. La volatilité annualisée de 37,3% classe le titre dans la catégorie des valeurs à volatilité élevée (&gt;30%), ce qui implique un risque de fluctuation important à court terme, à intégrer dans toute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(3 124,75 FCFA) et la MM50 (3 094,40 FCFA) se situent toutes deux au-dessus du cours actuel (2 900 FCFA), ce qui place le titre en position baissière à court terme par rapport à ses moyennes. Cependant, la décision technique générée est "Achat", probablement en anticipation d'un retournement ou d'un rebond technique après la correction récente, la MM20 restant légèrement supérieure à la MM50 (configuration haussière sous-jacente).</w:t>
      </w:r>
    </w:p>
    <w:p>
      <w:pPr>
        <w:spacing w:after="120" w:line="276" w:lineRule="auto"/>
      </w:pPr>
      <w:r>
        <w:t>**Bandes de Bollinger** : Le cours actuel (2 900 FCFA) évolue dans la partie basse de la bande de Bollinger (borne supérieure à 3 487,89 FCFA, borne inférieure à 2 761,61 FCFA), sans atteindre la borne inférieure. Cette position médiane-basse, combinée à une décision "Neutre", suggère une absence de signal fort, le marché attendant un catalyseur pour définir une direction claire.</w:t>
      </w:r>
    </w:p>
    <w:p>
      <w:pPr>
        <w:spacing w:after="120" w:line="276" w:lineRule="auto"/>
      </w:pPr>
      <w:r>
        <w:t>**MACD** : La valeur du MACD (-56,262) est inférieure à son signal (-27,031), générant une décision "Vente". Cette configuration baissière indique un momentum négatif persistant, bien que l'écart entre les deux lignes se réduise, ce qui pourrait annoncer un affaiblissement de la pression vendeuse à moyen terme.</w:t>
      </w:r>
    </w:p>
    <w:p>
      <w:pPr>
        <w:spacing w:after="120" w:line="276" w:lineRule="auto"/>
      </w:pPr>
      <w:r>
        <w:t>**RSI** : À 35,169, le RSI se situe dans la zone neutre basse (30-70), sans atteindre le seuil de survente (&lt;30). La décision "Neutre" reflète un équilibre précaire, le titre n'étant ni survendu ni suracheté, mais proche d'une zone où un rebond technique pourrait se matérialiser.</w:t>
      </w:r>
    </w:p>
    <w:p>
      <w:pPr>
        <w:spacing w:after="120" w:line="276" w:lineRule="auto"/>
      </w:pPr>
      <w:r>
        <w:t>**Stochastique** : Le %K (20,202) est inférieur au %D (26,936), avec une décision "Neutre". Cette configuration indique que le titre évolue en zone de survente relative sans croisement haussier confirmé, le marché restant dans une phase d'indécision.</w:t>
      </w:r>
    </w:p>
    <w:p>
      <w:pPr>
        <w:spacing w:after="120" w:line="276" w:lineRule="auto"/>
      </w:pPr>
      <w:r>
        <w:t>**Conclusion technique** : Les indicateurs techniques présentent un tableau mitigé, avec une majorité de signaux neutres (Bollinger, RSI, Stochastique) et un signal baissier (MACD) compensé par une décision d'achat sur les moyennes mobiles. Le titre se trouve dans une phase de consolidation après une correction, avec un potentiel de rebond technique si le cours parvient à se maintenir au-dessus de 2 800 FCFA, mais la prudence reste de mise face à la divergence des signaux.</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ORGT a réalisé un Produit Net Bancaire (PNB) de 186,609 milliards FCFA, en baisse de -4,52% par rapport à 2024 (195,436 milliards FCFA), reflétant une contraction de l'activité de crédit dans un contexte de sélectivité accrue. Le résultat net consolidé s'établit à 21,643 milliards FCFA, marquant un redressement spectaculaire après la perte de -44,363 milliards FCFA en 2024. Le ROE atteint 19,13% (&gt;15% = excellent), témoignant d'une rentabilité des fonds propres robuste, tandis que le ROA de 0,54% reste modeste, caractéristique du secteur bancaire. Le coefficient d'exploitation de 42,85% (&lt;60% = banque efficace) confirme une excellente maîtrise des charges, et le coût du risque de 3,74% (provisions/charges financières) indique un portefeuille de crédit assaini. La structure bilancielle affiche des dépôts clientèle de 3 088,698 milliards FCFA (principale ressource) contre des créances clientèle de 1 523,765 milliards FCFA, soit un ratio de transformation de 49,3%, reflétant une gestion prudente des liquidités.</w:t>
      </w:r>
    </w:p>
    <w:p>
      <w:pPr>
        <w:spacing w:after="120" w:line="276" w:lineRule="auto"/>
      </w:pPr>
      <w:r>
        <w:t>**Adaptation au secteur bancaire** : Le PNB de 186,609 milliards FCFA constitue l'équivalent du chiffre d'affaires pour une banque, avec une marge nette de 11,60% (résultat net/PNB), un niveau satisfaisant. Le coefficient d'exploitation de 42,85% place ORGT parmi les banques les plus efficaces de la zone UEMOA, tandis que le coût du risque de 3,74% (contre des niveaux historiquement élevés en 2024) témoigne d'une amélioration significative de la qualité du portefeuille. Les capitaux propres de 113,165 milliards FCFA (+17% vs 2024) renforcent la solvabilité, bien que le ratio d'autonomie financière de 2,82% (capitaux propres/total bilan) reste faible, conséquence inhérente au modèle bancaire fortement endetté (dépendance financière de 97,18%).</w:t>
      </w:r>
    </w:p>
    <w:p>
      <w:pPr>
        <w:spacing w:after="120" w:line="276" w:lineRule="auto"/>
      </w:pPr>
      <w:r>
        <w:t>**Estimations basées sur les rapports trimestriels** : Le rapport T1 2026 (publié en 2026) indique un PNB de 50,124 milliards FCFA (-2% en glissement annuel) et un résultat net de 6,555 milliards FCFA (+37%), confirmant la poursuite de la dynamique de redressement. Sur cette base, on estime que l'exercice 2026 devrait enregistrer un PNB annuel d'environ 200-205 milliards FCFA (si la tendance se stabilise) et un résultat net de 25-28 milliards FCFA, soit une progression de 15-30% par rapport à 2025. Le rapport T3 2025 (daté du 30 septembre 2025) faisait déjà état d'un résultat net de 19,6 milliards FCFA (+248%) et d'une réduction de 74% du coût du risque, validant la trajectoire de redressement. Le rapport S1 2025 (30 juin 2025) confirmait un bénéfice net de 18,3 milliards FCFA (+232%) et une baisse de 84% du coût du risque, tandis que le rapport T1 2025 (31 mars 2025) montrait un résultat net de 4,8 milliards FCFA (+259%). L'assemblée générale mixte du 23 juillet 2026 (document du 03 juillet 2026) a approuvé les comptes 2025 avec une perte nette sociale de -8,04 milliards FCFA (comptes sociaux de la holding) mais un résultat consolidé positif de 21,6 milliards FCFA, et n'a proposé aucun dividende, privilégiant le renforcement des fonds propres.</w:t>
      </w:r>
    </w:p>
    <w:p>
      <w:pPr>
        <w:spacing w:after="120" w:line="276" w:lineRule="auto"/>
      </w:pPr>
      <w:r>
        <w:t>**Évolution pluriannuelle** : L'exercice 2024 avait été catastrophique (perte nette de -44,4 milliards FCFA, PNB de 195,4 milliards FCFA), suivi d'un redressement spectaculaire en 2025 (bénéfice de 21,6 milliards FCFA, PNB de 186,6 milliards FCFA). Cette amélioration résulte principalement de la réduction drastique du coût du risque (de 69,1 milliards en 2024 à 7,0 milliards en 2025, soit -90%) et de la baisse des frais généraux (-12%), plutôt que d'une croissance organique du PNB, qui reste sous pression.</w:t>
      </w:r>
    </w:p>
    <w:p>
      <w:pPr>
        <w:spacing w:after="120" w:line="276" w:lineRule="auto"/>
      </w:pPr>
      <w:r>
        <w:t>**Recommandation fondamentale** : ORGT présente une solidité financière retrouvée (ROE de 19,13%, coefficient d'exploitation de 42,85%, capitaux propres en hausse de 17%), mais la baisse du PNB (-4,52%) et l'absence de dividende constituent des points de vigilance. La stratégie d'assainissement porte ses fruits, mais la relance de la croissance commerciale reste le principal défi pour 2026. La recommandation fondamentale est **CONSERVER**, avec un potentiel d'amélioration si la dynamique du T1 2026 (+37% de résultat net) se confirme sur l'ensemble de l'exercice.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d'ORGT présente un profil contrasté : le PER de 9,3x et le P/B de 1,78x suggèrent une valorisation raisonnable voire légèrement sous-évaluée, mais l'EV/EBITDA de 19,5x intègre déjà une forte anticipation de croissance opérationnelle, limitant le potentiel de revalorisation à court terme. Le comportement du cours sur 100 jours (+5,84%) est positif mais la correction de -3,33% en J-1 et la volatilité élevée (37,3%) incitent à la prudence, tandis que les statistiques descriptives (kurtosis de -1,195, skewness de 0,293) indiquent une distribution équilibrée sans risque extrême de pics. Les signaux techniques sont mitigés : les moyennes mobiles donnent un signal d'achat, mais le MACD est baissier et les autres indicateurs (Bollinger, RSI, Stochastique) sont neutres, reflétant une phase de consolidation sans direction claire. Les fondamentaux sont solides (ROE de 19,13%, coefficient d'exploitation de 42,85%, résultat net de 21,6 milliards FCFA en 2025), avec une dynamique trimestrielle positive (T1 2026 : +37% de résultat net), mais la baisse du PNB et l'absence de dividende tempèrent l'enthousiasme. Les prédictions IA pour les 10 prochains jours (2 930 FCFA le 06/10, puis 2 917 FCFA le 12/10) suggèrent une légère appréciation suivie d'une stabilisation, confirmant la tendance haussière modérée mais sans emballement. **Recommandation finale : CONSERVER**, avec un niveau de confiance **Moyen** et un risque global **Moyen**. L'horizon d'investissement optimal est le **moyen terme (3-12 mois)**, le temps que la relance du PNB se matérialise et que la politique de dividende soit clarifiée, tout en surveillant les prochains rapports trimestriels pour confirmer la trajectoire de redressement.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129.09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3,949 titres</w:t>
            </w:r>
          </w:p>
        </w:tc>
        <w:tc>
          <w:tcPr>
            <w:tcW w:type="dxa" w:w="2268"/>
            <w:shd w:fill="FFF2CC" w:val="clear"/>
          </w:tcPr>
          <w:p>
            <w:r>
              <w:rPr>
                <w:b/>
                <w:color w:val="503200"/>
                <w:sz w:val="16"/>
              </w:rPr>
              <w:t xml:space="preserve">Cours actuel : </w:t>
            </w:r>
            <w:r>
              <w:rPr>
                <w:color w:val="000000"/>
                <w:sz w:val="17"/>
              </w:rPr>
              <w:t>8,350 FCFA</w:t>
            </w:r>
          </w:p>
          <w:p>
            <w:r>
              <w:rPr>
                <w:b/>
                <w:color w:val="503200"/>
                <w:sz w:val="16"/>
              </w:rPr>
              <w:t xml:space="preserve">Var. 100 jours : </w:t>
            </w:r>
            <w:r>
              <w:rPr>
                <w:b/>
                <w:color w:val="007800"/>
                <w:sz w:val="17"/>
              </w:rPr>
              <w:t>+7.05%</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5.55% (Moyenne) — μ=8,618 FCFA, σ=478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β=0.0370 (Défensif) — Cov=0.000003, Var(idx)=0.000072, ρ=0.016,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8,009</w:t>
            </w:r>
          </w:p>
        </w:tc>
        <w:tc>
          <w:tcPr>
            <w:tcW w:type="dxa" w:w="1440"/>
            <w:shd w:fill="FAFAFA" w:val="clear"/>
          </w:tcPr>
          <w:p>
            <w:r>
              <w:rPr>
                <w:b/>
                <w:sz w:val="17"/>
              </w:rPr>
              <w:t>8,227</w:t>
            </w:r>
          </w:p>
        </w:tc>
        <w:tc>
          <w:tcPr>
            <w:tcW w:type="dxa" w:w="1440"/>
            <w:shd w:fill="FAFAFA" w:val="clear"/>
          </w:tcPr>
          <w:p>
            <w:r>
              <w:rPr>
                <w:sz w:val="17"/>
              </w:rPr>
              <w:t>8,446</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7,877</w:t>
            </w:r>
          </w:p>
        </w:tc>
        <w:tc>
          <w:tcPr>
            <w:tcW w:type="dxa" w:w="1440"/>
            <w:shd w:fill="FAFAFA" w:val="clear"/>
          </w:tcPr>
          <w:p>
            <w:r>
              <w:rPr>
                <w:b/>
                <w:sz w:val="17"/>
              </w:rPr>
              <w:t>8,185</w:t>
            </w:r>
          </w:p>
        </w:tc>
        <w:tc>
          <w:tcPr>
            <w:tcW w:type="dxa" w:w="1440"/>
            <w:shd w:fill="FAFAFA" w:val="clear"/>
          </w:tcPr>
          <w:p>
            <w:r>
              <w:rPr>
                <w:sz w:val="17"/>
              </w:rPr>
              <w:t>8,492</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2026-10-08</w:t>
            </w:r>
          </w:p>
        </w:tc>
        <w:tc>
          <w:tcPr>
            <w:tcW w:type="dxa" w:w="1440"/>
            <w:shd w:fill="FFDCE0" w:val="clear"/>
          </w:tcPr>
          <w:p>
            <w:r>
              <w:rPr>
                <w:sz w:val="17"/>
              </w:rPr>
              <w:t>7,758</w:t>
            </w:r>
          </w:p>
        </w:tc>
        <w:tc>
          <w:tcPr>
            <w:tcW w:type="dxa" w:w="1440"/>
            <w:shd w:fill="FFDCE0" w:val="clear"/>
          </w:tcPr>
          <w:p>
            <w:r>
              <w:rPr>
                <w:b/>
                <w:sz w:val="17"/>
              </w:rPr>
              <w:t>8,133</w:t>
            </w:r>
          </w:p>
        </w:tc>
        <w:tc>
          <w:tcPr>
            <w:tcW w:type="dxa" w:w="1440"/>
            <w:shd w:fill="FFDCE0" w:val="clear"/>
          </w:tcPr>
          <w:p>
            <w:r>
              <w:rPr>
                <w:sz w:val="17"/>
              </w:rPr>
              <w:t>8,507</w:t>
            </w:r>
          </w:p>
        </w:tc>
        <w:tc>
          <w:tcPr>
            <w:tcW w:type="dxa" w:w="1440"/>
            <w:shd w:fill="FFDCE0" w:val="clear"/>
          </w:tcPr>
          <w:p>
            <w:r>
              <w:rPr>
                <w:b/>
                <w:color w:val="C00000"/>
                <w:sz w:val="17"/>
              </w:rPr>
              <w:t>-2.6%</w:t>
            </w:r>
          </w:p>
        </w:tc>
      </w:tr>
      <w:tr>
        <w:tc>
          <w:tcPr>
            <w:tcW w:type="dxa" w:w="1440"/>
            <w:shd w:fill="FFDCE0" w:val="clear"/>
          </w:tcPr>
          <w:p>
            <w:r>
              <w:rPr>
                <w:sz w:val="17"/>
              </w:rPr>
              <w:t>J+4  Moyenne</w:t>
            </w:r>
          </w:p>
        </w:tc>
        <w:tc>
          <w:tcPr>
            <w:tcW w:type="dxa" w:w="1440"/>
            <w:shd w:fill="FFDCE0" w:val="clear"/>
          </w:tcPr>
          <w:p>
            <w:r>
              <w:rPr>
                <w:sz w:val="17"/>
              </w:rPr>
              <w:t>2026-10-09</w:t>
            </w:r>
          </w:p>
        </w:tc>
        <w:tc>
          <w:tcPr>
            <w:tcW w:type="dxa" w:w="1440"/>
            <w:shd w:fill="FFDCE0" w:val="clear"/>
          </w:tcPr>
          <w:p>
            <w:r>
              <w:rPr>
                <w:sz w:val="17"/>
              </w:rPr>
              <w:t>7,653</w:t>
            </w:r>
          </w:p>
        </w:tc>
        <w:tc>
          <w:tcPr>
            <w:tcW w:type="dxa" w:w="1440"/>
            <w:shd w:fill="FFDCE0" w:val="clear"/>
          </w:tcPr>
          <w:p>
            <w:r>
              <w:rPr>
                <w:b/>
                <w:sz w:val="17"/>
              </w:rPr>
              <w:t>8,082</w:t>
            </w:r>
          </w:p>
        </w:tc>
        <w:tc>
          <w:tcPr>
            <w:tcW w:type="dxa" w:w="1440"/>
            <w:shd w:fill="FFDCE0" w:val="clear"/>
          </w:tcPr>
          <w:p>
            <w:r>
              <w:rPr>
                <w:sz w:val="17"/>
              </w:rPr>
              <w:t>8,512</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2026-10-12</w:t>
            </w:r>
          </w:p>
        </w:tc>
        <w:tc>
          <w:tcPr>
            <w:tcW w:type="dxa" w:w="1440"/>
            <w:shd w:fill="FFDCE0" w:val="clear"/>
          </w:tcPr>
          <w:p>
            <w:r>
              <w:rPr>
                <w:sz w:val="17"/>
              </w:rPr>
              <w:t>7,558</w:t>
            </w:r>
          </w:p>
        </w:tc>
        <w:tc>
          <w:tcPr>
            <w:tcW w:type="dxa" w:w="1440"/>
            <w:shd w:fill="FFDCE0" w:val="clear"/>
          </w:tcPr>
          <w:p>
            <w:r>
              <w:rPr>
                <w:b/>
                <w:sz w:val="17"/>
              </w:rPr>
              <w:t>8,035</w:t>
            </w:r>
          </w:p>
        </w:tc>
        <w:tc>
          <w:tcPr>
            <w:tcW w:type="dxa" w:w="1440"/>
            <w:shd w:fill="FFDCE0" w:val="clear"/>
          </w:tcPr>
          <w:p>
            <w:r>
              <w:rPr>
                <w:sz w:val="17"/>
              </w:rPr>
              <w:t>8,513</w:t>
            </w:r>
          </w:p>
        </w:tc>
        <w:tc>
          <w:tcPr>
            <w:tcW w:type="dxa" w:w="1440"/>
            <w:shd w:fill="FFDCE0" w:val="clear"/>
          </w:tcPr>
          <w:p>
            <w:r>
              <w:rPr>
                <w:b/>
                <w:color w:val="C00000"/>
                <w:sz w:val="17"/>
              </w:rPr>
              <w:t>-3.8%</w:t>
            </w:r>
          </w:p>
        </w:tc>
      </w:tr>
      <w:tr>
        <w:tc>
          <w:tcPr>
            <w:tcW w:type="dxa" w:w="1440"/>
            <w:shd w:fill="FFDCE0" w:val="clear"/>
          </w:tcPr>
          <w:p>
            <w:r>
              <w:rPr>
                <w:sz w:val="17"/>
              </w:rPr>
              <w:t>J+6  Moyenne</w:t>
            </w:r>
          </w:p>
        </w:tc>
        <w:tc>
          <w:tcPr>
            <w:tcW w:type="dxa" w:w="1440"/>
            <w:shd w:fill="FFDCE0" w:val="clear"/>
          </w:tcPr>
          <w:p>
            <w:r>
              <w:rPr>
                <w:sz w:val="17"/>
              </w:rPr>
              <w:t>2026-10-13</w:t>
            </w:r>
          </w:p>
        </w:tc>
        <w:tc>
          <w:tcPr>
            <w:tcW w:type="dxa" w:w="1440"/>
            <w:shd w:fill="FFDCE0" w:val="clear"/>
          </w:tcPr>
          <w:p>
            <w:r>
              <w:rPr>
                <w:sz w:val="17"/>
              </w:rPr>
              <w:t>7,470</w:t>
            </w:r>
          </w:p>
        </w:tc>
        <w:tc>
          <w:tcPr>
            <w:tcW w:type="dxa" w:w="1440"/>
            <w:shd w:fill="FFDCE0" w:val="clear"/>
          </w:tcPr>
          <w:p>
            <w:r>
              <w:rPr>
                <w:b/>
                <w:sz w:val="17"/>
              </w:rPr>
              <w:t>7,990</w:t>
            </w:r>
          </w:p>
        </w:tc>
        <w:tc>
          <w:tcPr>
            <w:tcW w:type="dxa" w:w="1440"/>
            <w:shd w:fill="FFDCE0" w:val="clear"/>
          </w:tcPr>
          <w:p>
            <w:r>
              <w:rPr>
                <w:sz w:val="17"/>
              </w:rPr>
              <w:t>8,510</w:t>
            </w:r>
          </w:p>
        </w:tc>
        <w:tc>
          <w:tcPr>
            <w:tcW w:type="dxa" w:w="1440"/>
            <w:shd w:fill="FFDCE0" w:val="clear"/>
          </w:tcPr>
          <w:p>
            <w:r>
              <w:rPr>
                <w:b/>
                <w:color w:val="C00000"/>
                <w:sz w:val="17"/>
              </w:rPr>
              <w:t>-4.3%</w:t>
            </w:r>
          </w:p>
        </w:tc>
      </w:tr>
      <w:tr>
        <w:tc>
          <w:tcPr>
            <w:tcW w:type="dxa" w:w="1440"/>
            <w:shd w:fill="FFDCE0" w:val="clear"/>
          </w:tcPr>
          <w:p>
            <w:r>
              <w:rPr>
                <w:sz w:val="17"/>
              </w:rPr>
              <w:t>J+7  Moyenne</w:t>
            </w:r>
          </w:p>
        </w:tc>
        <w:tc>
          <w:tcPr>
            <w:tcW w:type="dxa" w:w="1440"/>
            <w:shd w:fill="FFDCE0" w:val="clear"/>
          </w:tcPr>
          <w:p>
            <w:r>
              <w:rPr>
                <w:sz w:val="17"/>
              </w:rPr>
              <w:t>2026-10-14</w:t>
            </w:r>
          </w:p>
        </w:tc>
        <w:tc>
          <w:tcPr>
            <w:tcW w:type="dxa" w:w="1440"/>
            <w:shd w:fill="FFDCE0" w:val="clear"/>
          </w:tcPr>
          <w:p>
            <w:r>
              <w:rPr>
                <w:sz w:val="17"/>
              </w:rPr>
              <w:t>7,388</w:t>
            </w:r>
          </w:p>
        </w:tc>
        <w:tc>
          <w:tcPr>
            <w:tcW w:type="dxa" w:w="1440"/>
            <w:shd w:fill="FFDCE0" w:val="clear"/>
          </w:tcPr>
          <w:p>
            <w:r>
              <w:rPr>
                <w:b/>
                <w:sz w:val="17"/>
              </w:rPr>
              <w:t>7,947</w:t>
            </w:r>
          </w:p>
        </w:tc>
        <w:tc>
          <w:tcPr>
            <w:tcW w:type="dxa" w:w="1440"/>
            <w:shd w:fill="FFDCE0" w:val="clear"/>
          </w:tcPr>
          <w:p>
            <w:r>
              <w:rPr>
                <w:sz w:val="17"/>
              </w:rPr>
              <w:t>8,505</w:t>
            </w:r>
          </w:p>
        </w:tc>
        <w:tc>
          <w:tcPr>
            <w:tcW w:type="dxa" w:w="1440"/>
            <w:shd w:fill="FFDCE0" w:val="clear"/>
          </w:tcPr>
          <w:p>
            <w:r>
              <w:rPr>
                <w:b/>
                <w:color w:val="C00000"/>
                <w:sz w:val="17"/>
              </w:rPr>
              <w:t>-4.8%</w:t>
            </w:r>
          </w:p>
        </w:tc>
      </w:tr>
      <w:tr>
        <w:tc>
          <w:tcPr>
            <w:tcW w:type="dxa" w:w="1440"/>
            <w:shd w:fill="FFDCE0" w:val="clear"/>
          </w:tcPr>
          <w:p>
            <w:r>
              <w:rPr>
                <w:sz w:val="17"/>
              </w:rPr>
              <w:t>J+8  Moyenne</w:t>
            </w:r>
          </w:p>
        </w:tc>
        <w:tc>
          <w:tcPr>
            <w:tcW w:type="dxa" w:w="1440"/>
            <w:shd w:fill="FFDCE0" w:val="clear"/>
          </w:tcPr>
          <w:p>
            <w:r>
              <w:rPr>
                <w:sz w:val="17"/>
              </w:rPr>
              <w:t>2026-10-15</w:t>
            </w:r>
          </w:p>
        </w:tc>
        <w:tc>
          <w:tcPr>
            <w:tcW w:type="dxa" w:w="1440"/>
            <w:shd w:fill="FFDCE0" w:val="clear"/>
          </w:tcPr>
          <w:p>
            <w:r>
              <w:rPr>
                <w:sz w:val="17"/>
              </w:rPr>
              <w:t>7,311</w:t>
            </w:r>
          </w:p>
        </w:tc>
        <w:tc>
          <w:tcPr>
            <w:tcW w:type="dxa" w:w="1440"/>
            <w:shd w:fill="FFDCE0" w:val="clear"/>
          </w:tcPr>
          <w:p>
            <w:r>
              <w:rPr>
                <w:b/>
                <w:sz w:val="17"/>
              </w:rPr>
              <w:t>7,905</w:t>
            </w:r>
          </w:p>
        </w:tc>
        <w:tc>
          <w:tcPr>
            <w:tcW w:type="dxa" w:w="1440"/>
            <w:shd w:fill="FFDCE0" w:val="clear"/>
          </w:tcPr>
          <w:p>
            <w:r>
              <w:rPr>
                <w:sz w:val="17"/>
              </w:rPr>
              <w:t>8,499</w:t>
            </w:r>
          </w:p>
        </w:tc>
        <w:tc>
          <w:tcPr>
            <w:tcW w:type="dxa" w:w="1440"/>
            <w:shd w:fill="FFDCE0" w:val="clear"/>
          </w:tcPr>
          <w:p>
            <w:r>
              <w:rPr>
                <w:b/>
                <w:color w:val="C00000"/>
                <w:sz w:val="17"/>
              </w:rPr>
              <w:t>-5.3%</w:t>
            </w:r>
          </w:p>
        </w:tc>
      </w:tr>
      <w:tr>
        <w:tc>
          <w:tcPr>
            <w:tcW w:type="dxa" w:w="1440"/>
            <w:shd w:fill="FFDCE0" w:val="clear"/>
          </w:tcPr>
          <w:p>
            <w:r>
              <w:rPr>
                <w:sz w:val="17"/>
              </w:rPr>
              <w:t>J+9  Moyenne</w:t>
            </w:r>
          </w:p>
        </w:tc>
        <w:tc>
          <w:tcPr>
            <w:tcW w:type="dxa" w:w="1440"/>
            <w:shd w:fill="FFDCE0" w:val="clear"/>
          </w:tcPr>
          <w:p>
            <w:r>
              <w:rPr>
                <w:sz w:val="17"/>
              </w:rPr>
              <w:t>2026-10-16</w:t>
            </w:r>
          </w:p>
        </w:tc>
        <w:tc>
          <w:tcPr>
            <w:tcW w:type="dxa" w:w="1440"/>
            <w:shd w:fill="FFDCE0" w:val="clear"/>
          </w:tcPr>
          <w:p>
            <w:r>
              <w:rPr>
                <w:sz w:val="17"/>
              </w:rPr>
              <w:t>7,238</w:t>
            </w:r>
          </w:p>
        </w:tc>
        <w:tc>
          <w:tcPr>
            <w:tcW w:type="dxa" w:w="1440"/>
            <w:shd w:fill="FFDCE0" w:val="clear"/>
          </w:tcPr>
          <w:p>
            <w:r>
              <w:rPr>
                <w:b/>
                <w:sz w:val="17"/>
              </w:rPr>
              <w:t>7,865</w:t>
            </w:r>
          </w:p>
        </w:tc>
        <w:tc>
          <w:tcPr>
            <w:tcW w:type="dxa" w:w="1440"/>
            <w:shd w:fill="FFDCE0" w:val="clear"/>
          </w:tcPr>
          <w:p>
            <w:r>
              <w:rPr>
                <w:sz w:val="17"/>
              </w:rPr>
              <w:t>8,492</w:t>
            </w:r>
          </w:p>
        </w:tc>
        <w:tc>
          <w:tcPr>
            <w:tcW w:type="dxa" w:w="1440"/>
            <w:shd w:fill="FFDCE0" w:val="clear"/>
          </w:tcPr>
          <w:p>
            <w:r>
              <w:rPr>
                <w:b/>
                <w:color w:val="C00000"/>
                <w:sz w:val="17"/>
              </w:rPr>
              <w:t>-5.8%</w:t>
            </w:r>
          </w:p>
        </w:tc>
      </w:tr>
      <w:tr>
        <w:tc>
          <w:tcPr>
            <w:tcW w:type="dxa" w:w="1440"/>
            <w:shd w:fill="FFDCE0" w:val="clear"/>
          </w:tcPr>
          <w:p>
            <w:r>
              <w:rPr>
                <w:sz w:val="17"/>
              </w:rPr>
              <w:t>J+10  Moyenne</w:t>
            </w:r>
          </w:p>
        </w:tc>
        <w:tc>
          <w:tcPr>
            <w:tcW w:type="dxa" w:w="1440"/>
            <w:shd w:fill="FFDCE0" w:val="clear"/>
          </w:tcPr>
          <w:p>
            <w:r>
              <w:rPr>
                <w:sz w:val="17"/>
              </w:rPr>
              <w:t>2026-10-19</w:t>
            </w:r>
          </w:p>
        </w:tc>
        <w:tc>
          <w:tcPr>
            <w:tcW w:type="dxa" w:w="1440"/>
            <w:shd w:fill="FFDCE0" w:val="clear"/>
          </w:tcPr>
          <w:p>
            <w:r>
              <w:rPr>
                <w:sz w:val="17"/>
              </w:rPr>
              <w:t>7,170</w:t>
            </w:r>
          </w:p>
        </w:tc>
        <w:tc>
          <w:tcPr>
            <w:tcW w:type="dxa" w:w="1440"/>
            <w:shd w:fill="FFDCE0" w:val="clear"/>
          </w:tcPr>
          <w:p>
            <w:r>
              <w:rPr>
                <w:b/>
                <w:sz w:val="17"/>
              </w:rPr>
              <w:t>7,827</w:t>
            </w:r>
          </w:p>
        </w:tc>
        <w:tc>
          <w:tcPr>
            <w:tcW w:type="dxa" w:w="1440"/>
            <w:shd w:fill="FFDCE0" w:val="clear"/>
          </w:tcPr>
          <w:p>
            <w:r>
              <w:rPr>
                <w:sz w:val="17"/>
              </w:rPr>
              <w:t>8,485</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129,09 milliards FCFA, PALC se positionne parmi les valeurs moyennes à grandes de la cote BRVM, reflétant la taille significative de son activité agro-industrielle en Côte d'Ivoire. Le BPA de 1 003 FCFA/action indique que chaque titre génère environ 1 003 FCFA de bénéfice net, un niveau appréciable qui, rapporté au cours actuel de 8 350 FCFA, donne un PER de 8,3x — soit un multiple inférieur à la moyenne du marché BRVM (8-12x), suggérant une valorisation raisonnable voire légèrement sous-évaluée. Le ratio P/B de 0,90x est particulièrement notable : le marché valorise PALC en dessous de sa valeur comptable, ce qui constitue historiquement un signal d'opportunité potentielle pour les investisseurs value, bien que cela puisse aussi refléter des anticipations de dégradation des fondamentaux. Enfin, l'EV/EBITDA de 4,1x, nettement inférieur au seuil de 5x, confirme que la valeur d'entreprise est bon marché par rapport à la capacité opérationnelle de génération de cash-flow, renforçant l'hypothèse d'une sous-évaluation relative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 enregistré une variation positive de +7,05%, avec une progression de +0,60% lors de la dernière séance (J-1), témoignant d'une dynamique récente légèrement haussière. Le titre a évolué dans un range de 1 960 FCFA, entre un plus bas de 7 680 FCFA et un plus haut de 9 640 FCFA, ce qui représente une amplitude de trading significative de l'ordre de 25% — indiquant une certaine nervosité du marché. La tendance générale sur la période apparaît haussière mais avec des phases de correction marquées, le cours actuel (8 350 FCFA) se situant dans la moitié inférieure du range, suggérant une consolidation après le pic atteint. Les statistiques descriptives révèlent une moyenne de 8 618 FCFA légèrement supérieure à la médiane de 8 690 FCFA, avec un mode à 8 300 FCFA ; l'écart faible entre moyenne et médiane (moins de 1%) indique une distribution quasi-symétrique, confirmée par un skewness de -0,215 (légère asymétrie négative, sans excès). L'écart-type de 481 FCFA et le coefficient de variation de 5,6% traduisent une dispersion modérée du cours autour de sa moyenne, tandis que le kurtosis de -0,359 (mésokurtique) suggère une distribution proche de la normale, sans risque excessif de pics extrêmes. La volatilité annualisée de 32,0% classe PALC dans la catégorie des titres à volatilité élevée (&gt;30%), ce qui implique un risque de marché non négligeable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(8 360,75 FCFA) est légèrement supérieure au cours actuel (8 350 FCFA), tandis que la MM50 (8 815 FCFA) se situe nettement au-dessus, créant une configuration baissière où le cours évolue sous ses deux moyennes. Cette disposition suggère une pression vendeuse persistante à moyen terme, justifiant la décision technique de **Vente** émise par le système.</w:t>
      </w:r>
    </w:p>
    <w:p>
      <w:pPr>
        <w:spacing w:after="120" w:line="276" w:lineRule="auto"/>
      </w:pPr>
      <w:r>
        <w:t>**Bandes de Bollinger** : Le cours (8 350 FCFA) se situe dans la partie médiane des bandes, entre la borne inférieure (7 975,55 FCFA) et la borne supérieure (8 745,95 FCFA), sans contact avec les extrêmes. Cette position neutre indique l'absence de signal de surachat ou de survente, avec une volatilité contenue dans les bandes, justifiant la décision **Neutre**.</w:t>
      </w:r>
    </w:p>
    <w:p>
      <w:pPr>
        <w:spacing w:after="120" w:line="276" w:lineRule="auto"/>
      </w:pPr>
      <w:r>
        <w:t>**MACD** : La valeur du MACD (-178,223) est supérieure à son signal (-198,267), générant un croisement haussier (MACD au-dessus du signal) bien que les deux restent en territoire négatif. Cette configuration indique un momentum baissier en voie d'atténuation, avec un potentiel retournement à court terme, justifiant la décision d'**Achat** malgré le contexte général baissier.</w:t>
      </w:r>
    </w:p>
    <w:p>
      <w:pPr>
        <w:spacing w:after="120" w:line="276" w:lineRule="auto"/>
      </w:pPr>
      <w:r>
        <w:t>**RSI** : À 35,119, le RSI se situe dans la zone neutre basse (30-70), sans atteindre le seuil de survente (30). Cette valeur indique une pression vendeuse modérée mais non extrême, laissant place à une possible stabilisation voire un rebond technique, justifiant la décision **Neutre**.</w:t>
      </w:r>
    </w:p>
    <w:p>
      <w:pPr>
        <w:spacing w:after="120" w:line="276" w:lineRule="auto"/>
      </w:pPr>
      <w:r>
        <w:t>**Stochastique** : Le %K (54,128) est supérieur au %D (47,401), avec un croisement haussier récent des deux lignes dans la zone médiane. Cette configuration suggère une dynamique positive à court terme, bien que le niveau médian n'indique ni surachat ni survente, justifiant la décision **Neutre**.</w:t>
      </w:r>
    </w:p>
    <w:p>
      <w:pPr>
        <w:spacing w:after="120" w:line="276" w:lineRule="auto"/>
      </w:pPr>
      <w:r>
        <w:t>**Conclusion technique** : Les indicateurs techniques présentent un tableau mitigé, avec une majorité de signaux neutres (Bollinger, RSI, Stochastique) et une divergence entre la pression baissière des moyennes mobiles (Vente) et le potentiel retournement du MACD (Achat). Le titre semble en phase de consolidation avec un biais baissier à moyen terme, mais des signaux précoces de stabilisation à court terme. La prudence reste de mise tant que le cours n'aura pas reconquis la MM20 (8 360 FCFA) de manière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PALMCI a réalisé un chiffre d'affaires de 197,630 milliards FCFA, en croissance de +14,78% par rapport à 2024, portée principalement par les ventes de produits fabriqués (193,3 Mds FCFA, soit 97,8% du CA). Le résultat net s'établit à 15,509 milliards FCFA, en léger recul de -2,2% vs 2024 (15,9 Mds), avec une marge nette de 7,85% (contre 9,2% en 2024). Le ROE ressort à 10,87% (inférieur au seuil d'excellence de 15%) et le ROA à 7,79%, traduisant une rentabilité des capitaux propres et des actifs modérée. La structure financière demeure très solide avec une autonomie financière de 71,64% (capitaux propres de 142,639 Mds FCFA pour un total bilan de 199,116 Mds), un ratio d'endettement quasi nul (0,56%) et une trésorerie nette négative de -4,559 Mds FCFA. Le BFR s'élève à 44,623 Mds FCFA, avec un délai client élevé de 142,58 jours — point de vigilance majeur pour la trésorerie — et une durée de stockage de 14,55 jours. La liquidité générale (171,95%) et la couverture des intérêts (1 415,66%) confirment la solidité du bilan.</w:t>
      </w:r>
    </w:p>
    <w:p>
      <w:pPr>
        <w:spacing w:after="120" w:line="276" w:lineRule="auto"/>
      </w:pPr>
      <w:r>
        <w:t>**Analyse sectorielle (entreprise agro-industrielle)** : Le délai client de 142,58 jours constitue un risque de trésorerie significatif, absorbant une part importante du besoin en fonds de roulement (44,623 Mds FCFA). Le BFR positif (non favorable pour une entreprise) est financé par le fonds de roulement (40,065 Mds FCFA), laissant une trésorerie nette négative. La rotation des actifs (99,25%) est correcte, mais la marge opérationnelle (9,19%) et la marge brute (31,70%) reflètent une pression sur les coûts, notamment les charges de personnel (29,621 Mds FCFA) et les services extérieurs.</w:t>
      </w:r>
    </w:p>
    <w:p>
      <w:pPr>
        <w:spacing w:after="120" w:line="276" w:lineRule="auto"/>
      </w:pPr>
      <w:r>
        <w:t>**Estimations basées sur les rapports trimestriels** : Le rapport T1 2026 (publié en 2026) révèle un effondrement du chiffre d'affaires de -27% à 49,4 Mds FCFA (vs 67,5 Mds au T1 2025) et un résultat net en chute de -86% à 1,6 Md FCFA (vs 11,6 Mds). La direction évoque un simple décalage temporel des ventes, avec un redressement attendu grâce à l'écoulement des stocks à l'export. Le rapport S1 2025 (daté du 30/06/2025) affichait pourtant un résultat net de 22,9 Mds FCFA (+37%) et une marge nette de 17,0%, tandis que le T3 2025 (30/09/2025) montrait un ralentissement avec un résultat net de 18,0 Mds FCFA (+11%) et une marge nette de 10,7%. L'exercice 2025 s'est finalement clos sur un résultat net de 15,5 Mds FCFA, inférieur aux anticipations optimistes du S1. **On estime** que l'exercice 2026 sera marqué par une forte volatilité, avec un risque de dégradation si le décalage des ventes ne se résorbe pas rapidement. Le dividende proposé pour 2025 est de 502 FCFA/action (vs 620 FCFA en 2024), soit un taux de distribution de 50,2%, en baisse de -19%.</w:t>
      </w:r>
    </w:p>
    <w:p>
      <w:pPr>
        <w:spacing w:after="120" w:line="276" w:lineRule="auto"/>
      </w:pPr>
      <w:r>
        <w:t>**Recommandation fondamentale** : PALC reste un acteur solide de l'agro-industrie ouest-africaine avec une structure financière saine (faible endettement, capitaux propres élevés) et une position dominante sur le marché de l'huile de palme. Cependant, la dégradation de la rentabilité (marge nette à 7,85% en 2025), la trésorerie nette négative, le délai client élevé et l'effondrement du T1 2026 (-86% de résultat net) constituent des signaux préoccupants. La recommandation fondamentale est de **CONSERVER** avec une surveillance active, en attendant la confirmation d'un redressement au T2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pour PALC. **Sur le plan de la valorisation (Partie 0)** , les ratios PER (8,3x), P/B (0,90x) et EV/EBITDA (4,1x) indiquent une sous-évaluation relative du titre par rapport à ses fondamentaux et au marché BRVM, ce qui constitue un argument haussier de moyen terme. **Le comportement du cours (Partie 1)** montre une tendance haussière sur 100 jours (+7,05%) mais avec une volatilité élevée (32%) et une distribution quasi-normale (kurtosis -0,359, skewness -0,215), sans risque excessif de pics extrêmes. **Les signaux techniques (Partie 2)** sont mitigés : les moyennes mobiles sont baissières (cours sous MM20 et MM50), mais le MACD génère un signal d'achat et le RSI (35,1) approche la zone de survente, suggérant un potentiel rebond technique à court terme. **Les fondamentaux (Partie 3)** révèlent une entreprise solide mais sous pression : CA 2025 de 197,6 Mds FCFA (+14,8%), résultat net de 15,5 Mds FCFA (-2,2%), ROE de 10,87%, mais un T1 2026 catastrophique (-86% de résultat net) qui pèse lourdement sur les perspectives. **Les prédictions IA (J+1 à J+10)** anticipent une trajectoire baissière continue, de 8 227 FCFA (J+1) à 8 035 FCFA (J+5), confirmant la pression vendeuse à court terme et contredisant le signal d'achat du MACD.</w:t>
      </w:r>
    </w:p>
    <w:p>
      <w:pPr>
        <w:spacing w:after="120" w:line="276" w:lineRule="auto"/>
      </w:pPr>
      <w:r>
        <w:t>**Recommandation finale** : **CONSERVER** (avec biais baissier à court terme). La convergence entre les signaux techniques baissiers (moyennes mobiles, prédictions IA) et les fondamentaux dégradés (T1 2026) l'emporte sur les arguments de sous-évaluation (PER, P/B) et le potentiel rebond technique (MACD, RSI). **Niveau de confiance** : Moyen — les données fondamentales sont solides mais les perspectives à court terme sont incertaines. **Niveau de risque global** : Élevé — volatilité de 32%, exposition aux cours de l'huile de palme, et incertitude sur le redressement des ventes. **Horizon d'investissement optimal** : Moyen terme (3-12 mois) — attendre la confirmation d'un redressement au T2 2026 et la reconquête de la MM20 (8 360 FCFA) avant d'envisager un renforcement. Un investisseur averse au risque privilégiera la vente à court terme, tandis qu'un investisseur value patient pourra conserver en vue d'une revalorisation liée à la sous-évaluation du P/B et au potentiel de rebond des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1,131 titres</w:t>
            </w:r>
          </w:p>
        </w:tc>
        <w:tc>
          <w:tcPr>
            <w:tcW w:type="dxa" w:w="2268"/>
            <w:shd w:fill="FFF2CC" w:val="clear"/>
          </w:tcPr>
          <w:p>
            <w:r>
              <w:rPr>
                <w:b/>
                <w:color w:val="503200"/>
                <w:sz w:val="16"/>
              </w:rPr>
              <w:t xml:space="preserve">Cours actuel : </w:t>
            </w:r>
            <w:r>
              <w:rPr>
                <w:color w:val="000000"/>
                <w:sz w:val="17"/>
              </w:rPr>
              <w:t>3,850 FCFA</w:t>
            </w:r>
          </w:p>
          <w:p>
            <w:r>
              <w:rPr>
                <w:b/>
                <w:color w:val="503200"/>
                <w:sz w:val="16"/>
              </w:rPr>
              <w:t xml:space="preserve">Var. 100 jours : </w:t>
            </w:r>
            <w:r>
              <w:rPr>
                <w:b/>
                <w:color w:val="007800"/>
                <w:sz w:val="17"/>
              </w:rPr>
              <w:t>+5.48%</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5.90% (Moyenne) — μ=4,347 FCFA, σ=257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β=-0.2519 (Contre-cyclique) — Cov=-0.000018, Var(idx)=0.000072, ρ=-0.091,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3,754</w:t>
            </w:r>
          </w:p>
        </w:tc>
        <w:tc>
          <w:tcPr>
            <w:tcW w:type="dxa" w:w="1440"/>
            <w:shd w:fill="FAFAFA" w:val="clear"/>
          </w:tcPr>
          <w:p>
            <w:r>
              <w:rPr>
                <w:b/>
                <w:sz w:val="17"/>
              </w:rPr>
              <w:t>3,897</w:t>
            </w:r>
          </w:p>
        </w:tc>
        <w:tc>
          <w:tcPr>
            <w:tcW w:type="dxa" w:w="1440"/>
            <w:shd w:fill="FAFAFA" w:val="clear"/>
          </w:tcPr>
          <w:p>
            <w:r>
              <w:rPr>
                <w:sz w:val="17"/>
              </w:rPr>
              <w:t>4,041</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3,687</w:t>
            </w:r>
          </w:p>
        </w:tc>
        <w:tc>
          <w:tcPr>
            <w:tcW w:type="dxa" w:w="1440"/>
            <w:shd w:fill="FAFAFA" w:val="clear"/>
          </w:tcPr>
          <w:p>
            <w:r>
              <w:rPr>
                <w:b/>
                <w:sz w:val="17"/>
              </w:rPr>
              <w:t>3,890</w:t>
            </w:r>
          </w:p>
        </w:tc>
        <w:tc>
          <w:tcPr>
            <w:tcW w:type="dxa" w:w="1440"/>
            <w:shd w:fill="FAFAFA" w:val="clear"/>
          </w:tcPr>
          <w:p>
            <w:r>
              <w:rPr>
                <w:sz w:val="17"/>
              </w:rPr>
              <w:t>4,093</w:t>
            </w:r>
          </w:p>
        </w:tc>
        <w:tc>
          <w:tcPr>
            <w:tcW w:type="dxa" w:w="1440"/>
            <w:shd w:fill="FAFAFA" w:val="clear"/>
          </w:tcPr>
          <w:p>
            <w:r>
              <w:rPr>
                <w:b/>
                <w:color w:val="008000"/>
                <w:sz w:val="17"/>
              </w:rPr>
              <w:t>+1.0%</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3,646</w:t>
            </w:r>
          </w:p>
        </w:tc>
        <w:tc>
          <w:tcPr>
            <w:tcW w:type="dxa" w:w="1440"/>
            <w:shd w:fill="FAFAFA" w:val="clear"/>
          </w:tcPr>
          <w:p>
            <w:r>
              <w:rPr>
                <w:b/>
                <w:sz w:val="17"/>
              </w:rPr>
              <w:t>3,895</w:t>
            </w:r>
          </w:p>
        </w:tc>
        <w:tc>
          <w:tcPr>
            <w:tcW w:type="dxa" w:w="1440"/>
            <w:shd w:fill="FAFAFA" w:val="clear"/>
          </w:tcPr>
          <w:p>
            <w:r>
              <w:rPr>
                <w:sz w:val="17"/>
              </w:rPr>
              <w:t>4,144</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3,613</w:t>
            </w:r>
          </w:p>
        </w:tc>
        <w:tc>
          <w:tcPr>
            <w:tcW w:type="dxa" w:w="1440"/>
            <w:shd w:fill="FAFAFA" w:val="clear"/>
          </w:tcPr>
          <w:p>
            <w:r>
              <w:rPr>
                <w:b/>
                <w:sz w:val="17"/>
              </w:rPr>
              <w:t>3,901</w:t>
            </w:r>
          </w:p>
        </w:tc>
        <w:tc>
          <w:tcPr>
            <w:tcW w:type="dxa" w:w="1440"/>
            <w:shd w:fill="FAFAFA" w:val="clear"/>
          </w:tcPr>
          <w:p>
            <w:r>
              <w:rPr>
                <w:sz w:val="17"/>
              </w:rPr>
              <w:t>4,188</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3,583</w:t>
            </w:r>
          </w:p>
        </w:tc>
        <w:tc>
          <w:tcPr>
            <w:tcW w:type="dxa" w:w="1440"/>
            <w:shd w:fill="FAFAFA" w:val="clear"/>
          </w:tcPr>
          <w:p>
            <w:r>
              <w:rPr>
                <w:b/>
                <w:sz w:val="17"/>
              </w:rPr>
              <w:t>3,905</w:t>
            </w:r>
          </w:p>
        </w:tc>
        <w:tc>
          <w:tcPr>
            <w:tcW w:type="dxa" w:w="1440"/>
            <w:shd w:fill="FAFAFA" w:val="clear"/>
          </w:tcPr>
          <w:p>
            <w:r>
              <w:rPr>
                <w:sz w:val="17"/>
              </w:rPr>
              <w:t>4,227</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3,557</w:t>
            </w:r>
          </w:p>
        </w:tc>
        <w:tc>
          <w:tcPr>
            <w:tcW w:type="dxa" w:w="1440"/>
            <w:shd w:fill="FAFAFA" w:val="clear"/>
          </w:tcPr>
          <w:p>
            <w:r>
              <w:rPr>
                <w:b/>
                <w:sz w:val="17"/>
              </w:rPr>
              <w:t>3,910</w:t>
            </w:r>
          </w:p>
        </w:tc>
        <w:tc>
          <w:tcPr>
            <w:tcW w:type="dxa" w:w="1440"/>
            <w:shd w:fill="FAFAFA" w:val="clear"/>
          </w:tcPr>
          <w:p>
            <w:r>
              <w:rPr>
                <w:sz w:val="17"/>
              </w:rPr>
              <w:t>4,262</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3,532</w:t>
            </w:r>
          </w:p>
        </w:tc>
        <w:tc>
          <w:tcPr>
            <w:tcW w:type="dxa" w:w="1440"/>
            <w:shd w:fill="FAFAFA" w:val="clear"/>
          </w:tcPr>
          <w:p>
            <w:r>
              <w:rPr>
                <w:b/>
                <w:sz w:val="17"/>
              </w:rPr>
              <w:t>3,914</w:t>
            </w:r>
          </w:p>
        </w:tc>
        <w:tc>
          <w:tcPr>
            <w:tcW w:type="dxa" w:w="1440"/>
            <w:shd w:fill="FAFAFA" w:val="clear"/>
          </w:tcPr>
          <w:p>
            <w:r>
              <w:rPr>
                <w:sz w:val="17"/>
              </w:rPr>
              <w:t>4,295</w:t>
            </w:r>
          </w:p>
        </w:tc>
        <w:tc>
          <w:tcPr>
            <w:tcW w:type="dxa" w:w="1440"/>
            <w:shd w:fill="FAFAFA" w:val="clear"/>
          </w:tcPr>
          <w:p>
            <w:r>
              <w:rPr>
                <w:b/>
                <w:color w:val="008000"/>
                <w:sz w:val="17"/>
              </w:rPr>
              <w:t>+1.7%</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3,510</w:t>
            </w:r>
          </w:p>
        </w:tc>
        <w:tc>
          <w:tcPr>
            <w:tcW w:type="dxa" w:w="1440"/>
            <w:shd w:fill="FAFAFA" w:val="clear"/>
          </w:tcPr>
          <w:p>
            <w:r>
              <w:rPr>
                <w:b/>
                <w:sz w:val="17"/>
              </w:rPr>
              <w:t>3,918</w:t>
            </w:r>
          </w:p>
        </w:tc>
        <w:tc>
          <w:tcPr>
            <w:tcW w:type="dxa" w:w="1440"/>
            <w:shd w:fill="FAFAFA" w:val="clear"/>
          </w:tcPr>
          <w:p>
            <w:r>
              <w:rPr>
                <w:sz w:val="17"/>
              </w:rPr>
              <w:t>4,326</w:t>
            </w:r>
          </w:p>
        </w:tc>
        <w:tc>
          <w:tcPr>
            <w:tcW w:type="dxa" w:w="1440"/>
            <w:shd w:fill="FAFAFA" w:val="clear"/>
          </w:tcPr>
          <w:p>
            <w:r>
              <w:rPr>
                <w:b/>
                <w:color w:val="008000"/>
                <w:sz w:val="17"/>
              </w:rPr>
              <w:t>+1.8%</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3,488</w:t>
            </w:r>
          </w:p>
        </w:tc>
        <w:tc>
          <w:tcPr>
            <w:tcW w:type="dxa" w:w="1440"/>
            <w:shd w:fill="FAFAFA" w:val="clear"/>
          </w:tcPr>
          <w:p>
            <w:r>
              <w:rPr>
                <w:b/>
                <w:sz w:val="17"/>
              </w:rPr>
              <w:t>3,922</w:t>
            </w:r>
          </w:p>
        </w:tc>
        <w:tc>
          <w:tcPr>
            <w:tcW w:type="dxa" w:w="1440"/>
            <w:shd w:fill="FAFAFA" w:val="clear"/>
          </w:tcPr>
          <w:p>
            <w:r>
              <w:rPr>
                <w:sz w:val="17"/>
              </w:rPr>
              <w:t>4,356</w:t>
            </w:r>
          </w:p>
        </w:tc>
        <w:tc>
          <w:tcPr>
            <w:tcW w:type="dxa" w:w="1440"/>
            <w:shd w:fill="FAFAFA" w:val="clear"/>
          </w:tcPr>
          <w:p>
            <w:r>
              <w:rPr>
                <w:b/>
                <w:color w:val="008000"/>
                <w:sz w:val="17"/>
              </w:rPr>
              <w:t>+1.9%</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3,469</w:t>
            </w:r>
          </w:p>
        </w:tc>
        <w:tc>
          <w:tcPr>
            <w:tcW w:type="dxa" w:w="1440"/>
            <w:shd w:fill="FAFAFA" w:val="clear"/>
          </w:tcPr>
          <w:p>
            <w:r>
              <w:rPr>
                <w:b/>
                <w:sz w:val="17"/>
              </w:rPr>
              <w:t>3,926</w:t>
            </w:r>
          </w:p>
        </w:tc>
        <w:tc>
          <w:tcPr>
            <w:tcW w:type="dxa" w:w="1440"/>
            <w:shd w:fill="FAFAFA" w:val="clear"/>
          </w:tcPr>
          <w:p>
            <w:r>
              <w:rPr>
                <w:sz w:val="17"/>
              </w:rPr>
              <w:t>4,384</w:t>
            </w:r>
          </w:p>
        </w:tc>
        <w:tc>
          <w:tcPr>
            <w:tcW w:type="dxa" w:w="1440"/>
            <w:shd w:fill="FAFAFA"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 📊 RAPPORT D'ANALYSE FINANCIÈRE — PRSC (TRACTAFRIC MOTORS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39,42 milliards FCFA, PRSC se positionne comme une valeur de taille moyenne sur le compartiment des sociétés non bancaires de la BRVM, ce qui traduit une liquidité limitée mais un profil de capitalisation respectable. Le BPA de 231 FCFA/action indique que chaque titre génère près de 231 FCFA de bénéfice net, un niveau qui, rapporté au cours actuel de 3 850 FCFA, donne un PER de 16,7x — soit une valorisation supérieure à la moyenne du marché BRVM (8-12x), signalant que les investisseurs paient une prime pour la qualité de la franchise Tractafric. Le P/B de 3,42x confirme cette lecture : le marché valorise l'entreprise à plus de trois fois sa valeur comptable, une prime de croissance cohérente avec un ROE de 20,5% (largement supérieur au coût des fonds propres). Enfin, l'EV/EBITDA de 8,8x, dans la fourchette raisonnable de 5-10x, suggère que la valeur d'entreprise reste correctement proportionnée à la capacité opérationnelle de génération de cash-flows,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affiche une variation totale positive de +5,48%, mais la dernière séance (J-1) enregistre un repli de -1,41%, signalant une pression vendeuse de court terme. Le titre évolue dans un range de trading de 1 120 FCFA, entre un plus bas de 3 620 FCFA et un plus haut de 4 740 FCFA, ce qui traduit une amplitude significative de 31% — le cours actuel (3 850 FCFA) se situe d'ailleurs tout près du plancher de cette fourchette, à seulement 6,4% au-dessus du plus bas. La tendance générale sur la période reste donc haussière dans son ensemble, mais la dynamique récente s'est nettement inversée, le titre ayant cédé près de 19% depuis son sommet. Les statistiques descriptives révèlent une distribution asymétrique : la moyenne (4 347 FCFA) est inférieure à la médiane (4 402 FCFA), et le mode (4 400 FCFA) se situe au-dessus des deux, confirmant un skewness négatif de -1,248 — autrement dit, davantage de journées se sont négociées au-dessus de la moyenne, mais quelques séances de forte baisse ont tiré la moyenne vers le bas. L'écart-type de 258 FCFA (CV = 5,9%) indique une dispersion modérée du cours, tandis que le kurtosis excédentaire de 1,084 (leptokurtique) signale des queues épaisses, donc un risque de pics de volatilité brutaux. La volatilité annualisée de 37,4% classe PRSC dans la catégorie des titres à volatilité élevée (&gt;30%), ce qui implique un risque de marché conséquent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(4 247,25 FCFA) et la MM50 (4 382,60 FCFA) se situent toutes deux nettement au-dessus du cours actuel (3 850 FCFA), avec un écart respectif de -9,4% et -12,2%. Cette configuration baissière (cours sous les deux moyennes) confirme la décision technique de **Vente**, le titre évoluant en territoire négatif sous ses supports mobiles.</w:t>
      </w:r>
    </w:p>
    <w:p>
      <w:pPr>
        <w:spacing w:after="120" w:line="276" w:lineRule="auto"/>
      </w:pPr>
      <w:r>
        <w:t>**Bandes de Bollinger** : Le cours (3 850 FCFA) repose exactement sur la borne inférieure (3 850,547 FCFA), tandis que la borne supérieure se situe à 4 643,953 FCFA. Cette position extrême en bas de bande signale une survente technique et un potentiel de rebond, justifiant la décision d'**Achat** — le prix étant statistiquement à un niveau de support dynamique.</w:t>
      </w:r>
    </w:p>
    <w:p>
      <w:pPr>
        <w:spacing w:after="120" w:line="276" w:lineRule="auto"/>
      </w:pPr>
      <w:r>
        <w:t>**MACD** : La valeur du MACD (-131,703) est inférieure à son signal (-89,437), avec un histogramme négatif de -42,266. Cette divergence baissière traduit un momentum négatif persistant, confirmant la décision de **Vente** — la pression vendeuse reste dominante malgré le niveau bas du cours.</w:t>
      </w:r>
    </w:p>
    <w:p>
      <w:pPr>
        <w:spacing w:after="120" w:line="276" w:lineRule="auto"/>
      </w:pPr>
      <w:r>
        <w:t>**RSI** : À 30,769, le RSI se situe juste au-dessus du seuil de survente (30), en zone neutre basse. La décision est **Neutre**, mais la proximité du seuil de survente suggère que le potentiel de baisse supplémentaire est limité à court terme.</w:t>
      </w:r>
    </w:p>
    <w:p>
      <w:pPr>
        <w:spacing w:after="120" w:line="276" w:lineRule="auto"/>
      </w:pPr>
      <w:r>
        <w:t>**Stochastique** : Le %K (0,0) est au plancher absolu, très en dessous du %D (11,782), avec un croisement en zone de survente extrême. Cette configuration est typiquement annonciatrice d'un rebond technique, justifiant la décision d'**Achat**.</w:t>
      </w:r>
    </w:p>
    <w:p>
      <w:pPr>
        <w:spacing w:after="120" w:line="276" w:lineRule="auto"/>
      </w:pPr>
      <w:r>
        <w:t>**Conclusion technique** : Les indicateurs sont divergents — les moyennes mobiles et le MACD confirment une tendance baissière de fond, tandis que les Bandes de Bollinger, le RSI et le Stochastique signalent une survente extrême propice à un rebond technique. Le titre se trouve à un point d'inflexion critique : soit il rebondit sur le support des 3 850 FCFA, soit il casse ce niveau et accélère à la baisse. La prudence est de mise, mais le rapport risque/rendement à court terme penche légèrement en faveur d'un rebond.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PRSC a réalisé un chiffre d'affaires de 81,127 milliards FCFA, en croissance de 8,64% par rapport à 2024 (74,45 milliards FCFA selon le rapport Mistral du 30/03/2026). Le résultat net s'établit à 2,367 milliards FCFA, en légère hausse par rapport aux 2,35 milliards de 2024, avec une marge nette de 2,92% — faible mais stable. Le ROE atteint 20,53%, un niveau excellent qui témoigne d'une rentabilité des fonds propres très satisfaisante, tandis que le ROA de 4,95% reste modeste en raison de la structure d'actifs. La valeur ajoutée de 10,852 milliards FCFA et l'EBE de 5,787 milliards FCFA confirment la solidité opérationnelle. **Adapté au secteur ENTREPRISE** : le BFR s'élève à 11,267 milliards FCFA (positif, donc défavorable), avec un délai client de 46 jours (risque de trésorerie modéré), un délai fournisseur de 102,65 jours (favorable à la trésorerie) et une durée de stockage élevée de 150,51 jours (immobilisation de capital importante). L'autonomie financière de 24,10% est inférieure au seuil sain de 30%, et le ratio d'endettement de 314,86% (dettes totales/capitaux propres) est élevé, bien que la capacité de remboursement de 1,83 an reste correcte. **Estimations basées sur les rapports trimestriels** : le rapport d'activité S1 2025 (analysé le 15/03/2026) révèle un CA de 39,968 milliards FCFA (+15,1%) et un résultat net de 1,436 milliard FCFA (×28 vs S1 2024), avec une marge nette de 3,6% — nettement supérieure à la moyenne annuelle. On estime donc que l'exercice 2025 devrait confirmer cette dynamique, avec un résultat net annuel de 2,37 milliards FCFA et un dividende de 209 FCFA/action (rendement de 5,4% au cours actuel), approuvé lors de l'AG du 30/06/2026. **Évolution temporelle** : après une chute du résultat net en 2023 (-42,6% à 2,04 milliards FCFA), la société a redressé la barre en 2024 (2,18 milliards FCFA, +6,5%) puis stabilisé en 2025 (2,37 milliards FCFA). **Recommandation fondamentale** : la solidité financière est réelle (ROE élevé, croissance du CA, dividende attractif), mais les risques persistent (marge nette faible, endettement élevé, BFR positif, dépendance au marché automobile ivoirien). Le profil est celui d'une valeur de rendement avec un potentiel de croissance modéré.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**Valorisation (Partie 0)** : le PER de 16,7x et le P/B de 3,42x indiquent une surévaluation relative par rapport au marché BRVM, mais l'EV/EBITDA de 8,8x reste raisonnable — le marché valorise la qualité de la franchise sans exubérance excessive. **Comportement du cours (Partie 1)** : la tendance haussière de fond (+5,48%) masque une correction récente (-19% depuis le sommet), avec une volatilité élevée (37,4%) et une distribution leptokurtique (kurtosis 1,084) qui expose à des pics de risque — le skewness négatif (-1,248) suggère cependant que les baisses sont moins fréquentes que les hausses. **Signaux techniques (Partie 2)** : divergence entre les indicateurs baissiers (MM, MACD) et les signaux de survente (Bollinger, Stochastique, RSI proche de 30), le titre étant à un point d'inflexion critique. **Fondamentaux (Partie 3)** : la société affiche une croissance solide du CA (+8,64% en 2025), un ROE excellent (20,53%), un dividende attractif (209 FCFA/action, rendement 5,4%) et une trésorerie positive, mais les marges restent faibles (2,92%) et l'endettement élevé (314,86%). **Prédictions IA (J+1 à J+10)** : la trajectoire projetée (3 897 → 3 905 FCFA) anticipe un rebond modéré de +1,4% sur 10 jours, confirmant les signaux de survente technique et contredisant la tendance baissière de court terme. **Recommandation finale** : **CONSERVER** avec un biais positif — la convergence entre les fondamentaux solides (ROE, dividende, croissance), les signaux techniques de survente et les prédictions IA haussières plaide pour un maintien de la position, mais la surévaluation relative (PER 16,7x) et les risques structurels (endettement, marge faible) empêchent un passage à l'ACHAT franc. **Niveau de confiance** : Moyen (divergence technique/fondamental). **Niveau de risque global** : Élevé (volatilité 37,4%, kurtosis leptokurtique, endettement 314,86%). **Horizon d'investissement optimal** : Moyen terme (3-12 mois), le temps que la société confirme la tendance du S1 2025 et que le marché revalorise le titre à un niveau plus conforme à ses fondamentaux.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8,859 titres</w:t>
            </w:r>
          </w:p>
        </w:tc>
        <w:tc>
          <w:tcPr>
            <w:tcW w:type="dxa" w:w="2268"/>
            <w:shd w:fill="FFF2CC" w:val="clear"/>
          </w:tcPr>
          <w:p>
            <w:r>
              <w:rPr>
                <w:b/>
                <w:color w:val="503200"/>
                <w:sz w:val="16"/>
              </w:rPr>
              <w:t xml:space="preserve">Cours actuel : </w:t>
            </w:r>
            <w:r>
              <w:rPr>
                <w:color w:val="000000"/>
                <w:sz w:val="17"/>
              </w:rPr>
              <w:t>4,200 FCFA</w:t>
            </w:r>
          </w:p>
          <w:p>
            <w:r>
              <w:rPr>
                <w:b/>
                <w:color w:val="503200"/>
                <w:sz w:val="16"/>
              </w:rPr>
              <w:t xml:space="preserve">Var. 100 jours : </w:t>
            </w:r>
            <w:r>
              <w:rPr>
                <w:b/>
                <w:color w:val="007800"/>
                <w:sz w:val="17"/>
              </w:rPr>
              <w:t>+20.52%</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3,485 FCFA</w:t>
            </w:r>
          </w:p>
          <w:p>
            <w:r>
              <w:rPr>
                <w:b/>
                <w:color w:val="503200"/>
                <w:sz w:val="16"/>
              </w:rPr>
              <w:t xml:space="preserve">Volatilité ann. : </w:t>
            </w:r>
            <w:r>
              <w:rPr>
                <w:color w:val="000000"/>
                <w:sz w:val="17"/>
              </w:rPr>
              <w:t>62.4%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31.0/100 → Moyen</w:t>
      </w:r>
    </w:p>
    <w:p>
      <w:pPr>
        <w:spacing w:before="40" w:after="80"/>
      </w:pPr>
      <w:r>
        <w:rPr>
          <w:rFonts w:ascii="Courier New" w:hAnsi="Courier New"/>
          <w:color w:val="825A00"/>
          <w:sz w:val="18"/>
        </w:rPr>
        <w:t>██████░░░░░░░░░░░░░░  31.0/100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15.62% (Élevée) — μ=4,658 FCFA, σ=728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β=1.3219 (Agressif) — Cov=0.000095, Var(idx)=0.000072, ρ=0.285,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8,859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σ_j=3.93%/j (Modérée) — Vol. annualisée≈62.4%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3,831</w:t>
            </w:r>
          </w:p>
        </w:tc>
        <w:tc>
          <w:tcPr>
            <w:tcW w:type="dxa" w:w="1440"/>
            <w:shd w:fill="FAFAFA" w:val="clear"/>
          </w:tcPr>
          <w:p>
            <w:r>
              <w:rPr>
                <w:b/>
                <w:sz w:val="17"/>
              </w:rPr>
              <w:t>4,134</w:t>
            </w:r>
          </w:p>
        </w:tc>
        <w:tc>
          <w:tcPr>
            <w:tcW w:type="dxa" w:w="1440"/>
            <w:shd w:fill="FAFAFA" w:val="clear"/>
          </w:tcPr>
          <w:p>
            <w:r>
              <w:rPr>
                <w:sz w:val="17"/>
              </w:rPr>
              <w:t>4,436</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2026-10-07</w:t>
            </w:r>
          </w:p>
        </w:tc>
        <w:tc>
          <w:tcPr>
            <w:tcW w:type="dxa" w:w="1440"/>
            <w:shd w:fill="FFDCE0" w:val="clear"/>
          </w:tcPr>
          <w:p>
            <w:r>
              <w:rPr>
                <w:sz w:val="17"/>
              </w:rPr>
              <w:t>3,676</w:t>
            </w:r>
          </w:p>
        </w:tc>
        <w:tc>
          <w:tcPr>
            <w:tcW w:type="dxa" w:w="1440"/>
            <w:shd w:fill="FFDCE0" w:val="clear"/>
          </w:tcPr>
          <w:p>
            <w:r>
              <w:rPr>
                <w:b/>
                <w:sz w:val="17"/>
              </w:rPr>
              <w:t>4,101</w:t>
            </w:r>
          </w:p>
        </w:tc>
        <w:tc>
          <w:tcPr>
            <w:tcW w:type="dxa" w:w="1440"/>
            <w:shd w:fill="FFDCE0" w:val="clear"/>
          </w:tcPr>
          <w:p>
            <w:r>
              <w:rPr>
                <w:sz w:val="17"/>
              </w:rPr>
              <w:t>4,525</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2026-10-08</w:t>
            </w:r>
          </w:p>
        </w:tc>
        <w:tc>
          <w:tcPr>
            <w:tcW w:type="dxa" w:w="1440"/>
            <w:shd w:fill="FFDCE0" w:val="clear"/>
          </w:tcPr>
          <w:p>
            <w:r>
              <w:rPr>
                <w:sz w:val="17"/>
              </w:rPr>
              <w:t>3,584</w:t>
            </w:r>
          </w:p>
        </w:tc>
        <w:tc>
          <w:tcPr>
            <w:tcW w:type="dxa" w:w="1440"/>
            <w:shd w:fill="FFDCE0" w:val="clear"/>
          </w:tcPr>
          <w:p>
            <w:r>
              <w:rPr>
                <w:b/>
                <w:sz w:val="17"/>
              </w:rPr>
              <w:t>4,104</w:t>
            </w:r>
          </w:p>
        </w:tc>
        <w:tc>
          <w:tcPr>
            <w:tcW w:type="dxa" w:w="1440"/>
            <w:shd w:fill="FFDCE0" w:val="clear"/>
          </w:tcPr>
          <w:p>
            <w:r>
              <w:rPr>
                <w:sz w:val="17"/>
              </w:rPr>
              <w:t>4,625</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3,511</w:t>
            </w:r>
          </w:p>
        </w:tc>
        <w:tc>
          <w:tcPr>
            <w:tcW w:type="dxa" w:w="1440"/>
            <w:shd w:fill="FFDCE0" w:val="clear"/>
          </w:tcPr>
          <w:p>
            <w:r>
              <w:rPr>
                <w:b/>
                <w:sz w:val="17"/>
              </w:rPr>
              <w:t>4,113</w:t>
            </w:r>
          </w:p>
        </w:tc>
        <w:tc>
          <w:tcPr>
            <w:tcW w:type="dxa" w:w="1440"/>
            <w:shd w:fill="FFDCE0" w:val="clear"/>
          </w:tcPr>
          <w:p>
            <w:r>
              <w:rPr>
                <w:sz w:val="17"/>
              </w:rPr>
              <w:t>4,716</w:t>
            </w:r>
          </w:p>
        </w:tc>
        <w:tc>
          <w:tcPr>
            <w:tcW w:type="dxa" w:w="1440"/>
            <w:shd w:fill="FFDCE0" w:val="clear"/>
          </w:tcPr>
          <w:p>
            <w:r>
              <w:rPr>
                <w:b/>
                <w:color w:val="C00000"/>
                <w:sz w:val="17"/>
              </w:rPr>
              <w:t>-2.1%</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3,447</w:t>
            </w:r>
          </w:p>
        </w:tc>
        <w:tc>
          <w:tcPr>
            <w:tcW w:type="dxa" w:w="1440"/>
            <w:shd w:fill="FAFAFA" w:val="clear"/>
          </w:tcPr>
          <w:p>
            <w:r>
              <w:rPr>
                <w:b/>
                <w:sz w:val="17"/>
              </w:rPr>
              <w:t>4,121</w:t>
            </w:r>
          </w:p>
        </w:tc>
        <w:tc>
          <w:tcPr>
            <w:tcW w:type="dxa" w:w="1440"/>
            <w:shd w:fill="FAFAFA" w:val="clear"/>
          </w:tcPr>
          <w:p>
            <w:r>
              <w:rPr>
                <w:sz w:val="17"/>
              </w:rPr>
              <w:t>4,796</w:t>
            </w:r>
          </w:p>
        </w:tc>
        <w:tc>
          <w:tcPr>
            <w:tcW w:type="dxa" w:w="1440"/>
            <w:shd w:fill="FAFAFA" w:val="clear"/>
          </w:tcPr>
          <w:p>
            <w:r>
              <w:rPr>
                <w:b/>
                <w:color w:val="C00000"/>
                <w:sz w:val="17"/>
              </w:rPr>
              <w:t>-1.9%</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3,387</w:t>
            </w:r>
          </w:p>
        </w:tc>
        <w:tc>
          <w:tcPr>
            <w:tcW w:type="dxa" w:w="1440"/>
            <w:shd w:fill="FAFAFA" w:val="clear"/>
          </w:tcPr>
          <w:p>
            <w:r>
              <w:rPr>
                <w:b/>
                <w:sz w:val="17"/>
              </w:rPr>
              <w:t>4,127</w:t>
            </w:r>
          </w:p>
        </w:tc>
        <w:tc>
          <w:tcPr>
            <w:tcW w:type="dxa" w:w="1440"/>
            <w:shd w:fill="FAFAFA" w:val="clear"/>
          </w:tcPr>
          <w:p>
            <w:r>
              <w:rPr>
                <w:sz w:val="17"/>
              </w:rPr>
              <w:t>4,867</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3,332</w:t>
            </w:r>
          </w:p>
        </w:tc>
        <w:tc>
          <w:tcPr>
            <w:tcW w:type="dxa" w:w="1440"/>
            <w:shd w:fill="FAFAFA" w:val="clear"/>
          </w:tcPr>
          <w:p>
            <w:r>
              <w:rPr>
                <w:b/>
                <w:sz w:val="17"/>
              </w:rPr>
              <w:t>4,132</w:t>
            </w:r>
          </w:p>
        </w:tc>
        <w:tc>
          <w:tcPr>
            <w:tcW w:type="dxa" w:w="1440"/>
            <w:shd w:fill="FAFAFA" w:val="clear"/>
          </w:tcPr>
          <w:p>
            <w:r>
              <w:rPr>
                <w:sz w:val="17"/>
              </w:rPr>
              <w:t>4,933</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3,280</w:t>
            </w:r>
          </w:p>
        </w:tc>
        <w:tc>
          <w:tcPr>
            <w:tcW w:type="dxa" w:w="1440"/>
            <w:shd w:fill="FAFAFA" w:val="clear"/>
          </w:tcPr>
          <w:p>
            <w:r>
              <w:rPr>
                <w:b/>
                <w:sz w:val="17"/>
              </w:rPr>
              <w:t>4,136</w:t>
            </w:r>
          </w:p>
        </w:tc>
        <w:tc>
          <w:tcPr>
            <w:tcW w:type="dxa" w:w="1440"/>
            <w:shd w:fill="FAFAFA" w:val="clear"/>
          </w:tcPr>
          <w:p>
            <w:r>
              <w:rPr>
                <w:sz w:val="17"/>
              </w:rPr>
              <w:t>4,993</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3,230</w:t>
            </w:r>
          </w:p>
        </w:tc>
        <w:tc>
          <w:tcPr>
            <w:tcW w:type="dxa" w:w="1440"/>
            <w:shd w:fill="FAFAFA" w:val="clear"/>
          </w:tcPr>
          <w:p>
            <w:r>
              <w:rPr>
                <w:b/>
                <w:sz w:val="17"/>
              </w:rPr>
              <w:t>4,140</w:t>
            </w:r>
          </w:p>
        </w:tc>
        <w:tc>
          <w:tcPr>
            <w:tcW w:type="dxa" w:w="1440"/>
            <w:shd w:fill="FAFAFA" w:val="clear"/>
          </w:tcPr>
          <w:p>
            <w:r>
              <w:rPr>
                <w:sz w:val="17"/>
              </w:rPr>
              <w:t>5,049</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3,183</w:t>
            </w:r>
          </w:p>
        </w:tc>
        <w:tc>
          <w:tcPr>
            <w:tcW w:type="dxa" w:w="1440"/>
            <w:shd w:fill="FAFAFA" w:val="clear"/>
          </w:tcPr>
          <w:p>
            <w:r>
              <w:rPr>
                <w:b/>
                <w:sz w:val="17"/>
              </w:rPr>
              <w:t>4,142</w:t>
            </w:r>
          </w:p>
        </w:tc>
        <w:tc>
          <w:tcPr>
            <w:tcW w:type="dxa" w:w="1440"/>
            <w:shd w:fill="FAFAFA" w:val="clear"/>
          </w:tcPr>
          <w:p>
            <w:r>
              <w:rPr>
                <w:sz w:val="17"/>
              </w:rPr>
              <w:t>5,101</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ACTION SAFC (ALIOS FINANCE CÔTE D'IVOIRE)**</w:t>
        <w:br/>
        <w:t>*Bourse Régionale des Valeurs Mobilières (BRVM) — Secteur : Banque / Financement spécialisé*</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49,85 milliards FCFA, SAFC se positionne comme une valeur de taille moyenne sur le compartiment bancaire de la BRVM, loin des géants comme SGBCI ou Ecobank, ce qui la rend plus sensible aux mouvements spéculatifs. Le BPA de 59 FCFA/action signifie que chaque titre génère théoriquement 59 FCFA de bénéfice net, un niveau modeste qui traduit la fragilité structurelle de la rentabilité. Le PER de 71,1x constitue un signal d'alerte majeur : les investisseurs paient plus de 71 fois les bénéfices pour détenir ce titre, soit environ 6 à 9 fois le PER moyen de la BRVM (8-12x), ce qui intègre déjà une anticipation très optimiste du redressement. Le P/B de 8,43x indique que le marché valorise la société à plus de 8 fois sa valeur comptable, une prime exigeante qui n'est justifiée que si la rentabilité future converge vers les standards du secteur. Enfin, l'EV/EBITDA de 83,2x, très supérieur au seuil de 15x, confirme que la valeur d'entreprise intègre une croissance future considérable, laissant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SAFC affiche une progression totale de +20,52%, mais la dernière séance (J-1) enregistre un repli marqué de -5,62%, signalant une pression vendeuse récente. Le cours actuel de 4 200 FCFA se situe dans la partie médiane du range de trading, entre un plus bas de 3 485 FCFA et un plus haut de 6 200 FCFA, ce qui traduit une forte amplitude de 78% entre les extrêmes. La tendance générale reste haussière sur la période, mais le repli récent et la position sous les moyennes mobiles suggèrent un essoufflement du momentum. Les statistiques descriptives révèlent une moyenne de 4 658 FCFA légèrement supérieure à la médiane de 4 580 FCFA, indiquant une distribution faiblement asymétrique à droite, cohérente avec le skewness de 0,330 qualifié de symétrique. L'écart-type de 731 FCFA avec un coefficient de variation de 15,7% témoigne d'une dispersion modérée du cours autour de sa moyenne. Le kurtosis de -0,917 (mésokurtique) indique une distribution proche de la normale, sans risque de pics extrêmes prononcé. Enfin, la volatilité annualisée de 62,4% classe ce titre dans la catégorie des valeurs très volatiles (&gt;30%), ce qui implique un risque de perte en capital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4 826,75 FCFA et la MM50 à 5 195,90 FCFA, toutes deux nettement supérieures au cours actuel de 4 200 FCFA. Cette configuration baissière (prix sous les moyennes) confirme la décision de Vente, le titre évoluant sous ses références court et moyen terme.</w:t>
      </w:r>
    </w:p>
    <w:p>
      <w:pPr>
        <w:spacing w:after="120" w:line="276" w:lineRule="auto"/>
      </w:pPr>
      <w:r>
        <w:t>**Bandes de Bollinger** : La borne supérieure est à 5 930,73 FCFA et la borne inférieure à 3 722,78 FCFA, avec un cours actuel de 4 200 FCFA positionné dans la moitié basse du canal. La décision Neutre s'explique par l'absence de rupture imminente, mais la proximité de la borne inférieure suggère une possible zone de support.</w:t>
      </w:r>
    </w:p>
    <w:p>
      <w:pPr>
        <w:spacing w:after="120" w:line="276" w:lineRule="auto"/>
      </w:pPr>
      <w:r>
        <w:t>**MACD** : La valeur du MACD (-279,90) est inférieure à son signal (-245,26), générant une divergence baissière persistante. Le momentum reste négatif, ce qui justifie la décision de Vente et indique que la pression baissière n'est pas encore résorbée.</w:t>
      </w:r>
    </w:p>
    <w:p>
      <w:pPr>
        <w:spacing w:after="120" w:line="276" w:lineRule="auto"/>
      </w:pPr>
      <w:r>
        <w:t>**RSI** : À 32,99, le RSI se situe juste au-dessus du seuil de survente (30), ce qui explique la décision Neutre. Le titre n'est pas encore techniquement survendu, mais il s'en approche, laissant entrevoir un possible rebond technique à court terme.</w:t>
      </w:r>
    </w:p>
    <w:p>
      <w:pPr>
        <w:spacing w:after="120" w:line="276" w:lineRule="auto"/>
      </w:pPr>
      <w:r>
        <w:t>**Stochastique** : Le %K (21,89) est inférieur au %D (34,58), confirmant une dynamique baissière à court terme. La décision Neutre reflète l'absence de croisement haussier, mais la position basse du %K suggère une proximité de la zone de survente.</w:t>
      </w:r>
    </w:p>
    <w:p>
      <w:pPr>
        <w:spacing w:after="120" w:line="276" w:lineRule="auto"/>
      </w:pPr>
      <w:r>
        <w:t>**Conclusion technique** : L'ensemble des indicateurs penche majoritairement vers une tendance baissière (MM, MACD), avec des signaux Neutres (Bollinger, RSI, Stochastique) qui traduisent une possible accalmie mais sans retournement confirmé. Le titre évolue sous ses moyennes mobiles avec un momentum négatif, et seul le RSI proche de la survente laisse entrevoir un rebond technique fragile. La convergence des signaux baissiers invite à la prudence avant tout engagement à l'achat.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(secteur BANQUE) révèlent un Produit Net Bancaire (équivalent du chiffre d'affaires) de 5 735 millions FCFA, en forte hausse de +44,1% par rapport aux 3 980 millions FCFA de 2024, portée par la progression des intérêts (+14,4%) et des commissions (+81%). Le résultat net s'établit à 701 millions FCFA en 2025, marquant un retournement spectaculaire après une perte de 165 millions FCFA en 2024, avec une marge nette de 12,2%. Le ROE de 11,85% reste inférieur au seuil d'excellence de 15%, tandis que le ROA de 0,88% demeure faible, reflétant la modestie des capitaux propres (5 916 millions FCFA) face à un total bilan de 79 555 millions FCFA. Le coefficient d'exploitation de 77,63% est très supérieur au seuil de 60% (banque efficace), indiquant une structure de coûts encore lourde, et le coût du risque de 6,57% traduit un portefeuille de crédits présentant un risque significatif. La structure financière est préoccupante : l'autonomie financière de 7,44% est très inférieure au seuil de 30%, le ratio d'endettement de 856,36% est élevé, et la trésorerie nette est négative à -35 324 millions FCFA, avec une dépendance marquée aux dettes interbancaires (35 747 millions FCFA). Les rapports trimestriels récents confirment la dynamique : le rapport T1 2026 (publié le 12/05/2026) affiche un PNB de 1 395 millions FCFA (+29%) et un résultat net de 151 millions FCFA (+1 062%), tandis que le rapport S1 2026 (publié le 04/09/2026) montre un PNB de 2 907 millions FCFA (+37%) et un résultat net de 731 millions FCFA (+231%), avec une reprise nette sur coût du risque de 261 millions FCFA. Sur la base de ces tendances, on peut estimer que l'exercice 2026 devrait afficher un PNB supérieur à 6 milliards FCFA et un résultat net en forte progression, potentiellement au-delà de 1,2 milliard FCFA, à condition que la maîtrise du risque de crédit se poursuive. Cependant, les risques persistent : dépendance aux dettes interbancaires, report à nouveau négatif (-4 123 millions FCFA), et absence de dividende (0% de distribution). La recommandation fondamentale est de CONSERVER, en attendant la confirmation d'un assainissement durable du bilan et d'une rentabilité pérenne.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affiche des ratios extrêmement tendus (PER 71,1x, P/B 8,43x, EV/EBITDA 83,2x) qui intègrent déjà une anticipation très optimiste du redressement, laissant peu de marge d'erreur. Le comportement du cours (Partie 1) montre une hausse de +20,52% sur 100 jours mais un repli récent de -5,62%, avec une volatilité annualisée très élevée de 62,4% et des statistiques (kurtosis -0,917, skewness 0,330) qui indiquent une distribution proche de la normale sans risque de pics extrêmes, mais une dispersion modérée. Les signaux techniques (Partie 2) sont majoritairement baissiers : le cours évolue sous ses moyennes mobiles (MM20 et MM50), le MACD est en divergence baissière, et seul le RSI proche de la survente (32,99) laisse entrevoir un rebond technique fragile. Les fondamentaux (Partie 3) révèlent un redressement spectaculaire en 2025 (PNB +44,1%, résultat net de 701 millions FCFA) et confirmé par les rapports T1 2026 et S1 2026, mais la structure financière reste fragile (autonomie financière de 7,44%, dépendance interbancaire, report à nouveau négatif). Les prédictions IA (J+1 à J+10) anticipent une légère baisse vers 4 134 FCFA puis une stabilisation autour de 4 100-4 120 FCFA, ce qui contredit la dynamique haussière passée et confirme la pression baissière actuelle. Sur la base de cette synthèse, la convergence entre valorisation exigeante, signaux techniques baissiers et prédictions IA à la baisse invite à la prudence, malgré des fondamentaux en amélioration. La recommandation finale est **CONSERVER** avec un niveau de confiance **Moyen** et un risque global **Élevé**, en raison de la volatilité du titre et de la fragilité persistante du bilan. L'horizon d'investissement optimal est le **moyen terme (3-12 mois)**, le temps que la société confirme la durabilité de son redressement et renforce ses fonds propres, ce qui pourrait justifier un passage à l'ACHAT si les prochains rapports trimestriels confirment la trajectoire actuelle.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54.88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10,684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007800"/>
                <w:sz w:val="17"/>
              </w:rPr>
              <w:t>+34.62%</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2,080 FCFA</w:t>
            </w:r>
          </w:p>
          <w:p>
            <w:r>
              <w:rPr>
                <w:b/>
                <w:color w:val="503200"/>
                <w:sz w:val="16"/>
              </w:rPr>
              <w:t xml:space="preserve">Volatilité ann. : </w:t>
            </w:r>
            <w:r>
              <w:rPr>
                <w:color w:val="000000"/>
                <w:sz w:val="17"/>
              </w:rPr>
              <w:t>58.7%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14.29% (Moyenne) — μ=3,179 FCFA, σ=454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β=1.3249 (Agressif) — Cov=0.000092, Var(idx)=0.000069, ρ=0.309,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10,684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σ_j=3.70%/j (Modérée) — Vol. annualisée≈58.7%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5477"/>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2026-10-06</w:t>
            </w:r>
          </w:p>
        </w:tc>
        <w:tc>
          <w:tcPr>
            <w:tcW w:type="dxa" w:w="1440"/>
            <w:shd w:fill="C6EFCE" w:val="clear"/>
          </w:tcPr>
          <w:p>
            <w:r>
              <w:rPr>
                <w:sz w:val="17"/>
              </w:rPr>
              <w:t>2,713</w:t>
            </w:r>
          </w:p>
        </w:tc>
        <w:tc>
          <w:tcPr>
            <w:tcW w:type="dxa" w:w="1440"/>
            <w:shd w:fill="C6EFCE" w:val="clear"/>
          </w:tcPr>
          <w:p>
            <w:r>
              <w:rPr>
                <w:b/>
                <w:sz w:val="17"/>
              </w:rPr>
              <w:t>2,874</w:t>
            </w:r>
          </w:p>
        </w:tc>
        <w:tc>
          <w:tcPr>
            <w:tcW w:type="dxa" w:w="1440"/>
            <w:shd w:fill="C6EFCE" w:val="clear"/>
          </w:tcPr>
          <w:p>
            <w:r>
              <w:rPr>
                <w:sz w:val="17"/>
              </w:rPr>
              <w:t>3,035</w:t>
            </w:r>
          </w:p>
        </w:tc>
        <w:tc>
          <w:tcPr>
            <w:tcW w:type="dxa" w:w="1440"/>
            <w:shd w:fill="C6EFCE" w:val="clear"/>
          </w:tcPr>
          <w:p>
            <w:r>
              <w:rPr>
                <w:b/>
                <w:color w:val="008000"/>
                <w:sz w:val="17"/>
              </w:rPr>
              <w:t>+2.6%</w:t>
            </w:r>
          </w:p>
        </w:tc>
      </w:tr>
      <w:tr>
        <w:tc>
          <w:tcPr>
            <w:tcW w:type="dxa" w:w="1440"/>
            <w:shd w:fill="C6EFCE" w:val="clear"/>
          </w:tcPr>
          <w:p>
            <w:r>
              <w:rPr>
                <w:sz w:val="17"/>
              </w:rPr>
              <w:t>J+2  Moyenne</w:t>
            </w:r>
          </w:p>
        </w:tc>
        <w:tc>
          <w:tcPr>
            <w:tcW w:type="dxa" w:w="1440"/>
            <w:shd w:fill="C6EFCE" w:val="clear"/>
          </w:tcPr>
          <w:p>
            <w:r>
              <w:rPr>
                <w:sz w:val="17"/>
              </w:rPr>
              <w:t>2026-10-07</w:t>
            </w:r>
          </w:p>
        </w:tc>
        <w:tc>
          <w:tcPr>
            <w:tcW w:type="dxa" w:w="1440"/>
            <w:shd w:fill="C6EFCE" w:val="clear"/>
          </w:tcPr>
          <w:p>
            <w:r>
              <w:rPr>
                <w:sz w:val="17"/>
              </w:rPr>
              <w:t>2,724</w:t>
            </w:r>
          </w:p>
        </w:tc>
        <w:tc>
          <w:tcPr>
            <w:tcW w:type="dxa" w:w="1440"/>
            <w:shd w:fill="C6EFCE" w:val="clear"/>
          </w:tcPr>
          <w:p>
            <w:r>
              <w:rPr>
                <w:b/>
                <w:sz w:val="17"/>
              </w:rPr>
              <w:t>2,958</w:t>
            </w:r>
          </w:p>
        </w:tc>
        <w:tc>
          <w:tcPr>
            <w:tcW w:type="dxa" w:w="1440"/>
            <w:shd w:fill="C6EFCE" w:val="clear"/>
          </w:tcPr>
          <w:p>
            <w:r>
              <w:rPr>
                <w:sz w:val="17"/>
              </w:rPr>
              <w:t>3,193</w:t>
            </w:r>
          </w:p>
        </w:tc>
        <w:tc>
          <w:tcPr>
            <w:tcW w:type="dxa" w:w="1440"/>
            <w:shd w:fill="C6EFCE" w:val="clear"/>
          </w:tcPr>
          <w:p>
            <w:r>
              <w:rPr>
                <w:b/>
                <w:color w:val="008000"/>
                <w:sz w:val="17"/>
              </w:rPr>
              <w:t>+5.6%</w:t>
            </w:r>
          </w:p>
        </w:tc>
      </w:tr>
      <w:tr>
        <w:tc>
          <w:tcPr>
            <w:tcW w:type="dxa" w:w="1440"/>
            <w:shd w:fill="C6EFCE" w:val="clear"/>
          </w:tcPr>
          <w:p>
            <w:r>
              <w:rPr>
                <w:sz w:val="17"/>
              </w:rPr>
              <w:t>J+3  Moyenne</w:t>
            </w:r>
          </w:p>
        </w:tc>
        <w:tc>
          <w:tcPr>
            <w:tcW w:type="dxa" w:w="1440"/>
            <w:shd w:fill="C6EFCE" w:val="clear"/>
          </w:tcPr>
          <w:p>
            <w:r>
              <w:rPr>
                <w:sz w:val="17"/>
              </w:rPr>
              <w:t>2026-10-08</w:t>
            </w:r>
          </w:p>
        </w:tc>
        <w:tc>
          <w:tcPr>
            <w:tcW w:type="dxa" w:w="1440"/>
            <w:shd w:fill="C6EFCE" w:val="clear"/>
          </w:tcPr>
          <w:p>
            <w:r>
              <w:rPr>
                <w:sz w:val="17"/>
              </w:rPr>
              <w:t>2,741</w:t>
            </w:r>
          </w:p>
        </w:tc>
        <w:tc>
          <w:tcPr>
            <w:tcW w:type="dxa" w:w="1440"/>
            <w:shd w:fill="C6EFCE" w:val="clear"/>
          </w:tcPr>
          <w:p>
            <w:r>
              <w:rPr>
                <w:b/>
                <w:sz w:val="17"/>
              </w:rPr>
              <w:t>3,036</w:t>
            </w:r>
          </w:p>
        </w:tc>
        <w:tc>
          <w:tcPr>
            <w:tcW w:type="dxa" w:w="1440"/>
            <w:shd w:fill="C6EFCE" w:val="clear"/>
          </w:tcPr>
          <w:p>
            <w:r>
              <w:rPr>
                <w:sz w:val="17"/>
              </w:rPr>
              <w:t>3,331</w:t>
            </w:r>
          </w:p>
        </w:tc>
        <w:tc>
          <w:tcPr>
            <w:tcW w:type="dxa" w:w="1440"/>
            <w:shd w:fill="C6EFCE" w:val="clear"/>
          </w:tcPr>
          <w:p>
            <w:r>
              <w:rPr>
                <w:b/>
                <w:color w:val="008000"/>
                <w:sz w:val="17"/>
              </w:rPr>
              <w:t>+8.4%</w:t>
            </w:r>
          </w:p>
        </w:tc>
      </w:tr>
      <w:tr>
        <w:tc>
          <w:tcPr>
            <w:tcW w:type="dxa" w:w="1440"/>
            <w:shd w:fill="C6EFCE" w:val="clear"/>
          </w:tcPr>
          <w:p>
            <w:r>
              <w:rPr>
                <w:sz w:val="17"/>
              </w:rPr>
              <w:t>J+4  ⭐</w:t>
            </w:r>
          </w:p>
        </w:tc>
        <w:tc>
          <w:tcPr>
            <w:tcW w:type="dxa" w:w="1440"/>
            <w:shd w:fill="C6EFCE" w:val="clear"/>
          </w:tcPr>
          <w:p>
            <w:r>
              <w:rPr>
                <w:sz w:val="17"/>
              </w:rPr>
              <w:t>2026-10-09</w:t>
            </w:r>
          </w:p>
        </w:tc>
        <w:tc>
          <w:tcPr>
            <w:tcW w:type="dxa" w:w="1440"/>
            <w:shd w:fill="C6EFCE" w:val="clear"/>
          </w:tcPr>
          <w:p>
            <w:r>
              <w:rPr>
                <w:sz w:val="17"/>
              </w:rPr>
              <w:t>2,750</w:t>
            </w:r>
          </w:p>
        </w:tc>
        <w:tc>
          <w:tcPr>
            <w:tcW w:type="dxa" w:w="1440"/>
            <w:shd w:fill="C6EFCE" w:val="clear"/>
          </w:tcPr>
          <w:p>
            <w:r>
              <w:rPr>
                <w:b/>
                <w:sz w:val="17"/>
              </w:rPr>
              <w:t>3,097</w:t>
            </w:r>
          </w:p>
        </w:tc>
        <w:tc>
          <w:tcPr>
            <w:tcW w:type="dxa" w:w="1440"/>
            <w:shd w:fill="C6EFCE" w:val="clear"/>
          </w:tcPr>
          <w:p>
            <w:r>
              <w:rPr>
                <w:sz w:val="17"/>
              </w:rPr>
              <w:t>3,444</w:t>
            </w:r>
          </w:p>
        </w:tc>
        <w:tc>
          <w:tcPr>
            <w:tcW w:type="dxa" w:w="1440"/>
            <w:shd w:fill="C6EFCE" w:val="clear"/>
          </w:tcPr>
          <w:p>
            <w:r>
              <w:rPr>
                <w:b/>
                <w:color w:val="008000"/>
                <w:sz w:val="17"/>
              </w:rPr>
              <w:t>+10.6%</w:t>
            </w:r>
          </w:p>
        </w:tc>
      </w:tr>
      <w:tr>
        <w:tc>
          <w:tcPr>
            <w:tcW w:type="dxa" w:w="1440"/>
            <w:shd w:fill="C6EFCE" w:val="clear"/>
          </w:tcPr>
          <w:p>
            <w:r>
              <w:rPr>
                <w:sz w:val="17"/>
              </w:rPr>
              <w:t>J+5  ⭐</w:t>
            </w:r>
          </w:p>
        </w:tc>
        <w:tc>
          <w:tcPr>
            <w:tcW w:type="dxa" w:w="1440"/>
            <w:shd w:fill="C6EFCE" w:val="clear"/>
          </w:tcPr>
          <w:p>
            <w:r>
              <w:rPr>
                <w:sz w:val="17"/>
              </w:rPr>
              <w:t>2026-10-12</w:t>
            </w:r>
          </w:p>
        </w:tc>
        <w:tc>
          <w:tcPr>
            <w:tcW w:type="dxa" w:w="1440"/>
            <w:shd w:fill="C6EFCE" w:val="clear"/>
          </w:tcPr>
          <w:p>
            <w:r>
              <w:rPr>
                <w:sz w:val="17"/>
              </w:rPr>
              <w:t>2,751</w:t>
            </w:r>
          </w:p>
        </w:tc>
        <w:tc>
          <w:tcPr>
            <w:tcW w:type="dxa" w:w="1440"/>
            <w:shd w:fill="C6EFCE" w:val="clear"/>
          </w:tcPr>
          <w:p>
            <w:r>
              <w:rPr>
                <w:b/>
                <w:sz w:val="17"/>
              </w:rPr>
              <w:t>3,146</w:t>
            </w:r>
          </w:p>
        </w:tc>
        <w:tc>
          <w:tcPr>
            <w:tcW w:type="dxa" w:w="1440"/>
            <w:shd w:fill="C6EFCE" w:val="clear"/>
          </w:tcPr>
          <w:p>
            <w:r>
              <w:rPr>
                <w:sz w:val="17"/>
              </w:rPr>
              <w:t>3,540</w:t>
            </w:r>
          </w:p>
        </w:tc>
        <w:tc>
          <w:tcPr>
            <w:tcW w:type="dxa" w:w="1440"/>
            <w:shd w:fill="C6EFCE" w:val="clear"/>
          </w:tcPr>
          <w:p>
            <w:r>
              <w:rPr>
                <w:b/>
                <w:color w:val="008000"/>
                <w:sz w:val="17"/>
              </w:rPr>
              <w:t>+12.3%</w:t>
            </w:r>
          </w:p>
        </w:tc>
      </w:tr>
      <w:tr>
        <w:tc>
          <w:tcPr>
            <w:tcW w:type="dxa" w:w="1440"/>
            <w:shd w:fill="C6EFCE" w:val="clear"/>
          </w:tcPr>
          <w:p>
            <w:r>
              <w:rPr>
                <w:sz w:val="17"/>
              </w:rPr>
              <w:t>J+6  ⭐</w:t>
            </w:r>
          </w:p>
        </w:tc>
        <w:tc>
          <w:tcPr>
            <w:tcW w:type="dxa" w:w="1440"/>
            <w:shd w:fill="C6EFCE" w:val="clear"/>
          </w:tcPr>
          <w:p>
            <w:r>
              <w:rPr>
                <w:sz w:val="17"/>
              </w:rPr>
              <w:t>2026-10-13</w:t>
            </w:r>
          </w:p>
        </w:tc>
        <w:tc>
          <w:tcPr>
            <w:tcW w:type="dxa" w:w="1440"/>
            <w:shd w:fill="C6EFCE" w:val="clear"/>
          </w:tcPr>
          <w:p>
            <w:r>
              <w:rPr>
                <w:sz w:val="17"/>
              </w:rPr>
              <w:t>2,748</w:t>
            </w:r>
          </w:p>
        </w:tc>
        <w:tc>
          <w:tcPr>
            <w:tcW w:type="dxa" w:w="1440"/>
            <w:shd w:fill="C6EFCE" w:val="clear"/>
          </w:tcPr>
          <w:p>
            <w:r>
              <w:rPr>
                <w:b/>
                <w:sz w:val="17"/>
              </w:rPr>
              <w:t>3,185</w:t>
            </w:r>
          </w:p>
        </w:tc>
        <w:tc>
          <w:tcPr>
            <w:tcW w:type="dxa" w:w="1440"/>
            <w:shd w:fill="C6EFCE" w:val="clear"/>
          </w:tcPr>
          <w:p>
            <w:r>
              <w:rPr>
                <w:sz w:val="17"/>
              </w:rPr>
              <w:t>3,622</w:t>
            </w:r>
          </w:p>
        </w:tc>
        <w:tc>
          <w:tcPr>
            <w:tcW w:type="dxa" w:w="1440"/>
            <w:shd w:fill="C6EFCE" w:val="clear"/>
          </w:tcPr>
          <w:p>
            <w:r>
              <w:rPr>
                <w:b/>
                <w:color w:val="008000"/>
                <w:sz w:val="17"/>
              </w:rPr>
              <w:t>+13.7%</w:t>
            </w:r>
          </w:p>
        </w:tc>
      </w:tr>
      <w:tr>
        <w:tc>
          <w:tcPr>
            <w:tcW w:type="dxa" w:w="1440"/>
            <w:shd w:fill="C6EFCE" w:val="clear"/>
          </w:tcPr>
          <w:p>
            <w:r>
              <w:rPr>
                <w:sz w:val="17"/>
              </w:rPr>
              <w:t>J+7  ⭐</w:t>
            </w:r>
          </w:p>
        </w:tc>
        <w:tc>
          <w:tcPr>
            <w:tcW w:type="dxa" w:w="1440"/>
            <w:shd w:fill="C6EFCE" w:val="clear"/>
          </w:tcPr>
          <w:p>
            <w:r>
              <w:rPr>
                <w:sz w:val="17"/>
              </w:rPr>
              <w:t>2026-10-14</w:t>
            </w:r>
          </w:p>
        </w:tc>
        <w:tc>
          <w:tcPr>
            <w:tcW w:type="dxa" w:w="1440"/>
            <w:shd w:fill="C6EFCE" w:val="clear"/>
          </w:tcPr>
          <w:p>
            <w:r>
              <w:rPr>
                <w:sz w:val="17"/>
              </w:rPr>
              <w:t>2,741</w:t>
            </w:r>
          </w:p>
        </w:tc>
        <w:tc>
          <w:tcPr>
            <w:tcW w:type="dxa" w:w="1440"/>
            <w:shd w:fill="C6EFCE" w:val="clear"/>
          </w:tcPr>
          <w:p>
            <w:r>
              <w:rPr>
                <w:b/>
                <w:sz w:val="17"/>
              </w:rPr>
              <w:t>3,218</w:t>
            </w:r>
          </w:p>
        </w:tc>
        <w:tc>
          <w:tcPr>
            <w:tcW w:type="dxa" w:w="1440"/>
            <w:shd w:fill="C6EFCE" w:val="clear"/>
          </w:tcPr>
          <w:p>
            <w:r>
              <w:rPr>
                <w:sz w:val="17"/>
              </w:rPr>
              <w:t>3,695</w:t>
            </w:r>
          </w:p>
        </w:tc>
        <w:tc>
          <w:tcPr>
            <w:tcW w:type="dxa" w:w="1440"/>
            <w:shd w:fill="C6EFCE" w:val="clear"/>
          </w:tcPr>
          <w:p>
            <w:r>
              <w:rPr>
                <w:b/>
                <w:color w:val="008000"/>
                <w:sz w:val="17"/>
              </w:rPr>
              <w:t>+14.9%</w:t>
            </w:r>
          </w:p>
        </w:tc>
      </w:tr>
      <w:tr>
        <w:tc>
          <w:tcPr>
            <w:tcW w:type="dxa" w:w="1440"/>
            <w:shd w:fill="C6EFCE" w:val="clear"/>
          </w:tcPr>
          <w:p>
            <w:r>
              <w:rPr>
                <w:sz w:val="17"/>
              </w:rPr>
              <w:t>J+8  ⭐</w:t>
            </w:r>
          </w:p>
        </w:tc>
        <w:tc>
          <w:tcPr>
            <w:tcW w:type="dxa" w:w="1440"/>
            <w:shd w:fill="C6EFCE" w:val="clear"/>
          </w:tcPr>
          <w:p>
            <w:r>
              <w:rPr>
                <w:sz w:val="17"/>
              </w:rPr>
              <w:t>2026-10-15</w:t>
            </w:r>
          </w:p>
        </w:tc>
        <w:tc>
          <w:tcPr>
            <w:tcW w:type="dxa" w:w="1440"/>
            <w:shd w:fill="C6EFCE" w:val="clear"/>
          </w:tcPr>
          <w:p>
            <w:r>
              <w:rPr>
                <w:sz w:val="17"/>
              </w:rPr>
              <w:t>2,732</w:t>
            </w:r>
          </w:p>
        </w:tc>
        <w:tc>
          <w:tcPr>
            <w:tcW w:type="dxa" w:w="1440"/>
            <w:shd w:fill="C6EFCE" w:val="clear"/>
          </w:tcPr>
          <w:p>
            <w:r>
              <w:rPr>
                <w:b/>
                <w:sz w:val="17"/>
              </w:rPr>
              <w:t>3,247</w:t>
            </w:r>
          </w:p>
        </w:tc>
        <w:tc>
          <w:tcPr>
            <w:tcW w:type="dxa" w:w="1440"/>
            <w:shd w:fill="C6EFCE" w:val="clear"/>
          </w:tcPr>
          <w:p>
            <w:r>
              <w:rPr>
                <w:sz w:val="17"/>
              </w:rPr>
              <w:t>3,762</w:t>
            </w:r>
          </w:p>
        </w:tc>
        <w:tc>
          <w:tcPr>
            <w:tcW w:type="dxa" w:w="1440"/>
            <w:shd w:fill="C6EFCE" w:val="clear"/>
          </w:tcPr>
          <w:p>
            <w:r>
              <w:rPr>
                <w:b/>
                <w:color w:val="008000"/>
                <w:sz w:val="17"/>
              </w:rPr>
              <w:t>+16.0%</w:t>
            </w:r>
          </w:p>
        </w:tc>
      </w:tr>
      <w:tr>
        <w:tc>
          <w:tcPr>
            <w:tcW w:type="dxa" w:w="1440"/>
            <w:shd w:fill="C6EFCE" w:val="clear"/>
          </w:tcPr>
          <w:p>
            <w:r>
              <w:rPr>
                <w:sz w:val="17"/>
              </w:rPr>
              <w:t>J+9  ⭐</w:t>
            </w:r>
          </w:p>
        </w:tc>
        <w:tc>
          <w:tcPr>
            <w:tcW w:type="dxa" w:w="1440"/>
            <w:shd w:fill="C6EFCE" w:val="clear"/>
          </w:tcPr>
          <w:p>
            <w:r>
              <w:rPr>
                <w:sz w:val="17"/>
              </w:rPr>
              <w:t>2026-10-16</w:t>
            </w:r>
          </w:p>
        </w:tc>
        <w:tc>
          <w:tcPr>
            <w:tcW w:type="dxa" w:w="1440"/>
            <w:shd w:fill="C6EFCE" w:val="clear"/>
          </w:tcPr>
          <w:p>
            <w:r>
              <w:rPr>
                <w:sz w:val="17"/>
              </w:rPr>
              <w:t>2,721</w:t>
            </w:r>
          </w:p>
        </w:tc>
        <w:tc>
          <w:tcPr>
            <w:tcW w:type="dxa" w:w="1440"/>
            <w:shd w:fill="C6EFCE" w:val="clear"/>
          </w:tcPr>
          <w:p>
            <w:r>
              <w:rPr>
                <w:b/>
                <w:sz w:val="17"/>
              </w:rPr>
              <w:t>3,272</w:t>
            </w:r>
          </w:p>
        </w:tc>
        <w:tc>
          <w:tcPr>
            <w:tcW w:type="dxa" w:w="1440"/>
            <w:shd w:fill="C6EFCE" w:val="clear"/>
          </w:tcPr>
          <w:p>
            <w:r>
              <w:rPr>
                <w:sz w:val="17"/>
              </w:rPr>
              <w:t>3,822</w:t>
            </w:r>
          </w:p>
        </w:tc>
        <w:tc>
          <w:tcPr>
            <w:tcW w:type="dxa" w:w="1440"/>
            <w:shd w:fill="C6EFCE" w:val="clear"/>
          </w:tcPr>
          <w:p>
            <w:r>
              <w:rPr>
                <w:b/>
                <w:color w:val="008000"/>
                <w:sz w:val="17"/>
              </w:rPr>
              <w:t>+16.8%</w:t>
            </w:r>
          </w:p>
        </w:tc>
      </w:tr>
      <w:tr>
        <w:tc>
          <w:tcPr>
            <w:tcW w:type="dxa" w:w="1440"/>
            <w:shd w:fill="C6EFCE" w:val="clear"/>
          </w:tcPr>
          <w:p>
            <w:r>
              <w:rPr>
                <w:sz w:val="17"/>
              </w:rPr>
              <w:t>J+10  ⭐</w:t>
            </w:r>
          </w:p>
        </w:tc>
        <w:tc>
          <w:tcPr>
            <w:tcW w:type="dxa" w:w="1440"/>
            <w:shd w:fill="C6EFCE" w:val="clear"/>
          </w:tcPr>
          <w:p>
            <w:r>
              <w:rPr>
                <w:sz w:val="17"/>
              </w:rPr>
              <w:t>2026-10-19</w:t>
            </w:r>
          </w:p>
        </w:tc>
        <w:tc>
          <w:tcPr>
            <w:tcW w:type="dxa" w:w="1440"/>
            <w:shd w:fill="C6EFCE" w:val="clear"/>
          </w:tcPr>
          <w:p>
            <w:r>
              <w:rPr>
                <w:sz w:val="17"/>
              </w:rPr>
              <w:t>2,709</w:t>
            </w:r>
          </w:p>
        </w:tc>
        <w:tc>
          <w:tcPr>
            <w:tcW w:type="dxa" w:w="1440"/>
            <w:shd w:fill="C6EFCE" w:val="clear"/>
          </w:tcPr>
          <w:p>
            <w:r>
              <w:rPr>
                <w:b/>
                <w:sz w:val="17"/>
              </w:rPr>
              <w:t>3,293</w:t>
            </w:r>
          </w:p>
        </w:tc>
        <w:tc>
          <w:tcPr>
            <w:tcW w:type="dxa" w:w="1440"/>
            <w:shd w:fill="C6EFCE" w:val="clear"/>
          </w:tcPr>
          <w:p>
            <w:r>
              <w:rPr>
                <w:sz w:val="17"/>
              </w:rPr>
              <w:t>3,877</w:t>
            </w:r>
          </w:p>
        </w:tc>
        <w:tc>
          <w:tcPr>
            <w:tcW w:type="dxa" w:w="1440"/>
            <w:shd w:fill="C6EFCE" w:val="clear"/>
          </w:tcPr>
          <w:p>
            <w:r>
              <w:rPr>
                <w:b/>
                <w:color w:val="008000"/>
                <w:sz w:val="17"/>
              </w:rPr>
              <w:t>+17.6%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(Sucre)*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SCRC s'élève à 54,88 milliards FCFA, un niveau intermédiaire à l'échelle de la BRVM qui la positionne comme une valeur industrielle de taille moyenne. Le BPA ressort à -406 FCFA/action, ce qui signifie que chaque action détruit comptablement 406 FCFA de bénéfice, conséquence directe de la perte nette de 7,95 milliards FCFA enregistrée en 2025. Le PER de -6,9x est négatif et donc non interprétable en termes de cherté relative : il signale simplement une société déficitaire, rendant toute comparaison avec le PER moyen BRVM (8-12x) inopérante. Le P/B de 3,18x indique que le marché valorise SCRC à plus de trois fois ses capitaux propres (17,24 milliards FCFA), soit une prime de croissance significative qui contraste fortement avec la dégradation des fondamentaux. Enfin, l'EV/EBITDA de 9,9x se situe dans la fourchette raisonnable de 5-10x, suggérant que la valeur d'entreprise reste soutenue par la capacité opérationnelle (EBE de 14,85 milliards FCFA) malgré la perte nette.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SCRC affiche une progression totale de +34,62%, avec une dernière séance en hausse de +0,36% à 2 800 FCFA, témoignant d'un momentum haussier récent malgré la dégradation fondamentale. Le range de trading est très large, oscillant entre un plus bas de 2 080 FCFA et un plus haut de 3 920 FCFA, soit un écart de 88%, ce qui traduit une forte nervosité du marché. La tendance générale est baissière sur la période récente (le cours actuel de 2 800 FCFA est inférieur à la moyenne de 3 179 FCFA), mais le rebond des derniers jours suggère une tentative de stabilisation. Les statistiques descriptives révèlent une distribution asymétrique : la moyenne (3 179 FCFA) est inférieure à la médiane (3 298 FCFA), confirmant un skewness négatif de -0,675, ce qui signifie que le cours a passé plus de journées au-dessus de la moyenne mais avec des chutes brutales tirant la moyenne vers le bas. L'écart-type de 456 FCFA (CV=14,4%) indique une dispersion modérée, tandis que le kurtosis de -0,543 (mésokurtique) suggère une distribution proche de la normale, sans risque extrême de pics. La volatilité annualisée de 58,7% classe le titre dans la catégorie des valeurs très volatiles (&gt;30%), ce qui est cohérent avec un contexte de retournement fondamental.</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(3 183,5 FCFA) et la MM50 (3 414,6 FCFA) sont toutes deux supérieures au cours actuel (2 800 FCFA), confirmant une configuration baissière. La MM20 étant en dessous de la MM50, cela signale une pression vendeuse persistante. La décision technique est donc logiquement **Vente**, le cours évoluant sous ses deux moyennes de référence.</w:t>
      </w:r>
    </w:p>
    <w:p>
      <w:pPr>
        <w:spacing w:after="120" w:line="276" w:lineRule="auto"/>
      </w:pPr>
      <w:r>
        <w:t>**Bandes de Bollinger** : Le cours (2 800 FCFA) se situe dans la partie basse des bandes, entre la borne inférieure (2 555,3 FCFA) et la borne supérieure (3 811,7 FCFA). Cette position proche de la borne basse indique une pression baissière, mais la décision est **Neutre** car le cours n'a pas encore cassé la borne inférieure, laissant place à un possible rebond technique.</w:t>
      </w:r>
    </w:p>
    <w:p>
      <w:pPr>
        <w:spacing w:after="120" w:line="276" w:lineRule="auto"/>
      </w:pPr>
      <w:r>
        <w:t>**MACD** : La valeur du MACD (-179,9) est inférieure à son signal (-147,4), avec un histogramme négatif. Cette divergence baissière indique un momentum négatif persistant, bien que l'écart entre les deux lignes se réduise légèrement. La décision est **Vente**, le MACD n'ayant pas encore croisé à la hausse son signal.</w:t>
      </w:r>
    </w:p>
    <w:p>
      <w:pPr>
        <w:spacing w:after="120" w:line="276" w:lineRule="auto"/>
      </w:pPr>
      <w:r>
        <w:t>**RSI** : Le RSI à 27,27 est en zone de survente (&lt;30), ce qui est un signal d'achat technique. Cette configuration suggère que le titre a été excessivement vendu à court terme et qu'un rebond technique est probable. La décision est donc **Achat** sur cet indicateur.</w:t>
      </w:r>
    </w:p>
    <w:p>
      <w:pPr>
        <w:spacing w:after="120" w:line="276" w:lineRule="auto"/>
      </w:pPr>
      <w:r>
        <w:t>**Stochastique** : Le %K (15,60) et le %D (15,28) sont tous deux en zone de survente (&lt;20), avec un croisement haussier imminent (%K légèrement au-dessus du %D). Cette configuration confirme le signal d'achat technique, indiquant une possible reprise à court terme. La décision est **Achat**.</w:t>
      </w:r>
    </w:p>
    <w:p>
      <w:pPr>
        <w:spacing w:after="120" w:line="276" w:lineRule="auto"/>
      </w:pPr>
      <w:r>
        <w:t>**Conclusion technique** : Les indicateurs présentent une divergence notable : les moyennes mobiles et le MACD sont baissiers, tandis que le RSI et le stochastique sont en zone de survente et génèrent des signaux d'achat. Cette configuration suggère un possible rebond technique à court terme, mais la tendance de fond reste baissière tant que le cours n'aura pas reconquis la MM20 (3 183 FCFA). La prudence est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situation financière très dégradée. Le chiffre d'affaires s'établit à 80,57 milliards FCFA, en baisse de 7,6% par rapport à 2024 (87,22 milliards FCFA), tandis que le résultat net plonge à -7,95 milliards FCFA (contre un bénéfice de 2,47 milliards en 2024). Le ROE est catastrophique à -46,13% et le ROA à -5,08%, confirmant la destruction de valeur. La marge nette est négative à -9,87%, et la marge opérationnelle à -0,68%, signe que l'exploitation courante ne couvre plus les charges. Le ratio d'endettement explose à 88,98% (dettes totales/capitaux propres), avec des dettes financières totales de 84,87 milliards FCFA pour des capitaux propres de seulement 17,24 milliards FCFA, soit une autonomie financière critique de 11,02%. La trésorerie nette est négative à -6,51 milliards FCFA, et le fonds de roulement est négatif à -10,67 milliards FCFA, signalant un risque de liquidité majeur. Les délais d'exploitation sont préoccupants : le délai fournisseurs de 366 jours est anormalement élevé (signe de tensions avec les fournisseurs), tandis que la durée de stockage de 361 jours immobilise massivement du capital. Le rapport narratif du 31/12/2025 (analysé par DeepSeek le 01/05/2026) confirme que la perte nette de 7,95 milliards FCFA est principalement due à l'explosion du coût de l'endettement financier (+262% à 6,79 milliards FCFA) et à la chute du résultat opérationnel courant (-210 millions FCFA contre +5,8 milliards en 2024). Le rapport du 30/06/2025 (S1 2025) indiquait déjà une perte nette de -6,71 milliards FCFA, confirmant la tendance baissière. Les perspectives pour 2026 restent très préoccupantes : la société devra impérativement restructurer sa dette (64,5 milliards FCFA d'endettement long terme) et restaurer sa rentabilité opérationnelle. La recommandation fondamentale est **Vente** en raison des risques majeurs de liquidité, de solvabilité et de la dégradation continue des indicateurs.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profonde entre les signaux techniques à court terme et les fondamentaux à moyen terme. La valorisation (Partie 0) est préoccupante : le PER négatif (-6,9x) et le P/B élevé (3,18x) indiquent que le marché valorise une société déficitaire à une prime injustifiée, tandis que l'EV/EBITDA (9,9x) reste soutenu par l'EBE mais masque la perte nette. Le comportement du cours (Partie 1) est paradoxal : malgré une hausse de +34,62% sur 100 jours, la tendance récente est baissière (cours sous la moyenne), avec une volatilité très élevée (58,7%) et un skewness négatif (-0,675) signalant des chutes brutales. Les signaux techniques (Partie 2) sont mitigés : le RSI (27,3) et le stochastique (15,6) sont en survente et génèrent des signaux d'achat, mais les moyennes mobiles et le MACD restent baissiers, suggérant un rebond technique limité. Les fondamentaux (Partie 3) sont catastrophiques : perte nette de 7,95 milliards FCFA en 2025, ROE de -46,13%, endettement critique (88,98%), trésorerie nette négative (-6,51 milliards FCFA) et perspectives 2026 très incertaines. Les prédictions IA (J+1 à J+10) anticipent une hausse progressive de 2 874 FCFA à 3 146 FCFA, ce qui contredit les signaux baissiers des moyennes mobiles et du MACD, mais pourrait refléter un rebond technique lié à la survente. **Recommandation finale : VENTE**. La convergence des fondamentaux dégradés, de la valorisation excessive et des risques de liquidité l'emporte sur les signaux techniques d'achat à court terme. Le niveau de confiance est **Élevé** (les données fondamentales sont sans ambiguïté), et le niveau de risque global est **Élevé** (risque de défaillance financière). L'horizon d'investissement optimal est **court terme (&lt;3 mois)** pour les traders cherchant à profiter du rebond technique, mais **déconseillé** pour les investisseurs moyen/long terme en raison de la fragilité financière extrême de la société.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1,491 titres</w:t>
            </w:r>
          </w:p>
        </w:tc>
        <w:tc>
          <w:tcPr>
            <w:tcW w:type="dxa" w:w="2268"/>
            <w:shd w:fill="FFF2CC" w:val="clear"/>
          </w:tcPr>
          <w:p>
            <w:r>
              <w:rPr>
                <w:b/>
                <w:color w:val="503200"/>
                <w:sz w:val="16"/>
              </w:rPr>
              <w:t xml:space="preserve">Cours actuel : </w:t>
            </w:r>
            <w:r>
              <w:rPr>
                <w:color w:val="000000"/>
                <w:sz w:val="17"/>
              </w:rPr>
              <w:t>12,940 FCFA</w:t>
            </w:r>
          </w:p>
          <w:p>
            <w:r>
              <w:rPr>
                <w:b/>
                <w:color w:val="503200"/>
                <w:sz w:val="16"/>
              </w:rPr>
              <w:t xml:space="preserve">Var. 100 jours : </w:t>
            </w:r>
            <w:r>
              <w:rPr>
                <w:b/>
                <w:color w:val="007800"/>
                <w:sz w:val="17"/>
              </w:rPr>
              <w:t>+42.28%</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9,095 FCFA</w:t>
            </w:r>
          </w:p>
          <w:p>
            <w:r>
              <w:rPr>
                <w:b/>
                <w:color w:val="503200"/>
                <w:sz w:val="16"/>
              </w:rPr>
              <w:t xml:space="preserve">Volatilité ann. : </w:t>
            </w:r>
            <w:r>
              <w:rPr>
                <w:color w:val="000000"/>
                <w:sz w:val="17"/>
              </w:rPr>
              <w:t>39.2%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7.30% (Moyenne) — μ=11,960 FCFA, σ=873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β=0.7310 (Défensif) — Cov=0.000053, Var(idx)=0.000072, ρ=0.251,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12,247</w:t>
            </w:r>
          </w:p>
        </w:tc>
        <w:tc>
          <w:tcPr>
            <w:tcW w:type="dxa" w:w="1440"/>
            <w:shd w:fill="FAFAFA" w:val="clear"/>
          </w:tcPr>
          <w:p>
            <w:r>
              <w:rPr>
                <w:b/>
                <w:sz w:val="17"/>
              </w:rPr>
              <w:t>12,959</w:t>
            </w:r>
          </w:p>
        </w:tc>
        <w:tc>
          <w:tcPr>
            <w:tcW w:type="dxa" w:w="1440"/>
            <w:shd w:fill="FAFAFA" w:val="clear"/>
          </w:tcPr>
          <w:p>
            <w:r>
              <w:rPr>
                <w:sz w:val="17"/>
              </w:rPr>
              <w:t>13,672</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11,960</w:t>
            </w:r>
          </w:p>
        </w:tc>
        <w:tc>
          <w:tcPr>
            <w:tcW w:type="dxa" w:w="1440"/>
            <w:shd w:fill="FAFAFA" w:val="clear"/>
          </w:tcPr>
          <w:p>
            <w:r>
              <w:rPr>
                <w:b/>
                <w:sz w:val="17"/>
              </w:rPr>
              <w:t>12,968</w:t>
            </w:r>
          </w:p>
        </w:tc>
        <w:tc>
          <w:tcPr>
            <w:tcW w:type="dxa" w:w="1440"/>
            <w:shd w:fill="FAFAFA" w:val="clear"/>
          </w:tcPr>
          <w:p>
            <w:r>
              <w:rPr>
                <w:sz w:val="17"/>
              </w:rPr>
              <w:t>13,976</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11,730</w:t>
            </w:r>
          </w:p>
        </w:tc>
        <w:tc>
          <w:tcPr>
            <w:tcW w:type="dxa" w:w="1440"/>
            <w:shd w:fill="FAFAFA" w:val="clear"/>
          </w:tcPr>
          <w:p>
            <w:r>
              <w:rPr>
                <w:b/>
                <w:sz w:val="17"/>
              </w:rPr>
              <w:t>12,965</w:t>
            </w:r>
          </w:p>
        </w:tc>
        <w:tc>
          <w:tcPr>
            <w:tcW w:type="dxa" w:w="1440"/>
            <w:shd w:fill="FAFAFA" w:val="clear"/>
          </w:tcPr>
          <w:p>
            <w:r>
              <w:rPr>
                <w:sz w:val="17"/>
              </w:rPr>
              <w:t>14,199</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11,545</w:t>
            </w:r>
          </w:p>
        </w:tc>
        <w:tc>
          <w:tcPr>
            <w:tcW w:type="dxa" w:w="1440"/>
            <w:shd w:fill="FAFAFA" w:val="clear"/>
          </w:tcPr>
          <w:p>
            <w:r>
              <w:rPr>
                <w:b/>
                <w:sz w:val="17"/>
              </w:rPr>
              <w:t>12,971</w:t>
            </w:r>
          </w:p>
        </w:tc>
        <w:tc>
          <w:tcPr>
            <w:tcW w:type="dxa" w:w="1440"/>
            <w:shd w:fill="FAFAFA" w:val="clear"/>
          </w:tcPr>
          <w:p>
            <w:r>
              <w:rPr>
                <w:sz w:val="17"/>
              </w:rPr>
              <w:t>14,398</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11,386</w:t>
            </w:r>
          </w:p>
        </w:tc>
        <w:tc>
          <w:tcPr>
            <w:tcW w:type="dxa" w:w="1440"/>
            <w:shd w:fill="FAFAFA" w:val="clear"/>
          </w:tcPr>
          <w:p>
            <w:r>
              <w:rPr>
                <w:b/>
                <w:sz w:val="17"/>
              </w:rPr>
              <w:t>12,981</w:t>
            </w:r>
          </w:p>
        </w:tc>
        <w:tc>
          <w:tcPr>
            <w:tcW w:type="dxa" w:w="1440"/>
            <w:shd w:fill="FAFAFA" w:val="clear"/>
          </w:tcPr>
          <w:p>
            <w:r>
              <w:rPr>
                <w:sz w:val="17"/>
              </w:rPr>
              <w:t>14,577</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11,246</w:t>
            </w:r>
          </w:p>
        </w:tc>
        <w:tc>
          <w:tcPr>
            <w:tcW w:type="dxa" w:w="1440"/>
            <w:shd w:fill="FAFAFA" w:val="clear"/>
          </w:tcPr>
          <w:p>
            <w:r>
              <w:rPr>
                <w:b/>
                <w:sz w:val="17"/>
              </w:rPr>
              <w:t>12,996</w:t>
            </w:r>
          </w:p>
        </w:tc>
        <w:tc>
          <w:tcPr>
            <w:tcW w:type="dxa" w:w="1440"/>
            <w:shd w:fill="FAFAFA" w:val="clear"/>
          </w:tcPr>
          <w:p>
            <w:r>
              <w:rPr>
                <w:sz w:val="17"/>
              </w:rPr>
              <w:t>14,746</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11,122</w:t>
            </w:r>
          </w:p>
        </w:tc>
        <w:tc>
          <w:tcPr>
            <w:tcW w:type="dxa" w:w="1440"/>
            <w:shd w:fill="FAFAFA" w:val="clear"/>
          </w:tcPr>
          <w:p>
            <w:r>
              <w:rPr>
                <w:b/>
                <w:sz w:val="17"/>
              </w:rPr>
              <w:t>13,016</w:t>
            </w:r>
          </w:p>
        </w:tc>
        <w:tc>
          <w:tcPr>
            <w:tcW w:type="dxa" w:w="1440"/>
            <w:shd w:fill="FAFAFA" w:val="clear"/>
          </w:tcPr>
          <w:p>
            <w:r>
              <w:rPr>
                <w:sz w:val="17"/>
              </w:rPr>
              <w:t>14,909</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11,014</w:t>
            </w:r>
          </w:p>
        </w:tc>
        <w:tc>
          <w:tcPr>
            <w:tcW w:type="dxa" w:w="1440"/>
            <w:shd w:fill="FAFAFA" w:val="clear"/>
          </w:tcPr>
          <w:p>
            <w:r>
              <w:rPr>
                <w:b/>
                <w:sz w:val="17"/>
              </w:rPr>
              <w:t>13,043</w:t>
            </w:r>
          </w:p>
        </w:tc>
        <w:tc>
          <w:tcPr>
            <w:tcW w:type="dxa" w:w="1440"/>
            <w:shd w:fill="FAFAFA" w:val="clear"/>
          </w:tcPr>
          <w:p>
            <w:r>
              <w:rPr>
                <w:sz w:val="17"/>
              </w:rPr>
              <w:t>15,071</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10,907</w:t>
            </w:r>
          </w:p>
        </w:tc>
        <w:tc>
          <w:tcPr>
            <w:tcW w:type="dxa" w:w="1440"/>
            <w:shd w:fill="FAFAFA" w:val="clear"/>
          </w:tcPr>
          <w:p>
            <w:r>
              <w:rPr>
                <w:b/>
                <w:sz w:val="17"/>
              </w:rPr>
              <w:t>13,061</w:t>
            </w:r>
          </w:p>
        </w:tc>
        <w:tc>
          <w:tcPr>
            <w:tcW w:type="dxa" w:w="1440"/>
            <w:shd w:fill="FAFAFA" w:val="clear"/>
          </w:tcPr>
          <w:p>
            <w:r>
              <w:rPr>
                <w:sz w:val="17"/>
              </w:rPr>
              <w:t>15,215</w:t>
            </w:r>
          </w:p>
        </w:tc>
        <w:tc>
          <w:tcPr>
            <w:tcW w:type="dxa" w:w="1440"/>
            <w:shd w:fill="FAFAFA" w:val="clear"/>
          </w:tcPr>
          <w:p>
            <w:r>
              <w:rPr>
                <w:b/>
                <w:color w:val="008000"/>
                <w:sz w:val="17"/>
              </w:rPr>
              <w:t>+0.9%</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10,802</w:t>
            </w:r>
          </w:p>
        </w:tc>
        <w:tc>
          <w:tcPr>
            <w:tcW w:type="dxa" w:w="1440"/>
            <w:shd w:fill="FAFAFA" w:val="clear"/>
          </w:tcPr>
          <w:p>
            <w:r>
              <w:rPr>
                <w:b/>
                <w:sz w:val="17"/>
              </w:rPr>
              <w:t>13,075</w:t>
            </w:r>
          </w:p>
        </w:tc>
        <w:tc>
          <w:tcPr>
            <w:tcW w:type="dxa" w:w="1440"/>
            <w:shd w:fill="FAFAFA" w:val="clear"/>
          </w:tcPr>
          <w:p>
            <w:r>
              <w:rPr>
                <w:sz w:val="17"/>
              </w:rPr>
              <w:t>15,348</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**Bourse Régionale des Valeurs Mobilières (BRVM) — Secteur : Services publics / Distribution d'eau**</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116,46 milliards FCFA, SDCC se positionne parmi les valeurs moyennes-capitalisations de la cote BRVM, ce qui traduit une société mature mais de taille intermédiaire à l'échelle régionale. Le BPA de 518 FCFA/action indique que chaque titre génère un bénéfice net de 518 FCFA, ce qui, rapporté au cours actuel de 12 940 FCFA, donne un PER de 25,0x — nettement supérieur à la moyenne du marché BRVM (8-12x), signalant que les investisseurs paient une prime significative pour les bénéfices, soit en anticipation d'une croissance future, soit en raison d'une surévaluation. Le P/B de 5,91x confirme cette exigence : le marché valorise SDCC près de six fois sa valeur comptable, une prime élevée qui n'est justifiée que par la qualité des actifs et la position de monopole dans la distribution d'eau. Enfin, l'EV/EBITDA de 14,9x, dans la fourchette haute (10-15x), montre que la valeur d'entreprise (incluant la dette) représente près de 15 fois la capacité opérationnelle, ce qui laisse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SDCC affiche une performance remarquable de **+42,28%**, avec un cours actuel de 12 940 FCFA et une variation J-1 de 0,00% (stabilité sur la dernière séance). Le titre a évolué dans un range large de 9 095 FCFA (plus bas) à 13 885 FCFA (plus haut), soit une amplitude de plus de 52%, témoignant d'une tendance nettement haussière portée par un intérêt croissant des investisseurs. Les statistiques descriptives révèlent une moyenne de 11 960 FCFA et une médiane de 11 970 FCFA, très proches, ce qui indique une distribution globalement équilibrée malgré un skewness de -0,410 (légère asymétrie négative, interprétée comme symétrique dans les données fournies). L'écart-type de 877 FCFA avec un coefficient de variation de 7,3% traduit une dispersion modérée du cours autour de sa moyenne, tandis que le kurtosis de 1,360 (leptokurtique) signale des queues épaisses, donc un risque de pics de volatilité brutaux. La volatilité annualisée de 39,2% classe SDCC dans la catégorie des titres à volatilité élevée (&gt;30%), ce qui implique un risque de marché significatif pour les investisseurs, mais aussi des opportunités de trading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(12 884,5 FCFA) et la MM50 (12 442,6 FCFA) sont toutes deux inférieures au cours actuel (12 940 FCFA), et la MM20 est au-dessus de la MM50, configurant un croisement haussier classique. Cette configuration confirme la dynamique positive et justifie la décision d'**Achat** : le titre évolue au-dessus de ses supports mobiles, signalant une tendance de fond haussière.</w:t>
      </w:r>
    </w:p>
    <w:p>
      <w:pPr>
        <w:spacing w:after="120" w:line="276" w:lineRule="auto"/>
      </w:pPr>
      <w:r>
        <w:t>**Bandes de Bollinger** : Le cours (12 940 FCFA) se situe à l'intérieur des bandes, entre la borne inférieure (11 443 FCFA) et la borne supérieure (14 326 FCFA), mais plus proche de la borne haute. Cette position médiane-haute indique une volatilité modérée sans excès, et la décision **Neutre** reflète l'absence de signal extrême (ni suracheté, ni survente), le marché attendant un catalyseur pour franchir la résistance des 14 326 FCFA.</w:t>
      </w:r>
    </w:p>
    <w:p>
      <w:pPr>
        <w:spacing w:after="120" w:line="276" w:lineRule="auto"/>
      </w:pPr>
      <w:r>
        <w:t>**MACD** : La valeur du MACD (21,751) est supérieure à son signal (14,97), avec un histogramme positif, ce qui confirme un momentum haussier en cours. La décision d'**Achat** est justifiée par cette divergence positive persistante, bien que l'écart entre les deux lignes reste modéré, suggérant une accélération possible mais non explosive.</w:t>
      </w:r>
    </w:p>
    <w:p>
      <w:pPr>
        <w:spacing w:after="120" w:line="276" w:lineRule="auto"/>
      </w:pPr>
      <w:r>
        <w:t>**RSI** : À 49,073, le RSI se situe exactement dans la zone neutre (30-70), sans signe de surachat (&gt;70) ni de survente (&lt;30). La décision **Neutre** traduit un équilibre entre acheteurs et vendeurs, le titre ayant digéré sa forte hausse récente et se trouvant dans une phase de consolidation avant un éventuel nouveau mouvement.</w:t>
      </w:r>
    </w:p>
    <w:p>
      <w:pPr>
        <w:spacing w:after="120" w:line="276" w:lineRule="auto"/>
      </w:pPr>
      <w:r>
        <w:t>**Stochastique** : Le %K (65,257) et le %D (65,993) sont proches et orientés à la hausse, sans croisement baissier, ce qui indique une pression acheteuse modérée mais présente. La décision **Neutre** s'explique par le fait que les deux lignes se situent dans la zone médiane-haute, sans atteindre la zone de surachat (&gt;80), laissant la porte ouverte à une poursuite de la hausse.</w:t>
      </w:r>
    </w:p>
    <w:p>
      <w:pPr>
        <w:spacing w:after="120" w:line="276" w:lineRule="auto"/>
      </w:pPr>
      <w:r>
        <w:t>**Conclusion technique** : Les indicateurs techniques présentent un tableau globalement haussier mais sans excès : les moyennes mobiles confirment la tendance de fond, le MACD soutient le momentum, tandis que le RSI et le stochastique en zone neutre indiquent une consolidation saine. La convergence des signaux d'achat (MM, MACD) et la neutralité des oscillateurs suggèrent que le titre dispose encore d'un potentiel de hausse, mais à un rythme modéré, dans l'attente d'un franchissement de la résistance des 14 326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SDCC a réalisé un chiffre d'affaires de 189,430 milliards FCFA, en croissance de 9,98% par rapport à 2024, avec un résultat net de 4,663 milliards FCFA (marge nette de 2,46%). Le ROE s'établit à 23,65%, un niveau excellent (&gt;15%) qui témoigne d'une rentabilité des fonds propres très solide, tandis que le ROA reste faible à 0,99%, reflétant l'intensité capitalistique du secteur (infrastructures lourdes). La structure financière est toutefois préoccupante : l'autonomie financière n'est que de 4,17% (capitaux propres / total bilan), bien en dessous du seuil sain de 30%, et le ratio d'endettement atteint 95,83%, avec des dettes totales de 452,956 milliards FCFA pour seulement 19,716 milliards de capitaux propres. Le BFR est de 104,748 milliards FCFA (positif, donc défavorable pour une entreprise), et le délai clients est très élevé à 749,25 jours, ce qui constitue un risque majeur de trésorerie, confirmé par une trésorerie nette négative de -61,710 milliards FCFA et un flux opérationnel de -36,655 milliards FCFA. La capacité de remboursement reste correcte à 8,18 années (dettes financières / CAF), et la couverture des intérêts est excellente (1583,5%), mais la liquidité immédiate est très faible (3,02%).</w:t>
      </w:r>
    </w:p>
    <w:p>
      <w:pPr>
        <w:spacing w:after="120" w:line="276" w:lineRule="auto"/>
      </w:pPr>
      <w:r>
        <w:t>**Estimations basées sur les rapports trimestriels** : Le rapport du T1 2026 (publié en 2026) indique un chiffre d'affaires de 40 916 millions FCFA, en léger repli de 2% sur un an, mais un résultat net en hausse spectaculaire de 118% à 1 318 millions FCFA, avec un résultat d'exploitation multiplié par 2,5 à 2 730 millions FCFA. Cette amélioration de la rentabilité opérationnelle, portée par une meilleure maîtrise des charges, suggère que l'exercice 2026 pourrait dépasser les performances de 2025, avec une marge nette trimestrielle de 3,2% (contre 2,46% en 2025). Le rapport annuel 2025 (publié en 2025) confirme la solidité opérationnelle avec un EBE de 21,8 milliards FCFA (+21%) et un résultat d'exploitation de 9,1 milliards FCFA (+34%), ainsi qu'un dividende attractif de 525 FCFA par action. Les rapports plus anciens (S1 2025, T1 2025, exercice 2024) montrent une dégradation temporaire de la rentabilité en 2024 (RN -27% à 3,6 milliards FCFA) suivie d'un net redressement en 2025, ce qui valide la trajectoire de recovery.</w:t>
      </w:r>
    </w:p>
    <w:p>
      <w:pPr>
        <w:spacing w:after="120" w:line="276" w:lineRule="auto"/>
      </w:pPr>
      <w:r>
        <w:t>**Recommandation fondamentale** : SDCC présente une solidité opérationnelle indéniable (ROE élevé, croissance du CA, amélioration des marges) et une position de monopole dans un secteur essentiel (distribution d'eau en Côte d'Ivoire), mais sa structure financière est très fragile (autonomie financière quasi nulle, endettement massif, trésorerie négative). Le principal risque réside dans le délai clients exceptionnellement long (749 jours), qui pèse sur la trésorerie et nécessite un financement externe coûteux. La recommandation fondamentale est donc **CONSERVER**, avec une préférence pour les investisseurs déjà positionnés, en attendant une amélioration durable de la structure financière et du recouvrement des créances.</w:t>
      </w:r>
    </w:p>
    <w:p>
      <w:pPr>
        <w:spacing w:after="120" w:line="276" w:lineRule="auto"/>
      </w:pPr>
      <w:r>
        <w:t>---</w:t>
      </w:r>
    </w:p>
    <w:p>
      <w:pPr>
        <w:spacing w:after="120" w:line="276" w:lineRule="auto"/>
      </w:pPr>
      <w:r>
        <w:t>## PARTIE 4 : CONCLUSION D'INVESTISSEMENT</w:t>
      </w:r>
    </w:p>
    <w:p>
      <w:pPr>
        <w:spacing w:after="120" w:line="276" w:lineRule="auto"/>
      </w:pPr>
      <w:r>
        <w:t>La valorisation de SDCC apparaît exigeante : avec un PER de 25,0x (vs 8-12x pour le marché BRVM) et un P/B de 5,91x, le titre intègre déjà une forte prime de croissance et une qualité exceptionnelle, ce qui limite le potentiel de réévaluation à court terme. Le comportement du cours sur 100 jours est nettement haussier (+42,28%), avec une volatilité élevée (39,2%) et une distribution leptokurtique (kurtosis 1,36) qui expose à des pics de volatilité, mais le skewness symétrique (-0,41) n'indique pas de biais directionnel défavorable. Les signaux techniques sont convergents à la hausse (MM20 &gt; MM50 &gt; cours, MACD positif), mais les oscillateurs (RSI 49,1, Stochastique 65,3) en zone neutre suggèrent une consolidation avant une nouvelle impulsion, ce qui plaide pour une entrée progressive plutôt qu'immédiate. Les fondamentaux sont solides sur le plan opérationnel (ROE 23,65%, CA +9,98% en 2025, RN +31% à 4,663 milliards FCFA, dividende 525 FCFA/action) et les estimations issues du T1 2026 (RN +118% à 1 318 millions FCFA) confirment une accélération de la rentabilité, mais la structure financière reste très risquée (autonomie financière 4,17%, trésorerie nette -61,7 milliards FCFA, délai clients 749 jours). Les prédictions IA (J+1 à J+10) tablent sur une légère hausse vers 12 981 FCFA (+0,3% sur 10 jours), ce qui confirme la tendance haussière modérée mais sans emballement, en ligne avec la consolidation technique observée. **Recommandation finale : CONSERVER**, avec un niveau de confiance **Moyen** et un risque global **Élevé** (en raison de la fragilité financière et de la volatilité du titre). L'horizon d'investissement optimal est le **moyen terme (3-12 mois)**, le temps que la société confirme l'amélioration de sa rentabilité et stabilise sa trésorerie, avec un objectif de cours à 14 326 FCFA (borne supérieure des Bollinger) en cas de franchissement des résistances.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166.57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17,405 titres</w:t>
            </w:r>
          </w:p>
        </w:tc>
        <w:tc>
          <w:tcPr>
            <w:tcW w:type="dxa" w:w="2268"/>
            <w:shd w:fill="FFF2CC" w:val="clear"/>
          </w:tcPr>
          <w:p>
            <w:r>
              <w:rPr>
                <w:b/>
                <w:color w:val="503200"/>
                <w:sz w:val="16"/>
              </w:rPr>
              <w:t xml:space="preserve">Cours actuel : </w:t>
            </w:r>
            <w:r>
              <w:rPr>
                <w:color w:val="000000"/>
                <w:sz w:val="17"/>
              </w:rPr>
              <w:t>3,060 FCFA</w:t>
            </w:r>
          </w:p>
          <w:p>
            <w:r>
              <w:rPr>
                <w:b/>
                <w:color w:val="503200"/>
                <w:sz w:val="16"/>
              </w:rPr>
              <w:t xml:space="preserve">Var. 100 jours : </w:t>
            </w:r>
            <w:r>
              <w:rPr>
                <w:b/>
                <w:color w:val="007800"/>
                <w:sz w:val="17"/>
              </w:rPr>
              <w:t>+80.00%</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17.00% (Élevée) — μ=2,504 FCFA, σ=426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β=0.5254 (Défensif) — Cov=0.000038, Var(idx)=0.000072, ρ=0.137,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17,405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2,895</w:t>
            </w:r>
          </w:p>
        </w:tc>
        <w:tc>
          <w:tcPr>
            <w:tcW w:type="dxa" w:w="1440"/>
            <w:shd w:fill="FAFAFA" w:val="clear"/>
          </w:tcPr>
          <w:p>
            <w:r>
              <w:rPr>
                <w:b/>
                <w:sz w:val="17"/>
              </w:rPr>
              <w:t>3,054</w:t>
            </w:r>
          </w:p>
        </w:tc>
        <w:tc>
          <w:tcPr>
            <w:tcW w:type="dxa" w:w="1440"/>
            <w:shd w:fill="FAFAFA" w:val="clear"/>
          </w:tcPr>
          <w:p>
            <w:r>
              <w:rPr>
                <w:sz w:val="17"/>
              </w:rPr>
              <w:t>3,213</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2,810</w:t>
            </w:r>
          </w:p>
        </w:tc>
        <w:tc>
          <w:tcPr>
            <w:tcW w:type="dxa" w:w="1440"/>
            <w:shd w:fill="FAFAFA" w:val="clear"/>
          </w:tcPr>
          <w:p>
            <w:r>
              <w:rPr>
                <w:b/>
                <w:sz w:val="17"/>
              </w:rPr>
              <w:t>3,033</w:t>
            </w:r>
          </w:p>
        </w:tc>
        <w:tc>
          <w:tcPr>
            <w:tcW w:type="dxa" w:w="1440"/>
            <w:shd w:fill="FAFAFA" w:val="clear"/>
          </w:tcPr>
          <w:p>
            <w:r>
              <w:rPr>
                <w:sz w:val="17"/>
              </w:rPr>
              <w:t>3,255</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2,743</w:t>
            </w:r>
          </w:p>
        </w:tc>
        <w:tc>
          <w:tcPr>
            <w:tcW w:type="dxa" w:w="1440"/>
            <w:shd w:fill="FAFAFA" w:val="clear"/>
          </w:tcPr>
          <w:p>
            <w:r>
              <w:rPr>
                <w:b/>
                <w:sz w:val="17"/>
              </w:rPr>
              <w:t>3,014</w:t>
            </w:r>
          </w:p>
        </w:tc>
        <w:tc>
          <w:tcPr>
            <w:tcW w:type="dxa" w:w="1440"/>
            <w:shd w:fill="FAFAFA" w:val="clear"/>
          </w:tcPr>
          <w:p>
            <w:r>
              <w:rPr>
                <w:sz w:val="17"/>
              </w:rPr>
              <w:t>3,285</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2,690</w:t>
            </w:r>
          </w:p>
        </w:tc>
        <w:tc>
          <w:tcPr>
            <w:tcW w:type="dxa" w:w="1440"/>
            <w:shd w:fill="FAFAFA" w:val="clear"/>
          </w:tcPr>
          <w:p>
            <w:r>
              <w:rPr>
                <w:b/>
                <w:sz w:val="17"/>
              </w:rPr>
              <w:t>3,002</w:t>
            </w:r>
          </w:p>
        </w:tc>
        <w:tc>
          <w:tcPr>
            <w:tcW w:type="dxa" w:w="1440"/>
            <w:shd w:fill="FAFAFA" w:val="clear"/>
          </w:tcPr>
          <w:p>
            <w:r>
              <w:rPr>
                <w:sz w:val="17"/>
              </w:rPr>
              <w:t>3,313</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2,646</w:t>
            </w:r>
          </w:p>
        </w:tc>
        <w:tc>
          <w:tcPr>
            <w:tcW w:type="dxa" w:w="1440"/>
            <w:shd w:fill="FFDCE0" w:val="clear"/>
          </w:tcPr>
          <w:p>
            <w:r>
              <w:rPr>
                <w:b/>
                <w:sz w:val="17"/>
              </w:rPr>
              <w:t>2,993</w:t>
            </w:r>
          </w:p>
        </w:tc>
        <w:tc>
          <w:tcPr>
            <w:tcW w:type="dxa" w:w="1440"/>
            <w:shd w:fill="FFDCE0" w:val="clear"/>
          </w:tcPr>
          <w:p>
            <w:r>
              <w:rPr>
                <w:sz w:val="17"/>
              </w:rPr>
              <w:t>3,341</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2,607</w:t>
            </w:r>
          </w:p>
        </w:tc>
        <w:tc>
          <w:tcPr>
            <w:tcW w:type="dxa" w:w="1440"/>
            <w:shd w:fill="FFDCE0" w:val="clear"/>
          </w:tcPr>
          <w:p>
            <w:r>
              <w:rPr>
                <w:b/>
                <w:sz w:val="17"/>
              </w:rPr>
              <w:t>2,987</w:t>
            </w:r>
          </w:p>
        </w:tc>
        <w:tc>
          <w:tcPr>
            <w:tcW w:type="dxa" w:w="1440"/>
            <w:shd w:fill="FFDCE0" w:val="clear"/>
          </w:tcPr>
          <w:p>
            <w:r>
              <w:rPr>
                <w:sz w:val="17"/>
              </w:rPr>
              <w:t>3,367</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2,572</w:t>
            </w:r>
          </w:p>
        </w:tc>
        <w:tc>
          <w:tcPr>
            <w:tcW w:type="dxa" w:w="1440"/>
            <w:shd w:fill="FFDCE0" w:val="clear"/>
          </w:tcPr>
          <w:p>
            <w:r>
              <w:rPr>
                <w:b/>
                <w:sz w:val="17"/>
              </w:rPr>
              <w:t>2,982</w:t>
            </w:r>
          </w:p>
        </w:tc>
        <w:tc>
          <w:tcPr>
            <w:tcW w:type="dxa" w:w="1440"/>
            <w:shd w:fill="FFDCE0" w:val="clear"/>
          </w:tcPr>
          <w:p>
            <w:r>
              <w:rPr>
                <w:sz w:val="17"/>
              </w:rPr>
              <w:t>3,391</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2,540</w:t>
            </w:r>
          </w:p>
        </w:tc>
        <w:tc>
          <w:tcPr>
            <w:tcW w:type="dxa" w:w="1440"/>
            <w:shd w:fill="FFDCE0" w:val="clear"/>
          </w:tcPr>
          <w:p>
            <w:r>
              <w:rPr>
                <w:b/>
                <w:sz w:val="17"/>
              </w:rPr>
              <w:t>2,977</w:t>
            </w:r>
          </w:p>
        </w:tc>
        <w:tc>
          <w:tcPr>
            <w:tcW w:type="dxa" w:w="1440"/>
            <w:shd w:fill="FFDCE0" w:val="clear"/>
          </w:tcPr>
          <w:p>
            <w:r>
              <w:rPr>
                <w:sz w:val="17"/>
              </w:rPr>
              <w:t>3,414</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2,509</w:t>
            </w:r>
          </w:p>
        </w:tc>
        <w:tc>
          <w:tcPr>
            <w:tcW w:type="dxa" w:w="1440"/>
            <w:shd w:fill="FFDCE0" w:val="clear"/>
          </w:tcPr>
          <w:p>
            <w:r>
              <w:rPr>
                <w:b/>
                <w:sz w:val="17"/>
              </w:rPr>
              <w:t>2,972</w:t>
            </w:r>
          </w:p>
        </w:tc>
        <w:tc>
          <w:tcPr>
            <w:tcW w:type="dxa" w:w="1440"/>
            <w:shd w:fill="FFDCE0" w:val="clear"/>
          </w:tcPr>
          <w:p>
            <w:r>
              <w:rPr>
                <w:sz w:val="17"/>
              </w:rPr>
              <w:t>3,435</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2,480</w:t>
            </w:r>
          </w:p>
        </w:tc>
        <w:tc>
          <w:tcPr>
            <w:tcW w:type="dxa" w:w="1440"/>
            <w:shd w:fill="FFDCE0" w:val="clear"/>
          </w:tcPr>
          <w:p>
            <w:r>
              <w:rPr>
                <w:b/>
                <w:sz w:val="17"/>
              </w:rPr>
              <w:t>2,968</w:t>
            </w:r>
          </w:p>
        </w:tc>
        <w:tc>
          <w:tcPr>
            <w:tcW w:type="dxa" w:w="1440"/>
            <w:shd w:fill="FFDCE0" w:val="clear"/>
          </w:tcPr>
          <w:p>
            <w:r>
              <w:rPr>
                <w:sz w:val="17"/>
              </w:rPr>
              <w:t>3,455</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166,57 milliards FCFA, SDSC figure parmi les valeurs moyennes-capitalisations de la cote BRVM, ce qui lui confère une certaine liquidité mais aussi une sensibilité accrue aux mouvements des investisseurs institutionnels. Le BPA de 387 FCFA/action (exercice 2024) signifie que chaque titre génère près de 387 FCFA de bénéfice net, mais ce chiffre doit être fortement nuancé au regard de l'effondrement du résultat net 2025 à 0,78 milliard FCFA (contre 21,07 milliards en 2024), ce qui ramènerait mécaniquement le BPA à environ 14 FCFA. Le PER de 7,9x, inférieur à la moyenne BRVM (8-12x), suggère une sous-évaluation apparente, mais ce ratio est trompeur car il repose sur les bénéfices 2024 non récurrents ; rapporté au résultat 2025, le PER réel dépasserait 200x. Le P/B de 2,14x indique que le marché valorise la société à plus du double de sa valeur comptable (capitaux propres de 73,55 milliards FCFA en 2025), soit une prime de croissance qui paraît aujourd'hui difficile à justifier. Enfin, l'EV/EBITDA de 36,0x est très exigeant (&gt;15x), traduisant une valorisation d'entreprise déconnectée de la capacité opérationnelle actuelle, d'autant que l'EBITDA 2025 a reculé à 4,26 milliards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+80,00%, avec une dernière séance en hausse de +4,97%, portant le cours à 3 060 FCFA. Le range de trading est très large, oscillant entre un plus bas de 1 650 FCFA et un plus haut de 3 205 FCFA, soit un écart de plus de 94%, ce qui témoigne d'une tendance nettement haussière mais aussi d'une forte nervosité. La moyenne du cours s'établit à 2 504 FCFA, tandis que la médiane est plus élevée à 2 592 FCFA, cet écart de 88 FCFA indiquant une légère asymétrie négative (les cours extrêmes bas tirent la moyenne vers le bas). L'écart-type de 428 FCFA avec un coefficient de variation de 17,1% traduit une dispersion modérée à élevée du cours autour de sa moyenne. Le kurtosis de -0,794 (mésokurtique) suggère une distribution proche de la normale, sans pics extrêmes fréquents, tandis que le skewness de -0,496 confirme une asymétrie légèrement négative, c'est-à-dire une probabilité plus forte de mouvements baissiers brusques. Enfin, la volatilité annualisée de 51,6% classe ce titre dans la catégorie des valeurs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(2 984,75 FCFA) et la MM50 (2 828,60 FCFA) sont toutes deux inférieures au cours actuel (3 060 FCFA), ce qui confirme une configuration haussière de court et moyen terme. La MM20 étant au-dessus de la MM50, le croisement est positif (golden cross), justifiant la décision d'achat. Le cours évolue au-dessus de ses deux moyennes, signal de dynamique positive.</w:t>
      </w:r>
    </w:p>
    <w:p>
      <w:pPr>
        <w:spacing w:after="120" w:line="276" w:lineRule="auto"/>
      </w:pPr>
      <w:r>
        <w:t>**Bandes de Bollinger** : Le cours (3 060 FCFA) se situe dans la partie haute de la bande, entre la borne inférieure (2 765,87 FCFA) et la borne supérieure (3 203,63 FCFA), sans les toucher. Cette position médiane-haute indique une volatilité modérée et l'absence de signal de surachat ou de survente, justifiant la décision neutre. L'écart entre les bornes (437,77 FCFA) reflète une volatilité contenue sur les 20 dernières séances.</w:t>
      </w:r>
    </w:p>
    <w:p>
      <w:pPr>
        <w:spacing w:after="120" w:line="276" w:lineRule="auto"/>
      </w:pPr>
      <w:r>
        <w:t>**MACD** : La valeur du MACD (39,224) est légèrement inférieure à son signal (42,211), ce qui génère un croisement baissier et une divergence négative. Le momentum haussier s'essouffle, bien que les deux lignes restent en territoire positif. Cette configuration justifie la décision de vente à court terme, suggérant une possible correction.</w:t>
      </w:r>
    </w:p>
    <w:p>
      <w:pPr>
        <w:spacing w:after="120" w:line="276" w:lineRule="auto"/>
      </w:pPr>
      <w:r>
        <w:t>**RSI** : À 48,707, le RSI se situe dans la zone neutre (30-70), sans signal de surachat (&gt;70) ni de survente (&lt;30). Cette valeur médiane indique un équilibre entre acheteurs et vendeurs, justifiant la décision neutre. Le RSI ne confirme pas la tendance haussière récente, ce qui pourrait signaler une perte de momentum.</w:t>
      </w:r>
    </w:p>
    <w:p>
      <w:pPr>
        <w:spacing w:after="120" w:line="276" w:lineRule="auto"/>
      </w:pPr>
      <w:r>
        <w:t>**Stochastique** : Le %K (88,136) est nettement supérieur au %D (66,667), et les deux se situent en zone de surachat (&gt;80 pour le %K). Cette configuration suggère que le cours est proche d'un sommet à court terme et qu'un retournement baissier est probable, justifiant la décision de vente. Le croisement potentiel du %K sous le %D serait un signal de confirmation.</w:t>
      </w:r>
    </w:p>
    <w:p>
      <w:pPr>
        <w:spacing w:after="120" w:line="276" w:lineRule="auto"/>
      </w:pPr>
      <w:r>
        <w:t>**Conclusion technique** : Les indicateurs sont divergents : les moyennes mobiles et les bandes de Bollinger sont haussières ou neutres, tandis que le MACD et le stochastique émettent des signaux de vente, et le RSI reste neutre. Cette divergence suggère que la tendance haussière de moyen terme pourrait marquer une pause, voire une correction à court terme. La prudence est de mise, avec une probabilité de consolidation autour des 3 000 FCFA avant une nouvelle impulsion.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dressent un tableau contrasté : le chiffre d'affaires s'élève à 85,64 milliards FCFA, en croissance de 3,65% sur un an, avec un résultat net de 21,07 milliards FCFA, un ROE excellent de 27,08% et un ROA de 11,20%. La marge nette de 24,60% et l'autonomie financière de 41,36% témoignent d'une grande solidité. Cependant, les rapports narratifs de 2025 (notamment le rapport annuel 2025 analysé par DeepSeek le 05/08/2026 et le rapport de synthèse du 19/09/2026) révèlent un effondrement : le CA 2025 progresse à 92,00 milliards FCFA (+7,43%), mais le résultat net chute de 96% à 0,78 milliard FCFA, et le résultat d'exploitation devient négatif (-2,27 milliards FCFA). Cette dégradation s'explique par une hausse des dotations aux amortissements (+41%) et des charges de personnel, ainsi que par un résultat financier en repli de 66% (7,08 milliards FCFA), qui reste le principal contributeur au bénéfice net. La marge nette s'effondre à 0,85%, et le dividende proposé chute de 89% à 544,35 millions FCFA (soit un taux de distribution de 69,3%). Les rapports trimestriels 2025 (T1, S1, T3) confirment cette tendance : le T1 2025 affichait un résultat net de 223,17 millions FCFA (contre une perte de 193,19 millions en T1 2024), le S1 2025 une perte de 427 millions FCFA, et le T3 2025 un résultat net de 4,34 milliards FCFA en baisse de 77% sur un an. Sur la base de ces éléments, on estime que l'exercice 2026 restera sous pression, avec une rentabilité opérationnelle fragile et une dépendance aux revenus financiers des filiales. Les points forts résident dans la trésorerie nette de 74,78 milliards FCFA et les flux opérationnels de 83,20 milliards FCFA, mais le BFR a explosé (+75,70 milliards FCFA), absorbant une partie de cette trésorerie. La recommandation fondamentale est de **conserver** le titre avec une grande vigilance, en surveillant la capacité de la direction à restaurer les marges opérationnelles au premier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PER de 7,9x et un P/B de 2,14x qui suggèrent une sous-évaluation apparente, mais ces ratios sont biaisés par des bénéfices 2024 non récurrents ; l'EV/EBITDA de 36,0x trahit une valorisation exigeante au regard de la capacité opérationnelle actuelle. Le comportement du cours (Partie 1) affiche une tendance haussière spectaculaire (+80% sur 100 jours) mais une volatilité élevée (51,6%) et une asymétrie négative (skewness -0,496), ce qui signifie que les risques de correction brutale sont réels. Les signaux techniques (Partie 2) sont divergents : les moyennes mobiles et les bandes de Bollinger sont haussières ou neutres, tandis que le MACD et le stochastique émettent des signaux de vente, et le RSI reste neutre, plaidant pour une consolidation à court terme. Les fondamentaux (Partie 3) sont préoccupants : malgré un CA 2025 de 92,00 milliards FCFA (+7,43%), le résultat net s'est effondré à 0,78 milliard FCFA (-96%), le résultat d'exploitation est négatif, et le dividende a chuté de 89%. Les prédictions IA (J+1 à J+10) anticipent une baisse progressive du cours de 3 054 FCFA à 2 993 FCFA, ce qui contredit la tendance haussière récente et confirme les signaux baissiers à court terme. Sur la base de cette synthèse, la recommandation finale est **CONSERVER** avec un niveau de confiance **Moyen** et un risque global **Élevé**. La convergence entre la dégradation fondamentale, les signaux techniques baissiers à court terme et les prédictions IA baissières incite à la prudence, mais la solidité du bilan (capitaux propres de 73,55 milliards FCFA, trésorerie nette de 74,78 milliards FCFA) et la croissance du CA justifient de ne pas vendre dans l'immédiat. L'horizon d'investissement optimal est **moyen terme (3-12 mois)**, en attendant une clarification sur la rentabilité opérationnelle et la politique de dividende.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β=1.1268 (Neutre (suit le marché)) — Cov=0.000042, Var(idx)=0.000037, ρ=0.235, n=86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ACTION SEMC (BRVM)**</w:t>
        <w:br/>
        <w:t>*Date d'analyse : mars 2026 | Analyste : Desk Actions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place dans la catégorie des valeurs moyennes, cohérent avec un flottant historiquement faible (10,42 %, sous le seuil de 15 % requis par le régulateur). Les ratios de valorisation boursière (BPA, PER, P/B, EV/EBITDA) ne sont pas calculables en l'état, faute de données financières structurées exploitables dans la base et en raison de la suspension de la cote depuis janvier 2024, qui perturbe la formation d'un prix de référence fiable. À titre indicatif, si l'on retient le résultat net 2023 de 1,01 milliard FCFA et un nombre d'actions estimé à environ 25,2 millions, le BPA ressortirait autour de 40 FCFA, soit un PER implicite très élevé (&gt;35x) au cours actuel de 1 495 FCFA — nettement au-dessus de la moyenne BRVM (8-12x) — ce qui traduit une valorisation tendue au regard des bénéfices 2023. Cette cherté apparente s'explique toutefois par l'anticipation par le marché du rebond 2024 (objectif de CA de 32 Mds FCFA) et de l'arrivée de Sonoco comme actionnaire de contrôle. En l'absence de P/B et d'EV/EBITDA fiables, l'investisseur doit se référer aux fondamentaux détaillés en Partie 3 pour juger de l'attractivité réelle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**-16,94 %**, avec une dernière séance en repli de **-1,64 %**, confirmant une tendance baissière de fond. Le titre évolue dans un range de 1 350 à 1 800 FCFA, et le cours actuel de 1 495 FCFA se situe dans la moitié basse de cette fourchette, à seulement 10,7 % au-dessus du plus bas — signe que la pression vendeuse reste dominante. Les statistiques descriptives révèlent une distribution asymétrique : la moyenne (1 527 FCFA) est légèrement supérieure à la médiane (1 520 FCFA), et le mode (1 500 FCFA) coïncide avec les niveaux actuels, indiquant une concentration des échanges autour de 1 500 FCFA. L'écart-type de 69 FCFA et le coefficient de variation de 4,5 % traduisent une dispersion modérée du cours sur la période, mais la **volatilité annualisée de 47,2 %** classe le titre dans la catégorie des valeurs à volatilité élevée (&gt;30 %), ce qui est cohérent avec un flottant réduit et une liquidité limitée (volume moyen de 6 046 titres/jour). Le kurtosis de 1,652 (leptokurtique) signale des queues épaisses, donc un risque de pics de volatilité brutaux, tandis que le skewness positif de 0,558 indique une asymétrie vers la droite — paradoxalement, cela signifie que les journées de forte hausse, bien que moins fréquentes, sont plus amples que les journées de baisse, mais que la majorité des séances se situent sous la moyenne. Le profil global est donc celui d'un titre baissier, peu liquide et nerveux, nécessitant une vigilance accrue sur les niveaux de support (1 350 FCFA).</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se situe sous ces deux moyennes, ce qui traduit une pression baissière de court terme. Toutefois, la décision affichée est "Achat", probablement liée au croisement haussier MM20 &gt; MM50 qui suggère une inflexion potentielle de tendance, mais la position du cours sous les deux moyennes invite à la prudence.</w:t>
      </w:r>
    </w:p>
    <w:p>
      <w:pPr>
        <w:spacing w:after="120" w:line="276" w:lineRule="auto"/>
      </w:pPr>
      <w:r>
        <w:t>**Bandes de Bollinger** : Le cours (1 495 FCFA) évolue dans la partie basse de la bande, entre la borne inférieure (1 459,69 FCFA) et la borne supérieure (1 621,81 FCFA), sans franchissement des extrêmes. La décision "Neutre" reflète l'absence de signal directionnel fort, le titre étant en phase de consolidation dans un canal relativement large (écart de 162 FCFA entre les bornes).</w:t>
      </w:r>
    </w:p>
    <w:p>
      <w:pPr>
        <w:spacing w:after="120" w:line="276" w:lineRule="auto"/>
      </w:pPr>
      <w:r>
        <w:t>**MACD** : La valeur du MACD (6,712) est inférieure à son signal (10,809), configuration baissière classique qui confirme la décision "Vente". Le momentum est négatif et la divergence MACD-Signal indique que la pression vendeuse l'emporte, sans signe de retournement imminent.</w:t>
      </w:r>
    </w:p>
    <w:p>
      <w:pPr>
        <w:spacing w:after="120" w:line="276" w:lineRule="auto"/>
      </w:pPr>
      <w:r>
        <w:t>**RSI** : À 49,533, le RSI se situe exactement dans la zone neutre (30-70), sans signal de surachat ni de survente. La décision "Neutre" est cohérente avec un marché sans excès, mais le positionnement médian laisse la porte ouverte à une reprise comme à une nouvelle jambe baissière.</w:t>
      </w:r>
    </w:p>
    <w:p>
      <w:pPr>
        <w:spacing w:after="120" w:line="276" w:lineRule="auto"/>
      </w:pPr>
      <w:r>
        <w:t>**Stochastique** : Le %K (34,615) est nettement inférieur au %D (57,692), configuration baissière qui suggère que le %K pourrait continuer à descendre vers la zone de survente (&lt;20). La décision "Neutre" masque cette divergence baissière, mais le croisement %K sous %D est un signal de prudence.</w:t>
      </w:r>
    </w:p>
    <w:p>
      <w:pPr>
        <w:spacing w:after="120" w:line="276" w:lineRule="auto"/>
      </w:pPr>
      <w:r>
        <w:t>**Conclusion technique** : Les indicateurs sont majoritairement baissiers ou neutres (MACD vendeur, cours sous les MM, %K &lt; %D), avec seulement la décision "Achat" des MM qui contredit cette tendance. Le RSI neutre et les Bandes de Bollinger sans franchissement confirment l'absence de signal fort. La convergence des signaux baissiers (MACD, Stochastique, position du cours) l'emporte sur le signal haussier isolé des MM, ce qui plaide pour une poursuite de la consolidation baissière à court terme, avec un support clé à surveiller à 1 459 FCFA (borne inférieure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ne sont pas disponibles dans la base, mais les rapports officiels fournis permettent une analyse approfondie. **En 2023** (rapport du 31/12/2023, analysé par MISTRAL), SEMC a enregistré un chiffre d'affaires de **27,88 milliards FCFA**, en **baisse de 6 %** par rapport à 2022 (29,60 Mds FCFA), et un **résultat net de 1,01 milliard FCFA**, en **chute de 74 %** (vs 3,86 Mds en 2022). La **marge nette s'est effondrée à 3,6 %** (vs 13,0 % en 2022), et le **ROE implicite ressort à environ 2,7 %** (1,01 Mds / ~37,66 Mds de capitalisation), un niveau très faible. Cette dégradation s'explique par la perte de clients clés (AIRONE : -81 % de CA), l'effondrement du segment Tomate, et une perte financière de 9 millions FCFA (vs +1,6 Md en 2022). **En 2022** (rapport du 31/12/2022, analysé par MISTRAL), la société affichait pourtant un CA de **125,4 milliards FCFA** et un résultat net de **12,8 milliards FCFA** — des chiffres qui semblent toutefois issus d'une confusion avec une autre entité (Eviosys Packaging SIEM), car ils sont incompatibles avec les 27,88 Mds de 2023. **Le rapport T1 2023** (analysé par MISTRAL) indiquait un CA de **7,65 Mds FCFA** (+16,5 %) et un résultat net de **855,65 millions FCFA** (+37,9 %), avec une marge nette de 11,2 % — mais ces performances trimestrielles n'ont pas empêché l'effondrement annuel. La **trésorerie reste solide à 3,35 Mds FCFA**, permettant de financer les investissements (418 M FCFA en 2023) et de faire face à la suspension de la cote. Le **rachat par Sonoco Products Company** (finalisé en décembre 2024) constitue un catalyseur majeur, apportant capitaux et expertise, mais expose à un risque de dilution. La **recommandation fondamentale** est de **CONSERVER avec vigilance** : les perspectives 2024 (objectif CA de 32 Mds FCFA, +18 %) et l'arrivée de Sonoco offrent des leviers de relance, mais la rentabilité reste fragile (marge nette de 3,6 %) et la dépendance aux clients historiques persiste. Les rapports datant de 2023-2024, ils sont antérieurs à 2025 et doivent être interprétés avec prudence, mais ils constituent la meilleure base d'analyse disponible.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(non disponibles) conduit à une recommandation nuancée. **Valorisation (Partie 0)** : la capitalisation de 37,66 Mds FCFA et le PER implicite très élevé (&gt;35x) suggèrent une **surévaluation** au regard des bénéfices 2023, mais cette cherté est à relativiser par les perspectives de rebond et l'arrivée de Sonoco. **Comportement du cours (Partie 1)** : la tendance baissière (-16,94 % sur 100 jours), la volatilité élevée (47,2 %) et le kurtosis leptokurtique (1,652) sont **préoccupants**, avec un skewness positif (0,558) qui indique une asymétrie défavorable (plus de journées sous la moyenne). **Signaux techniques (Partie 2)** : la convergence des indicateurs baissiers (MACD vendeur, cours sous les MM, %K &lt; %D) l'emporte sur le signal haussier isolé des MM, plaidant pour une **poursuite de la consolidation baissière** à court terme. **Fondamentaux (Partie 3)** : la dégradation du CA (-6 %) et du résultat net (-74 %) en 2023, avec une marge nette de 3,6 %, est **préoccupante**, mais la trésorerie solide (3,35 Mds FCFA) et le rachat par Sonoco offrent des **perspectives de relance**. **Prédictions IA** : aucune prédiction disponible, ce qui ne permet pas de confirmer ou contredire les autres signaux. **Recommandation finale : CONSERVER** — la convergence des signaux baissiers (technique, cours) et la cherté apparente de la valorisation sont contrebalancées par les perspectives de rebond 2024 et le catalyseur Sonoco. Le niveau de confiance est **Moyen** (données financières anciennes, absence de prédictions, suspension de la cote) et le risque global est **Élevé** (volatilité, liquidité limitée, incertitudes stratégiques). L'horizon d'investissement optimal est le **moyen terme (3-12 mois)**, en surveillant la levée de la suspension BRVM et l'exécution du plan 2024 (objectif CA de 32 Mds FCFA). Un passage à **ACHAT** serait justifié si le CA 2024 confirme la reprise (+18 %) et si la marge nette se redresse au-dessus de 8 %.</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1212.87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5,028 titres</w:t>
            </w:r>
          </w:p>
        </w:tc>
        <w:tc>
          <w:tcPr>
            <w:tcW w:type="dxa" w:w="2268"/>
            <w:shd w:fill="FFF2CC" w:val="clear"/>
          </w:tcPr>
          <w:p>
            <w:r>
              <w:rPr>
                <w:b/>
                <w:color w:val="503200"/>
                <w:sz w:val="16"/>
              </w:rPr>
              <w:t xml:space="preserve">Cours actuel : </w:t>
            </w:r>
            <w:r>
              <w:rPr>
                <w:color w:val="000000"/>
                <w:sz w:val="17"/>
              </w:rPr>
              <w:t>38,985 FCFA</w:t>
            </w:r>
          </w:p>
          <w:p>
            <w:r>
              <w:rPr>
                <w:b/>
                <w:color w:val="503200"/>
                <w:sz w:val="16"/>
              </w:rPr>
              <w:t xml:space="preserve">Var. 100 jours : </w:t>
            </w:r>
            <w:r>
              <w:rPr>
                <w:b/>
                <w:color w:val="007800"/>
                <w:sz w:val="17"/>
              </w:rPr>
              <w:t>+12.03%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34,800 FCFA</w:t>
            </w:r>
          </w:p>
          <w:p>
            <w:r>
              <w:rPr>
                <w:b/>
                <w:color w:val="503200"/>
                <w:sz w:val="16"/>
              </w:rPr>
              <w:t xml:space="preserve">Volatilité ann. : </w:t>
            </w:r>
            <w:r>
              <w:rPr>
                <w:color w:val="000000"/>
                <w:sz w:val="17"/>
              </w:rPr>
              <w:t>21.5%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2.65% (Faible) — μ=38,195 FCFA, σ=1,014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β=0.4799 (Défensif) — Cov=0.000035, Var(idx)=0.000072, ρ=0.301,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σ_j=1.35%/j (Stable) — Vol. annualisée≈21.5%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37,624</w:t>
            </w:r>
          </w:p>
        </w:tc>
        <w:tc>
          <w:tcPr>
            <w:tcW w:type="dxa" w:w="1440"/>
            <w:shd w:fill="FAFAFA" w:val="clear"/>
          </w:tcPr>
          <w:p>
            <w:r>
              <w:rPr>
                <w:b/>
                <w:sz w:val="17"/>
              </w:rPr>
              <w:t>38,635</w:t>
            </w:r>
          </w:p>
        </w:tc>
        <w:tc>
          <w:tcPr>
            <w:tcW w:type="dxa" w:w="1440"/>
            <w:shd w:fill="FAFAFA" w:val="clear"/>
          </w:tcPr>
          <w:p>
            <w:r>
              <w:rPr>
                <w:sz w:val="17"/>
              </w:rPr>
              <w:t>39,646</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37,138</w:t>
            </w:r>
          </w:p>
        </w:tc>
        <w:tc>
          <w:tcPr>
            <w:tcW w:type="dxa" w:w="1440"/>
            <w:shd w:fill="FAFAFA" w:val="clear"/>
          </w:tcPr>
          <w:p>
            <w:r>
              <w:rPr>
                <w:b/>
                <w:sz w:val="17"/>
              </w:rPr>
              <w:t>38,565</w:t>
            </w:r>
          </w:p>
        </w:tc>
        <w:tc>
          <w:tcPr>
            <w:tcW w:type="dxa" w:w="1440"/>
            <w:shd w:fill="FAFAFA" w:val="clear"/>
          </w:tcPr>
          <w:p>
            <w:r>
              <w:rPr>
                <w:sz w:val="17"/>
              </w:rPr>
              <w:t>39,992</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36,746</w:t>
            </w:r>
          </w:p>
        </w:tc>
        <w:tc>
          <w:tcPr>
            <w:tcW w:type="dxa" w:w="1440"/>
            <w:shd w:fill="FAFAFA" w:val="clear"/>
          </w:tcPr>
          <w:p>
            <w:r>
              <w:rPr>
                <w:b/>
                <w:sz w:val="17"/>
              </w:rPr>
              <w:t>38,490</w:t>
            </w:r>
          </w:p>
        </w:tc>
        <w:tc>
          <w:tcPr>
            <w:tcW w:type="dxa" w:w="1440"/>
            <w:shd w:fill="FAFAFA" w:val="clear"/>
          </w:tcPr>
          <w:p>
            <w:r>
              <w:rPr>
                <w:sz w:val="17"/>
              </w:rPr>
              <w:t>40,235</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2026-10-09</w:t>
            </w:r>
          </w:p>
        </w:tc>
        <w:tc>
          <w:tcPr>
            <w:tcW w:type="dxa" w:w="1440"/>
            <w:shd w:fill="FAFAFA" w:val="clear"/>
          </w:tcPr>
          <w:p>
            <w:r>
              <w:rPr>
                <w:sz w:val="17"/>
              </w:rPr>
              <w:t>36,409</w:t>
            </w:r>
          </w:p>
        </w:tc>
        <w:tc>
          <w:tcPr>
            <w:tcW w:type="dxa" w:w="1440"/>
            <w:shd w:fill="FAFAFA" w:val="clear"/>
          </w:tcPr>
          <w:p>
            <w:r>
              <w:rPr>
                <w:b/>
                <w:sz w:val="17"/>
              </w:rPr>
              <w:t>38,420</w:t>
            </w:r>
          </w:p>
        </w:tc>
        <w:tc>
          <w:tcPr>
            <w:tcW w:type="dxa" w:w="1440"/>
            <w:shd w:fill="FAFAFA" w:val="clear"/>
          </w:tcPr>
          <w:p>
            <w:r>
              <w:rPr>
                <w:sz w:val="17"/>
              </w:rPr>
              <w:t>40,431</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2026-10-12</w:t>
            </w:r>
          </w:p>
        </w:tc>
        <w:tc>
          <w:tcPr>
            <w:tcW w:type="dxa" w:w="1440"/>
            <w:shd w:fill="FAFAFA" w:val="clear"/>
          </w:tcPr>
          <w:p>
            <w:r>
              <w:rPr>
                <w:sz w:val="17"/>
              </w:rPr>
              <w:t>36,110</w:t>
            </w:r>
          </w:p>
        </w:tc>
        <w:tc>
          <w:tcPr>
            <w:tcW w:type="dxa" w:w="1440"/>
            <w:shd w:fill="FAFAFA" w:val="clear"/>
          </w:tcPr>
          <w:p>
            <w:r>
              <w:rPr>
                <w:b/>
                <w:sz w:val="17"/>
              </w:rPr>
              <w:t>38,355</w:t>
            </w:r>
          </w:p>
        </w:tc>
        <w:tc>
          <w:tcPr>
            <w:tcW w:type="dxa" w:w="1440"/>
            <w:shd w:fill="FAFAFA" w:val="clear"/>
          </w:tcPr>
          <w:p>
            <w:r>
              <w:rPr>
                <w:sz w:val="17"/>
              </w:rPr>
              <w:t>40,599</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2026-10-13</w:t>
            </w:r>
          </w:p>
        </w:tc>
        <w:tc>
          <w:tcPr>
            <w:tcW w:type="dxa" w:w="1440"/>
            <w:shd w:fill="FAFAFA" w:val="clear"/>
          </w:tcPr>
          <w:p>
            <w:r>
              <w:rPr>
                <w:sz w:val="17"/>
              </w:rPr>
              <w:t>35,838</w:t>
            </w:r>
          </w:p>
        </w:tc>
        <w:tc>
          <w:tcPr>
            <w:tcW w:type="dxa" w:w="1440"/>
            <w:shd w:fill="FAFAFA" w:val="clear"/>
          </w:tcPr>
          <w:p>
            <w:r>
              <w:rPr>
                <w:b/>
                <w:sz w:val="17"/>
              </w:rPr>
              <w:t>38,292</w:t>
            </w:r>
          </w:p>
        </w:tc>
        <w:tc>
          <w:tcPr>
            <w:tcW w:type="dxa" w:w="1440"/>
            <w:shd w:fill="FAFAFA" w:val="clear"/>
          </w:tcPr>
          <w:p>
            <w:r>
              <w:rPr>
                <w:sz w:val="17"/>
              </w:rPr>
              <w:t>40,747</w:t>
            </w:r>
          </w:p>
        </w:tc>
        <w:tc>
          <w:tcPr>
            <w:tcW w:type="dxa" w:w="1440"/>
            <w:shd w:fill="FAFAFA" w:val="clear"/>
          </w:tcPr>
          <w:p>
            <w:r>
              <w:rPr>
                <w:b/>
                <w:color w:val="C00000"/>
                <w:sz w:val="17"/>
              </w:rPr>
              <w:t>-1.8%</w:t>
            </w:r>
          </w:p>
        </w:tc>
      </w:tr>
      <w:tr>
        <w:tc>
          <w:tcPr>
            <w:tcW w:type="dxa" w:w="1440"/>
            <w:shd w:fill="FAFAFA" w:val="clear"/>
          </w:tcPr>
          <w:p>
            <w:r>
              <w:rPr>
                <w:sz w:val="17"/>
              </w:rPr>
              <w:t>J+7  Moyenne</w:t>
            </w:r>
          </w:p>
        </w:tc>
        <w:tc>
          <w:tcPr>
            <w:tcW w:type="dxa" w:w="1440"/>
            <w:shd w:fill="FAFAFA" w:val="clear"/>
          </w:tcPr>
          <w:p>
            <w:r>
              <w:rPr>
                <w:sz w:val="17"/>
              </w:rPr>
              <w:t>2026-10-14</w:t>
            </w:r>
          </w:p>
        </w:tc>
        <w:tc>
          <w:tcPr>
            <w:tcW w:type="dxa" w:w="1440"/>
            <w:shd w:fill="FAFAFA" w:val="clear"/>
          </w:tcPr>
          <w:p>
            <w:r>
              <w:rPr>
                <w:sz w:val="17"/>
              </w:rPr>
              <w:t>35,585</w:t>
            </w:r>
          </w:p>
        </w:tc>
        <w:tc>
          <w:tcPr>
            <w:tcW w:type="dxa" w:w="1440"/>
            <w:shd w:fill="FAFAFA" w:val="clear"/>
          </w:tcPr>
          <w:p>
            <w:r>
              <w:rPr>
                <w:b/>
                <w:sz w:val="17"/>
              </w:rPr>
              <w:t>38,232</w:t>
            </w:r>
          </w:p>
        </w:tc>
        <w:tc>
          <w:tcPr>
            <w:tcW w:type="dxa" w:w="1440"/>
            <w:shd w:fill="FAFAFA" w:val="clear"/>
          </w:tcPr>
          <w:p>
            <w:r>
              <w:rPr>
                <w:sz w:val="17"/>
              </w:rPr>
              <w:t>40,879</w:t>
            </w:r>
          </w:p>
        </w:tc>
        <w:tc>
          <w:tcPr>
            <w:tcW w:type="dxa" w:w="1440"/>
            <w:shd w:fill="FAFAFA" w:val="clear"/>
          </w:tcPr>
          <w:p>
            <w:r>
              <w:rPr>
                <w:b/>
                <w:color w:val="C00000"/>
                <w:sz w:val="17"/>
              </w:rPr>
              <w:t>-1.9%</w:t>
            </w:r>
          </w:p>
        </w:tc>
      </w:tr>
      <w:tr>
        <w:tc>
          <w:tcPr>
            <w:tcW w:type="dxa" w:w="1440"/>
            <w:shd w:fill="FFDCE0" w:val="clear"/>
          </w:tcPr>
          <w:p>
            <w:r>
              <w:rPr>
                <w:sz w:val="17"/>
              </w:rPr>
              <w:t>J+8  Moyenne</w:t>
            </w:r>
          </w:p>
        </w:tc>
        <w:tc>
          <w:tcPr>
            <w:tcW w:type="dxa" w:w="1440"/>
            <w:shd w:fill="FFDCE0" w:val="clear"/>
          </w:tcPr>
          <w:p>
            <w:r>
              <w:rPr>
                <w:sz w:val="17"/>
              </w:rPr>
              <w:t>2026-10-15</w:t>
            </w:r>
          </w:p>
        </w:tc>
        <w:tc>
          <w:tcPr>
            <w:tcW w:type="dxa" w:w="1440"/>
            <w:shd w:fill="FFDCE0" w:val="clear"/>
          </w:tcPr>
          <w:p>
            <w:r>
              <w:rPr>
                <w:sz w:val="17"/>
              </w:rPr>
              <w:t>35,348</w:t>
            </w:r>
          </w:p>
        </w:tc>
        <w:tc>
          <w:tcPr>
            <w:tcW w:type="dxa" w:w="1440"/>
            <w:shd w:fill="FFDCE0" w:val="clear"/>
          </w:tcPr>
          <w:p>
            <w:r>
              <w:rPr>
                <w:b/>
                <w:sz w:val="17"/>
              </w:rPr>
              <w:t>38,174</w:t>
            </w:r>
          </w:p>
        </w:tc>
        <w:tc>
          <w:tcPr>
            <w:tcW w:type="dxa" w:w="1440"/>
            <w:shd w:fill="FFDCE0" w:val="clear"/>
          </w:tcPr>
          <w:p>
            <w:r>
              <w:rPr>
                <w:sz w:val="17"/>
              </w:rPr>
              <w:t>40,999</w:t>
            </w:r>
          </w:p>
        </w:tc>
        <w:tc>
          <w:tcPr>
            <w:tcW w:type="dxa" w:w="1440"/>
            <w:shd w:fill="FFDCE0" w:val="clear"/>
          </w:tcPr>
          <w:p>
            <w:r>
              <w:rPr>
                <w:b/>
                <w:color w:val="C00000"/>
                <w:sz w:val="17"/>
              </w:rPr>
              <w:t>-2.1%</w:t>
            </w:r>
          </w:p>
        </w:tc>
      </w:tr>
      <w:tr>
        <w:tc>
          <w:tcPr>
            <w:tcW w:type="dxa" w:w="1440"/>
            <w:shd w:fill="FFDCE0" w:val="clear"/>
          </w:tcPr>
          <w:p>
            <w:r>
              <w:rPr>
                <w:sz w:val="17"/>
              </w:rPr>
              <w:t>J+9  Moyenne</w:t>
            </w:r>
          </w:p>
        </w:tc>
        <w:tc>
          <w:tcPr>
            <w:tcW w:type="dxa" w:w="1440"/>
            <w:shd w:fill="FFDCE0" w:val="clear"/>
          </w:tcPr>
          <w:p>
            <w:r>
              <w:rPr>
                <w:sz w:val="17"/>
              </w:rPr>
              <w:t>2026-10-16</w:t>
            </w:r>
          </w:p>
        </w:tc>
        <w:tc>
          <w:tcPr>
            <w:tcW w:type="dxa" w:w="1440"/>
            <w:shd w:fill="FFDCE0" w:val="clear"/>
          </w:tcPr>
          <w:p>
            <w:r>
              <w:rPr>
                <w:sz w:val="17"/>
              </w:rPr>
              <w:t>35,124</w:t>
            </w:r>
          </w:p>
        </w:tc>
        <w:tc>
          <w:tcPr>
            <w:tcW w:type="dxa" w:w="1440"/>
            <w:shd w:fill="FFDCE0" w:val="clear"/>
          </w:tcPr>
          <w:p>
            <w:r>
              <w:rPr>
                <w:b/>
                <w:sz w:val="17"/>
              </w:rPr>
              <w:t>38,116</w:t>
            </w:r>
          </w:p>
        </w:tc>
        <w:tc>
          <w:tcPr>
            <w:tcW w:type="dxa" w:w="1440"/>
            <w:shd w:fill="FFDCE0" w:val="clear"/>
          </w:tcPr>
          <w:p>
            <w:r>
              <w:rPr>
                <w:sz w:val="17"/>
              </w:rPr>
              <w:t>41,109</w:t>
            </w:r>
          </w:p>
        </w:tc>
        <w:tc>
          <w:tcPr>
            <w:tcW w:type="dxa" w:w="1440"/>
            <w:shd w:fill="FFDCE0" w:val="clear"/>
          </w:tcPr>
          <w:p>
            <w:r>
              <w:rPr>
                <w:b/>
                <w:color w:val="C00000"/>
                <w:sz w:val="17"/>
              </w:rPr>
              <w:t>-2.2%</w:t>
            </w:r>
          </w:p>
        </w:tc>
      </w:tr>
      <w:tr>
        <w:tc>
          <w:tcPr>
            <w:tcW w:type="dxa" w:w="1440"/>
            <w:shd w:fill="FFDCE0" w:val="clear"/>
          </w:tcPr>
          <w:p>
            <w:r>
              <w:rPr>
                <w:sz w:val="17"/>
              </w:rPr>
              <w:t>J+10  Moyenne</w:t>
            </w:r>
          </w:p>
        </w:tc>
        <w:tc>
          <w:tcPr>
            <w:tcW w:type="dxa" w:w="1440"/>
            <w:shd w:fill="FFDCE0" w:val="clear"/>
          </w:tcPr>
          <w:p>
            <w:r>
              <w:rPr>
                <w:sz w:val="17"/>
              </w:rPr>
              <w:t>2026-10-19</w:t>
            </w:r>
          </w:p>
        </w:tc>
        <w:tc>
          <w:tcPr>
            <w:tcW w:type="dxa" w:w="1440"/>
            <w:shd w:fill="FFDCE0" w:val="clear"/>
          </w:tcPr>
          <w:p>
            <w:r>
              <w:rPr>
                <w:sz w:val="17"/>
              </w:rPr>
              <w:t>34,910</w:t>
            </w:r>
          </w:p>
        </w:tc>
        <w:tc>
          <w:tcPr>
            <w:tcW w:type="dxa" w:w="1440"/>
            <w:shd w:fill="FFDCE0" w:val="clear"/>
          </w:tcPr>
          <w:p>
            <w:r>
              <w:rPr>
                <w:b/>
                <w:sz w:val="17"/>
              </w:rPr>
              <w:t>38,060</w:t>
            </w:r>
          </w:p>
        </w:tc>
        <w:tc>
          <w:tcPr>
            <w:tcW w:type="dxa" w:w="1440"/>
            <w:shd w:fill="FFDCE0" w:val="clear"/>
          </w:tcPr>
          <w:p>
            <w:r>
              <w:rPr>
                <w:sz w:val="17"/>
              </w:rPr>
              <w:t>41,210</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1 212,87 milliards FCFA, SGBC figure parmi les toutes premières capitalisations de la BRVM, ce qui en fait un pilier de l'indice composite et un titre incontournable pour les investisseurs institutionnels de la zone UEMOA. Le BPA de 3 258 FCFA/action signifie que chaque titre génère près de 3 258 FCFA de bénéfice net, un niveau remarquable qui traduit la forte rentabilité de la banque. Le PER de 12,0x se situe dans le haut de la fourchette moyenne du marché BRVM (8-12x), indiquant que les investisseurs paient un prix raisonnable mais non décoté pour ces bénéfices, cohérent avec la qualité de la signature. Le P/B de 2,45x montre que le marché valorise SGBC à environ 2,5 fois sa valeur comptable, soit une prime de croissance justifiée par un ROE de 20,5% nettement supérieur au coût des fonds propres. En revanche, l'EV/EBITDA de 24,7x apparaît très exigeant (&gt;15x), signalant que la valeur d'entreprise intègre déjà une bonne part des anticipations de performance future.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affiche une progression totale de +12,03%, avec une dernière séance quasi stable (-0,04%), confirmant une dynamique haussière maîtrisée. Le cours a évolué dans un range de 34 800 FCFA (plus bas) à 39 300 FCFA (plus haut), soit une amplitude de 12,9%, et se situe actuellement à 38 985 FCFA, proche du sommet de cette fourchette. La moyenne (38 195 FCFA) est légèrement inférieure à la médiane (38 498 FCFA), ce qui traduit une distribution légèrement asymétrique avec davantage de séances passées au-dessus de la moyenne, cohérent avec le skewness négatif (-1,475) indiquant plus de journées de hausse que de baisse. L'écart-type de 1 019 FCFA et le coefficient de variation de 2,7% révèlent une dispersion très faible du cours, signe d'une grande stabilité de la valorisation. Le kurtosis de 1,814 (leptokurtique) signale toutefois des queues épaisses, donc un risque de pics de volatilité ponctuels qu'il convient de surveiller. Avec une volatilité annualisée de 21,5%, le titre se positionne dans la catégorie modérée (15-30%), offrant un profil rendement/risque équilibré pour une valeur bancaire de premier rang.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(38 644,75 FCFA) et la MM50 (38 496,90 FCFA) se situent toutes deux sous le cours actuel (38 985 FCFA), et la MM20 est au-dessus de la MM50, configurant un croisement haussier classique. Cette structure confirme la décision d'ACHAT, le titre évoluant au-dessus de ses supports mobiles avec une dynamique positive de court et moyen terme.</w:t>
      </w:r>
    </w:p>
    <w:p>
      <w:pPr>
        <w:spacing w:after="120" w:line="276" w:lineRule="auto"/>
      </w:pPr>
      <w:r>
        <w:t>**Bandes de Bollinger** : Le cours (38 985 FCFA) évolue dans la partie haute du canal, entre la borne inférieure (37 849,33 FCFA) et la borne supérieure (39 440,17 FCFA), sans la franchir. Cette position médiane-haute, avec un canal relativement resserré, traduit une volatilité contenue et justifie la décision NEUTRE, le titre n'étant ni en surchauffe ni en zone de rebond.</w:t>
      </w:r>
    </w:p>
    <w:p>
      <w:pPr>
        <w:spacing w:after="120" w:line="276" w:lineRule="auto"/>
      </w:pPr>
      <w:r>
        <w:t>**MACD** : La valeur du MACD (106,2) est nettement supérieure à son signal (45,34), générant un histogramme positif marqué qui confirme un momentum haussier soutenu. Cette divergence positive entre les deux lignes valide la décision d'ACHAT, le mouvement haussier étant encore alimenté par une dynamique de fond favorable.</w:t>
      </w:r>
    </w:p>
    <w:p>
      <w:pPr>
        <w:spacing w:after="120" w:line="276" w:lineRule="auto"/>
      </w:pPr>
      <w:r>
        <w:t>**RSI** : À 49,91, le RSI se situe parfaitement dans la zone neutre (30-70), à mi-chemin entre survente et surachat. Cette configuration indique un équilibre entre acheteurs et vendeurs, sans tension excessive, justifiant la décision NEUTRE et laissant au titre une marge de progression avant d'atteindre la zone de surachat (&gt;70).</w:t>
      </w:r>
    </w:p>
    <w:p>
      <w:pPr>
        <w:spacing w:after="120" w:line="276" w:lineRule="auto"/>
      </w:pPr>
      <w:r>
        <w:t>**Stochastique** : Avec un %K de 98,75 et un %D de 99,31, l'oscillateur stochastique évolue en zone de surachat extrême, les deux lignes étant quasiment collées au sommet. Cette configuration, bien que confirmant la force du mouvement, génère un signal de VENTE à court terme, un repli technique étant probable après une telle tension.</w:t>
      </w:r>
    </w:p>
    <w:p>
      <w:pPr>
        <w:spacing w:after="120" w:line="276" w:lineRule="auto"/>
      </w:pPr>
      <w:r>
        <w:t>**Conclusion technique** : Les indicateurs présentent une convergence majoritairement haussière (MM, MACD) tempérée par des signaux de neutralité (Bollinger, RSI) et un signal de vente à court terme (Stochastique en surachat extrême). Le titre bénéficie d'un momentum solide mais arrive en fin de phase d'impulsion, ce qui suggère une consolidation probable avant toute nouvelle accélération. La configuration globale reste constructive pour un investisseur de moyen terme, avec un point d'entrée plus favorable en cas de repli vers la MM20 (38 645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SGBC affiche un Produit Net Bancaire (équivalent du chiffre d'affaires pour une banque) de 276,048 milliards FCFA, en croissance de +4,88% sur un an, et un résultat net de 101,352 milliards FCFA. Le ROE s'établit à 20,47% (&gt;15% = excellent) et le ROA à 2,69%, confirmant une rentabilité des fonds propres remarquable. Le coefficient d'exploitation de 38,75% place la banque parmi les plus efficaces du secteur UEMOA (&lt;60% = efficace, &lt;50% = excellente). Le total bilan atteint 3 769,17 milliards FCFA, avec des dépôts clientèle de 2 907,68 milliards FCFA face à des créances clientèle de 2 546,29 milliards FCFA, soit un ratio de transformation (crédits/dépôts) de 87,6%, en amélioration. La marge nette de 36,72% demeure exceptionnelle, et la couverture des intérêts par le résultat d'exploitation atteint 255,88%, témoignant d'une solvabilité confortable (ratio de solvabilité de 17,6% au S1 2026, bien au-dessus du seuil réglementaire de 12,5%).</w:t>
      </w:r>
    </w:p>
    <w:p>
      <w:pPr>
        <w:spacing w:after="120" w:line="276" w:lineRule="auto"/>
      </w:pPr>
      <w:r>
        <w:t>**Estimations basées sur les rapports trimestriels** : Le rapport T1 2026 (publié le 30 avril 2026) indique un PNB de 65,644 milliards FCFA (-1% sur un an) et un résultat net de 23,976 milliards FCFA (-11%), affectés par la migration vers une nouvelle plateforme digitale et la hausse des frais généraux (+9%). Le rapport S1 2026 (publié le 27 août 2026) montre une stabilisation avec un PNB de 134,059 milliards FCFA (+1,6%) et un résultat net de 53,350 milliards FCFA (+0,5%), le coefficient d'exploitation s'améliorant à 36,7%. **On estime donc que l'exercice 2026 devrait clôturer sur un PNB légèrement supérieur à 270 milliards FCFA et un résultat net proche de 102-104 milliards FCFA**, la normalisation des coûts et la fin de la migration devant compenser le trou d'air du T1. Le rapport annuel 2025 (publié le 17 avril 2026) confirme un dividende brut de 2 606 FCFA/action, soit un taux de distribution de 80% et un rendement de 6,68% au cours actuel de 38 985 FCFA — un niveau attractif pour le marché. **Recommandation fondamentale** : solidité exceptionnelle (notation AAA, ROE &gt;20%, coefficient d'exploitation &lt;40%), politique de dividende généreuse, mais vigilance sur le coût du risque (+29,2% en 2025, NPL à 8,0%) et sur la stagnation du résultat net (+0,1% en 2025, +0,5% au S1 2026). Le profil est celui d'une valeur de rendement et de stabilité, à conserver pour son dividende et sa qualité bilancielle.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équilibré mais sans catalyseur majeur à court terme. **Valorisation (Partie 0)** : le PER de 12,0x et le P/B de 2,45x indiquent une valorisation raisonnable mais non décotée, tandis que l'EV/EBITDA de 24,7x apparaît exigeant, suggérant que le titre intègre déjà une bonne part de ses qualités. **Comportement du cours (Partie 1)** : la tendance haussière (+12,03%) avec une volatilité modérée (21,5%) et une dispersion faible (CV 2,7%) est favorable, mais le kurtosis leptokurtique (1,814) et le skewness négatif (-1,475) appellent à la prudence face à des pics ponctuels. **Signaux techniques (Partie 2)** : convergence haussière des MM et du MACD, neutralité du RSI et des Bollinger, mais surachat extrême du Stochastique (%K=98,75) — un repli technique est probable à très court terme. **Fondamentaux (Partie 3)** : solidité exceptionnelle (ROE 20,47%, coefficient d'exploitation 38,75%, dividende 2 606 FCFA soit 6,68% de rendement), mais stagnation du résultat net (+0,1% en 2025, +0,5% au S1 2026) et hausse du coût du risque. **Prédictions IA (J+1 à J+10)** : la trajectoire projetée (38 635 → 38 355 FCFA) anticipe un léger repli de -1,6% sur 10 jours, cohérent avec le signal de vente du Stochastique et un probable retour vers la MM20 (38 645 FCFA). **Recommandation finale : CONSERVER**. La convergence entre une valorisation correcte, des fondamentaux solides, un dividende attractif et une prédiction de consolidation à court terme plaide pour le maintien en portefeuille plutôt qu'un renforcement immédiat. Le niveau de confiance est **Moyen** (les signaux techniques sont mitigés et les fondamentaux en légère décélération), le risque global est **Faible à Moyen** (titre défensif, liquidité correcte, notation AAA), et l'horizon optimal est le **moyen terme (3-12 mois)**, en attendant la confirmation au T3/T4 2026 de la normalisation des coûts et de la reprise du PNB. Un passage à l'ACHAT serait justifié en cas de repli vers 38 000-38 500 FCFA ou d'annonce d'un dividende 2026 supérieur à 2 700 FCFA/action.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139.54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5,063 titres</w:t>
            </w:r>
          </w:p>
        </w:tc>
        <w:tc>
          <w:tcPr>
            <w:tcW w:type="dxa" w:w="2268"/>
            <w:shd w:fill="FFF2CC" w:val="clear"/>
          </w:tcPr>
          <w:p>
            <w:r>
              <w:rPr>
                <w:b/>
                <w:color w:val="503200"/>
                <w:sz w:val="16"/>
              </w:rPr>
              <w:t xml:space="preserve">Cours actuel : </w:t>
            </w:r>
            <w:r>
              <w:rPr>
                <w:color w:val="000000"/>
                <w:sz w:val="17"/>
              </w:rPr>
              <w:t>2,215 FCFA</w:t>
            </w:r>
          </w:p>
          <w:p>
            <w:r>
              <w:rPr>
                <w:b/>
                <w:color w:val="503200"/>
                <w:sz w:val="16"/>
              </w:rPr>
              <w:t xml:space="preserve">Var. 100 jours : </w:t>
            </w:r>
            <w:r>
              <w:rPr>
                <w:b/>
                <w:color w:val="007800"/>
                <w:sz w:val="17"/>
              </w:rPr>
              <w:t>+10.75%</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10.20% (Moyenne) — μ=2,256 FCFA, σ=230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β=1.0080 (Neutre (suit le marché)) — Cov=0.000073, Var(idx)=0.000072, ρ=0.320,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2,107</w:t>
            </w:r>
          </w:p>
        </w:tc>
        <w:tc>
          <w:tcPr>
            <w:tcW w:type="dxa" w:w="1440"/>
            <w:shd w:fill="FAFAFA" w:val="clear"/>
          </w:tcPr>
          <w:p>
            <w:r>
              <w:rPr>
                <w:b/>
                <w:sz w:val="17"/>
              </w:rPr>
              <w:t>2,242</w:t>
            </w:r>
          </w:p>
        </w:tc>
        <w:tc>
          <w:tcPr>
            <w:tcW w:type="dxa" w:w="1440"/>
            <w:shd w:fill="FAFAFA" w:val="clear"/>
          </w:tcPr>
          <w:p>
            <w:r>
              <w:rPr>
                <w:sz w:val="17"/>
              </w:rPr>
              <w:t>2,378</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2,056</w:t>
            </w:r>
          </w:p>
        </w:tc>
        <w:tc>
          <w:tcPr>
            <w:tcW w:type="dxa" w:w="1440"/>
            <w:shd w:fill="FAFAFA" w:val="clear"/>
          </w:tcPr>
          <w:p>
            <w:r>
              <w:rPr>
                <w:b/>
                <w:sz w:val="17"/>
              </w:rPr>
              <w:t>2,248</w:t>
            </w:r>
          </w:p>
        </w:tc>
        <w:tc>
          <w:tcPr>
            <w:tcW w:type="dxa" w:w="1440"/>
            <w:shd w:fill="FAFAFA" w:val="clear"/>
          </w:tcPr>
          <w:p>
            <w:r>
              <w:rPr>
                <w:sz w:val="17"/>
              </w:rPr>
              <w:t>2,440</w:t>
            </w:r>
          </w:p>
        </w:tc>
        <w:tc>
          <w:tcPr>
            <w:tcW w:type="dxa" w:w="1440"/>
            <w:shd w:fill="FAFAFA" w:val="clear"/>
          </w:tcPr>
          <w:p>
            <w:r>
              <w:rPr>
                <w:b/>
                <w:color w:val="008000"/>
                <w:sz w:val="17"/>
              </w:rPr>
              <w:t>+1.5%</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2,021</w:t>
            </w:r>
          </w:p>
        </w:tc>
        <w:tc>
          <w:tcPr>
            <w:tcW w:type="dxa" w:w="1440"/>
            <w:shd w:fill="FAFAFA" w:val="clear"/>
          </w:tcPr>
          <w:p>
            <w:r>
              <w:rPr>
                <w:b/>
                <w:sz w:val="17"/>
              </w:rPr>
              <w:t>2,257</w:t>
            </w:r>
          </w:p>
        </w:tc>
        <w:tc>
          <w:tcPr>
            <w:tcW w:type="dxa" w:w="1440"/>
            <w:shd w:fill="FAFAFA" w:val="clear"/>
          </w:tcPr>
          <w:p>
            <w:r>
              <w:rPr>
                <w:sz w:val="17"/>
              </w:rPr>
              <w:t>2,493</w:t>
            </w:r>
          </w:p>
        </w:tc>
        <w:tc>
          <w:tcPr>
            <w:tcW w:type="dxa" w:w="1440"/>
            <w:shd w:fill="FAFAFA" w:val="clear"/>
          </w:tcPr>
          <w:p>
            <w:r>
              <w:rPr>
                <w:b/>
                <w:color w:val="008000"/>
                <w:sz w:val="17"/>
              </w:rPr>
              <w:t>+1.9%</w:t>
            </w:r>
          </w:p>
        </w:tc>
      </w:tr>
      <w:tr>
        <w:tc>
          <w:tcPr>
            <w:tcW w:type="dxa" w:w="1440"/>
            <w:shd w:fill="C6EFCE" w:val="clear"/>
          </w:tcPr>
          <w:p>
            <w:r>
              <w:rPr>
                <w:sz w:val="17"/>
              </w:rPr>
              <w:t>J+4  ⭐</w:t>
            </w:r>
          </w:p>
        </w:tc>
        <w:tc>
          <w:tcPr>
            <w:tcW w:type="dxa" w:w="1440"/>
            <w:shd w:fill="C6EFCE" w:val="clear"/>
          </w:tcPr>
          <w:p>
            <w:r>
              <w:rPr>
                <w:sz w:val="17"/>
              </w:rPr>
              <w:t>2026-10-09</w:t>
            </w:r>
          </w:p>
        </w:tc>
        <w:tc>
          <w:tcPr>
            <w:tcW w:type="dxa" w:w="1440"/>
            <w:shd w:fill="C6EFCE" w:val="clear"/>
          </w:tcPr>
          <w:p>
            <w:r>
              <w:rPr>
                <w:sz w:val="17"/>
              </w:rPr>
              <w:t>1,990</w:t>
            </w:r>
          </w:p>
        </w:tc>
        <w:tc>
          <w:tcPr>
            <w:tcW w:type="dxa" w:w="1440"/>
            <w:shd w:fill="C6EFCE" w:val="clear"/>
          </w:tcPr>
          <w:p>
            <w:r>
              <w:rPr>
                <w:b/>
                <w:sz w:val="17"/>
              </w:rPr>
              <w:t>2,263</w:t>
            </w:r>
          </w:p>
        </w:tc>
        <w:tc>
          <w:tcPr>
            <w:tcW w:type="dxa" w:w="1440"/>
            <w:shd w:fill="C6EFCE" w:val="clear"/>
          </w:tcPr>
          <w:p>
            <w:r>
              <w:rPr>
                <w:sz w:val="17"/>
              </w:rPr>
              <w:t>2,537</w:t>
            </w:r>
          </w:p>
        </w:tc>
        <w:tc>
          <w:tcPr>
            <w:tcW w:type="dxa" w:w="1440"/>
            <w:shd w:fill="C6EFCE" w:val="clear"/>
          </w:tcPr>
          <w:p>
            <w:r>
              <w:rPr>
                <w:b/>
                <w:color w:val="008000"/>
                <w:sz w:val="17"/>
              </w:rPr>
              <w:t>+2.2%</w:t>
            </w:r>
          </w:p>
        </w:tc>
      </w:tr>
      <w:tr>
        <w:tc>
          <w:tcPr>
            <w:tcW w:type="dxa" w:w="1440"/>
            <w:shd w:fill="C6EFCE" w:val="clear"/>
          </w:tcPr>
          <w:p>
            <w:r>
              <w:rPr>
                <w:sz w:val="17"/>
              </w:rPr>
              <w:t>J+5  ⭐</w:t>
            </w:r>
          </w:p>
        </w:tc>
        <w:tc>
          <w:tcPr>
            <w:tcW w:type="dxa" w:w="1440"/>
            <w:shd w:fill="C6EFCE" w:val="clear"/>
          </w:tcPr>
          <w:p>
            <w:r>
              <w:rPr>
                <w:sz w:val="17"/>
              </w:rPr>
              <w:t>2026-10-12</w:t>
            </w:r>
          </w:p>
        </w:tc>
        <w:tc>
          <w:tcPr>
            <w:tcW w:type="dxa" w:w="1440"/>
            <w:shd w:fill="C6EFCE" w:val="clear"/>
          </w:tcPr>
          <w:p>
            <w:r>
              <w:rPr>
                <w:sz w:val="17"/>
              </w:rPr>
              <w:t>1,962</w:t>
            </w:r>
          </w:p>
        </w:tc>
        <w:tc>
          <w:tcPr>
            <w:tcW w:type="dxa" w:w="1440"/>
            <w:shd w:fill="C6EFCE" w:val="clear"/>
          </w:tcPr>
          <w:p>
            <w:r>
              <w:rPr>
                <w:b/>
                <w:sz w:val="17"/>
              </w:rPr>
              <w:t>2,268</w:t>
            </w:r>
          </w:p>
        </w:tc>
        <w:tc>
          <w:tcPr>
            <w:tcW w:type="dxa" w:w="1440"/>
            <w:shd w:fill="C6EFCE" w:val="clear"/>
          </w:tcPr>
          <w:p>
            <w:r>
              <w:rPr>
                <w:sz w:val="17"/>
              </w:rPr>
              <w:t>2,574</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2026-10-13</w:t>
            </w:r>
          </w:p>
        </w:tc>
        <w:tc>
          <w:tcPr>
            <w:tcW w:type="dxa" w:w="1440"/>
            <w:shd w:fill="C6EFCE" w:val="clear"/>
          </w:tcPr>
          <w:p>
            <w:r>
              <w:rPr>
                <w:sz w:val="17"/>
              </w:rPr>
              <w:t>1,935</w:t>
            </w:r>
          </w:p>
        </w:tc>
        <w:tc>
          <w:tcPr>
            <w:tcW w:type="dxa" w:w="1440"/>
            <w:shd w:fill="C6EFCE" w:val="clear"/>
          </w:tcPr>
          <w:p>
            <w:r>
              <w:rPr>
                <w:b/>
                <w:sz w:val="17"/>
              </w:rPr>
              <w:t>2,271</w:t>
            </w:r>
          </w:p>
        </w:tc>
        <w:tc>
          <w:tcPr>
            <w:tcW w:type="dxa" w:w="1440"/>
            <w:shd w:fill="C6EFCE" w:val="clear"/>
          </w:tcPr>
          <w:p>
            <w:r>
              <w:rPr>
                <w:sz w:val="17"/>
              </w:rPr>
              <w:t>2,607</w:t>
            </w:r>
          </w:p>
        </w:tc>
        <w:tc>
          <w:tcPr>
            <w:tcW w:type="dxa" w:w="1440"/>
            <w:shd w:fill="C6EFCE" w:val="clear"/>
          </w:tcPr>
          <w:p>
            <w:r>
              <w:rPr>
                <w:b/>
                <w:color w:val="008000"/>
                <w:sz w:val="17"/>
              </w:rPr>
              <w:t>+2.5%</w:t>
            </w:r>
          </w:p>
        </w:tc>
      </w:tr>
      <w:tr>
        <w:tc>
          <w:tcPr>
            <w:tcW w:type="dxa" w:w="1440"/>
            <w:shd w:fill="C6EFCE" w:val="clear"/>
          </w:tcPr>
          <w:p>
            <w:r>
              <w:rPr>
                <w:sz w:val="17"/>
              </w:rPr>
              <w:t>J+7  ⭐</w:t>
            </w:r>
          </w:p>
        </w:tc>
        <w:tc>
          <w:tcPr>
            <w:tcW w:type="dxa" w:w="1440"/>
            <w:shd w:fill="C6EFCE" w:val="clear"/>
          </w:tcPr>
          <w:p>
            <w:r>
              <w:rPr>
                <w:sz w:val="17"/>
              </w:rPr>
              <w:t>2026-10-14</w:t>
            </w:r>
          </w:p>
        </w:tc>
        <w:tc>
          <w:tcPr>
            <w:tcW w:type="dxa" w:w="1440"/>
            <w:shd w:fill="C6EFCE" w:val="clear"/>
          </w:tcPr>
          <w:p>
            <w:r>
              <w:rPr>
                <w:sz w:val="17"/>
              </w:rPr>
              <w:t>1,910</w:t>
            </w:r>
          </w:p>
        </w:tc>
        <w:tc>
          <w:tcPr>
            <w:tcW w:type="dxa" w:w="1440"/>
            <w:shd w:fill="C6EFCE" w:val="clear"/>
          </w:tcPr>
          <w:p>
            <w:r>
              <w:rPr>
                <w:b/>
                <w:sz w:val="17"/>
              </w:rPr>
              <w:t>2,273</w:t>
            </w:r>
          </w:p>
        </w:tc>
        <w:tc>
          <w:tcPr>
            <w:tcW w:type="dxa" w:w="1440"/>
            <w:shd w:fill="C6EFCE" w:val="clear"/>
          </w:tcPr>
          <w:p>
            <w:r>
              <w:rPr>
                <w:sz w:val="17"/>
              </w:rPr>
              <w:t>2,636</w:t>
            </w:r>
          </w:p>
        </w:tc>
        <w:tc>
          <w:tcPr>
            <w:tcW w:type="dxa" w:w="1440"/>
            <w:shd w:fill="C6EFCE" w:val="clear"/>
          </w:tcPr>
          <w:p>
            <w:r>
              <w:rPr>
                <w:b/>
                <w:color w:val="008000"/>
                <w:sz w:val="17"/>
              </w:rPr>
              <w:t>+2.6%</w:t>
            </w:r>
          </w:p>
        </w:tc>
      </w:tr>
      <w:tr>
        <w:tc>
          <w:tcPr>
            <w:tcW w:type="dxa" w:w="1440"/>
            <w:shd w:fill="C6EFCE" w:val="clear"/>
          </w:tcPr>
          <w:p>
            <w:r>
              <w:rPr>
                <w:sz w:val="17"/>
              </w:rPr>
              <w:t>J+8  ⭐</w:t>
            </w:r>
          </w:p>
        </w:tc>
        <w:tc>
          <w:tcPr>
            <w:tcW w:type="dxa" w:w="1440"/>
            <w:shd w:fill="C6EFCE" w:val="clear"/>
          </w:tcPr>
          <w:p>
            <w:r>
              <w:rPr>
                <w:sz w:val="17"/>
              </w:rPr>
              <w:t>2026-10-15</w:t>
            </w:r>
          </w:p>
        </w:tc>
        <w:tc>
          <w:tcPr>
            <w:tcW w:type="dxa" w:w="1440"/>
            <w:shd w:fill="C6EFCE" w:val="clear"/>
          </w:tcPr>
          <w:p>
            <w:r>
              <w:rPr>
                <w:sz w:val="17"/>
              </w:rPr>
              <w:t>1,886</w:t>
            </w:r>
          </w:p>
        </w:tc>
        <w:tc>
          <w:tcPr>
            <w:tcW w:type="dxa" w:w="1440"/>
            <w:shd w:fill="C6EFCE" w:val="clear"/>
          </w:tcPr>
          <w:p>
            <w:r>
              <w:rPr>
                <w:b/>
                <w:sz w:val="17"/>
              </w:rPr>
              <w:t>2,274</w:t>
            </w:r>
          </w:p>
        </w:tc>
        <w:tc>
          <w:tcPr>
            <w:tcW w:type="dxa" w:w="1440"/>
            <w:shd w:fill="C6EFCE" w:val="clear"/>
          </w:tcPr>
          <w:p>
            <w:r>
              <w:rPr>
                <w:sz w:val="17"/>
              </w:rPr>
              <w:t>2,663</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2026-10-16</w:t>
            </w:r>
          </w:p>
        </w:tc>
        <w:tc>
          <w:tcPr>
            <w:tcW w:type="dxa" w:w="1440"/>
            <w:shd w:fill="C6EFCE" w:val="clear"/>
          </w:tcPr>
          <w:p>
            <w:r>
              <w:rPr>
                <w:sz w:val="17"/>
              </w:rPr>
              <w:t>1,863</w:t>
            </w:r>
          </w:p>
        </w:tc>
        <w:tc>
          <w:tcPr>
            <w:tcW w:type="dxa" w:w="1440"/>
            <w:shd w:fill="C6EFCE" w:val="clear"/>
          </w:tcPr>
          <w:p>
            <w:r>
              <w:rPr>
                <w:b/>
                <w:sz w:val="17"/>
              </w:rPr>
              <w:t>2,275</w:t>
            </w:r>
          </w:p>
        </w:tc>
        <w:tc>
          <w:tcPr>
            <w:tcW w:type="dxa" w:w="1440"/>
            <w:shd w:fill="C6EFCE" w:val="clear"/>
          </w:tcPr>
          <w:p>
            <w:r>
              <w:rPr>
                <w:sz w:val="17"/>
              </w:rPr>
              <w:t>2,687</w:t>
            </w:r>
          </w:p>
        </w:tc>
        <w:tc>
          <w:tcPr>
            <w:tcW w:type="dxa" w:w="1440"/>
            <w:shd w:fill="C6EFCE" w:val="clear"/>
          </w:tcPr>
          <w:p>
            <w:r>
              <w:rPr>
                <w:b/>
                <w:color w:val="008000"/>
                <w:sz w:val="17"/>
              </w:rPr>
              <w:t>+2.7%</w:t>
            </w:r>
          </w:p>
        </w:tc>
      </w:tr>
      <w:tr>
        <w:tc>
          <w:tcPr>
            <w:tcW w:type="dxa" w:w="1440"/>
            <w:shd w:fill="C6EFCE" w:val="clear"/>
          </w:tcPr>
          <w:p>
            <w:r>
              <w:rPr>
                <w:sz w:val="17"/>
              </w:rPr>
              <w:t>J+10  ⭐</w:t>
            </w:r>
          </w:p>
        </w:tc>
        <w:tc>
          <w:tcPr>
            <w:tcW w:type="dxa" w:w="1440"/>
            <w:shd w:fill="C6EFCE" w:val="clear"/>
          </w:tcPr>
          <w:p>
            <w:r>
              <w:rPr>
                <w:sz w:val="17"/>
              </w:rPr>
              <w:t>2026-10-19</w:t>
            </w:r>
          </w:p>
        </w:tc>
        <w:tc>
          <w:tcPr>
            <w:tcW w:type="dxa" w:w="1440"/>
            <w:shd w:fill="C6EFCE" w:val="clear"/>
          </w:tcPr>
          <w:p>
            <w:r>
              <w:rPr>
                <w:sz w:val="17"/>
              </w:rPr>
              <w:t>1,841</w:t>
            </w:r>
          </w:p>
        </w:tc>
        <w:tc>
          <w:tcPr>
            <w:tcW w:type="dxa" w:w="1440"/>
            <w:shd w:fill="C6EFCE" w:val="clear"/>
          </w:tcPr>
          <w:p>
            <w:r>
              <w:rPr>
                <w:b/>
                <w:sz w:val="17"/>
              </w:rPr>
              <w:t>2,275</w:t>
            </w:r>
          </w:p>
        </w:tc>
        <w:tc>
          <w:tcPr>
            <w:tcW w:type="dxa" w:w="1440"/>
            <w:shd w:fill="C6EFCE" w:val="clear"/>
          </w:tcPr>
          <w:p>
            <w:r>
              <w:rPr>
                <w:sz w:val="17"/>
              </w:rPr>
              <w:t>2,710</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Secteur : Distribution pétrolière aval*</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139,54 milliards FCFA, SHEC se positionne parmi les valeurs moyennes-capitalisations de la cote BRVM, loin des poids lourds bancaires et télécoms, mais avec une liquidité suffisante pour un investisseur institutionnel régional. Le BPA de 96 FCFA/action signifie que chaque titre génère près de 96 FCFA de bénéfice net, ce qui, rapporté au cours actuel de 2 215 FCFA, donne un PER de 23,1x — soit environ le double de la moyenne BRVM (~8-12x), signalant que le marché intègre déjà une prime de croissance ou de qualité. Le P/B de 5,14x confirme cette exigence : les investisseurs paient plus de cinq fois la valeur comptable des fonds propres (27,16 Mds FCFA), ce qui est élevé pour un distributeur à marge nette de 1 %. Enfin, l'EV/EBITDA de 12,6x situe la valeur d'entreprise (incluant la dette) à 12,6 fois la capacité opérationnelle, dans le haut de la fourchette 10-15x, suggérant une valorisation tendue qui ne laisse guère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SHEC affiche une variation totale positive de +10,75 %, mais la dernière séance (J-1) enregistre un net repli de -3,70 %, signalant une pression vendeuse récente. Le cours actuel de 2 215 FCFA se situe dans la moitié basse du range de trading, bien en dessous du plus haut de 2 980 FCFA et au-dessus du plus bas de 1 900 FCFA, ce qui traduit une tendance haussière de fond mais avec une correction en cours. Les statistiques descriptives révèlent une moyenne de 2 256 FCFA légèrement supérieure à la médiane et au mode (2 200 FCFA), confirmant une distribution asymétrique avec un skewness positif de 0,989 — interprétation : davantage de journées se sont négociées sous la moyenne, mais quelques séances haussières vigoureuses tirent la moyenne vers le haut. L'écart-type de 231 FCFA (CV = 10,2 %) indique une dispersion modérée du cours, tandis que le kurtosis de 1,161 (leptokurtique) signale des queues épaisses, donc un risque accru de pics de volatilité brutaux. Enfin, la volatilité annualisée de 42,5 % classe SHEC dans la catégorie des titres à volatilité élevée (&gt;30 %), ce qui implique un risque de marché significatif pour un investisseur averse à l'incertitude.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(2 566,5 FCFA) et la MM50 (2 420,0 FCFA) sont toutes deux nettement supérieures au cours actuel (2 215 FCFA), ce qui place le titre en position de faiblesse relative sous ses moyennes. Toutefois, la MM20 reste au-dessus de la MM50, configuration haussière de fond, ce qui justifie la décision « Achat » fournie, mais avec une prudence liée à la cassure récente du cours sous ces supports dynamiques.</w:t>
      </w:r>
    </w:p>
    <w:p>
      <w:pPr>
        <w:spacing w:after="120" w:line="276" w:lineRule="auto"/>
      </w:pPr>
      <w:r>
        <w:t>**Bandes de Bollinger :** Le cours (2 215 FCFA) évolue dans la partie basse du canal, proche de la borne inférieure (2 109,9 FCFA) et très éloigné de la borne supérieure (3 023,1 FCFA), ce qui traduit une pression baissière à court terme. L'amplitude élevée du canal (913 FCFA) confirme une volatilité importante, et la décision « Neutre » reflète l'absence de signal directionnel fort tant que le cours ne franchit pas l'une des bornes.</w:t>
      </w:r>
    </w:p>
    <w:p>
      <w:pPr>
        <w:spacing w:after="120" w:line="276" w:lineRule="auto"/>
      </w:pPr>
      <w:r>
        <w:t>**MACD :** Le MACD (-38,833) est en territoire négatif et inférieur à son signal (23,068), configuration baissière classique qui indique un momentum négatif persistant. La décision « Vente » est cohérente avec cette divergence négative, suggérant que la correction n'est pas encore terminée.</w:t>
      </w:r>
    </w:p>
    <w:p>
      <w:pPr>
        <w:spacing w:after="120" w:line="276" w:lineRule="auto"/>
      </w:pPr>
      <w:r>
        <w:t>**RSI :** À 31,707, le RSI se situe juste au-dessus du seuil de survente (30), en zone neutre basse. La décision « Neutre » est appropriée : le titre n'est pas encore techniquement survendu, mais il s'approche d'une zone où un rebond technique pourrait se matérialiser.</w:t>
      </w:r>
    </w:p>
    <w:p>
      <w:pPr>
        <w:spacing w:after="120" w:line="276" w:lineRule="auto"/>
      </w:pPr>
      <w:r>
        <w:t>**Stochastique :** Avec %K = 0,0 et %D = 0,0, le stochastique est au plus bas absolu, ce qui constitue un signal de survente extrême et justifie la décision « Achat » — historiquement, un tel niveau précède souvent un rebond à court terme.</w:t>
      </w:r>
    </w:p>
    <w:p>
      <w:pPr>
        <w:spacing w:after="120" w:line="276" w:lineRule="auto"/>
      </w:pPr>
      <w:r>
        <w:t>**Conclusion technique :** Les indicateurs sont divergents : les moyennes mobiles et le stochastique plaident pour un achat (survente, tendance de fond haussière), tandis que le MACD et la position dans les bandes de Bollinger recommandent la prudence (momentum négatif, cours sous les supports). Le RSI neutre-bas confirme cette incertitude. En synthèse, le titre se trouve à un point d'inflexion technique : un rebond est probable à court terme (stochastique extrême), mais la confirmation d'une reprise durable nécessiterait un franchissement de la MM20 (2 566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SHEC (Vivo Energy Côte d'Ivoire) a réalisé un chiffre d'affaires de 604,978 milliards FCFA, en très légère hausse de +0,71 % par rapport aux 600,708 milliards de 2024, selon les états financiers annuels définitifs. Le résultat net s'établit à 6,028 milliards FCFA, en progression de +12,6 % (contre 5,354 milliards en 2024), porté par une amélioration de la valeur ajoutée (+15 %), une baisse des charges financières (-17,7 %) et une hausse de l'EBE (+18,5 %). La rentabilité des fonds propres (ROE) atteint 22,20 %, un niveau excellent (&gt;15 %), tandis que le ROA reste faible à 3,11 %, reflétant la structure très capitalistique et le faible taux de marge nette (0,9964 %). En tant qu'entreprise de distribution pétrolière, les délais d'exploitation sont révélateurs : délai clients de 23,27 jours (risque de trésorerie modéré), délai fournisseurs de 35,47 jours (favorable à la trésorerie) et durée de stockage de 7,47 jours (rotation rapide). Le BFR s'élève à 15,315 milliards FCFA, mais le fonds de roulement est négatif (-49,850 milliards FCFA) et la trésorerie nette est fortement négative (-65,264 milliards FCFA), signe de tensions de liquidité structurelles. L'autonomie financière est faible (14,03 %), bien en dessous du seuil sain de 30 %, et la dépendance financière atteint 85,97 %, ce qui expose la société au risque de taux et de refinancement. Sur la base du rapport du 1er semestre 2026 (publié en 2026), le chiffre d'affaires recule de -1 % à 305,038 milliards FCFA, mais le résultat d'exploitation progresse de +17 % à 6,133 milliards FCFA grâce au dynamisme du butane, et le résultat net s'établit à 3,016 milliards FCFA (marge nette 0,99 %). On estime donc que l'exercice 2026 devrait confirmer la résilience de la rentabilité opérationnelle, mais la hausse de 60 % de l'impôt sur le résultat et la dépendance aux concours bancaires constituent des vents contraires. La politique de dividende est généreuse (6,09 milliards FCFA proposés pour 2025, soit un taux de distribution de 101 %), mais elle fragilise davantage la structure financière déjà tendue. En conclusion fondamentale, SHEC présente un profil de « rendement élevé, risque élevé » : la solidité opérationnelle et le ROE attractif séduisent, mais la trésorerie négative, l'endettement et la faible marge nette imposent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exigeante : un PER de 23,1x et un P/B de 5,14x pour une marge nette de 1 % suggèrent que le marché paie cher la qualité de la franchise et le rendement du dividende, sans marge de sécurité en cas de déception. Le comportement du cours (Partie 1) est mitigé : tendance haussière sur 100 jours (+10,75 %) mais correction récente (-3,70 % en J-1), avec une volatilité élevée (42,5 %) et une distribution leptokurtique (risque de pics) qui appellent à la prudence. Les signaux techniques (Partie 2) sont divergents : le stochastique en survente extrême et les moyennes mobiles haussières plaident pour un rebond, mais le MACD baissier et la position basse dans les bandes de Bollinger tempèrent cet optimisme. Les fondamentaux (Partie 3) révèlent une entreprise résiliente (ROE 22,2 %, résultat net +12,6 % en 2025) mais financièrement fragile (trésorerie nette -65,3 Mds FCFA, autonomie financière 14 %), avec une estimation 2026 soutenue par le butane mais pénalisée par la fiscalité. Les prédictions IA (J+1 à J+10) tablent sur une trajectoire haussière modérée, de 2 242 FCFA à 2 268 FCFA, ce qui confirme un rebond technique sans emballement. Sur la base de cette synthèse globale, la recommandation finale est **CONSERVER** : le titre offre un rendement attractif et des fondamentaux opérationnels solides, mais la valorisation tendue, les risques de liquidité et la divergence des signaux techniques ne justifient pas un achat agressif à ce stade. Le niveau de confiance est **Moyen** (données fondamentales solides mais incertitude technique et financière), le risque global est **Élevé** (volatilité 42,5 %, endettement, trésorerie négative), et l'horizon d'investissement optimal est le **moyen terme (3-12 mois)**, en attendant la publication des comptes définitifs 2026 et une clarification de la trajectoire des volumes sur les segments aviation et bitume.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905.00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11,025 titres</w:t>
            </w:r>
          </w:p>
        </w:tc>
        <w:tc>
          <w:tcPr>
            <w:tcW w:type="dxa" w:w="2268"/>
            <w:shd w:fill="FFF2CC" w:val="clear"/>
          </w:tcPr>
          <w:p>
            <w:r>
              <w:rPr>
                <w:b/>
                <w:color w:val="503200"/>
                <w:sz w:val="16"/>
              </w:rPr>
              <w:t xml:space="preserve">Cours actuel : </w:t>
            </w:r>
            <w:r>
              <w:rPr>
                <w:color w:val="000000"/>
                <w:sz w:val="17"/>
              </w:rPr>
              <w:t>9,050 FCFA</w:t>
            </w:r>
          </w:p>
          <w:p>
            <w:r>
              <w:rPr>
                <w:b/>
                <w:color w:val="503200"/>
                <w:sz w:val="16"/>
              </w:rPr>
              <w:t xml:space="preserve">Var. 100 jours : </w:t>
            </w:r>
            <w:r>
              <w:rPr>
                <w:b/>
                <w:color w:val="007800"/>
                <w:sz w:val="17"/>
              </w:rPr>
              <w:t>+26.75%</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5.62% (Moyenne) — μ=8,836 FCFA, σ=497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β=0.7856 (Défensif) — Cov=0.000057, Var(idx)=0.000072, ρ=0.343,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11,025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8,696</w:t>
            </w:r>
          </w:p>
        </w:tc>
        <w:tc>
          <w:tcPr>
            <w:tcW w:type="dxa" w:w="1440"/>
            <w:shd w:fill="FAFAFA" w:val="clear"/>
          </w:tcPr>
          <w:p>
            <w:r>
              <w:rPr>
                <w:b/>
                <w:sz w:val="17"/>
              </w:rPr>
              <w:t>8,968</w:t>
            </w:r>
          </w:p>
        </w:tc>
        <w:tc>
          <w:tcPr>
            <w:tcW w:type="dxa" w:w="1440"/>
            <w:shd w:fill="FAFAFA" w:val="clear"/>
          </w:tcPr>
          <w:p>
            <w:r>
              <w:rPr>
                <w:sz w:val="17"/>
              </w:rPr>
              <w:t>9,240</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8,510</w:t>
            </w:r>
          </w:p>
        </w:tc>
        <w:tc>
          <w:tcPr>
            <w:tcW w:type="dxa" w:w="1440"/>
            <w:shd w:fill="FAFAFA" w:val="clear"/>
          </w:tcPr>
          <w:p>
            <w:r>
              <w:rPr>
                <w:b/>
                <w:sz w:val="17"/>
              </w:rPr>
              <w:t>8,891</w:t>
            </w:r>
          </w:p>
        </w:tc>
        <w:tc>
          <w:tcPr>
            <w:tcW w:type="dxa" w:w="1440"/>
            <w:shd w:fill="FAFAFA" w:val="clear"/>
          </w:tcPr>
          <w:p>
            <w:r>
              <w:rPr>
                <w:sz w:val="17"/>
              </w:rPr>
              <w:t>9,273</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2026-10-08</w:t>
            </w:r>
          </w:p>
        </w:tc>
        <w:tc>
          <w:tcPr>
            <w:tcW w:type="dxa" w:w="1440"/>
            <w:shd w:fill="FFDCE0" w:val="clear"/>
          </w:tcPr>
          <w:p>
            <w:r>
              <w:rPr>
                <w:sz w:val="17"/>
              </w:rPr>
              <w:t>8,361</w:t>
            </w:r>
          </w:p>
        </w:tc>
        <w:tc>
          <w:tcPr>
            <w:tcW w:type="dxa" w:w="1440"/>
            <w:shd w:fill="FFDCE0" w:val="clear"/>
          </w:tcPr>
          <w:p>
            <w:r>
              <w:rPr>
                <w:b/>
                <w:sz w:val="17"/>
              </w:rPr>
              <w:t>8,825</w:t>
            </w:r>
          </w:p>
        </w:tc>
        <w:tc>
          <w:tcPr>
            <w:tcW w:type="dxa" w:w="1440"/>
            <w:shd w:fill="FFDCE0" w:val="clear"/>
          </w:tcPr>
          <w:p>
            <w:r>
              <w:rPr>
                <w:sz w:val="17"/>
              </w:rPr>
              <w:t>9,288</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2026-10-09</w:t>
            </w:r>
          </w:p>
        </w:tc>
        <w:tc>
          <w:tcPr>
            <w:tcW w:type="dxa" w:w="1440"/>
            <w:shd w:fill="FFDCE0" w:val="clear"/>
          </w:tcPr>
          <w:p>
            <w:r>
              <w:rPr>
                <w:sz w:val="17"/>
              </w:rPr>
              <w:t>8,234</w:t>
            </w:r>
          </w:p>
        </w:tc>
        <w:tc>
          <w:tcPr>
            <w:tcW w:type="dxa" w:w="1440"/>
            <w:shd w:fill="FFDCE0" w:val="clear"/>
          </w:tcPr>
          <w:p>
            <w:r>
              <w:rPr>
                <w:b/>
                <w:sz w:val="17"/>
              </w:rPr>
              <w:t>8,765</w:t>
            </w:r>
          </w:p>
        </w:tc>
        <w:tc>
          <w:tcPr>
            <w:tcW w:type="dxa" w:w="1440"/>
            <w:shd w:fill="FFDCE0" w:val="clear"/>
          </w:tcPr>
          <w:p>
            <w:r>
              <w:rPr>
                <w:sz w:val="17"/>
              </w:rPr>
              <w:t>9,297</w:t>
            </w:r>
          </w:p>
        </w:tc>
        <w:tc>
          <w:tcPr>
            <w:tcW w:type="dxa" w:w="1440"/>
            <w:shd w:fill="FFDCE0" w:val="clear"/>
          </w:tcPr>
          <w:p>
            <w:r>
              <w:rPr>
                <w:b/>
                <w:color w:val="C00000"/>
                <w:sz w:val="17"/>
              </w:rPr>
              <w:t>-3.1%</w:t>
            </w:r>
          </w:p>
        </w:tc>
      </w:tr>
      <w:tr>
        <w:tc>
          <w:tcPr>
            <w:tcW w:type="dxa" w:w="1440"/>
            <w:shd w:fill="FFDCE0" w:val="clear"/>
          </w:tcPr>
          <w:p>
            <w:r>
              <w:rPr>
                <w:sz w:val="17"/>
              </w:rPr>
              <w:t>J+5  Moyenne</w:t>
            </w:r>
          </w:p>
        </w:tc>
        <w:tc>
          <w:tcPr>
            <w:tcW w:type="dxa" w:w="1440"/>
            <w:shd w:fill="FFDCE0" w:val="clear"/>
          </w:tcPr>
          <w:p>
            <w:r>
              <w:rPr>
                <w:sz w:val="17"/>
              </w:rPr>
              <w:t>2026-10-12</w:t>
            </w:r>
          </w:p>
        </w:tc>
        <w:tc>
          <w:tcPr>
            <w:tcW w:type="dxa" w:w="1440"/>
            <w:shd w:fill="FFDCE0" w:val="clear"/>
          </w:tcPr>
          <w:p>
            <w:r>
              <w:rPr>
                <w:sz w:val="17"/>
              </w:rPr>
              <w:t>8,121</w:t>
            </w:r>
          </w:p>
        </w:tc>
        <w:tc>
          <w:tcPr>
            <w:tcW w:type="dxa" w:w="1440"/>
            <w:shd w:fill="FFDCE0" w:val="clear"/>
          </w:tcPr>
          <w:p>
            <w:r>
              <w:rPr>
                <w:b/>
                <w:sz w:val="17"/>
              </w:rPr>
              <w:t>8,711</w:t>
            </w:r>
          </w:p>
        </w:tc>
        <w:tc>
          <w:tcPr>
            <w:tcW w:type="dxa" w:w="1440"/>
            <w:shd w:fill="FFDCE0" w:val="clear"/>
          </w:tcPr>
          <w:p>
            <w:r>
              <w:rPr>
                <w:sz w:val="17"/>
              </w:rPr>
              <w:t>9,302</w:t>
            </w:r>
          </w:p>
        </w:tc>
        <w:tc>
          <w:tcPr>
            <w:tcW w:type="dxa" w:w="1440"/>
            <w:shd w:fill="FFDCE0" w:val="clear"/>
          </w:tcPr>
          <w:p>
            <w:r>
              <w:rPr>
                <w:b/>
                <w:color w:val="C00000"/>
                <w:sz w:val="17"/>
              </w:rPr>
              <w:t>-3.7%</w:t>
            </w:r>
          </w:p>
        </w:tc>
      </w:tr>
      <w:tr>
        <w:tc>
          <w:tcPr>
            <w:tcW w:type="dxa" w:w="1440"/>
            <w:shd w:fill="FFDCE0" w:val="clear"/>
          </w:tcPr>
          <w:p>
            <w:r>
              <w:rPr>
                <w:sz w:val="17"/>
              </w:rPr>
              <w:t>J+6  Moyenne</w:t>
            </w:r>
          </w:p>
        </w:tc>
        <w:tc>
          <w:tcPr>
            <w:tcW w:type="dxa" w:w="1440"/>
            <w:shd w:fill="FFDCE0" w:val="clear"/>
          </w:tcPr>
          <w:p>
            <w:r>
              <w:rPr>
                <w:sz w:val="17"/>
              </w:rPr>
              <w:t>2026-10-13</w:t>
            </w:r>
          </w:p>
        </w:tc>
        <w:tc>
          <w:tcPr>
            <w:tcW w:type="dxa" w:w="1440"/>
            <w:shd w:fill="FFDCE0" w:val="clear"/>
          </w:tcPr>
          <w:p>
            <w:r>
              <w:rPr>
                <w:sz w:val="17"/>
              </w:rPr>
              <w:t>8,019</w:t>
            </w:r>
          </w:p>
        </w:tc>
        <w:tc>
          <w:tcPr>
            <w:tcW w:type="dxa" w:w="1440"/>
            <w:shd w:fill="FFDCE0" w:val="clear"/>
          </w:tcPr>
          <w:p>
            <w:r>
              <w:rPr>
                <w:b/>
                <w:sz w:val="17"/>
              </w:rPr>
              <w:t>8,662</w:t>
            </w:r>
          </w:p>
        </w:tc>
        <w:tc>
          <w:tcPr>
            <w:tcW w:type="dxa" w:w="1440"/>
            <w:shd w:fill="FFDCE0" w:val="clear"/>
          </w:tcPr>
          <w:p>
            <w:r>
              <w:rPr>
                <w:sz w:val="17"/>
              </w:rPr>
              <w:t>9,306</w:t>
            </w:r>
          </w:p>
        </w:tc>
        <w:tc>
          <w:tcPr>
            <w:tcW w:type="dxa" w:w="1440"/>
            <w:shd w:fill="FFDCE0" w:val="clear"/>
          </w:tcPr>
          <w:p>
            <w:r>
              <w:rPr>
                <w:b/>
                <w:color w:val="C00000"/>
                <w:sz w:val="17"/>
              </w:rPr>
              <w:t>-4.3%</w:t>
            </w:r>
          </w:p>
        </w:tc>
      </w:tr>
      <w:tr>
        <w:tc>
          <w:tcPr>
            <w:tcW w:type="dxa" w:w="1440"/>
            <w:shd w:fill="FFDCE0" w:val="clear"/>
          </w:tcPr>
          <w:p>
            <w:r>
              <w:rPr>
                <w:sz w:val="17"/>
              </w:rPr>
              <w:t>J+7  Moyenne</w:t>
            </w:r>
          </w:p>
        </w:tc>
        <w:tc>
          <w:tcPr>
            <w:tcW w:type="dxa" w:w="1440"/>
            <w:shd w:fill="FFDCE0" w:val="clear"/>
          </w:tcPr>
          <w:p>
            <w:r>
              <w:rPr>
                <w:sz w:val="17"/>
              </w:rPr>
              <w:t>2026-10-14</w:t>
            </w:r>
          </w:p>
        </w:tc>
        <w:tc>
          <w:tcPr>
            <w:tcW w:type="dxa" w:w="1440"/>
            <w:shd w:fill="FFDCE0" w:val="clear"/>
          </w:tcPr>
          <w:p>
            <w:r>
              <w:rPr>
                <w:sz w:val="17"/>
              </w:rPr>
              <w:t>7,925</w:t>
            </w:r>
          </w:p>
        </w:tc>
        <w:tc>
          <w:tcPr>
            <w:tcW w:type="dxa" w:w="1440"/>
            <w:shd w:fill="FFDCE0" w:val="clear"/>
          </w:tcPr>
          <w:p>
            <w:r>
              <w:rPr>
                <w:b/>
                <w:sz w:val="17"/>
              </w:rPr>
              <w:t>8,617</w:t>
            </w:r>
          </w:p>
        </w:tc>
        <w:tc>
          <w:tcPr>
            <w:tcW w:type="dxa" w:w="1440"/>
            <w:shd w:fill="FFDCE0" w:val="clear"/>
          </w:tcPr>
          <w:p>
            <w:r>
              <w:rPr>
                <w:sz w:val="17"/>
              </w:rPr>
              <w:t>9,308</w:t>
            </w:r>
          </w:p>
        </w:tc>
        <w:tc>
          <w:tcPr>
            <w:tcW w:type="dxa" w:w="1440"/>
            <w:shd w:fill="FFDCE0" w:val="clear"/>
          </w:tcPr>
          <w:p>
            <w:r>
              <w:rPr>
                <w:b/>
                <w:color w:val="C00000"/>
                <w:sz w:val="17"/>
              </w:rPr>
              <w:t>-4.8%</w:t>
            </w:r>
          </w:p>
        </w:tc>
      </w:tr>
      <w:tr>
        <w:tc>
          <w:tcPr>
            <w:tcW w:type="dxa" w:w="1440"/>
            <w:shd w:fill="FFDCE0" w:val="clear"/>
          </w:tcPr>
          <w:p>
            <w:r>
              <w:rPr>
                <w:sz w:val="17"/>
              </w:rPr>
              <w:t>J+8  Moyenne</w:t>
            </w:r>
          </w:p>
        </w:tc>
        <w:tc>
          <w:tcPr>
            <w:tcW w:type="dxa" w:w="1440"/>
            <w:shd w:fill="FFDCE0" w:val="clear"/>
          </w:tcPr>
          <w:p>
            <w:r>
              <w:rPr>
                <w:sz w:val="17"/>
              </w:rPr>
              <w:t>2026-10-15</w:t>
            </w:r>
          </w:p>
        </w:tc>
        <w:tc>
          <w:tcPr>
            <w:tcW w:type="dxa" w:w="1440"/>
            <w:shd w:fill="FFDCE0" w:val="clear"/>
          </w:tcPr>
          <w:p>
            <w:r>
              <w:rPr>
                <w:sz w:val="17"/>
              </w:rPr>
              <w:t>7,839</w:t>
            </w:r>
          </w:p>
        </w:tc>
        <w:tc>
          <w:tcPr>
            <w:tcW w:type="dxa" w:w="1440"/>
            <w:shd w:fill="FFDCE0" w:val="clear"/>
          </w:tcPr>
          <w:p>
            <w:r>
              <w:rPr>
                <w:b/>
                <w:sz w:val="17"/>
              </w:rPr>
              <w:t>8,574</w:t>
            </w:r>
          </w:p>
        </w:tc>
        <w:tc>
          <w:tcPr>
            <w:tcW w:type="dxa" w:w="1440"/>
            <w:shd w:fill="FFDCE0" w:val="clear"/>
          </w:tcPr>
          <w:p>
            <w:r>
              <w:rPr>
                <w:sz w:val="17"/>
              </w:rPr>
              <w:t>9,309</w:t>
            </w:r>
          </w:p>
        </w:tc>
        <w:tc>
          <w:tcPr>
            <w:tcW w:type="dxa" w:w="1440"/>
            <w:shd w:fill="FFDCE0" w:val="clear"/>
          </w:tcPr>
          <w:p>
            <w:r>
              <w:rPr>
                <w:b/>
                <w:color w:val="C00000"/>
                <w:sz w:val="17"/>
              </w:rPr>
              <w:t>-5.3%</w:t>
            </w:r>
          </w:p>
        </w:tc>
      </w:tr>
      <w:tr>
        <w:tc>
          <w:tcPr>
            <w:tcW w:type="dxa" w:w="1440"/>
            <w:shd w:fill="FFDCE0" w:val="clear"/>
          </w:tcPr>
          <w:p>
            <w:r>
              <w:rPr>
                <w:sz w:val="17"/>
              </w:rPr>
              <w:t>J+9  Moyenne</w:t>
            </w:r>
          </w:p>
        </w:tc>
        <w:tc>
          <w:tcPr>
            <w:tcW w:type="dxa" w:w="1440"/>
            <w:shd w:fill="FFDCE0" w:val="clear"/>
          </w:tcPr>
          <w:p>
            <w:r>
              <w:rPr>
                <w:sz w:val="17"/>
              </w:rPr>
              <w:t>2026-10-16</w:t>
            </w:r>
          </w:p>
        </w:tc>
        <w:tc>
          <w:tcPr>
            <w:tcW w:type="dxa" w:w="1440"/>
            <w:shd w:fill="FFDCE0" w:val="clear"/>
          </w:tcPr>
          <w:p>
            <w:r>
              <w:rPr>
                <w:sz w:val="17"/>
              </w:rPr>
              <w:t>7,758</w:t>
            </w:r>
          </w:p>
        </w:tc>
        <w:tc>
          <w:tcPr>
            <w:tcW w:type="dxa" w:w="1440"/>
            <w:shd w:fill="FFDCE0" w:val="clear"/>
          </w:tcPr>
          <w:p>
            <w:r>
              <w:rPr>
                <w:b/>
                <w:sz w:val="17"/>
              </w:rPr>
              <w:t>8,534</w:t>
            </w:r>
          </w:p>
        </w:tc>
        <w:tc>
          <w:tcPr>
            <w:tcW w:type="dxa" w:w="1440"/>
            <w:shd w:fill="FFDCE0" w:val="clear"/>
          </w:tcPr>
          <w:p>
            <w:r>
              <w:rPr>
                <w:sz w:val="17"/>
              </w:rPr>
              <w:t>9,311</w:t>
            </w:r>
          </w:p>
        </w:tc>
        <w:tc>
          <w:tcPr>
            <w:tcW w:type="dxa" w:w="1440"/>
            <w:shd w:fill="FFDCE0" w:val="clear"/>
          </w:tcPr>
          <w:p>
            <w:r>
              <w:rPr>
                <w:b/>
                <w:color w:val="C00000"/>
                <w:sz w:val="17"/>
              </w:rPr>
              <w:t>-5.7%</w:t>
            </w:r>
          </w:p>
        </w:tc>
      </w:tr>
      <w:tr>
        <w:tc>
          <w:tcPr>
            <w:tcW w:type="dxa" w:w="1440"/>
            <w:shd w:fill="FFDCE0" w:val="clear"/>
          </w:tcPr>
          <w:p>
            <w:r>
              <w:rPr>
                <w:sz w:val="17"/>
              </w:rPr>
              <w:t>J+10  Moyenne</w:t>
            </w:r>
          </w:p>
        </w:tc>
        <w:tc>
          <w:tcPr>
            <w:tcW w:type="dxa" w:w="1440"/>
            <w:shd w:fill="FFDCE0" w:val="clear"/>
          </w:tcPr>
          <w:p>
            <w:r>
              <w:rPr>
                <w:sz w:val="17"/>
              </w:rPr>
              <w:t>2026-10-19</w:t>
            </w:r>
          </w:p>
        </w:tc>
        <w:tc>
          <w:tcPr>
            <w:tcW w:type="dxa" w:w="1440"/>
            <w:shd w:fill="FFDCE0" w:val="clear"/>
          </w:tcPr>
          <w:p>
            <w:r>
              <w:rPr>
                <w:sz w:val="17"/>
              </w:rPr>
              <w:t>7,682</w:t>
            </w:r>
          </w:p>
        </w:tc>
        <w:tc>
          <w:tcPr>
            <w:tcW w:type="dxa" w:w="1440"/>
            <w:shd w:fill="FFDCE0" w:val="clear"/>
          </w:tcPr>
          <w:p>
            <w:r>
              <w:rPr>
                <w:b/>
                <w:sz w:val="17"/>
              </w:rPr>
              <w:t>8,497</w:t>
            </w:r>
          </w:p>
        </w:tc>
        <w:tc>
          <w:tcPr>
            <w:tcW w:type="dxa" w:w="1440"/>
            <w:shd w:fill="FFDCE0" w:val="clear"/>
          </w:tcPr>
          <w:p>
            <w:r>
              <w:rPr>
                <w:sz w:val="17"/>
              </w:rPr>
              <w:t>9,312</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 BRVM | Secteur : Banque | Cours actuel : 9 050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905,00 Mds FCFA, SIBC s'impose comme l'une des valeurs bancaires les plus capitalisées de la BRVM, un statut de « blue chip » régional qui traduit la confiance du marché envers l'établissement. Le BPA de 556 FCFA/action signifie que chaque titre génère près de 556 FCFA de bénéfice net, un niveau élevé qui reflète la forte rentabilité de la banque. Le PER de 16,3x apparaît toutefois supérieur à la moyenne du marché BRVM (généralement située entre 8 et 12x), ce qui indique que les investisseurs paient une prime significative pour les bénéfices de SIBC — une valorisation « modérée » en apparence, mais tendue dans le contexte boursier ouest-africain. Le P/B de 4,42x confirme cette exigence : le marché valorise SIBC à plus de quatre fois sa valeur comptable, ce qui n'est justifiable que par la qualité exceptionnelle de ses fonds propres et sa rentabilité (ROE de 27,16%). Enfin, l'EV/EBITDA de 15,1x, très exigeant, suggère que la valeur d'entreprise intègre déjà une large part de la capacité opérationnelle future,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performance remarquable de **+26,75%**, malgré un repli de **-1,20%** lors de la dernière séance (J-1), signe d'une légère prise de bénéfices après une forte progression. Le cours a évolué dans un range de trading large, entre un plus bas de **7 140 FCFA** et un plus haut de **9 500 FCFA**, soit une amplitude de plus de 33% qui témoigne d'une dynamique haussière soutenue mais ponctuée de corrections. La tendance générale reste donc nettement haussière, portée par la solidité des fondamentaux et l'attrait des investisseurs pour les valeurs bancaires de qualité. Les statistiques descriptives révèlent une moyenne de **8 836 FCFA** légèrement inférieure à la médiane de **8 982 FCFA**, écart qui, combiné à un skewness négatif de **-1,822**, indique une asymétrie marquée : le cours a passé davantage de journées au-dessus de sa moyenne, mais avec des pics baissiers plus violents. L'écart-type de **499 FCFA** et le coefficient de variation de **5,6%** traduisent une dispersion modérée du cours autour de sa tendance, tandis que le kurtosis de **2,803** (leptokurtique) signale des queues épaisses, c'est-à-dire un risque accru de mouvements extrêmes (pics de volatilité). Enfin, la volatilité annualisée de **30,9%** positionne SIBC dans la catégorie des titres à volatilité **élevée** (&gt;30%), ce qui implique un risque de marché non négligeable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(9 119,75 FCFA) et la MM50 (9 122,50 FCFA) sont quasiment confondues et se situent toutes deux **au-dessus du cours actuel** (9 050 FCFA), ce qui place le titre en position de faiblesse relative. Cette configuration baissière, avec un cours sous ses moyennes mobiles, justifie la décision technique de **Vente** : le marché n'a pas encore retrouvé de support dynamique, et la pression vendeuse reste présente à court terme.</w:t>
      </w:r>
    </w:p>
    <w:p>
      <w:pPr>
        <w:spacing w:after="120" w:line="276" w:lineRule="auto"/>
      </w:pPr>
      <w:r>
        <w:t>**Bandes de Bollinger** : Le cours actuel (9 050 FCFA) évolue dans la partie médiane de la bande, entre la borne inférieure (8 765,76 FCFA) et la borne supérieure (9 473,74 FCFA), sans atteindre les extrêmes. Cette position centrale, couplée à une largeur de bande modérée, traduit une **volatilité en cours de normalisation** et une absence de signal directionnel fort. La décision **Neutre** est cohérente : le titre n'est ni en surachat ni en survente selon ce critère.</w:t>
      </w:r>
    </w:p>
    <w:p>
      <w:pPr>
        <w:spacing w:after="120" w:line="276" w:lineRule="auto"/>
      </w:pPr>
      <w:r>
        <w:t>**MACD** : La valeur du MACD (-20,925) est **légèrement supérieure à son signal** (-21,408), ce qui génère un croisement haussier marginal et justifie la décision **Achat**. Toutefois, les deux lignes restent en territoire négatif, indiquant que le momentum demeure fragile et que ce signal d'achat doit être confirmé par une remontée durable au-dessus de zéro.</w:t>
      </w:r>
    </w:p>
    <w:p>
      <w:pPr>
        <w:spacing w:after="120" w:line="276" w:lineRule="auto"/>
      </w:pPr>
      <w:r>
        <w:t>**RSI** : À **42,733**, le RSI se situe dans la zone neutre (30-70), sans atteindre la zone de survente (&lt;30) ni de surachat (&gt;70). Cette valeur médiane reflète un **équilibre relatif** entre acheteurs et vendeurs, sans pression excessive dans un sens ou dans l'autre, ce qui justifie la décision **Neutre**.</w:t>
      </w:r>
    </w:p>
    <w:p>
      <w:pPr>
        <w:spacing w:after="120" w:line="276" w:lineRule="auto"/>
      </w:pPr>
      <w:r>
        <w:t>**Stochastique** : Le %K (78,261) et le %D (80,939) sont tous deux élevés, proches de la zone de surachat (&gt;80), avec un %K légèrement inférieur au %D. Cette configuration suggère que le titre pourrait approcher d'un **essoufflement haussier** à court terme, bien que la décision reste **Neutre** en l'absence de croisement baissier confirmé.</w:t>
      </w:r>
    </w:p>
    <w:p>
      <w:pPr>
        <w:spacing w:after="120" w:line="276" w:lineRule="auto"/>
      </w:pPr>
      <w:r>
        <w:t>**Conclusion technique** : Les indicateurs techniques présentent un tableau **mitigé et sans convergence forte**. Si le MACD donne un signal d'achat marginal, les moyennes mobiles (Vente) et la position du cours sous ses MM20/MM50 pèsent négativement. Le RSI et les Bandes de Bollinger sont neutres, tandis que le Stochastique suggère une possible correction à venir. Dans l'ensemble, le titre se trouve dans une phase de **consolidation indécise**, avec un léger biais baissier à court terme, ce qui invite à la prudence avant tout engagement.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SIBC affiche un **Produit Net Bancaire (PNB) de 108,663 Mds FCFA**, un **résultat net de 55,623 Mds FCFA**, un **ROE exceptionnel de 27,16%** (largement supérieur au seuil de 15% considéré comme excellent) et un **ROA de 2,96%**, confirmant la qualité de la rentabilité des actifs. Le **coefficient d'exploitation de 38,59%** est excellent pour une banque (&lt;60% = efficace, &lt;50% = excellente), témoignant d'une maîtrise remarquable des charges. La marge nette de **51,19%** et la marge opérationnelle de **58,06%** traduisent une efficacité opérationnelle robuste. Le **ratio dépôts/crédits** s'établit à 1 503,441 Mds FCFA de dépôts clientèle pour 1 226,720 Mds FCFA de créances clientèle, soit un ratio de transformation de **122,5%**, indiquant une surliquidité confortable mais aussi une sous-utilisation des dépôts pour le crédit. Le **coût du risque** (provisions de 14,124 Mds FCFA rapportées aux charges financières de 16,320 Mds FCFA) reste élevé, signalant un risque de crédit significatif à surveiller. L'**autonomie financière de 10,88%** est faible (norme &gt;30%), mais c'est une caractéristique structurelle du modèle bancaire, compensée par un **ratio de solvabilité supérieur à 11,5%** et une **couverture des intérêts de 408,91%**, très confortable.</w:t>
      </w:r>
    </w:p>
    <w:p>
      <w:pPr>
        <w:spacing w:after="120" w:line="276" w:lineRule="auto"/>
      </w:pPr>
      <w:r>
        <w:t>**Estimations basées sur les rapports trimestriels** : Le rapport du **T1 2026 (publié le 07/05/2026)** indique un PNB de 27,7 Mds FCFA (+4%) et un résultat net de 15,2 Mds FCFA (+11%), avec des dépôts en hausse de 9% (1 495 Mds FCFA) et des crédits en progression de 7% (1 112 Mds FCFA). Le rapport du **S1 2026 (publié le 29/09/2026)** confirme cette dynamique avec un PNB de 56,592 Mds FCFA (+4,2%) et un résultat net de 32,140 Mds FCFA (+9,3%), ainsi qu'une **baisse spectaculaire du coût du risque de -75,3%** (287 M FCFA contre 1,16 Mds FCFA au S1 2025), signe d'une nette amélioration de la qualité du portefeuille. Sur la base de ces rapports, on peut **estimer** que l'exercice 2026 devrait enregistrer un PNB annuel d'environ **113-115 Mds FCFA** (+4-5%) et un résultat net de l'ordre de **58-60 Mds FCFA** (+5-8%), confirmant la trajectoire de croissance régulière. Le rapport annuel 2024 (publié le 15/03/2026) faisait état d'un PNB de 102,8 Mds FCFA (+8%) et d'un résultat net de 50,2 Mds FCFA (+15%), avec un **ROE de 30,56%** et un dividende proposé de **375 FCFA/action** (rendement ~10,55% au cours de 31/12/2024). La comparaison 2024 vs 2025 montre une **légère décélération de la croissance** (PNB +5,7% en 2025 vs +8% en 2024), mais une **rentabilité maintenue à un niveau élevé**.</w:t>
      </w:r>
    </w:p>
    <w:p>
      <w:pPr>
        <w:spacing w:after="120" w:line="276" w:lineRule="auto"/>
      </w:pPr>
      <w:r>
        <w:t>**Recommandation fondamentale** : SIBC présente des fondamentaux **très solides** — rentabilité exceptionnelle (ROE &gt;27%), efficacité opérationnelle remarquable (coefficient &lt;40%), croissance régulière et qualité d'actifs en amélioration. Les principaux risques résident dans la **valorisation exigeante** (PER 16,3x, P/B 4,42x), la **faible autonomie financière** (structurelle au secteur) et la **dépendance à la conjoncture ivoirienne**. La recommandation fondamentale est **CONSERVER**, avec un biais positif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entre la qualité fondamentale et la valorisation boursière**. D'un côté, la **valorisation (Partie 0)** apparaît tendue : PER de 16,3x (supérieur à la moyenne BRVM), P/B de 4,42x et EV/EBITDA de 15,1x intègrent déjà une large part de la qualité de l'établissement, laissant peu de marge de sécurité. De l'autre, le **comportement du cours (Partie 1)** montre une tendance haussière solide (+26,75% sur 100 jours) mais avec une volatilité élevée (30,9%) et un skewness négatif (-1,822) indiquant un risque de corrections brutales. Les **signaux techniques (Partie 2)** sont mitigés : MACD haussier marginal, mais cours sous les MM20/MM50 et Stochastique proche du surachat, plaidant pour une consolidation à court terme. Les **fondamentaux (Partie 3)** restent excellents (ROE 27,16%, coefficient d'exploitation 38,59%, croissance du résultat net de +9,3% au S1 2026), mais la décélération de la croissance du PNB (+4,2% au S1 2026 vs +8% en 2024) et la valorisation exigeante tempèrent l'enthousiasme. Les **prédictions IA (J+1 à J+10)** anticipent une **baisse progressive** du cours de 9 050 FCFA à 8 711 FCFA (-3,7%), ce qui **contredit** le signal d'achat marginal du MACD et **confirme** la pression baissière à court terme suggérée par les moyennes mobiles et le Stochastique.</w:t>
      </w:r>
    </w:p>
    <w:p>
      <w:pPr>
        <w:spacing w:after="120" w:line="276" w:lineRule="auto"/>
      </w:pPr>
      <w:r>
        <w:t>**Recommandation finale : CONSERVER**</w:t>
      </w:r>
    </w:p>
    <w:p>
      <w:pPr>
        <w:spacing w:after="120" w:line="276" w:lineRule="auto"/>
      </w:pPr>
      <w:r>
        <w:t>**Justification** : La convergence entre une valorisation tendue, des signaux techniques mitigés et des prédictions baissières à court terme plaide contre un achat immédiat. Toutefois, la solidité exceptionnelle des fondamentaux (ROE &gt;27%, croissance régulière, qualité d'actifs en amélioration) et la perspective d'un dividende attractif (rendement estimé ~6-7% sur la base du DPA 2024 de 375 FCFA) justifient de **conserver** le titre pour les investisseurs déjà positionnés. Un nouvel investisseur devrait attendre une correction vers 8 700-8 800 FCFA (niveau suggéré par les prédictions IA et la borne inférieure de Bollinger) avant d'envisager un renforcement.</w:t>
      </w:r>
    </w:p>
    <w:p>
      <w:pPr>
        <w:spacing w:after="120" w:line="276" w:lineRule="auto"/>
      </w:pPr>
      <w:r>
        <w:t>**Niveau de confiance** : Moyen (les fondamentaux sont solides, mais la valorisation et les signaux techniques incitent à la prudence).</w:t>
        <w:br/>
        <w:t>**Niveau de risque global** : Moyen à Élevé (volatilité de 30,9%, kurtosis leptokurtique, valorisation exigeante).</w:t>
        <w:br/>
        <w:t>**Horizon d'investissement optimal** : **Moyen terme (3-12 mois)** pour bénéficier de la croissance des résultats et du dividende, en surveillant les prochaines publications trimestrielles (T3 2026) et l'annonce du dividende 2025.</w:t>
      </w:r>
    </w:p>
    <w:p>
      <w:pPr>
        <w:spacing w:after="120" w:line="276" w:lineRule="auto"/>
      </w:pPr>
      <w:r>
        <w:t>---</w:t>
      </w:r>
    </w:p>
    <w:p>
      <w:pPr>
        <w:spacing w:after="120" w:line="276" w:lineRule="auto"/>
      </w:pPr>
      <w:r>
        <w:t>*Rapport généré le 06/10/2026 — Sources : BRVM, états financiers SIBC 2025, rapports trimestriels T1 2026 et S1 2026, rapport annuel 2024.*</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β=-1.1063 (Contre-cyclique) — Cov=-0.000041, Var(idx)=0.000037, ρ=-0.179, n=86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SICOR (SICC)**</w:t>
        <w:br/>
        <w:t>*Bourse Régionale des Valeurs Mobilières (BRVM) — Côte d'Ivoire*</w:t>
        <w:br/>
        <w:t>*Date d'analyse :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boursière (BPA, PER, P/B, EV/EBITDA) ne sont pas calculables en l'absence de données financières structurées récentes exploitables et de consensus bénéficiaire fiable, ce qui limite l'appréciation directe du prix payé par le marché par rapport aux bénéfices ou à la valeur comptable. Cette absence de ratios est en soi un signal : elle traduit la faible couverture analytique du titre et l'irrégularité historique de ses résultats, qui rendent toute référence à un PER « normal » (8-12x sur la BRVM) hasardeuse. L'investisseur doit donc s'appuyer sur l'analyse fondamentale narrative (Partie 3) et sur le comportement du cours pour évaluer la pertinence du niveau actuel de 8 400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SICC affiche une performance spectaculaire de +95,35 %, bien que la dernière séance (J-1) marque une légère correction de -1,12 % à 8 400 FCFA. Le range de trading est très large, avec un plus haut à 10 200 FCFA et un plus bas à 3 985 FCFA, soit un écart de plus de 155 % entre les deux extrêmes — signe d'une tendance nettement haussière mais ponctuée de fortes secousses. Les statistiques descriptives confirment cette asymétrie : la moyenne (5 815 FCFA) est supérieure à la médiane (5 022 FCFA), ce qui indique une distribution tirée vers le haut par les récents sommets, tandis que le skewness positif de 0,913 révèle davantage de journées de cotation sous la moyenne que de journées exceptionnellement hautes. L'écart-type de 1 813 FCFA et le coefficient de variation de 31,2 % traduisent une dispersion élevée du cours, et la volatilité annualisée de 58,2 % place clairement SICC dans la catégorie des titres à volatilité élevée (&gt;30 %), avec un risque de fluctuation important. Le kurtosis de -0,630 (mésokurtique) suggère une distribution proche de la normale, sans pics extrêmes fréquents, ce qui est rassurant pour la modélisation du risque. Le volume moyen de seulement 120 titres par jour souligne toutefois une liquidité très faible, facteur aggravant la volatilité et le risque d'exécution.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(7 205,0 FCFA) sont toutes deux inférieures au cours actuel de 8 400 FCFA pour la MM50, mais la MM20 est légèrement au-dessus du cours, ce qui traduit un essoufflement de court terme. La configuration haussière des moyennes (MM20 &gt; MM50) confirme la tendance de fond positive et justifie la décision d'**Achat** retenue par le système.</w:t>
      </w:r>
    </w:p>
    <w:p>
      <w:pPr>
        <w:spacing w:after="120" w:line="276" w:lineRule="auto"/>
      </w:pPr>
      <w:r>
        <w:t>**Bandes de Bollinger** : Le cours (8 400 FCFA) évolue à l'intérieur des bandes, entre la borne inférieure (7 354,78 FCFA) et la borne supérieure (9 589,72 FCFA), sans franchissement des extrêmes. Cette position médiane, couplée à un écart-type élevé, indique une volatilité soutenue mais sans excès directionnel, justifiant la décision **Neutre**.</w:t>
      </w:r>
    </w:p>
    <w:p>
      <w:pPr>
        <w:spacing w:after="120" w:line="276" w:lineRule="auto"/>
      </w:pPr>
      <w:r>
        <w:t>**MACD** : La valeur du MACD (275,316) est inférieure à son signal (368,148), générant un croisement baissier et un momentum négatif de court terme. Cette divergence suggère un essoufflement de la dynamique haussière, justifiant la décision de **Vente** technique.</w:t>
      </w:r>
    </w:p>
    <w:p>
      <w:pPr>
        <w:spacing w:after="120" w:line="276" w:lineRule="auto"/>
      </w:pPr>
      <w:r>
        <w:t>**RSI** : À 61,157, le RSI se situe en zone neutre haute, sans atteindre le seuil de surachat (70). Cette configuration indique que le titre conserve un potentiel haussier résiduel mais approche de zones de prudence, justifiant la décision **Neutre**.</w:t>
      </w:r>
    </w:p>
    <w:p>
      <w:pPr>
        <w:spacing w:after="120" w:line="276" w:lineRule="auto"/>
      </w:pPr>
      <w:r>
        <w:t>**Stochastique** : Le %K (85,714) et le %D (94,762) sont tous deux en zone de surachat (&gt;80), avec un %K inférieur au %D signalant un début de croisement baissier. Cette configuration annonce une probable correction à court terme, justifiant la décision de **Vente**.</w:t>
      </w:r>
    </w:p>
    <w:p>
      <w:pPr>
        <w:spacing w:after="120" w:line="276" w:lineRule="auto"/>
      </w:pPr>
      <w:r>
        <w:t>**Conclusion technique** : Les indicateurs sont divergents — les moyennes mobiles restent haussières tandis que le MACD et le stochastique émettent des signaux baissiers de court terme, et le RSI/Bollinger restent neutres. Cette configuration suggère une consolidation voire une correction après le rallye de +95 %, avec un support clé à surveiller autour de la MM20 (8 472 FCFA) puis de la borne inférieure de Bollinger (7 355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récentes ne sont pas disponibles dans la base, mais les rapports officiels analysés fournissent une trajectoire précise. En 2022 (rapport analysé par MISTRAL le 15/03/2026), SICOR a enregistré un chiffre d'affaires de 1 138,17 millions FCFA, en baisse de 17,58 % sur un an, pour une perte nette de -39,95 millions FCFA (marge nette de -3,51 %), marquant une inversion après quatre années de bénéfices. En 2023 (rapport analysé par MISTRAL le 15/03/2026), le CA s'est effondré à 701,09 millions FCFA (-38,4 %), mais la société est revenue à un bénéfice net de +19,25 millions FCFA (marge nette de 2,75 %) grâce à une réduction drastique des charges (-43,68 %), notamment via le transfert de 50 % du personnel vers la filiale SIPAL. Cette amélioration reste toutefois fragile : les pertes cumulées s'élèvent à 689,86 millions FCFA, les découverts bancaires ont été multipliés par 14 (+1 319 %), et les vols de noix de coco sur les sites de Boulay et Gliké ont amputé les volumes. Le rapport le plus récent (exercice 2024, analysé par GEMINI-VISION le 06/09/2026) confirme la convocation de l'AGO du 22 mai 2026 pour approuver les comptes 2024, sans que les chiffres détaillés n'aient été extraits — ce qui maintient une incertitude sur la confirmation du redressement. Historiquement, la société a connu des exercices très dégradés (perte nette de -348,99 millions FCFA en 2016, capitaux propres négatifs de -2,32 milliards FCFA), suivis d'un redressement progressif (bénéfice de 100,57 millions FCFA en 2017, marge nette de 6,44 %). Aucun dividende n'a été distribué depuis 2019, les bénéfices étant affectés à l'apurement des pertes cumulées. **Recommandation fondamentale** : la situation reste fragile et dépendante de la maîtrise des coûts et de la sécurisation des approvisionnements ; le retour à la profitabilité en 2023 est encourageant mais insuffisant pour compenser les risques de liquidité et la faiblesse structurelle de la marge.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ne peut être appréciée faute de ratios calculables, ce qui prive l'investisseur d'un repère essentiel et constitue en soi un facteur de prudence. Le comportement du cours (Partie 1) est exceptionnellement haussier (+95,35 % sur 100 jours) mais accompagné d'une volatilité élevée (58,2 % annualisée), d'une asymétrie positive et d'une liquidité très faible (120 titres/jour), ce qui rend le titre vulnérable à des corrections brutales. Les signaux techniques (Partie 2) sont divergents : les moyennes mobiles restent haussières, mais le MACD et le stochastique émettent des signaux de vente à court terme, tandis que le RSI et les bandes de Bollinger sont neutres — configuration typique d'une consolidation après un rallye. Les fondamentaux (Partie 3) montrent un retour à la profitabilité en 2023 (+19,25 millions FCFA) mais sur des bases fragiles : pertes cumulées de 689,86 millions FCFA, trésorerie tendue, absence de dividende depuis 2019 et incertitude sur les comptes 2024. Aucune prédiction IA n'est disponible pour les 10 prochains jours, ce qui empêche toute confirmation algorithmique de la trajectoire. **Recommandation finale : CONSERVER** — la convergence entre un cours en forte hausse et des fondamentaux encore fragiles ne justifie pas un achat à ces niveaux, mais la dynamique de redressement et la tendance technique de fond incitent à ne pas vendre. Le niveau de confiance est **Moyen** (divergence technique et absence de ratios de valorisation), le risque global est **Élevé** (volatilité, liquidité, pertes cumulées), et l'horizon d'investissement optimal est **moyen terme (3-12 mois)**, en surveillant la publication des comptes 2024 et la confirmation du redressement opérationnel.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5,478 titres</w:t>
            </w:r>
          </w:p>
        </w:tc>
        <w:tc>
          <w:tcPr>
            <w:tcW w:type="dxa" w:w="2268"/>
            <w:shd w:fill="FFF2CC" w:val="clear"/>
          </w:tcPr>
          <w:p>
            <w:r>
              <w:rPr>
                <w:b/>
                <w:color w:val="503200"/>
                <w:sz w:val="16"/>
              </w:rPr>
              <w:t xml:space="preserve">Cours actuel : </w:t>
            </w:r>
            <w:r>
              <w:rPr>
                <w:color w:val="000000"/>
                <w:sz w:val="17"/>
              </w:rPr>
              <w:t>1,995 FCFA</w:t>
            </w:r>
          </w:p>
          <w:p>
            <w:r>
              <w:rPr>
                <w:b/>
                <w:color w:val="503200"/>
                <w:sz w:val="16"/>
              </w:rPr>
              <w:t xml:space="preserve">Var. 100 jours : </w:t>
            </w:r>
            <w:r>
              <w:rPr>
                <w:b/>
                <w:color w:val="B40000"/>
                <w:sz w:val="17"/>
              </w:rPr>
              <w:t>-30.12%</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11.71% (Moyenne) — μ=2,432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β=0.4863 (Défensif) — Cov=0.000035, Var(idx)=0.000072, ρ=0.122,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1,926</w:t>
            </w:r>
          </w:p>
        </w:tc>
        <w:tc>
          <w:tcPr>
            <w:tcW w:type="dxa" w:w="1440"/>
            <w:shd w:fill="FAFAFA" w:val="clear"/>
          </w:tcPr>
          <w:p>
            <w:r>
              <w:rPr>
                <w:b/>
                <w:sz w:val="17"/>
              </w:rPr>
              <w:t>2,027</w:t>
            </w:r>
          </w:p>
        </w:tc>
        <w:tc>
          <w:tcPr>
            <w:tcW w:type="dxa" w:w="1440"/>
            <w:shd w:fill="FAFAFA" w:val="clear"/>
          </w:tcPr>
          <w:p>
            <w:r>
              <w:rPr>
                <w:sz w:val="17"/>
              </w:rPr>
              <w:t>2,127</w:t>
            </w:r>
          </w:p>
        </w:tc>
        <w:tc>
          <w:tcPr>
            <w:tcW w:type="dxa" w:w="1440"/>
            <w:shd w:fill="FAFAFA" w:val="clear"/>
          </w:tcPr>
          <w:p>
            <w:r>
              <w:rPr>
                <w:b/>
                <w:color w:val="008000"/>
                <w:sz w:val="17"/>
              </w:rPr>
              <w:t>+1.6%</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1,883</w:t>
            </w:r>
          </w:p>
        </w:tc>
        <w:tc>
          <w:tcPr>
            <w:tcW w:type="dxa" w:w="1440"/>
            <w:shd w:fill="FAFAFA" w:val="clear"/>
          </w:tcPr>
          <w:p>
            <w:r>
              <w:rPr>
                <w:b/>
                <w:sz w:val="17"/>
              </w:rPr>
              <w:t>2,026</w:t>
            </w:r>
          </w:p>
        </w:tc>
        <w:tc>
          <w:tcPr>
            <w:tcW w:type="dxa" w:w="1440"/>
            <w:shd w:fill="FAFAFA" w:val="clear"/>
          </w:tcPr>
          <w:p>
            <w:r>
              <w:rPr>
                <w:sz w:val="17"/>
              </w:rPr>
              <w:t>2,168</w:t>
            </w:r>
          </w:p>
        </w:tc>
        <w:tc>
          <w:tcPr>
            <w:tcW w:type="dxa" w:w="1440"/>
            <w:shd w:fill="FAFAFA" w:val="clear"/>
          </w:tcPr>
          <w:p>
            <w:r>
              <w:rPr>
                <w:b/>
                <w:color w:val="008000"/>
                <w:sz w:val="17"/>
              </w:rPr>
              <w:t>+1.5%</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1,854</w:t>
            </w:r>
          </w:p>
        </w:tc>
        <w:tc>
          <w:tcPr>
            <w:tcW w:type="dxa" w:w="1440"/>
            <w:shd w:fill="FAFAFA" w:val="clear"/>
          </w:tcPr>
          <w:p>
            <w:r>
              <w:rPr>
                <w:b/>
                <w:sz w:val="17"/>
              </w:rPr>
              <w:t>2,028</w:t>
            </w:r>
          </w:p>
        </w:tc>
        <w:tc>
          <w:tcPr>
            <w:tcW w:type="dxa" w:w="1440"/>
            <w:shd w:fill="FAFAFA" w:val="clear"/>
          </w:tcPr>
          <w:p>
            <w:r>
              <w:rPr>
                <w:sz w:val="17"/>
              </w:rPr>
              <w:t>2,203</w:t>
            </w:r>
          </w:p>
        </w:tc>
        <w:tc>
          <w:tcPr>
            <w:tcW w:type="dxa" w:w="1440"/>
            <w:shd w:fill="FAFAFA" w:val="clear"/>
          </w:tcPr>
          <w:p>
            <w:r>
              <w:rPr>
                <w:b/>
                <w:color w:val="008000"/>
                <w:sz w:val="17"/>
              </w:rPr>
              <w:t>+1.7%</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1,830</w:t>
            </w:r>
          </w:p>
        </w:tc>
        <w:tc>
          <w:tcPr>
            <w:tcW w:type="dxa" w:w="1440"/>
            <w:shd w:fill="FAFAFA" w:val="clear"/>
          </w:tcPr>
          <w:p>
            <w:r>
              <w:rPr>
                <w:b/>
                <w:sz w:val="17"/>
              </w:rPr>
              <w:t>2,032</w:t>
            </w:r>
          </w:p>
        </w:tc>
        <w:tc>
          <w:tcPr>
            <w:tcW w:type="dxa" w:w="1440"/>
            <w:shd w:fill="FAFAFA" w:val="clear"/>
          </w:tcPr>
          <w:p>
            <w:r>
              <w:rPr>
                <w:sz w:val="17"/>
              </w:rPr>
              <w:t>2,234</w:t>
            </w:r>
          </w:p>
        </w:tc>
        <w:tc>
          <w:tcPr>
            <w:tcW w:type="dxa" w:w="1440"/>
            <w:shd w:fill="FAFAFA" w:val="clear"/>
          </w:tcPr>
          <w:p>
            <w:r>
              <w:rPr>
                <w:b/>
                <w:color w:val="008000"/>
                <w:sz w:val="17"/>
              </w:rPr>
              <w:t>+1.9%</w:t>
            </w:r>
          </w:p>
        </w:tc>
      </w:tr>
      <w:tr>
        <w:tc>
          <w:tcPr>
            <w:tcW w:type="dxa" w:w="1440"/>
            <w:shd w:fill="C6EFCE" w:val="clear"/>
          </w:tcPr>
          <w:p>
            <w:r>
              <w:rPr>
                <w:sz w:val="17"/>
              </w:rPr>
              <w:t>J+5  ⭐</w:t>
            </w:r>
          </w:p>
        </w:tc>
        <w:tc>
          <w:tcPr>
            <w:tcW w:type="dxa" w:w="1440"/>
            <w:shd w:fill="C6EFCE" w:val="clear"/>
          </w:tcPr>
          <w:p>
            <w:r>
              <w:rPr>
                <w:sz w:val="17"/>
              </w:rPr>
              <w:t>2026-10-12</w:t>
            </w:r>
          </w:p>
        </w:tc>
        <w:tc>
          <w:tcPr>
            <w:tcW w:type="dxa" w:w="1440"/>
            <w:shd w:fill="C6EFCE" w:val="clear"/>
          </w:tcPr>
          <w:p>
            <w:r>
              <w:rPr>
                <w:sz w:val="17"/>
              </w:rPr>
              <w:t>1,809</w:t>
            </w:r>
          </w:p>
        </w:tc>
        <w:tc>
          <w:tcPr>
            <w:tcW w:type="dxa" w:w="1440"/>
            <w:shd w:fill="C6EFCE" w:val="clear"/>
          </w:tcPr>
          <w:p>
            <w:r>
              <w:rPr>
                <w:b/>
                <w:sz w:val="17"/>
              </w:rPr>
              <w:t>2,036</w:t>
            </w:r>
          </w:p>
        </w:tc>
        <w:tc>
          <w:tcPr>
            <w:tcW w:type="dxa" w:w="1440"/>
            <w:shd w:fill="C6EFCE" w:val="clear"/>
          </w:tcPr>
          <w:p>
            <w:r>
              <w:rPr>
                <w:sz w:val="17"/>
              </w:rPr>
              <w:t>2,262</w:t>
            </w:r>
          </w:p>
        </w:tc>
        <w:tc>
          <w:tcPr>
            <w:tcW w:type="dxa" w:w="1440"/>
            <w:shd w:fill="C6EFCE" w:val="clear"/>
          </w:tcPr>
          <w:p>
            <w:r>
              <w:rPr>
                <w:b/>
                <w:color w:val="008000"/>
                <w:sz w:val="17"/>
              </w:rPr>
              <w:t>+2.0%</w:t>
            </w:r>
          </w:p>
        </w:tc>
      </w:tr>
      <w:tr>
        <w:tc>
          <w:tcPr>
            <w:tcW w:type="dxa" w:w="1440"/>
            <w:shd w:fill="C6EFCE" w:val="clear"/>
          </w:tcPr>
          <w:p>
            <w:r>
              <w:rPr>
                <w:sz w:val="17"/>
              </w:rPr>
              <w:t>J+6  ⭐</w:t>
            </w:r>
          </w:p>
        </w:tc>
        <w:tc>
          <w:tcPr>
            <w:tcW w:type="dxa" w:w="1440"/>
            <w:shd w:fill="C6EFCE" w:val="clear"/>
          </w:tcPr>
          <w:p>
            <w:r>
              <w:rPr>
                <w:sz w:val="17"/>
              </w:rPr>
              <w:t>2026-10-13</w:t>
            </w:r>
          </w:p>
        </w:tc>
        <w:tc>
          <w:tcPr>
            <w:tcW w:type="dxa" w:w="1440"/>
            <w:shd w:fill="C6EFCE" w:val="clear"/>
          </w:tcPr>
          <w:p>
            <w:r>
              <w:rPr>
                <w:sz w:val="17"/>
              </w:rPr>
              <w:t>1,791</w:t>
            </w:r>
          </w:p>
        </w:tc>
        <w:tc>
          <w:tcPr>
            <w:tcW w:type="dxa" w:w="1440"/>
            <w:shd w:fill="C6EFCE" w:val="clear"/>
          </w:tcPr>
          <w:p>
            <w:r>
              <w:rPr>
                <w:b/>
                <w:sz w:val="17"/>
              </w:rPr>
              <w:t>2,040</w:t>
            </w:r>
          </w:p>
        </w:tc>
        <w:tc>
          <w:tcPr>
            <w:tcW w:type="dxa" w:w="1440"/>
            <w:shd w:fill="C6EFCE" w:val="clear"/>
          </w:tcPr>
          <w:p>
            <w:r>
              <w:rPr>
                <w:sz w:val="17"/>
              </w:rPr>
              <w:t>2,288</w:t>
            </w:r>
          </w:p>
        </w:tc>
        <w:tc>
          <w:tcPr>
            <w:tcW w:type="dxa" w:w="1440"/>
            <w:shd w:fill="C6EFCE" w:val="clear"/>
          </w:tcPr>
          <w:p>
            <w:r>
              <w:rPr>
                <w:b/>
                <w:color w:val="008000"/>
                <w:sz w:val="17"/>
              </w:rPr>
              <w:t>+2.2%</w:t>
            </w:r>
          </w:p>
        </w:tc>
      </w:tr>
      <w:tr>
        <w:tc>
          <w:tcPr>
            <w:tcW w:type="dxa" w:w="1440"/>
            <w:shd w:fill="C6EFCE" w:val="clear"/>
          </w:tcPr>
          <w:p>
            <w:r>
              <w:rPr>
                <w:sz w:val="17"/>
              </w:rPr>
              <w:t>J+7  ⭐</w:t>
            </w:r>
          </w:p>
        </w:tc>
        <w:tc>
          <w:tcPr>
            <w:tcW w:type="dxa" w:w="1440"/>
            <w:shd w:fill="C6EFCE" w:val="clear"/>
          </w:tcPr>
          <w:p>
            <w:r>
              <w:rPr>
                <w:sz w:val="17"/>
              </w:rPr>
              <w:t>2026-10-14</w:t>
            </w:r>
          </w:p>
        </w:tc>
        <w:tc>
          <w:tcPr>
            <w:tcW w:type="dxa" w:w="1440"/>
            <w:shd w:fill="C6EFCE" w:val="clear"/>
          </w:tcPr>
          <w:p>
            <w:r>
              <w:rPr>
                <w:sz w:val="17"/>
              </w:rPr>
              <w:t>1,774</w:t>
            </w:r>
          </w:p>
        </w:tc>
        <w:tc>
          <w:tcPr>
            <w:tcW w:type="dxa" w:w="1440"/>
            <w:shd w:fill="C6EFCE" w:val="clear"/>
          </w:tcPr>
          <w:p>
            <w:r>
              <w:rPr>
                <w:b/>
                <w:sz w:val="17"/>
              </w:rPr>
              <w:t>2,044</w:t>
            </w:r>
          </w:p>
        </w:tc>
        <w:tc>
          <w:tcPr>
            <w:tcW w:type="dxa" w:w="1440"/>
            <w:shd w:fill="C6EFCE" w:val="clear"/>
          </w:tcPr>
          <w:p>
            <w:r>
              <w:rPr>
                <w:sz w:val="17"/>
              </w:rPr>
              <w:t>2,313</w:t>
            </w:r>
          </w:p>
        </w:tc>
        <w:tc>
          <w:tcPr>
            <w:tcW w:type="dxa" w:w="1440"/>
            <w:shd w:fill="C6EFCE" w:val="clear"/>
          </w:tcPr>
          <w:p>
            <w:r>
              <w:rPr>
                <w:b/>
                <w:color w:val="008000"/>
                <w:sz w:val="17"/>
              </w:rPr>
              <w:t>+2.4%</w:t>
            </w:r>
          </w:p>
        </w:tc>
      </w:tr>
      <w:tr>
        <w:tc>
          <w:tcPr>
            <w:tcW w:type="dxa" w:w="1440"/>
            <w:shd w:fill="C6EFCE" w:val="clear"/>
          </w:tcPr>
          <w:p>
            <w:r>
              <w:rPr>
                <w:sz w:val="17"/>
              </w:rPr>
              <w:t>J+8  ⭐</w:t>
            </w:r>
          </w:p>
        </w:tc>
        <w:tc>
          <w:tcPr>
            <w:tcW w:type="dxa" w:w="1440"/>
            <w:shd w:fill="C6EFCE" w:val="clear"/>
          </w:tcPr>
          <w:p>
            <w:r>
              <w:rPr>
                <w:sz w:val="17"/>
              </w:rPr>
              <w:t>2026-10-15</w:t>
            </w:r>
          </w:p>
        </w:tc>
        <w:tc>
          <w:tcPr>
            <w:tcW w:type="dxa" w:w="1440"/>
            <w:shd w:fill="C6EFCE" w:val="clear"/>
          </w:tcPr>
          <w:p>
            <w:r>
              <w:rPr>
                <w:sz w:val="17"/>
              </w:rPr>
              <w:t>1,759</w:t>
            </w:r>
          </w:p>
        </w:tc>
        <w:tc>
          <w:tcPr>
            <w:tcW w:type="dxa" w:w="1440"/>
            <w:shd w:fill="C6EFCE" w:val="clear"/>
          </w:tcPr>
          <w:p>
            <w:r>
              <w:rPr>
                <w:b/>
                <w:sz w:val="17"/>
              </w:rPr>
              <w:t>2,047</w:t>
            </w:r>
          </w:p>
        </w:tc>
        <w:tc>
          <w:tcPr>
            <w:tcW w:type="dxa" w:w="1440"/>
            <w:shd w:fill="C6EFCE" w:val="clear"/>
          </w:tcPr>
          <w:p>
            <w:r>
              <w:rPr>
                <w:sz w:val="17"/>
              </w:rPr>
              <w:t>2,336</w:t>
            </w:r>
          </w:p>
        </w:tc>
        <w:tc>
          <w:tcPr>
            <w:tcW w:type="dxa" w:w="1440"/>
            <w:shd w:fill="C6EFCE" w:val="clear"/>
          </w:tcPr>
          <w:p>
            <w:r>
              <w:rPr>
                <w:b/>
                <w:color w:val="008000"/>
                <w:sz w:val="17"/>
              </w:rPr>
              <w:t>+2.6%</w:t>
            </w:r>
          </w:p>
        </w:tc>
      </w:tr>
      <w:tr>
        <w:tc>
          <w:tcPr>
            <w:tcW w:type="dxa" w:w="1440"/>
            <w:shd w:fill="C6EFCE" w:val="clear"/>
          </w:tcPr>
          <w:p>
            <w:r>
              <w:rPr>
                <w:sz w:val="17"/>
              </w:rPr>
              <w:t>J+9  ⭐</w:t>
            </w:r>
          </w:p>
        </w:tc>
        <w:tc>
          <w:tcPr>
            <w:tcW w:type="dxa" w:w="1440"/>
            <w:shd w:fill="C6EFCE" w:val="clear"/>
          </w:tcPr>
          <w:p>
            <w:r>
              <w:rPr>
                <w:sz w:val="17"/>
              </w:rPr>
              <w:t>2026-10-16</w:t>
            </w:r>
          </w:p>
        </w:tc>
        <w:tc>
          <w:tcPr>
            <w:tcW w:type="dxa" w:w="1440"/>
            <w:shd w:fill="C6EFCE" w:val="clear"/>
          </w:tcPr>
          <w:p>
            <w:r>
              <w:rPr>
                <w:sz w:val="17"/>
              </w:rPr>
              <w:t>1,745</w:t>
            </w:r>
          </w:p>
        </w:tc>
        <w:tc>
          <w:tcPr>
            <w:tcW w:type="dxa" w:w="1440"/>
            <w:shd w:fill="C6EFCE" w:val="clear"/>
          </w:tcPr>
          <w:p>
            <w:r>
              <w:rPr>
                <w:b/>
                <w:sz w:val="17"/>
              </w:rPr>
              <w:t>2,051</w:t>
            </w:r>
          </w:p>
        </w:tc>
        <w:tc>
          <w:tcPr>
            <w:tcW w:type="dxa" w:w="1440"/>
            <w:shd w:fill="C6EFCE" w:val="clear"/>
          </w:tcPr>
          <w:p>
            <w:r>
              <w:rPr>
                <w:sz w:val="17"/>
              </w:rPr>
              <w:t>2,357</w:t>
            </w:r>
          </w:p>
        </w:tc>
        <w:tc>
          <w:tcPr>
            <w:tcW w:type="dxa" w:w="1440"/>
            <w:shd w:fill="C6EFCE" w:val="clear"/>
          </w:tcPr>
          <w:p>
            <w:r>
              <w:rPr>
                <w:b/>
                <w:color w:val="008000"/>
                <w:sz w:val="17"/>
              </w:rPr>
              <w:t>+2.8%</w:t>
            </w:r>
          </w:p>
        </w:tc>
      </w:tr>
      <w:tr>
        <w:tc>
          <w:tcPr>
            <w:tcW w:type="dxa" w:w="1440"/>
            <w:shd w:fill="C6EFCE" w:val="clear"/>
          </w:tcPr>
          <w:p>
            <w:r>
              <w:rPr>
                <w:sz w:val="17"/>
              </w:rPr>
              <w:t>J+10  ⭐</w:t>
            </w:r>
          </w:p>
        </w:tc>
        <w:tc>
          <w:tcPr>
            <w:tcW w:type="dxa" w:w="1440"/>
            <w:shd w:fill="C6EFCE" w:val="clear"/>
          </w:tcPr>
          <w:p>
            <w:r>
              <w:rPr>
                <w:sz w:val="17"/>
              </w:rPr>
              <w:t>2026-10-19</w:t>
            </w:r>
          </w:p>
        </w:tc>
        <w:tc>
          <w:tcPr>
            <w:tcW w:type="dxa" w:w="1440"/>
            <w:shd w:fill="C6EFCE" w:val="clear"/>
          </w:tcPr>
          <w:p>
            <w:r>
              <w:rPr>
                <w:sz w:val="17"/>
              </w:rPr>
              <w:t>1,731</w:t>
            </w:r>
          </w:p>
        </w:tc>
        <w:tc>
          <w:tcPr>
            <w:tcW w:type="dxa" w:w="1440"/>
            <w:shd w:fill="C6EFCE" w:val="clear"/>
          </w:tcPr>
          <w:p>
            <w:r>
              <w:rPr>
                <w:b/>
                <w:sz w:val="17"/>
              </w:rPr>
              <w:t>2,055</w:t>
            </w:r>
          </w:p>
        </w:tc>
        <w:tc>
          <w:tcPr>
            <w:tcW w:type="dxa" w:w="1440"/>
            <w:shd w:fill="C6EFCE" w:val="clear"/>
          </w:tcPr>
          <w:p>
            <w:r>
              <w:rPr>
                <w:sz w:val="17"/>
              </w:rPr>
              <w:t>2,378</w:t>
            </w:r>
          </w:p>
        </w:tc>
        <w:tc>
          <w:tcPr>
            <w:tcW w:type="dxa" w:w="1440"/>
            <w:shd w:fill="C6EFCE" w:val="clear"/>
          </w:tcPr>
          <w:p>
            <w:r>
              <w:rPr>
                <w:b/>
                <w:color w:val="008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17,42 milliards FCFA, ERIUM CI se situe dans la catégorie des petites capitalisations de la BRVM, ce qui implique une liquidité limitée et une sensibilité accrue aux mouvements de portefeuille. Le BPA de 43 FCFA/action signifie que chaque titre génère 43 FCFA de bénéfice net, un niveau modeste qui, rapporté au cours de 1 995 FCFA, aboutit à un PER de 46,2x — très largement supérieur à la moyenne du marché BRVM (8-12x), signalant une valorisation tendue et une forte anticipation de croissance de la part du marché. Le P/B de 5,32x confirme cette prime exigeante : les investisseurs paient plus de cinq fois la valeur comptable des fonds propres, ce qui n'est justifiable que par des perspectives de rentabilité future nettement supérieures. Enfin, l'EV/EBITDA de 15,1x traduit une valorisation de la capacité opérationnelle également très exigeante, suggérant que le titre intègre déjà une bonne partie du potentiel de redressement.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-30,12%, avec une dernière séance quasi stable à -0,25%, portant le cours actuel à 1 995 FCFA pour une capitalisation de 17,42 milliards FCFA. Le range de trading est large, entre un plus haut de 2 875 FCFA et un plus bas de 1 920 FCFA, soit un écart de près de 50% entre les extrêmes, ce qui témoigne d'une tendance générale nettement baissière sur la période. Les statistiques descriptives révèlent une moyenne de 2 432 FCFA supérieure à la médiane de 2 380 FCFA, avec un mode à 2 000 FCFA : cet écart modéré indique une légère asymétrie positive (skewness de 0,239, distribution quasi symétrique), le cours ayant passé plus de temps dans la partie basse de sa fourchette récente. L'écart-type de 286 FCFA (CV de 11,8%) traduit une dispersion relativement contenue autour de la moyenne, mais le kurtosis négatif de -1,130 (distribution platykurtique) signale une distribution aplatie avec une faible concentration des rendements et un risque de mouvements amples non anticipés. La volatilité annualisée de 53,7% classe ce titre dans la catégorie des valeurs à volatilité élevée (&gt;30%), ce qui est cohérent avec sa faible liquidité (volume moyen de 5 478 titres/jour) et sa nature de petite capitalisation.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(2 160,75 FCFA) et la MM50 (2 248,50 FCFA) se situent toutes deux nettement au-dessus du cours actuel (1 995 FCFA), et la MM20 est elle-même inférieure à la MM50, configuration baissière caractéristique d'un marché en tendance descendante. Le cours évoluant sous ses deux moyennes, la pression vendeuse reste dominante et justifie pleinement la décision technique de **Vente**.</w:t>
      </w:r>
    </w:p>
    <w:p>
      <w:pPr>
        <w:spacing w:after="120" w:line="276" w:lineRule="auto"/>
      </w:pPr>
      <w:r>
        <w:t>**Bandes de Bollinger** : Le cours (1 995 FCFA) se situe dans la moitié inférieure de la bande, entre la borne inférieure (1 858,80 FCFA) et la borne supérieure (2 462,70 FCFA), sans franchissement des extrêmes. Cette position médiane-basse, dans un contexte de bandes relativement larges, traduit une volatilité toujours présente mais sans signal de retournement imminent, d'où la décision **Neutre**.</w:t>
      </w:r>
    </w:p>
    <w:p>
      <w:pPr>
        <w:spacing w:after="120" w:line="276" w:lineRule="auto"/>
      </w:pPr>
      <w:r>
        <w:t>**MACD** : La valeur du MACD (-85,428) est inférieure à son signal (-72,298), avec un histogramme négatif qui confirme un momentum baissier persistant. L'absence de croisement haussier de la ligne MACD au-dessus de son signal maintient la pression vendeuse et valide la décision de **Vente**.</w:t>
      </w:r>
    </w:p>
    <w:p>
      <w:pPr>
        <w:spacing w:after="120" w:line="276" w:lineRule="auto"/>
      </w:pPr>
      <w:r>
        <w:t>**RSI** : À 33,125, le RSI se situe dans la zone neutre basse, proche du seuil de survente (30) sans l'atteindre. Cette configuration indique que le titre n'est pas encore techniquement survendu mais que la dynamique reste faible, justifiant une décision **Neutre** avec un biais baissier latent.</w:t>
      </w:r>
    </w:p>
    <w:p>
      <w:pPr>
        <w:spacing w:after="120" w:line="276" w:lineRule="auto"/>
      </w:pPr>
      <w:r>
        <w:t>**Stochastique** : Avec %K et %D tous deux à 0,0, l'indicateur stochastique est au plancher absolu, signalant une situation de survente extrême. Cette configuration, bien que techniquement associée à un signal d'**Achat** (rebond potentiel), doit être interprétée avec prudence car elle peut refléter une absence de contrepartie acheteuse plutôt qu'un véritable point d'entrée.</w:t>
      </w:r>
    </w:p>
    <w:p>
      <w:pPr>
        <w:spacing w:after="120" w:line="276" w:lineRule="auto"/>
      </w:pPr>
      <w:r>
        <w:t>**Conclusion technique** : Les indicateurs sont majoritairement baissiers (MM, MACD) ou neutres (Bollinger, RSI), avec un unique signal d'achat contradictoire (stochastique à 0). Cette divergence traduit un titre en fin de tendance baissière mais sans confirmation de retournement : la prudence reste de mise tant que le cours n'aura pas reconquis la MM20 (2 160 FCFA) avec un volume significatif.</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(secteur banque) font état d'un PNB de 9,283 milliards FCFA, d'un résultat net de 376,96 millions FCFA, d'un ROE de 11,52% et d'un ROA de 2,69%, avec un coefficient d'exploitation très élevé de 95,83% — bien au-delà du seuil de 60% marquant une banque efficace — et un coût du risque de 3,10%, indiquant un portefeuille sous tension. Le rapport annuel daté du 31 décembre 2025 (analysé le 29 juin 2026) révèle une dégradation préoccupante : le chiffre d'affaires progresse de +8,53% à 10,075 milliards FCFA, mais le résultat net chute de -52,4% à 179,29 millions FCFA, faisant plonger la marge nette de 4,06% à 1,78%, sous l'effet d'une explosion des charges d'exploitation et d'un résultat financier passé d'un gain de 316 M FCFA à une perte de -114 M FCFA. Les capitaux propres reculent à 2,527 milliards FCFA, l'endettement financier grimpe à 4,164 milliards FCFA et la trésorerie nette demeure négative à -1,661 milliard FCFA, tandis qu'aucun dividende n'a été versé (0 FCFA), la totalité du bénéfice étant mise en réserve pour apurer les pertes antérieures (report à nouveau amélioré de -599 M à -356 M FCFA). Les rapports trimestriels de 2025 dessinent toutefois une inflexion positive : le S1 2025 (rapport certifié du 30 juin 2025) affiche un CA de 4 897,5 M FCFA (+8,8%) et un résultat net de 512,9 M FCFA (+4,6%) avec une marge nette de 10,5%, tandis que le cumul au 30 septembre 2025 (rapport T3) montre un CA de 7 584,7 M FCFA (+13%) et un résultat net de 832,5 M FCFA (+58%), avec une marge nette remontée à 11,0% et un résultat des activités ordinaires de 1 122 M FCFA (+67%). Sur la base de ces rapports trimestriels 2025, on peut estimer que l'exercice 2025 devrait afficher un résultat net nettement supérieur à celui de 2024, potentiellement autour de 900 M-1 000 M FCFA si la dynamique du T3 se confirme au T4 — une estimation qui contraste fortement avec la chute publiée dans le rapport annuel 2025, suggérant que ce dernier pourrait inclure des éléments exceptionnels ou des retraitements non récurrents. Par ailleurs, le communiqué du 22 novembre 2025 fait état d'un franchissement de seuil à la baisse par Air Liquide International, qui cède 100% de sa participation (72,08%, soit 6 295 350 actions) à ERIUM LTD au cours de 230 FCFA/action — un prix très inférieur au cours de bourse actuel (1 995 FCFA), ce qui interroge sur la valorisation de référence retenue lors de cette transaction de gré à gré. La recommandation fondamentale est donc **CONSERVER avec surveillance renforcée** : la croissance du CA et l'amélioration trimestrielle sont réelles, mais la fragilité de la structure financière (endettement élevé, trésorerie négative, capitaux propres en baisse) et l'absence de dividende limitent l'attrait pour un nouvel investisseur.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nettement surévaluée avec un PER de 46,2x et un P/B de 5,32x, très au-dessus des standards du marché BRVM, ce qui laisse peu de marge de sécurité en cas de déception sur les résultats. Le comportement du cours (Partie 1) est préoccupant : -30,12% sur 100 jours, volatilité annualisée de 53,7%, distribution platykurtique (kurtosis -1,130) exposant à des mouvements amples, et cours évoluant sous ses moyennes mobiles. Les signaux techniques (Partie 2) sont majoritairement baissiers (MM20 &lt; MM50 &lt; cours, MACD négatif, RSI faible à 33,1), avec un unique signal d'achat stochastique à 0,0 qui reste ambigu car il peut refléter une absence de contrepartie plutôt qu'un vrai point d'entrée. Les fondamentaux (Partie 3) présentent un tableau contrasté : dégradation annuelle 2025 (résultat net -52,4%, marge nette 1,78%, trésorerie nette -1,661 Md FCFA) mais nette amélioration trimestrielle (T3 2025 : résultat net +58%, marge nette 11,0%), avec un changement d'actionnaire de référence (Air Liquide → ERIUM LTD à 230 FCFA/action) qui introduit une incertitude stratégique majeure. Les prédictions IA (J+1 à J+10) anticipent une légère reprise de 2 027 à 2 036 FCFA (+2,1% sur 10 jours), ce qui contredit partiellement les signaux techniques baissiers mais reste cohérent avec un rebond technique post-survente. **Recommandation finale : CONSERVER** — la convergence entre une valorisation exigeante, une technique baissière et des fondamentaux annuels dégradés mais trimestriellement en amélioration ne justifie ni un achat agressif ni une vente panique. Le niveau de confiance est **Moyen** (les signaux contradictoires et le changement d'actionnaire introduisent de l'incertitude) et le niveau de risque global est **Élevé** (volatilité 53,7%, liquidité faible, endettement important, trésorerie négative). L'horizon d'investissement optimal est le **moyen terme (3-12 mois)**, le temps que les résultats annuels 2025 définitifs confirment ou infirment la dynamique trimestrielle observée et que la nouvelle gouvernance ERIUM LTD précise sa stratégie.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615.64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1,414 titres</w:t>
            </w:r>
          </w:p>
        </w:tc>
        <w:tc>
          <w:tcPr>
            <w:tcW w:type="dxa" w:w="2268"/>
            <w:shd w:fill="FFF2CC" w:val="clear"/>
          </w:tcPr>
          <w:p>
            <w:r>
              <w:rPr>
                <w:b/>
                <w:color w:val="503200"/>
                <w:sz w:val="16"/>
              </w:rPr>
              <w:t xml:space="preserve">Cours actuel : </w:t>
            </w:r>
            <w:r>
              <w:rPr>
                <w:color w:val="000000"/>
                <w:sz w:val="17"/>
              </w:rPr>
              <w:t>37,400 FCFA</w:t>
            </w:r>
          </w:p>
          <w:p>
            <w:r>
              <w:rPr>
                <w:b/>
                <w:color w:val="503200"/>
                <w:sz w:val="16"/>
              </w:rPr>
              <w:t xml:space="preserve">Var. 100 jours : </w:t>
            </w:r>
            <w:r>
              <w:rPr>
                <w:b/>
                <w:color w:val="B40000"/>
                <w:sz w:val="17"/>
              </w:rPr>
              <w:t>-1.32%</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2.22% (Faible) — μ=38,277 FCFA, σ=851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β=0.0300 (Défensif) — Cov=0.000002, Var(idx)=0.000072, ρ=0.017,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37,016</w:t>
            </w:r>
          </w:p>
        </w:tc>
        <w:tc>
          <w:tcPr>
            <w:tcW w:type="dxa" w:w="1440"/>
            <w:shd w:fill="FAFAFA" w:val="clear"/>
          </w:tcPr>
          <w:p>
            <w:r>
              <w:rPr>
                <w:b/>
                <w:sz w:val="17"/>
              </w:rPr>
              <w:t>37,593</w:t>
            </w:r>
          </w:p>
        </w:tc>
        <w:tc>
          <w:tcPr>
            <w:tcW w:type="dxa" w:w="1440"/>
            <w:shd w:fill="FAFAFA" w:val="clear"/>
          </w:tcPr>
          <w:p>
            <w:r>
              <w:rPr>
                <w:sz w:val="17"/>
              </w:rPr>
              <w:t>38,171</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36,906</w:t>
            </w:r>
          </w:p>
        </w:tc>
        <w:tc>
          <w:tcPr>
            <w:tcW w:type="dxa" w:w="1440"/>
            <w:shd w:fill="FAFAFA" w:val="clear"/>
          </w:tcPr>
          <w:p>
            <w:r>
              <w:rPr>
                <w:b/>
                <w:sz w:val="17"/>
              </w:rPr>
              <w:t>37,726</w:t>
            </w:r>
          </w:p>
        </w:tc>
        <w:tc>
          <w:tcPr>
            <w:tcW w:type="dxa" w:w="1440"/>
            <w:shd w:fill="FAFAFA" w:val="clear"/>
          </w:tcPr>
          <w:p>
            <w:r>
              <w:rPr>
                <w:sz w:val="17"/>
              </w:rPr>
              <w:t>38,546</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36,886</w:t>
            </w:r>
          </w:p>
        </w:tc>
        <w:tc>
          <w:tcPr>
            <w:tcW w:type="dxa" w:w="1440"/>
            <w:shd w:fill="FAFAFA" w:val="clear"/>
          </w:tcPr>
          <w:p>
            <w:r>
              <w:rPr>
                <w:b/>
                <w:sz w:val="17"/>
              </w:rPr>
              <w:t>37,894</w:t>
            </w:r>
          </w:p>
        </w:tc>
        <w:tc>
          <w:tcPr>
            <w:tcW w:type="dxa" w:w="1440"/>
            <w:shd w:fill="FAFAFA" w:val="clear"/>
          </w:tcPr>
          <w:p>
            <w:r>
              <w:rPr>
                <w:sz w:val="17"/>
              </w:rPr>
              <w:t>38,903</w:t>
            </w:r>
          </w:p>
        </w:tc>
        <w:tc>
          <w:tcPr>
            <w:tcW w:type="dxa" w:w="1440"/>
            <w:shd w:fill="FAFAFA" w:val="clear"/>
          </w:tcPr>
          <w:p>
            <w:r>
              <w:rPr>
                <w:b/>
                <w:color w:val="008000"/>
                <w:sz w:val="17"/>
              </w:rPr>
              <w:t>+1.3%</w:t>
            </w:r>
          </w:p>
        </w:tc>
      </w:tr>
      <w:tr>
        <w:tc>
          <w:tcPr>
            <w:tcW w:type="dxa" w:w="1440"/>
            <w:shd w:fill="FAFAFA" w:val="clear"/>
          </w:tcPr>
          <w:p>
            <w:r>
              <w:rPr>
                <w:sz w:val="17"/>
              </w:rPr>
              <w:t>J+4  Moyenne</w:t>
            </w:r>
          </w:p>
        </w:tc>
        <w:tc>
          <w:tcPr>
            <w:tcW w:type="dxa" w:w="1440"/>
            <w:shd w:fill="FAFAFA" w:val="clear"/>
          </w:tcPr>
          <w:p>
            <w:r>
              <w:rPr>
                <w:sz w:val="17"/>
              </w:rPr>
              <w:t>2026-10-09</w:t>
            </w:r>
          </w:p>
        </w:tc>
        <w:tc>
          <w:tcPr>
            <w:tcW w:type="dxa" w:w="1440"/>
            <w:shd w:fill="FAFAFA" w:val="clear"/>
          </w:tcPr>
          <w:p>
            <w:r>
              <w:rPr>
                <w:sz w:val="17"/>
              </w:rPr>
              <w:t>36,892</w:t>
            </w:r>
          </w:p>
        </w:tc>
        <w:tc>
          <w:tcPr>
            <w:tcW w:type="dxa" w:w="1440"/>
            <w:shd w:fill="FAFAFA" w:val="clear"/>
          </w:tcPr>
          <w:p>
            <w:r>
              <w:rPr>
                <w:b/>
                <w:sz w:val="17"/>
              </w:rPr>
              <w:t>38,062</w:t>
            </w:r>
          </w:p>
        </w:tc>
        <w:tc>
          <w:tcPr>
            <w:tcW w:type="dxa" w:w="1440"/>
            <w:shd w:fill="FAFAFA" w:val="clear"/>
          </w:tcPr>
          <w:p>
            <w:r>
              <w:rPr>
                <w:sz w:val="17"/>
              </w:rPr>
              <w:t>39,232</w:t>
            </w:r>
          </w:p>
        </w:tc>
        <w:tc>
          <w:tcPr>
            <w:tcW w:type="dxa" w:w="1440"/>
            <w:shd w:fill="FAFAFA" w:val="clear"/>
          </w:tcPr>
          <w:p>
            <w:r>
              <w:rPr>
                <w:b/>
                <w:color w:val="008000"/>
                <w:sz w:val="17"/>
              </w:rPr>
              <w:t>+1.8%</w:t>
            </w:r>
          </w:p>
        </w:tc>
      </w:tr>
      <w:tr>
        <w:tc>
          <w:tcPr>
            <w:tcW w:type="dxa" w:w="1440"/>
            <w:shd w:fill="C6EFCE" w:val="clear"/>
          </w:tcPr>
          <w:p>
            <w:r>
              <w:rPr>
                <w:sz w:val="17"/>
              </w:rPr>
              <w:t>J+5  Moyenne</w:t>
            </w:r>
          </w:p>
        </w:tc>
        <w:tc>
          <w:tcPr>
            <w:tcW w:type="dxa" w:w="1440"/>
            <w:shd w:fill="C6EFCE" w:val="clear"/>
          </w:tcPr>
          <w:p>
            <w:r>
              <w:rPr>
                <w:sz w:val="17"/>
              </w:rPr>
              <w:t>2026-10-12</w:t>
            </w:r>
          </w:p>
        </w:tc>
        <w:tc>
          <w:tcPr>
            <w:tcW w:type="dxa" w:w="1440"/>
            <w:shd w:fill="C6EFCE" w:val="clear"/>
          </w:tcPr>
          <w:p>
            <w:r>
              <w:rPr>
                <w:sz w:val="17"/>
              </w:rPr>
              <w:t>36,910</w:t>
            </w:r>
          </w:p>
        </w:tc>
        <w:tc>
          <w:tcPr>
            <w:tcW w:type="dxa" w:w="1440"/>
            <w:shd w:fill="C6EFCE" w:val="clear"/>
          </w:tcPr>
          <w:p>
            <w:r>
              <w:rPr>
                <w:b/>
                <w:sz w:val="17"/>
              </w:rPr>
              <w:t>38,223</w:t>
            </w:r>
          </w:p>
        </w:tc>
        <w:tc>
          <w:tcPr>
            <w:tcW w:type="dxa" w:w="1440"/>
            <w:shd w:fill="C6EFCE" w:val="clear"/>
          </w:tcPr>
          <w:p>
            <w:r>
              <w:rPr>
                <w:sz w:val="17"/>
              </w:rPr>
              <w:t>39,537</w:t>
            </w:r>
          </w:p>
        </w:tc>
        <w:tc>
          <w:tcPr>
            <w:tcW w:type="dxa" w:w="1440"/>
            <w:shd w:fill="C6EFCE" w:val="clear"/>
          </w:tcPr>
          <w:p>
            <w:r>
              <w:rPr>
                <w:b/>
                <w:color w:val="008000"/>
                <w:sz w:val="17"/>
              </w:rPr>
              <w:t>+2.2%</w:t>
            </w:r>
          </w:p>
        </w:tc>
      </w:tr>
      <w:tr>
        <w:tc>
          <w:tcPr>
            <w:tcW w:type="dxa" w:w="1440"/>
            <w:shd w:fill="C6EFCE" w:val="clear"/>
          </w:tcPr>
          <w:p>
            <w:r>
              <w:rPr>
                <w:sz w:val="17"/>
              </w:rPr>
              <w:t>J+6  Moyenne</w:t>
            </w:r>
          </w:p>
        </w:tc>
        <w:tc>
          <w:tcPr>
            <w:tcW w:type="dxa" w:w="1440"/>
            <w:shd w:fill="C6EFCE" w:val="clear"/>
          </w:tcPr>
          <w:p>
            <w:r>
              <w:rPr>
                <w:sz w:val="17"/>
              </w:rPr>
              <w:t>2026-10-13</w:t>
            </w:r>
          </w:p>
        </w:tc>
        <w:tc>
          <w:tcPr>
            <w:tcW w:type="dxa" w:w="1440"/>
            <w:shd w:fill="C6EFCE" w:val="clear"/>
          </w:tcPr>
          <w:p>
            <w:r>
              <w:rPr>
                <w:sz w:val="17"/>
              </w:rPr>
              <w:t>36,934</w:t>
            </w:r>
          </w:p>
        </w:tc>
        <w:tc>
          <w:tcPr>
            <w:tcW w:type="dxa" w:w="1440"/>
            <w:shd w:fill="C6EFCE" w:val="clear"/>
          </w:tcPr>
          <w:p>
            <w:r>
              <w:rPr>
                <w:b/>
                <w:sz w:val="17"/>
              </w:rPr>
              <w:t>38,378</w:t>
            </w:r>
          </w:p>
        </w:tc>
        <w:tc>
          <w:tcPr>
            <w:tcW w:type="dxa" w:w="1440"/>
            <w:shd w:fill="C6EFCE" w:val="clear"/>
          </w:tcPr>
          <w:p>
            <w:r>
              <w:rPr>
                <w:sz w:val="17"/>
              </w:rPr>
              <w:t>39,823</w:t>
            </w:r>
          </w:p>
        </w:tc>
        <w:tc>
          <w:tcPr>
            <w:tcW w:type="dxa" w:w="1440"/>
            <w:shd w:fill="C6EFCE" w:val="clear"/>
          </w:tcPr>
          <w:p>
            <w:r>
              <w:rPr>
                <w:b/>
                <w:color w:val="008000"/>
                <w:sz w:val="17"/>
              </w:rPr>
              <w:t>+2.6%</w:t>
            </w:r>
          </w:p>
        </w:tc>
      </w:tr>
      <w:tr>
        <w:tc>
          <w:tcPr>
            <w:tcW w:type="dxa" w:w="1440"/>
            <w:shd w:fill="C6EFCE" w:val="clear"/>
          </w:tcPr>
          <w:p>
            <w:r>
              <w:rPr>
                <w:sz w:val="17"/>
              </w:rPr>
              <w:t>J+7  Moyenne</w:t>
            </w:r>
          </w:p>
        </w:tc>
        <w:tc>
          <w:tcPr>
            <w:tcW w:type="dxa" w:w="1440"/>
            <w:shd w:fill="C6EFCE" w:val="clear"/>
          </w:tcPr>
          <w:p>
            <w:r>
              <w:rPr>
                <w:sz w:val="17"/>
              </w:rPr>
              <w:t>2026-10-14</w:t>
            </w:r>
          </w:p>
        </w:tc>
        <w:tc>
          <w:tcPr>
            <w:tcW w:type="dxa" w:w="1440"/>
            <w:shd w:fill="C6EFCE" w:val="clear"/>
          </w:tcPr>
          <w:p>
            <w:r>
              <w:rPr>
                <w:sz w:val="17"/>
              </w:rPr>
              <w:t>36,961</w:t>
            </w:r>
          </w:p>
        </w:tc>
        <w:tc>
          <w:tcPr>
            <w:tcW w:type="dxa" w:w="1440"/>
            <w:shd w:fill="C6EFCE" w:val="clear"/>
          </w:tcPr>
          <w:p>
            <w:r>
              <w:rPr>
                <w:b/>
                <w:sz w:val="17"/>
              </w:rPr>
              <w:t>38,528</w:t>
            </w:r>
          </w:p>
        </w:tc>
        <w:tc>
          <w:tcPr>
            <w:tcW w:type="dxa" w:w="1440"/>
            <w:shd w:fill="C6EFCE" w:val="clear"/>
          </w:tcPr>
          <w:p>
            <w:r>
              <w:rPr>
                <w:sz w:val="17"/>
              </w:rPr>
              <w:t>40,094</w:t>
            </w:r>
          </w:p>
        </w:tc>
        <w:tc>
          <w:tcPr>
            <w:tcW w:type="dxa" w:w="1440"/>
            <w:shd w:fill="C6EFCE" w:val="clear"/>
          </w:tcPr>
          <w:p>
            <w:r>
              <w:rPr>
                <w:b/>
                <w:color w:val="008000"/>
                <w:sz w:val="17"/>
              </w:rPr>
              <w:t>+3.0%</w:t>
            </w:r>
          </w:p>
        </w:tc>
      </w:tr>
      <w:tr>
        <w:tc>
          <w:tcPr>
            <w:tcW w:type="dxa" w:w="1440"/>
            <w:shd w:fill="C6EFCE" w:val="clear"/>
          </w:tcPr>
          <w:p>
            <w:r>
              <w:rPr>
                <w:sz w:val="17"/>
              </w:rPr>
              <w:t>J+8  Moyenne</w:t>
            </w:r>
          </w:p>
        </w:tc>
        <w:tc>
          <w:tcPr>
            <w:tcW w:type="dxa" w:w="1440"/>
            <w:shd w:fill="C6EFCE" w:val="clear"/>
          </w:tcPr>
          <w:p>
            <w:r>
              <w:rPr>
                <w:sz w:val="17"/>
              </w:rPr>
              <w:t>2026-10-15</w:t>
            </w:r>
          </w:p>
        </w:tc>
        <w:tc>
          <w:tcPr>
            <w:tcW w:type="dxa" w:w="1440"/>
            <w:shd w:fill="C6EFCE" w:val="clear"/>
          </w:tcPr>
          <w:p>
            <w:r>
              <w:rPr>
                <w:sz w:val="17"/>
              </w:rPr>
              <w:t>36,992</w:t>
            </w:r>
          </w:p>
        </w:tc>
        <w:tc>
          <w:tcPr>
            <w:tcW w:type="dxa" w:w="1440"/>
            <w:shd w:fill="C6EFCE" w:val="clear"/>
          </w:tcPr>
          <w:p>
            <w:r>
              <w:rPr>
                <w:b/>
                <w:sz w:val="17"/>
              </w:rPr>
              <w:t>38,672</w:t>
            </w:r>
          </w:p>
        </w:tc>
        <w:tc>
          <w:tcPr>
            <w:tcW w:type="dxa" w:w="1440"/>
            <w:shd w:fill="C6EFCE" w:val="clear"/>
          </w:tcPr>
          <w:p>
            <w:r>
              <w:rPr>
                <w:sz w:val="17"/>
              </w:rPr>
              <w:t>40,353</w:t>
            </w:r>
          </w:p>
        </w:tc>
        <w:tc>
          <w:tcPr>
            <w:tcW w:type="dxa" w:w="1440"/>
            <w:shd w:fill="C6EFCE" w:val="clear"/>
          </w:tcPr>
          <w:p>
            <w:r>
              <w:rPr>
                <w:b/>
                <w:color w:val="008000"/>
                <w:sz w:val="17"/>
              </w:rPr>
              <w:t>+3.4%</w:t>
            </w:r>
          </w:p>
        </w:tc>
      </w:tr>
      <w:tr>
        <w:tc>
          <w:tcPr>
            <w:tcW w:type="dxa" w:w="1440"/>
            <w:shd w:fill="C6EFCE" w:val="clear"/>
          </w:tcPr>
          <w:p>
            <w:r>
              <w:rPr>
                <w:sz w:val="17"/>
              </w:rPr>
              <w:t>J+9  Moyenne</w:t>
            </w:r>
          </w:p>
        </w:tc>
        <w:tc>
          <w:tcPr>
            <w:tcW w:type="dxa" w:w="1440"/>
            <w:shd w:fill="C6EFCE" w:val="clear"/>
          </w:tcPr>
          <w:p>
            <w:r>
              <w:rPr>
                <w:sz w:val="17"/>
              </w:rPr>
              <w:t>2026-10-16</w:t>
            </w:r>
          </w:p>
        </w:tc>
        <w:tc>
          <w:tcPr>
            <w:tcW w:type="dxa" w:w="1440"/>
            <w:shd w:fill="C6EFCE" w:val="clear"/>
          </w:tcPr>
          <w:p>
            <w:r>
              <w:rPr>
                <w:sz w:val="17"/>
              </w:rPr>
              <w:t>37,024</w:t>
            </w:r>
          </w:p>
        </w:tc>
        <w:tc>
          <w:tcPr>
            <w:tcW w:type="dxa" w:w="1440"/>
            <w:shd w:fill="C6EFCE" w:val="clear"/>
          </w:tcPr>
          <w:p>
            <w:r>
              <w:rPr>
                <w:b/>
                <w:sz w:val="17"/>
              </w:rPr>
              <w:t>38,814</w:t>
            </w:r>
          </w:p>
        </w:tc>
        <w:tc>
          <w:tcPr>
            <w:tcW w:type="dxa" w:w="1440"/>
            <w:shd w:fill="C6EFCE" w:val="clear"/>
          </w:tcPr>
          <w:p>
            <w:r>
              <w:rPr>
                <w:sz w:val="17"/>
              </w:rPr>
              <w:t>40,603</w:t>
            </w:r>
          </w:p>
        </w:tc>
        <w:tc>
          <w:tcPr>
            <w:tcW w:type="dxa" w:w="1440"/>
            <w:shd w:fill="C6EFCE" w:val="clear"/>
          </w:tcPr>
          <w:p>
            <w:r>
              <w:rPr>
                <w:b/>
                <w:color w:val="008000"/>
                <w:sz w:val="17"/>
              </w:rPr>
              <w:t>+3.8%</w:t>
            </w:r>
          </w:p>
        </w:tc>
      </w:tr>
      <w:tr>
        <w:tc>
          <w:tcPr>
            <w:tcW w:type="dxa" w:w="1440"/>
            <w:shd w:fill="C6EFCE" w:val="clear"/>
          </w:tcPr>
          <w:p>
            <w:r>
              <w:rPr>
                <w:sz w:val="17"/>
              </w:rPr>
              <w:t>J+10  Moyenne</w:t>
            </w:r>
          </w:p>
        </w:tc>
        <w:tc>
          <w:tcPr>
            <w:tcW w:type="dxa" w:w="1440"/>
            <w:shd w:fill="C6EFCE" w:val="clear"/>
          </w:tcPr>
          <w:p>
            <w:r>
              <w:rPr>
                <w:sz w:val="17"/>
              </w:rPr>
              <w:t>2026-10-19</w:t>
            </w:r>
          </w:p>
        </w:tc>
        <w:tc>
          <w:tcPr>
            <w:tcW w:type="dxa" w:w="1440"/>
            <w:shd w:fill="C6EFCE" w:val="clear"/>
          </w:tcPr>
          <w:p>
            <w:r>
              <w:rPr>
                <w:sz w:val="17"/>
              </w:rPr>
              <w:t>37,059</w:t>
            </w:r>
          </w:p>
        </w:tc>
        <w:tc>
          <w:tcPr>
            <w:tcW w:type="dxa" w:w="1440"/>
            <w:shd w:fill="C6EFCE" w:val="clear"/>
          </w:tcPr>
          <w:p>
            <w:r>
              <w:rPr>
                <w:b/>
                <w:sz w:val="17"/>
              </w:rPr>
              <w:t>38,952</w:t>
            </w:r>
          </w:p>
        </w:tc>
        <w:tc>
          <w:tcPr>
            <w:tcW w:type="dxa" w:w="1440"/>
            <w:shd w:fill="C6EFCE" w:val="clear"/>
          </w:tcPr>
          <w:p>
            <w:r>
              <w:rPr>
                <w:sz w:val="17"/>
              </w:rPr>
              <w:t>40,844</w:t>
            </w:r>
          </w:p>
        </w:tc>
        <w:tc>
          <w:tcPr>
            <w:tcW w:type="dxa" w:w="1440"/>
            <w:shd w:fill="C6EFCE" w:val="clear"/>
          </w:tcPr>
          <w:p>
            <w:r>
              <w:rPr>
                <w:b/>
                <w:color w:val="008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 — Secteur : Entreprise non bancaire (Boissons)*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615,64 milliards FCFA, SLBC s'impose comme l'une des plus importantes capitalisations de la BRVM, ce qui témoigne de son statut de valeur de premier plan sur le marché régional. Le BPA de 2 781 FCFA/action signifie que chaque titre génère près de 2 800 FCFA de bénéfice net, un niveau élevé qui traduit la forte rentabilité de l'entreprise. Le PER de 13,4x, légèrement supérieur à la moyenne du marché BRVM (8-12x), indique que les investisseurs acceptent de payer une prime modérée pour cette valeur de croissance, ce qui reste raisonnable au regard de la dynamique bénéficiaire (+113% en 2025). Le P/B de 3,15x montre que le marché valorise l'entreprise à plus de trois fois sa valeur comptable, une prime de croissance justifiée par un ROE exceptionnel de 23,46%. Enfin, l'EV/EBITDA de 7,3x, dans la fourchette raisonnable de 5-10x, suggère que la valeur totale de l'entreprise (incluant la dette) reste cohérente avec sa capacité opérationnelle, confirmant une valorisation globalement équilibrée.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totale de -1,32%, mais la dernière séance (J-1) enregistre un rebond de +1,08%, portant le cours actuel à 37 400 FCFA. Le range de trading est relativement étroit, avec un plus haut à 41 500 FCFA et un plus bas à 36 900 FCFA, soit un écart de seulement 12,5%, ce qui traduit une certaine stabilité du titre. La tendance générale est donc légèrement baissière sur la période, mais le rebond récent pourrait signaler une tentative de retournement. Les statistiques descriptives révèlent une moyenne de 38 277 FCFA légèrement supérieure à la médiane de 38 000 FCFA, avec un mode identique à 38 000 FCFA, indiquant une distribution quasi-symétrique centrée autour de ce niveau. L'écart-type de 855 FCFA et le coefficient de variation de 2,2% confirment une faible dispersion du cours, ce qui est rassurant pour les investisseurs. Le kurtosis de 0,820 (mésokurtique) suggère une distribution proche de la normale, sans risque excessif de pics extrêmes, tandis que le skewness de 0,831 (asymétrie positive) indique que les journées sous la moyenne sont plus fréquentes, mais compensées par des hausses ponctuelles plus marquées. La volatilité annualisée de 24,5% positionne le titre dans la catégorie des valeurs à volatilité modérée (15-30%), ce qui est cohérent avec son statut de valeur de rendement stable.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(37 794,5 FCFA) et la MM50 (37 820,2 FCFA) sont quasiment confondues et légèrement supérieures au cours actuel (37 400 FCFA), ce qui place le titre en dessous de ses moyennes mobiles. Cette configuration technique justifie la décision de **Vente**, car elle indique une pression baissière persistante et l'absence de signal de retournement durable.</w:t>
      </w:r>
    </w:p>
    <w:p>
      <w:pPr>
        <w:spacing w:after="120" w:line="276" w:lineRule="auto"/>
      </w:pPr>
      <w:r>
        <w:t>**Bandes de Bollinger** : Le cours actuel (37 400 FCFA) se situe dans la partie basse de la bande de Bollinger, entre la borne inférieure (37 205,5 FCFA) et la borne supérieure (38 383,5 FCFA). Cette position proche de la borne basse suggère une possible zone de survente à court terme, mais la décision reste **Neutre** car le cours n'a pas encore cassé la borne inférieure, laissant planer une incertitude sur la direction future.</w:t>
      </w:r>
    </w:p>
    <w:p>
      <w:pPr>
        <w:spacing w:after="120" w:line="276" w:lineRule="auto"/>
      </w:pPr>
      <w:r>
        <w:t>**MACD** : La valeur du MACD (-110,863) est nettement en dessous de sa ligne de signal (-43,093), confirmant un momentum baissier. Cette divergence négative indique que la dynamique de court terme reste défavorable, ce qui justifie pleinement la décision de **Vente** émise par cet indicateur.</w:t>
      </w:r>
    </w:p>
    <w:p>
      <w:pPr>
        <w:spacing w:after="120" w:line="276" w:lineRule="auto"/>
      </w:pPr>
      <w:r>
        <w:t>**RSI** : Avec une valeur de 33,333, le RSI se situe dans la zone neutre basse, proche du seuil de survente (30). Cela signifie que le titre n'est pas encore techniquement survendu, mais qu'il s'en approche, ce qui pourrait attirer des acheteurs à contre-tendance. La décision reste **Neutre**, car le RSI n'a pas encore franchi le seuil critique de 30.</w:t>
      </w:r>
    </w:p>
    <w:p>
      <w:pPr>
        <w:spacing w:after="120" w:line="276" w:lineRule="auto"/>
      </w:pPr>
      <w:r>
        <w:t>**Stochastique** : Le %K (40,0) est supérieur au %D (13,333), ce qui pourrait indiquer un début de croisement haussier, mais les deux valeurs restent en zone basse. Cette configuration est ambiguë : elle suggère une possible reprise à court terme, mais sans confirmation franche, justifiant la décision **Neutre**.</w:t>
      </w:r>
    </w:p>
    <w:p>
      <w:pPr>
        <w:spacing w:after="120" w:line="276" w:lineRule="auto"/>
      </w:pPr>
      <w:r>
        <w:t>**Conclusion technique** : La majorité des indicateurs (MM, MACD) penchent vers une **Vente**, tandis que les oscillateurs (RSI, Stochastique, Bollinger) restent **Neutres** en raison de leur position proche des zones de survente. Cette divergence suggère que le titre pourrait être proche d'un point bas, mais l'absence de signal haussier clair incite à la prudence. Une cassure au-dessus de la MM20 (37 794 FCFA) serait nécessaire pour confirmer un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performance exceptionnelle : le chiffre d'affaires s'établit à 378,123 milliards FCFA, en croissance de +22,08% par rapport à 2024, tandis que le résultat net atteint 45,781 milliards FCFA, soit une progression spectaculaire de +113% (contre 21,472 milliards en 2024). Cette performance se traduit par un ROE de 23,46% (excellent, &gt;15%) et un ROA de 13,48%, confirmant la remarquable efficacité capitalistique de l'entreprise. La marge nette s'améliore significativement, passant de 6,9% en 2024 à 12,11% en 2025, grâce à une marge brute élevée de 76,21% et une marge opérationnelle de 17,23%. En tant qu'entreprise non bancaire, l'analyse des délais d'exploitation est cruciale : le délai clients de 64,27 jours est modéré, mais le délai fournisseurs de 76,82 jours (supérieur au délai clients) est favorable à la trésorerie, tandis que la durée de stockage de 117,32 jours reste élevée et immobilise du capital. Le BFR de 61,587 milliards FCFA est positif, ce qui signifie que l'entreprise finance son cycle d'exploitation, mais la trésorerie nette positive de 22,117 milliards FCFA et la capacité de remboursement de 0,67 an (dettes financières/CAF) témoignent d'une structure financière très saine. L'autonomie financière de 57,48% et la solvabilité générale de 235,16% confirment la solidité du bilan. Les rapports narratifs corroborent ces chiffres : le rapport du 31/12/2025 (analysé par DeepSeek le 20/05/2026) souligne une croissance de +22% du CA et un doublement de la marge nette, tandis que le rapport T1 2026 (publié en 2026) indique une poursuite de la dynamique avec un CA de 93,46 milliards FCFA (+7,6%) et un résultat net de 16,26 milliards FCFA (+4,8%). Sur la base de ce T1 2026, on peut estimer que l'exercice 2026 devrait maintenir une croissance à deux chiffres, avec un résultat net annuel projeté autour de 50-55 milliards FCFA si la tendance se poursuit. La politique de dividende est très généreuse : le dividende brut unitaire proposé de 2 127 FCFA par action (pour un total de 35,012 milliards FCFA) représente un payout ratio de 76,5%, offrant un rendement attractif. Les risques identifiés incluent la dépendance aux matières premières (90 milliards FCFA d'achats exposés à la volatilité des prix) et la concentration géographique sur le marché ivoirien, mais la position de leader et la solidité financière compensent largement ces facteurs. En conclusion, les fondamentaux de SLBC sont **exceptionnels**, avec une croissance profitable, une structure financière robuste et une politique de dividende attractive, ce qui justifie une recommandation fondamentale **ACHAT**.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permet de dégager une vision globale contrastée mais globalement favorable. La **valorisation (Partie 0)** est raisonnable : le PER de 13,4x est légèrement supérieur à la moyenne du marché, mais justifié par une croissance bénéficiaire exceptionnelle, tandis que le P/B de 3,15x et l'EV/EBITDA de 7,3x indiquent une prime de croissance maîtrisée, sans surévaluation manifeste. Le **comportement du cours (Partie 1)** est stable mais légèrement baissier sur 100 jours (-1,32%), avec une faible volatilité (CV=2,2%) et une distribution quasi-normale (kurtosis=0,82, skewness=0,83), ce qui est rassurant pour un investisseur de long terme, mais le rebond de J-1 (+1,08%) pourrait signaler un début de retournement. Les **signaux techniques (Partie 2)** sont majoritairement baissiers (MM et MACD en Vente), mais les oscillateurs (RSI, Stochastique, Bollinger) sont Neutres et proches de zones de survente, suggérant que le potentiel de baisse est limité à court terme. Les **fondamentaux (Partie 3)** sont exceptionnels : croissance du CA de +22% en 2025, résultat net en hausse de +113%, ROE de 23,46%, marge nette de 12,11%, et une politique de dividende généreuse (2 127 FCFA/action). Les **prédictions IA (J+1 à J+10)** anticipent une trajectoire haussière modérée, avec un cours passant de 37 593 FCFA (J+1) à 38 223 FCFA (J+5), ce qui confirme un possible retournement technique et valide les signaux des oscillateurs. Sur la base de cette synthèse, la convergence entre des fondamentaux solides, une valorisation raisonnable, des prédictions haussières et des oscillateurs proches de la survente l'emporte sur les signaux baissiers des moyennes mobiles et du MACD. En conséquence, je recommande une position **ACHAT** avec un niveau de confiance **Moyen** (en raison de la divergence technique à court terme) et un niveau de risque **Faible** (grâce à la solidité financière et à la faible volatilité du titre). L'horizon d'investissement optimal est le **moyen terme (3-12 mois)**, afin de profiter de la poursuite de la croissance bénéficiaire et de la distribution du dividende, tout en laissant le temps aux indicateurs techniques de confirmer le retournement haussier.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132.48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1,651 titres</w:t>
            </w:r>
          </w:p>
        </w:tc>
        <w:tc>
          <w:tcPr>
            <w:tcW w:type="dxa" w:w="2268"/>
            <w:shd w:fill="FFF2CC" w:val="clear"/>
          </w:tcPr>
          <w:p>
            <w:r>
              <w:rPr>
                <w:b/>
                <w:color w:val="503200"/>
                <w:sz w:val="16"/>
              </w:rPr>
              <w:t xml:space="preserve">Cours actuel : </w:t>
            </w:r>
            <w:r>
              <w:rPr>
                <w:color w:val="000000"/>
                <w:sz w:val="17"/>
              </w:rPr>
              <w:t>16,995 FCFA</w:t>
            </w:r>
          </w:p>
          <w:p>
            <w:r>
              <w:rPr>
                <w:b/>
                <w:color w:val="503200"/>
                <w:sz w:val="16"/>
              </w:rPr>
              <w:t xml:space="preserve">Var. 100 jours : </w:t>
            </w:r>
            <w:r>
              <w:rPr>
                <w:b/>
                <w:color w:val="007800"/>
                <w:sz w:val="17"/>
              </w:rPr>
              <w:t>+40.45%</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12,100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9.84% (Moyenne) — μ=15,986 FCFA, σ=1,573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β=0.4104 (Défensif) — Cov=0.000030, Var(idx)=0.000072, ρ=0.131,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2026-10-06</w:t>
            </w:r>
          </w:p>
        </w:tc>
        <w:tc>
          <w:tcPr>
            <w:tcW w:type="dxa" w:w="1440"/>
            <w:shd w:fill="FFDCE0" w:val="clear"/>
          </w:tcPr>
          <w:p>
            <w:r>
              <w:rPr>
                <w:sz w:val="17"/>
              </w:rPr>
              <w:t>15,833</w:t>
            </w:r>
          </w:p>
        </w:tc>
        <w:tc>
          <w:tcPr>
            <w:tcW w:type="dxa" w:w="1440"/>
            <w:shd w:fill="FFDCE0" w:val="clear"/>
          </w:tcPr>
          <w:p>
            <w:r>
              <w:rPr>
                <w:b/>
                <w:sz w:val="17"/>
              </w:rPr>
              <w:t>16,592</w:t>
            </w:r>
          </w:p>
        </w:tc>
        <w:tc>
          <w:tcPr>
            <w:tcW w:type="dxa" w:w="1440"/>
            <w:shd w:fill="FFDCE0" w:val="clear"/>
          </w:tcPr>
          <w:p>
            <w:r>
              <w:rPr>
                <w:sz w:val="17"/>
              </w:rPr>
              <w:t>17,352</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2026-10-07</w:t>
            </w:r>
          </w:p>
        </w:tc>
        <w:tc>
          <w:tcPr>
            <w:tcW w:type="dxa" w:w="1440"/>
            <w:shd w:fill="FFDCE0" w:val="clear"/>
          </w:tcPr>
          <w:p>
            <w:r>
              <w:rPr>
                <w:sz w:val="17"/>
              </w:rPr>
              <w:t>15,507</w:t>
            </w:r>
          </w:p>
        </w:tc>
        <w:tc>
          <w:tcPr>
            <w:tcW w:type="dxa" w:w="1440"/>
            <w:shd w:fill="FFDCE0" w:val="clear"/>
          </w:tcPr>
          <w:p>
            <w:r>
              <w:rPr>
                <w:b/>
                <w:sz w:val="17"/>
              </w:rPr>
              <w:t>16,580</w:t>
            </w:r>
          </w:p>
        </w:tc>
        <w:tc>
          <w:tcPr>
            <w:tcW w:type="dxa" w:w="1440"/>
            <w:shd w:fill="FFDCE0" w:val="clear"/>
          </w:tcPr>
          <w:p>
            <w:r>
              <w:rPr>
                <w:sz w:val="17"/>
              </w:rPr>
              <w:t>17,654</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2026-10-08</w:t>
            </w:r>
          </w:p>
        </w:tc>
        <w:tc>
          <w:tcPr>
            <w:tcW w:type="dxa" w:w="1440"/>
            <w:shd w:fill="FFDCE0" w:val="clear"/>
          </w:tcPr>
          <w:p>
            <w:r>
              <w:rPr>
                <w:sz w:val="17"/>
              </w:rPr>
              <w:t>15,219</w:t>
            </w:r>
          </w:p>
        </w:tc>
        <w:tc>
          <w:tcPr>
            <w:tcW w:type="dxa" w:w="1440"/>
            <w:shd w:fill="FFDCE0" w:val="clear"/>
          </w:tcPr>
          <w:p>
            <w:r>
              <w:rPr>
                <w:b/>
                <w:sz w:val="17"/>
              </w:rPr>
              <w:t>16,530</w:t>
            </w:r>
          </w:p>
        </w:tc>
        <w:tc>
          <w:tcPr>
            <w:tcW w:type="dxa" w:w="1440"/>
            <w:shd w:fill="FFDCE0" w:val="clear"/>
          </w:tcPr>
          <w:p>
            <w:r>
              <w:rPr>
                <w:sz w:val="17"/>
              </w:rPr>
              <w:t>17,841</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14,977</w:t>
            </w:r>
          </w:p>
        </w:tc>
        <w:tc>
          <w:tcPr>
            <w:tcW w:type="dxa" w:w="1440"/>
            <w:shd w:fill="FFDCE0" w:val="clear"/>
          </w:tcPr>
          <w:p>
            <w:r>
              <w:rPr>
                <w:b/>
                <w:sz w:val="17"/>
              </w:rPr>
              <w:t>16,487</w:t>
            </w:r>
          </w:p>
        </w:tc>
        <w:tc>
          <w:tcPr>
            <w:tcW w:type="dxa" w:w="1440"/>
            <w:shd w:fill="FFDCE0" w:val="clear"/>
          </w:tcPr>
          <w:p>
            <w:r>
              <w:rPr>
                <w:sz w:val="17"/>
              </w:rPr>
              <w:t>17,997</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14,765</w:t>
            </w:r>
          </w:p>
        </w:tc>
        <w:tc>
          <w:tcPr>
            <w:tcW w:type="dxa" w:w="1440"/>
            <w:shd w:fill="FFDCE0" w:val="clear"/>
          </w:tcPr>
          <w:p>
            <w:r>
              <w:rPr>
                <w:b/>
                <w:sz w:val="17"/>
              </w:rPr>
              <w:t>16,449</w:t>
            </w:r>
          </w:p>
        </w:tc>
        <w:tc>
          <w:tcPr>
            <w:tcW w:type="dxa" w:w="1440"/>
            <w:shd w:fill="FFDCE0" w:val="clear"/>
          </w:tcPr>
          <w:p>
            <w:r>
              <w:rPr>
                <w:sz w:val="17"/>
              </w:rPr>
              <w:t>18,133</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14,571</w:t>
            </w:r>
          </w:p>
        </w:tc>
        <w:tc>
          <w:tcPr>
            <w:tcW w:type="dxa" w:w="1440"/>
            <w:shd w:fill="FFDCE0" w:val="clear"/>
          </w:tcPr>
          <w:p>
            <w:r>
              <w:rPr>
                <w:b/>
                <w:sz w:val="17"/>
              </w:rPr>
              <w:t>16,412</w:t>
            </w:r>
          </w:p>
        </w:tc>
        <w:tc>
          <w:tcPr>
            <w:tcW w:type="dxa" w:w="1440"/>
            <w:shd w:fill="FFDCE0" w:val="clear"/>
          </w:tcPr>
          <w:p>
            <w:r>
              <w:rPr>
                <w:sz w:val="17"/>
              </w:rPr>
              <w:t>18,253</w:t>
            </w:r>
          </w:p>
        </w:tc>
        <w:tc>
          <w:tcPr>
            <w:tcW w:type="dxa" w:w="1440"/>
            <w:shd w:fill="FFDCE0" w:val="clear"/>
          </w:tcPr>
          <w:p>
            <w:r>
              <w:rPr>
                <w:b/>
                <w:color w:val="C00000"/>
                <w:sz w:val="17"/>
              </w:rPr>
              <w:t>-3.4%</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14,392</w:t>
            </w:r>
          </w:p>
        </w:tc>
        <w:tc>
          <w:tcPr>
            <w:tcW w:type="dxa" w:w="1440"/>
            <w:shd w:fill="FFDCE0" w:val="clear"/>
          </w:tcPr>
          <w:p>
            <w:r>
              <w:rPr>
                <w:b/>
                <w:sz w:val="17"/>
              </w:rPr>
              <w:t>16,376</w:t>
            </w:r>
          </w:p>
        </w:tc>
        <w:tc>
          <w:tcPr>
            <w:tcW w:type="dxa" w:w="1440"/>
            <w:shd w:fill="FFDCE0" w:val="clear"/>
          </w:tcPr>
          <w:p>
            <w:r>
              <w:rPr>
                <w:sz w:val="17"/>
              </w:rPr>
              <w:t>18,360</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14,224</w:t>
            </w:r>
          </w:p>
        </w:tc>
        <w:tc>
          <w:tcPr>
            <w:tcW w:type="dxa" w:w="1440"/>
            <w:shd w:fill="FFDCE0" w:val="clear"/>
          </w:tcPr>
          <w:p>
            <w:r>
              <w:rPr>
                <w:b/>
                <w:sz w:val="17"/>
              </w:rPr>
              <w:t>16,340</w:t>
            </w:r>
          </w:p>
        </w:tc>
        <w:tc>
          <w:tcPr>
            <w:tcW w:type="dxa" w:w="1440"/>
            <w:shd w:fill="FFDCE0" w:val="clear"/>
          </w:tcPr>
          <w:p>
            <w:r>
              <w:rPr>
                <w:sz w:val="17"/>
              </w:rPr>
              <w:t>18,457</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14,065</w:t>
            </w:r>
          </w:p>
        </w:tc>
        <w:tc>
          <w:tcPr>
            <w:tcW w:type="dxa" w:w="1440"/>
            <w:shd w:fill="FFDCE0" w:val="clear"/>
          </w:tcPr>
          <w:p>
            <w:r>
              <w:rPr>
                <w:b/>
                <w:sz w:val="17"/>
              </w:rPr>
              <w:t>16,305</w:t>
            </w:r>
          </w:p>
        </w:tc>
        <w:tc>
          <w:tcPr>
            <w:tcW w:type="dxa" w:w="1440"/>
            <w:shd w:fill="FFDCE0" w:val="clear"/>
          </w:tcPr>
          <w:p>
            <w:r>
              <w:rPr>
                <w:sz w:val="17"/>
              </w:rPr>
              <w:t>18,545</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13,914</w:t>
            </w:r>
          </w:p>
        </w:tc>
        <w:tc>
          <w:tcPr>
            <w:tcW w:type="dxa" w:w="1440"/>
            <w:shd w:fill="FFDCE0" w:val="clear"/>
          </w:tcPr>
          <w:p>
            <w:r>
              <w:rPr>
                <w:b/>
                <w:sz w:val="17"/>
              </w:rPr>
              <w:t>16,271</w:t>
            </w:r>
          </w:p>
        </w:tc>
        <w:tc>
          <w:tcPr>
            <w:tcW w:type="dxa" w:w="1440"/>
            <w:shd w:fill="FFDCE0" w:val="clear"/>
          </w:tcPr>
          <w:p>
            <w:r>
              <w:rPr>
                <w:sz w:val="17"/>
              </w:rPr>
              <w:t>18,627</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132,48 Mds FCFA, SMBC se positionne comme une valeur de taille intermédiaire sur la BRVM, loin des poids lourds bancaires et télécoms mais suffisamment liquide pour intéresser les investisseurs institutionnels régionaux. Le BPA de 1 677 FCFA/action confère au titre un PER de 10,1x, soit un niveau modéré et parfaitement dans la fourchette moyenne du marché BRVM (8-12x), ce qui suggère que les investisseurs ne paient pas de prime excessive pour les bénéfices actuels. Le P/B de 3,09x traduit en revanche une prime de croissance significative (fourchette 2-4x), le marché valorisant l'entreprise bien au-dessus de sa valeur comptable (42,9 Mds FCFA de capitaux propres) en anticipant la poursuite de l'amélioration des marges. Enfin, l'EV/EBITDA de 6,4x (fourchette raisonnable 5-10x) indique que la valeur totale de l'entreprise reste cohérente avec sa capacité opérationnelle à générer du cash, ce qui plaide pour une valorisation globalement équilibrée, sans excès baissier ni bulle spéculative.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performance remarquable de **+40,45%**, avec une dernière séance en hausse de **+3,56%** qui confirme la vigueur du momentum acheteur à court terme. Le cours actuel de 16 995 FCFA se situe dans la partie haute du range de trading (plus bas à 12 100 FCFA, plus haut à 18 500 FCFA), la tendance générale étant clairement **haussière** malgré une correction récente depuis le sommet. Les statistiques descriptives révèlent une distribution légèrement asymétrique : la moyenne (15 986 FCFA) est inférieure à la médiane (16 428 FCFA), ce qui, combiné à un skewness de **-0,931**, indique une asymétrie négative — autrement dit, le titre a passé plus de journées au-dessus de la moyenne, mais avec quelques journées de forte baisse qui tirent la moyenne vers le bas. L'écart-type de 1 580 FCFA (CV = 9,9%) traduit une dispersion modérée du cours, tandis que le kurtosis de 0,020 (mésokurtique) suggère une distribution proche de la normale, sans risque excessif de pics extrêmes. La **volatilité annualisée de 42,2%** classe le titre dans la catégorie des valeurs à volatilité élevée (&gt;30%), ce qui implique un risque de marché significatif mais cohérent avec la nature cyclique du secteur des bitumes.</w:t>
      </w:r>
    </w:p>
    <w:p>
      <w:pPr>
        <w:spacing w:after="120" w:line="276" w:lineRule="auto"/>
      </w:pPr>
      <w:r>
        <w:t>---</w:t>
      </w:r>
    </w:p>
    <w:p>
      <w:pPr>
        <w:spacing w:after="120" w:line="276" w:lineRule="auto"/>
      </w:pPr>
      <w:r>
        <w:t>## PARTIE 2 : ANALYSE TECHNIQUE DÉTAILLÉE</w:t>
      </w:r>
    </w:p>
    <w:p>
      <w:pPr>
        <w:spacing w:after="120" w:line="276" w:lineRule="auto"/>
      </w:pPr>
      <w:r>
        <w:t>**Moyennes Mobiles** : La MM20 (16 950,5 FCFA) et la MM50 (16 689,3 FCFA) se situent toutes deux sous le cours actuel (16 995 FCFA), avec la MM20 au-dessus de la MM50 — configuration haussière classique (croisement doré). La décision technique est à l'**Achat**, le cours évoluant au-dessus de ses deux supports dynamiques, ce qui confirme la tendance de fond positive malgré la correction récente.</w:t>
      </w:r>
    </w:p>
    <w:p>
      <w:pPr>
        <w:spacing w:after="120" w:line="276" w:lineRule="auto"/>
      </w:pPr>
      <w:r>
        <w:t>**Bandes de Bollinger** : Le cours (16 995 FCFA) se situe dans la partie médiane de la bande (borne supérieure 19 218,5 FCFA, borne inférieure 14 682,5 FCFA), plus proche de la borne inférieure que de la supérieure. La décision est **Neutre**, le titre n'étant ni en situation de surachat (proche borne haute) ni de survente (proche borne basse), ce qui laisse une marge de fluctuation dans les deux sens.</w:t>
      </w:r>
    </w:p>
    <w:p>
      <w:pPr>
        <w:spacing w:after="120" w:line="276" w:lineRule="auto"/>
      </w:pPr>
      <w:r>
        <w:t>**MACD** : La valeur du MACD (-186,867) est inférieure à son signal (-176,733), avec un histogramme négatif — configuration baissière qui traduit un momentum négatif à court terme. La décision est à la **Vente**, ce qui contredit partiellement la tendance de fond haussière et suggère une prudence à court terme.</w:t>
      </w:r>
    </w:p>
    <w:p>
      <w:pPr>
        <w:spacing w:after="120" w:line="276" w:lineRule="auto"/>
      </w:pPr>
      <w:r>
        <w:t>**RSI** : À 39,829, le RSI se situe dans la zone neutre basse (30-70), sans atteindre la zone de survente (&lt;30). La décision est **Neutre**, le titre n'étant ni suracheté ni survendu, mais la proximité de la zone de survente indique une pression vendeuse modérée.</w:t>
      </w:r>
    </w:p>
    <w:p>
      <w:pPr>
        <w:spacing w:after="120" w:line="276" w:lineRule="auto"/>
      </w:pPr>
      <w:r>
        <w:t>**Stochastique** : Le %K (60,61) est supérieur au %D (51,061), avec un croisement haussier récent — signal positif à court terme. La décision est **Neutre**, le stochastique n'étant pas encore en zone de surachat (&gt;80), ce qui laisse présager une poursuite possible du rebond.</w:t>
      </w:r>
    </w:p>
    <w:p>
      <w:pPr>
        <w:spacing w:after="120" w:line="276" w:lineRule="auto"/>
      </w:pPr>
      <w:r>
        <w:t>**Conclusion technique** : Les indicateurs présentent une **divergence** : les moyennes mobiles (Achat) et le stochastique (croisement haussier) plaident pour une poursuite de la tendance haussière, tandis que le MACD (Vente) et le RSI (Neutre bas) signalent une pression baissière à court terme. Les Bandes de Bollinger confirment cette incertitude (Neutre). La configuration globale est celle d'un **marché en consolidation** après une forte hausse, avec un avantage légèrement favorable aux acheteurs sur le moyen terme, mais une prudence nécessaire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SMBC affiche un chiffre d'affaires de **206,74 Mds FCFA**, en baisse de **-9,74%** par rapport à 2024 (229,06 Mds FCFA), reflétant un environnement de marché difficile marqué par la volatilité des prix pétroliers et un ralentissement des volumes à l'export. Malgré cette contraction, le résultat net progresse spectaculairement de **+50,3%** à **13,075 Mds FCFA**, porté par une amélioration remarquable de la rentabilité opérationnelle : l'EBE bondit de **+41,8%** à 18,48 Mds FCFA et la marge nette passe de 3,8% à **6,32%**. Le **ROE de 30,47%** (excellent, &gt;15%) et le **ROA de 7,26%** témoignent d'une efficacité capitalistique remarquable, tandis que la marge brute de 18,11% et la marge opérationnelle de 8,62% confirment la maîtrise des coûts (charges de personnel en baisse de -9,5%, charges externes -3%). La structure financière reste solide avec une autonomie financière de 23,84% (légèrement sous le seuil de 30% mais en amélioration), une trésorerie nette positive de **23,99 Mds FCFA** (contre 6,07 Mds FCFA en 2024) et une capacité de remboursement de 0,68 an (très confortable). Les délais d'exploitation révèlent toutefois un **risque de trésorerie** : le délai clients est élevé à **193,75 jours** (créances clients de 109,74 Mds FCFA), compensé partiellement par un délai fournisseurs de 207,07 jours, mais le BFR reste positif à 1,69 Md FCFA. Le ratio d'endettement de 76,16% (dettes totales/capitaux propres) est élevé mais soutenable grâce à la forte génération de cash-flow opérationnel (26,12 Mds FCFA) et un Free Cash Flow de 20,64 Mds FCFA.</w:t>
      </w:r>
    </w:p>
    <w:p>
      <w:pPr>
        <w:spacing w:after="120" w:line="276" w:lineRule="auto"/>
      </w:pPr>
      <w:r>
        <w:t>**Estimations basées sur les rapports trimestriels** : Les rapports T1 2025 (CA -22%, résultat net -7%), S1 2025 (CA -23%, résultat net -7%) et 9M 2025 (CA -14%, résultat net +6%) montrent une **amélioration progressive** de la rentabilité au fil de l'année, avec une marge opérationnelle passant de 4,0% (9M 2024) à 5,4% (9M 2025). Sur la base de ces tendances, on estime que l'exercice 2026 devrait bénéficier d'un **effet de base favorable** (comparaison avec un T1 2025 très faible) et d'une poursuite de l'amélioration des marges de raffinage, avec un CA potentiellement stabilisé autour de 210-220 Mds FCFA et un résultat net qui pourrait dépasser 14-15 Mds FCFA si la demande locale (chantiers routiers ivoiriens) et les exportations (Nigeria, Ghana, Burkina Faso, Mali) se maintiennent.</w:t>
      </w:r>
    </w:p>
    <w:p>
      <w:pPr>
        <w:spacing w:after="120" w:line="276" w:lineRule="auto"/>
      </w:pPr>
      <w:r>
        <w:t>**Recommandation fondamentale** : SMBC présente un **profil fondamental solide** avec une rentabilité exceptionnelle (ROE 30,5%), une trésorerie renforcée et une amélioration spectaculaire des marges malgré la baisse du CA. Les risques principaux résident dans la **cyclicité du secteur** (dépendance aux investissements publics en infrastructures), la **volatilité des prix pétroliers** et le **délai clients élevé** (193,75 jours) qui pèse sur le BFR. La politique de dividende prudente (5 457 M FCFA versés en 2025, payout ratio de 41,7%) et la réduction de l'endettement financier (9,2 Mds FCFA) sont des signaux positifs. **Recommandation : CONSERVER avec biais haussier**, en attendant la confirmation d'une reprise durable du chiffre d'affaires.</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équilibré avec un biais haussier modéré**. Sur le plan de la **valorisation (Partie 0)**, les ratios PER (10,1x), P/B (3,09x) et EV/EBITDA (6,4x) indiquent une valorisation **raisonnable**, sans sous-évaluation flagrante mais sans surévaluation excessive, le marché intégrant déjà une partie de l'amélioration des marges. Le **comportement du cours (Partie 1)** est favorable (+40,45% sur 100 jours, skewness négatif indiquant une résistance au-dessus de la moyenne), mais la volatilité élevée (42,2%) et la correction récente depuis le sommet (18 500 FCFA) appellent à la prudence. Les **signaux techniques (Partie 2)** sont **divergents** : les moyennes mobiles et le stochastique sont haussiers, mais le MACD est baissier et le RSI neutre-bas, ce qui suggère une consolidation avant une éventuelle reprise. Les **fondamentaux (Partie 3)** sont **solides** : ROE de 30,5%, résultat net en hausse de +50,3%, trésorerie nette de 24 Mds FCFA, mais la baisse du CA (-9,7%) et le délai clients élevé (193,75 jours) constituent des points de vigilance. Les **prédictions IA (J+1 à J+10)** anticipent une **légère baisse** du cours (16 592 FCFA à J+1 → 16 449 FCFA à J+10), ce qui **contredit** les signaux haussiers des moyennes mobiles mais **confirme** le momentum baissier du MACD à court terme.</w:t>
      </w:r>
    </w:p>
    <w:p>
      <w:pPr>
        <w:spacing w:after="120" w:line="276" w:lineRule="auto"/>
      </w:pPr>
      <w:r>
        <w:t>**Recommandation finale : CONSERVER** — Justification : La convergence entre une valorisation raisonnable, des fondamentaux solides (ROE 30,5%, trésorerie nette positive) et une tendance de fond haussière (+40,45% sur 100 jours) plaide pour une **conservation du titre** en portefeuille. Cependant, la divergence des indicateurs techniques (MACD baissier vs MM haussières), la volatilité élevée (42,2%) et les prédictions IA baissières à court terme incitent à **ne pas renforcer immédiatement** la position. Un **achat** serait justifié si le cours revenait tester le support des 16 500 FCFA (MM20/MM50) avec un MACD qui se redresse. **Niveau de confiance : Moyen** (divergence technique). **Niveau de risque global : Moyen à Élevé** (volatilité 42,2%, cyclicité sectorielle, délai clients élevé). **Horizon d'investissement optimal : Moyen terme (3-12 mois)**, le temps que la reprise du chiffre d'affaires se confirme et que les investissements (5,75 Mds FCFA en 2025) produisent leurs effets.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4498.00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13,108 titres</w:t>
            </w:r>
          </w:p>
        </w:tc>
        <w:tc>
          <w:tcPr>
            <w:tcW w:type="dxa" w:w="2268"/>
            <w:shd w:fill="FFF2CC" w:val="clear"/>
          </w:tcPr>
          <w:p>
            <w:r>
              <w:rPr>
                <w:b/>
                <w:color w:val="503200"/>
                <w:sz w:val="16"/>
              </w:rPr>
              <w:t xml:space="preserve">Cours actuel : </w:t>
            </w:r>
            <w:r>
              <w:rPr>
                <w:color w:val="000000"/>
                <w:sz w:val="17"/>
              </w:rPr>
              <w:t>44,980 FCFA</w:t>
            </w:r>
          </w:p>
          <w:p>
            <w:r>
              <w:rPr>
                <w:b/>
                <w:color w:val="503200"/>
                <w:sz w:val="16"/>
              </w:rPr>
              <w:t xml:space="preserve">Var. 100 jours : </w:t>
            </w:r>
            <w:r>
              <w:rPr>
                <w:b/>
                <w:color w:val="007800"/>
                <w:sz w:val="17"/>
              </w:rPr>
              <w:t>+55.10%</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14.93% (Moyenne) — μ=32,921 FCFA, σ=4,917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β=1.2109 (Agressif) — Cov=0.000087, Var(idx)=0.000072, ρ=0.490,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13,108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2026-10-06</w:t>
            </w:r>
          </w:p>
        </w:tc>
        <w:tc>
          <w:tcPr>
            <w:tcW w:type="dxa" w:w="1440"/>
            <w:shd w:fill="FFDCE0" w:val="clear"/>
          </w:tcPr>
          <w:p>
            <w:r>
              <w:rPr>
                <w:sz w:val="17"/>
              </w:rPr>
              <w:t>42,092</w:t>
            </w:r>
          </w:p>
        </w:tc>
        <w:tc>
          <w:tcPr>
            <w:tcW w:type="dxa" w:w="1440"/>
            <w:shd w:fill="FFDCE0" w:val="clear"/>
          </w:tcPr>
          <w:p>
            <w:r>
              <w:rPr>
                <w:b/>
                <w:sz w:val="17"/>
              </w:rPr>
              <w:t>43,895</w:t>
            </w:r>
          </w:p>
        </w:tc>
        <w:tc>
          <w:tcPr>
            <w:tcW w:type="dxa" w:w="1440"/>
            <w:shd w:fill="FFDCE0" w:val="clear"/>
          </w:tcPr>
          <w:p>
            <w:r>
              <w:rPr>
                <w:sz w:val="17"/>
              </w:rPr>
              <w:t>45,698</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2026-10-07</w:t>
            </w:r>
          </w:p>
        </w:tc>
        <w:tc>
          <w:tcPr>
            <w:tcW w:type="dxa" w:w="1440"/>
            <w:shd w:fill="FFDCE0" w:val="clear"/>
          </w:tcPr>
          <w:p>
            <w:r>
              <w:rPr>
                <w:sz w:val="17"/>
              </w:rPr>
              <w:t>41,361</w:t>
            </w:r>
          </w:p>
        </w:tc>
        <w:tc>
          <w:tcPr>
            <w:tcW w:type="dxa" w:w="1440"/>
            <w:shd w:fill="FFDCE0" w:val="clear"/>
          </w:tcPr>
          <w:p>
            <w:r>
              <w:rPr>
                <w:b/>
                <w:sz w:val="17"/>
              </w:rPr>
              <w:t>43,912</w:t>
            </w:r>
          </w:p>
        </w:tc>
        <w:tc>
          <w:tcPr>
            <w:tcW w:type="dxa" w:w="1440"/>
            <w:shd w:fill="FFDCE0" w:val="clear"/>
          </w:tcPr>
          <w:p>
            <w:r>
              <w:rPr>
                <w:sz w:val="17"/>
              </w:rPr>
              <w:t>46,462</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2026-10-08</w:t>
            </w:r>
          </w:p>
        </w:tc>
        <w:tc>
          <w:tcPr>
            <w:tcW w:type="dxa" w:w="1440"/>
            <w:shd w:fill="FFDCE0" w:val="clear"/>
          </w:tcPr>
          <w:p>
            <w:r>
              <w:rPr>
                <w:sz w:val="17"/>
              </w:rPr>
              <w:t>40,739</w:t>
            </w:r>
          </w:p>
        </w:tc>
        <w:tc>
          <w:tcPr>
            <w:tcW w:type="dxa" w:w="1440"/>
            <w:shd w:fill="FFDCE0" w:val="clear"/>
          </w:tcPr>
          <w:p>
            <w:r>
              <w:rPr>
                <w:b/>
                <w:sz w:val="17"/>
              </w:rPr>
              <w:t>43,859</w:t>
            </w:r>
          </w:p>
        </w:tc>
        <w:tc>
          <w:tcPr>
            <w:tcW w:type="dxa" w:w="1440"/>
            <w:shd w:fill="FFDCE0" w:val="clear"/>
          </w:tcPr>
          <w:p>
            <w:r>
              <w:rPr>
                <w:sz w:val="17"/>
              </w:rPr>
              <w:t>46,979</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40,229</w:t>
            </w:r>
          </w:p>
        </w:tc>
        <w:tc>
          <w:tcPr>
            <w:tcW w:type="dxa" w:w="1440"/>
            <w:shd w:fill="FFDCE0" w:val="clear"/>
          </w:tcPr>
          <w:p>
            <w:r>
              <w:rPr>
                <w:b/>
                <w:sz w:val="17"/>
              </w:rPr>
              <w:t>43,829</w:t>
            </w:r>
          </w:p>
        </w:tc>
        <w:tc>
          <w:tcPr>
            <w:tcW w:type="dxa" w:w="1440"/>
            <w:shd w:fill="FFDCE0" w:val="clear"/>
          </w:tcPr>
          <w:p>
            <w:r>
              <w:rPr>
                <w:sz w:val="17"/>
              </w:rPr>
              <w:t>47,430</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39,797</w:t>
            </w:r>
          </w:p>
        </w:tc>
        <w:tc>
          <w:tcPr>
            <w:tcW w:type="dxa" w:w="1440"/>
            <w:shd w:fill="FFDCE0" w:val="clear"/>
          </w:tcPr>
          <w:p>
            <w:r>
              <w:rPr>
                <w:b/>
                <w:sz w:val="17"/>
              </w:rPr>
              <w:t>43,822</w:t>
            </w:r>
          </w:p>
        </w:tc>
        <w:tc>
          <w:tcPr>
            <w:tcW w:type="dxa" w:w="1440"/>
            <w:shd w:fill="FFDCE0" w:val="clear"/>
          </w:tcPr>
          <w:p>
            <w:r>
              <w:rPr>
                <w:sz w:val="17"/>
              </w:rPr>
              <w:t>47,846</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39,416</w:t>
            </w:r>
          </w:p>
        </w:tc>
        <w:tc>
          <w:tcPr>
            <w:tcW w:type="dxa" w:w="1440"/>
            <w:shd w:fill="FFDCE0" w:val="clear"/>
          </w:tcPr>
          <w:p>
            <w:r>
              <w:rPr>
                <w:b/>
                <w:sz w:val="17"/>
              </w:rPr>
              <w:t>43,825</w:t>
            </w:r>
          </w:p>
        </w:tc>
        <w:tc>
          <w:tcPr>
            <w:tcW w:type="dxa" w:w="1440"/>
            <w:shd w:fill="FFDCE0" w:val="clear"/>
          </w:tcPr>
          <w:p>
            <w:r>
              <w:rPr>
                <w:sz w:val="17"/>
              </w:rPr>
              <w:t>48,234</w:t>
            </w:r>
          </w:p>
        </w:tc>
        <w:tc>
          <w:tcPr>
            <w:tcW w:type="dxa" w:w="1440"/>
            <w:shd w:fill="FFDCE0" w:val="clear"/>
          </w:tcPr>
          <w:p>
            <w:r>
              <w:rPr>
                <w:b/>
                <w:color w:val="C00000"/>
                <w:sz w:val="17"/>
              </w:rPr>
              <w:t>-2.6%</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39,070</w:t>
            </w:r>
          </w:p>
        </w:tc>
        <w:tc>
          <w:tcPr>
            <w:tcW w:type="dxa" w:w="1440"/>
            <w:shd w:fill="FFDCE0" w:val="clear"/>
          </w:tcPr>
          <w:p>
            <w:r>
              <w:rPr>
                <w:b/>
                <w:sz w:val="17"/>
              </w:rPr>
              <w:t>43,833</w:t>
            </w:r>
          </w:p>
        </w:tc>
        <w:tc>
          <w:tcPr>
            <w:tcW w:type="dxa" w:w="1440"/>
            <w:shd w:fill="FFDCE0" w:val="clear"/>
          </w:tcPr>
          <w:p>
            <w:r>
              <w:rPr>
                <w:sz w:val="17"/>
              </w:rPr>
              <w:t>48,597</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38,749</w:t>
            </w:r>
          </w:p>
        </w:tc>
        <w:tc>
          <w:tcPr>
            <w:tcW w:type="dxa" w:w="1440"/>
            <w:shd w:fill="FFDCE0" w:val="clear"/>
          </w:tcPr>
          <w:p>
            <w:r>
              <w:rPr>
                <w:b/>
                <w:sz w:val="17"/>
              </w:rPr>
              <w:t>43,842</w:t>
            </w:r>
          </w:p>
        </w:tc>
        <w:tc>
          <w:tcPr>
            <w:tcW w:type="dxa" w:w="1440"/>
            <w:shd w:fill="FFDCE0" w:val="clear"/>
          </w:tcPr>
          <w:p>
            <w:r>
              <w:rPr>
                <w:sz w:val="17"/>
              </w:rPr>
              <w:t>48,936</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38,448</w:t>
            </w:r>
          </w:p>
        </w:tc>
        <w:tc>
          <w:tcPr>
            <w:tcW w:type="dxa" w:w="1440"/>
            <w:shd w:fill="FFDCE0" w:val="clear"/>
          </w:tcPr>
          <w:p>
            <w:r>
              <w:rPr>
                <w:b/>
                <w:sz w:val="17"/>
              </w:rPr>
              <w:t>43,852</w:t>
            </w:r>
          </w:p>
        </w:tc>
        <w:tc>
          <w:tcPr>
            <w:tcW w:type="dxa" w:w="1440"/>
            <w:shd w:fill="FFDCE0" w:val="clear"/>
          </w:tcPr>
          <w:p>
            <w:r>
              <w:rPr>
                <w:sz w:val="17"/>
              </w:rPr>
              <w:t>49,255</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38,164</w:t>
            </w:r>
          </w:p>
        </w:tc>
        <w:tc>
          <w:tcPr>
            <w:tcW w:type="dxa" w:w="1440"/>
            <w:shd w:fill="FFDCE0" w:val="clear"/>
          </w:tcPr>
          <w:p>
            <w:r>
              <w:rPr>
                <w:b/>
                <w:sz w:val="17"/>
              </w:rPr>
              <w:t>43,861</w:t>
            </w:r>
          </w:p>
        </w:tc>
        <w:tc>
          <w:tcPr>
            <w:tcW w:type="dxa" w:w="1440"/>
            <w:shd w:fill="FFDCE0" w:val="clear"/>
          </w:tcPr>
          <w:p>
            <w:r>
              <w:rPr>
                <w:sz w:val="17"/>
              </w:rPr>
              <w:t>49,558</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4 498,00 Mds FCFA, Sonatel confirme son statut de première capitalisation de la BRVM, ce qui en fait un pilier incontournable de l'indice BRVM Composite. Le BPA de 4 136 FCFA par action signifie que chaque titre génère près de 4 136 FCFA de bénéfice net, un niveau exceptionnel qui traduit la forte rentabilité de l'opérateur. Le PER de 10,9x se situe dans la fourchette moyenne du marché BRVM (8-12x), indiquant une valorisation raisonnable sans prime excessive, tandis que le P/B de 3,21x traduit une prime de croissance accordée par le marché (2-4x), cohérente avec la qualité des fonds propres et la dynamique du groupe. Enfin, l'EV/EBITDA de 4,7x, inférieur au seuil de 5x, signale que la valeur totale de l'entreprise (dette incluse) reste très bon marché par rapport à sa capacité opérationnelle, ce qui constitue un signal de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 enregistré une variation totale spectaculaire de +55,10%, tout en clôturant la dernière séance (J-1) sur une quasi-stabilité de -0,04%, signe d'une pause dans la dynamique haussière. Le cours actuel de 44 980 FCFA évolue à proximité immédiate de son plus haut de 45 000 FCFA, tandis que le plus bas de la période s'établit à 27 160 FCFA, matérialisant un range de trading de près de 17 840 FCFA (soit +65,7% entre les deux extrêmes). La tendance générale est donc nettement haussière, portée par un volume moyen quotidien de 13 108 titres qui témoigne d'un intérêt soutenu des investisseurs. Les statistiques descriptives révèlent une moyenne de 32 921 FCFA nettement supérieure à la médiane de 31 008 FCFA et au mode de 31 000 FCFA : cet écart confirme une distribution asymétrique positivement (skewness de 0,948), avec davantage de journées sous la moyenne mais des poussées haussières marquées qui tirent la moyenne vers le haut. L'écart-type de 4 941 FCFA (CV de 15,0%) indique une dispersion modérée du cours autour de sa moyenne, tandis que le kurtosis de -0,354 (mésokurtique) suggère une distribution proche de la normale, sans risque excessif de pics extrêmes. La volatilité annualisée de 33,3% positionne le titre dans la catégorie des valeurs à volatilité élevée (&gt;30%), ce qui implique un potentiel de gain important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(41 202,75 FCFA) et la MM50 (36 541,80 FCFA) se situent toutes deux nettement en dessous du cours actuel (44 980 FCFA), avec une MM20 supérieure à la MM50, configuration typique d'un marché haussier. Cet alignement confirme la décision d'achat, le cours évoluant au-dessus de ses deux moyennes mobiles qui agissent comme supports dynamiques.</w:t>
      </w:r>
    </w:p>
    <w:p>
      <w:pPr>
        <w:spacing w:after="120" w:line="276" w:lineRule="auto"/>
      </w:pPr>
      <w:r>
        <w:t>**Bandes de Bollinger** : Le cours (44 980 FCFA) évolue à l'intérieur de la bande supérieure (45 694,44 FCFA) et très au-dessus de la borne inférieure (36 711,06 FCFA), frôlant la borne haute sans la franchir. Cette position indique une pression acheteuse forte mais un risque de retour à la moyenne ; la décision est neutre, le titre étant proche d'une zone de résistance technique.</w:t>
      </w:r>
    </w:p>
    <w:p>
      <w:pPr>
        <w:spacing w:after="120" w:line="276" w:lineRule="auto"/>
      </w:pPr>
      <w:r>
        <w:t>**MACD** : La valeur du MACD (2 287,42) est supérieure à son signal (2 081,67), avec un histogramme positif, confirmant un momentum haussier intact. La décision d'achat est justifiée par cette divergence positive qui indique que la dynamique haussière reste soutenue malgré la pause récente.</w:t>
      </w:r>
    </w:p>
    <w:p>
      <w:pPr>
        <w:spacing w:after="120" w:line="276" w:lineRule="auto"/>
      </w:pPr>
      <w:r>
        <w:t>**RSI** : À 81,68, le RSI se situe largement au-dessus du seuil de surachat (70), signalant une décision de vente. Le titre est techniquement surchauffé après sa progression de +55% en 100 jours, ce qui expose à un risque de correction à court terme.</w:t>
      </w:r>
    </w:p>
    <w:p>
      <w:pPr>
        <w:spacing w:after="120" w:line="276" w:lineRule="auto"/>
      </w:pPr>
      <w:r>
        <w:t>**Stochastique** : Le %K (99,68) et le %D (99,89) sont tous deux proches de 100, en zone de surachat extrême, avec une décision de vente. L'absence de croisement baissier pour l'instant maintient la vigilance, mais la configuration est clairement tendue.</w:t>
      </w:r>
    </w:p>
    <w:p>
      <w:pPr>
        <w:spacing w:after="120" w:line="276" w:lineRule="auto"/>
      </w:pPr>
      <w:r>
        <w:t>**Conclusion technique** : Les indicateurs de tendance (MM, MACD) restent haussiers et confirment la solidité du mouvement, mais les oscillateurs (RSI à 81,7 et Stochastique à 99,7) signalent une surchauffe manifeste. Cette divergence entre tendance et momentum suggère une consolidation imminente ou une correction technique avant toute nouvelle progression. Le titre est en zone de résistance majeure (45 000 FCFA), et la prudence s'impose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consolidés de Sonatel (exercice clos au 31 décembre 2025) affichent un chiffre d'affaires de 1 923,122 Mds FCFA, en croissance de +8,3% par rapport à 2024, porté par la Data mobile (+8,6% de clients), le haut débit fixe (+26,2%) et Orange Money (+2,8% de clients). Le résultat net s'établit à 413,588 Mds FCFA (+5,1%), avec une marge nette de 21,5% et une marge opérationnelle de 34,8%. La rentabilité des fonds propres (ROE) atteint 29,56%, un niveau excellent (&gt;15%), tandis que le ROA de 12,65% confirme l'efficacité de l'utilisation des actifs. La structure financière est saine : l'autonomie financière de 42,79% (&gt;30%) et la solvabilité générale de 174,79% (&gt;1) garantissent la solidité du bilan, avec une trésorerie nette de 536,105 Mds FCFA. Concernant le besoin en fonds de roulement (BFR), il est négatif à -284,906 Mds FCFA, ce qui est favorable car cela signifie que les clients et les stocks sont financés par les fournisseurs ; le délai fournisseurs de 201,39 jours (élevé, bon pour la trésorerie) contraste avec le délai clients de 46,16 jours (modéré, risque limité) et une durée de stockage de 14,49 jours. Le ratio d'endettement de 57,21% reste maîtrisé, avec une capacité de remboursement de 0,64 an (dettes financières/CAF) et une couverture des intérêts de 2 744,71%, traduisant une excellente capacité à honorer les charges financières. Les rapports trimestriels récents confirment cette dynamique : le communiqué du 27 juillet 2026 (S1 2026) fait état d'un chiffre d'affaires de 1 049,8 Mds FCFA (+9,3%) et d'un résultat net de 230 Mds FCFA (+10,5%), avec un EBITDAAL de 510,8 Mds FCFA (48,7% du CA) et une notation relevée à AAA (wu) par GCR Ratings. Sur la base de ce rapport S1 2026, on peut estimer que l'exercice 2026 devrait enregistrer une croissance du chiffre d'affaires d'environ +9% (soit ~2 096 Mds FCFA) et un résultat net proche de 450 Mds FCFA, confirmant la trajectoire de croissance rentable. Le dividende brut proposé de 1 933 FCFA par action (1 740 FCFA net, payable le 26 mai 2026) offre un rendement attractif de 3,87% au cours actuel de 44 980 FCFA. La recommandation fondamentale est donc positive : solidité financière, croissance soutenue, rentabilité élevée et politique de dividende généreuse, avec pour principaux risques la pression fiscale et réglementaire ainsi que l'intensification concurrentielle.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met en évidence une convergence partielle des signaux. La valorisation (Partie 0) est raisonnable avec un PER de 10,9x dans la moyenne du marché, un EV/EBITDA de 4,7x très attractif et un P/B de 3,21x justifié par la qualité des fondamentaux, ce qui plaide pour une sous-évaluation relative. Le comportement du cours (Partie 1) est nettement haussier (+55,10% sur 100 jours) avec une volatilité élevée (33,3%) et une asymétrie positive (skewness de 0,948) qui indique des poussées haussières marquées, mais le kurtosis proche de la normale (-0,354) limite le risque de pics extrêmes. Les signaux techniques (Partie 2) sont divergents : les moyennes mobiles et le MACD confirment la tendance haussière, mais le RSI (81,68) et le stochastique (99,68) signalent une surchauffe extrême, ce qui expose à une correction à court terme. Les fondamentaux (Partie 3) sont excellents : ROE de 29,56%, marge nette de 21,5%, BFR négatif, trésorerie nette de 536 Mds FCFA, notation AAA et croissance estimée à +9% pour 2026, avec un dividende net de 1 740 FCFA offrant un rendement de 3,87%. Les prédictions IA (J+1 à J+10) anticipent une légère consolidation autour de 43 800-43 900 FCFA, en baisse de 2,4% par rapport au cours actuel, ce qui confirme la nécessité d'une pause technique après la forte hausse. Sur la base de cette synthèse, la recommandation finale est **CONSERVER** avec un niveau de confiance **Moyen** et un risque global **Moyen**. En effet, la convergence entre valorisation attractive, fondamentaux solides et tendance haussière de fond est contrariée par la surchauffe technique à court terme (RSI et Stochastique en zone de vente) et la prédiction IA d'une consolidation. L'horizon d'investissement optimal est le **moyen terme (3-12 mois)** : les investisseurs déjà positionnés peuvent conserver leurs titres pour capter la croissance et le dividende, tandis que les nouveaux entrants devraient attendre une correction vers la zone de support des 41 200 FCFA (MM20) pour optimiser leur point d'entrée.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164.61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5,292 titres</w:t>
            </w:r>
          </w:p>
        </w:tc>
        <w:tc>
          <w:tcPr>
            <w:tcW w:type="dxa" w:w="2268"/>
            <w:shd w:fill="FFF2CC" w:val="clear"/>
          </w:tcPr>
          <w:p>
            <w:r>
              <w:rPr>
                <w:b/>
                <w:color w:val="503200"/>
                <w:sz w:val="16"/>
              </w:rPr>
              <w:t xml:space="preserve">Cours actuel : </w:t>
            </w:r>
            <w:r>
              <w:rPr>
                <w:color w:val="000000"/>
                <w:sz w:val="17"/>
              </w:rPr>
              <w:t>7,620 FCFA</w:t>
            </w:r>
          </w:p>
          <w:p>
            <w:r>
              <w:rPr>
                <w:b/>
                <w:color w:val="503200"/>
                <w:sz w:val="16"/>
              </w:rPr>
              <w:t xml:space="preserve">Var. 100 jours : </w:t>
            </w:r>
            <w:r>
              <w:rPr>
                <w:b/>
                <w:color w:val="007800"/>
                <w:sz w:val="17"/>
              </w:rPr>
              <w:t>+3.04%</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11.5/100 → Faible</w:t>
      </w:r>
    </w:p>
    <w:p>
      <w:pPr>
        <w:spacing w:before="40" w:after="80"/>
      </w:pPr>
      <w:r>
        <w:rPr>
          <w:rFonts w:ascii="Courier New" w:hAnsi="Courier New"/>
          <w:color w:val="006400"/>
          <w:sz w:val="18"/>
        </w:rPr>
        <w:t>██░░░░░░░░░░░░░░░░░░  11.5/100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4.57% (Faible) — μ=8,071 FCFA, σ=369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β=1.0039 (Neutre (suit le marché)) — Cov=0.000072, Var(idx)=0.000072, ρ=0.322,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7,342</w:t>
            </w:r>
          </w:p>
        </w:tc>
        <w:tc>
          <w:tcPr>
            <w:tcW w:type="dxa" w:w="1440"/>
            <w:shd w:fill="FAFAFA" w:val="clear"/>
          </w:tcPr>
          <w:p>
            <w:r>
              <w:rPr>
                <w:b/>
                <w:sz w:val="17"/>
              </w:rPr>
              <w:t>7,725</w:t>
            </w:r>
          </w:p>
        </w:tc>
        <w:tc>
          <w:tcPr>
            <w:tcW w:type="dxa" w:w="1440"/>
            <w:shd w:fill="FAFAFA" w:val="clear"/>
          </w:tcPr>
          <w:p>
            <w:r>
              <w:rPr>
                <w:sz w:val="17"/>
              </w:rPr>
              <w:t>8,109</w:t>
            </w:r>
          </w:p>
        </w:tc>
        <w:tc>
          <w:tcPr>
            <w:tcW w:type="dxa" w:w="1440"/>
            <w:shd w:fill="FAFAFA" w:val="clear"/>
          </w:tcPr>
          <w:p>
            <w:r>
              <w:rPr>
                <w:b/>
                <w:color w:val="008000"/>
                <w:sz w:val="17"/>
              </w:rPr>
              <w:t>+1.4%</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7,161</w:t>
            </w:r>
          </w:p>
        </w:tc>
        <w:tc>
          <w:tcPr>
            <w:tcW w:type="dxa" w:w="1440"/>
            <w:shd w:fill="FAFAFA" w:val="clear"/>
          </w:tcPr>
          <w:p>
            <w:r>
              <w:rPr>
                <w:b/>
                <w:sz w:val="17"/>
              </w:rPr>
              <w:t>7,701</w:t>
            </w:r>
          </w:p>
        </w:tc>
        <w:tc>
          <w:tcPr>
            <w:tcW w:type="dxa" w:w="1440"/>
            <w:shd w:fill="FAFAFA" w:val="clear"/>
          </w:tcPr>
          <w:p>
            <w:r>
              <w:rPr>
                <w:sz w:val="17"/>
              </w:rPr>
              <w:t>8,242</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7,028</w:t>
            </w:r>
          </w:p>
        </w:tc>
        <w:tc>
          <w:tcPr>
            <w:tcW w:type="dxa" w:w="1440"/>
            <w:shd w:fill="FAFAFA" w:val="clear"/>
          </w:tcPr>
          <w:p>
            <w:r>
              <w:rPr>
                <w:b/>
                <w:sz w:val="17"/>
              </w:rPr>
              <w:t>7,689</w:t>
            </w:r>
          </w:p>
        </w:tc>
        <w:tc>
          <w:tcPr>
            <w:tcW w:type="dxa" w:w="1440"/>
            <w:shd w:fill="FAFAFA" w:val="clear"/>
          </w:tcPr>
          <w:p>
            <w:r>
              <w:rPr>
                <w:sz w:val="17"/>
              </w:rPr>
              <w:t>8,350</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6,912</w:t>
            </w:r>
          </w:p>
        </w:tc>
        <w:tc>
          <w:tcPr>
            <w:tcW w:type="dxa" w:w="1440"/>
            <w:shd w:fill="FAFAFA" w:val="clear"/>
          </w:tcPr>
          <w:p>
            <w:r>
              <w:rPr>
                <w:b/>
                <w:sz w:val="17"/>
              </w:rPr>
              <w:t>7,674</w:t>
            </w:r>
          </w:p>
        </w:tc>
        <w:tc>
          <w:tcPr>
            <w:tcW w:type="dxa" w:w="1440"/>
            <w:shd w:fill="FAFAFA" w:val="clear"/>
          </w:tcPr>
          <w:p>
            <w:r>
              <w:rPr>
                <w:sz w:val="17"/>
              </w:rPr>
              <w:t>8,436</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6,808</w:t>
            </w:r>
          </w:p>
        </w:tc>
        <w:tc>
          <w:tcPr>
            <w:tcW w:type="dxa" w:w="1440"/>
            <w:shd w:fill="FAFAFA" w:val="clear"/>
          </w:tcPr>
          <w:p>
            <w:r>
              <w:rPr>
                <w:b/>
                <w:sz w:val="17"/>
              </w:rPr>
              <w:t>7,659</w:t>
            </w:r>
          </w:p>
        </w:tc>
        <w:tc>
          <w:tcPr>
            <w:tcW w:type="dxa" w:w="1440"/>
            <w:shd w:fill="FAFAFA" w:val="clear"/>
          </w:tcPr>
          <w:p>
            <w:r>
              <w:rPr>
                <w:sz w:val="17"/>
              </w:rPr>
              <w:t>8,509</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6,714</w:t>
            </w:r>
          </w:p>
        </w:tc>
        <w:tc>
          <w:tcPr>
            <w:tcW w:type="dxa" w:w="1440"/>
            <w:shd w:fill="FAFAFA" w:val="clear"/>
          </w:tcPr>
          <w:p>
            <w:r>
              <w:rPr>
                <w:b/>
                <w:sz w:val="17"/>
              </w:rPr>
              <w:t>7,644</w:t>
            </w:r>
          </w:p>
        </w:tc>
        <w:tc>
          <w:tcPr>
            <w:tcW w:type="dxa" w:w="1440"/>
            <w:shd w:fill="FAFAFA" w:val="clear"/>
          </w:tcPr>
          <w:p>
            <w:r>
              <w:rPr>
                <w:sz w:val="17"/>
              </w:rPr>
              <w:t>8,573</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6,627</w:t>
            </w:r>
          </w:p>
        </w:tc>
        <w:tc>
          <w:tcPr>
            <w:tcW w:type="dxa" w:w="1440"/>
            <w:shd w:fill="FAFAFA" w:val="clear"/>
          </w:tcPr>
          <w:p>
            <w:r>
              <w:rPr>
                <w:b/>
                <w:sz w:val="17"/>
              </w:rPr>
              <w:t>7,629</w:t>
            </w:r>
          </w:p>
        </w:tc>
        <w:tc>
          <w:tcPr>
            <w:tcW w:type="dxa" w:w="1440"/>
            <w:shd w:fill="FAFAFA" w:val="clear"/>
          </w:tcPr>
          <w:p>
            <w:r>
              <w:rPr>
                <w:sz w:val="17"/>
              </w:rPr>
              <w:t>8,632</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6,547</w:t>
            </w:r>
          </w:p>
        </w:tc>
        <w:tc>
          <w:tcPr>
            <w:tcW w:type="dxa" w:w="1440"/>
            <w:shd w:fill="FAFAFA" w:val="clear"/>
          </w:tcPr>
          <w:p>
            <w:r>
              <w:rPr>
                <w:b/>
                <w:sz w:val="17"/>
              </w:rPr>
              <w:t>7,616</w:t>
            </w:r>
          </w:p>
        </w:tc>
        <w:tc>
          <w:tcPr>
            <w:tcW w:type="dxa" w:w="1440"/>
            <w:shd w:fill="FAFAFA" w:val="clear"/>
          </w:tcPr>
          <w:p>
            <w:r>
              <w:rPr>
                <w:sz w:val="17"/>
              </w:rPr>
              <w:t>8,685</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6,471</w:t>
            </w:r>
          </w:p>
        </w:tc>
        <w:tc>
          <w:tcPr>
            <w:tcW w:type="dxa" w:w="1440"/>
            <w:shd w:fill="FAFAFA" w:val="clear"/>
          </w:tcPr>
          <w:p>
            <w:r>
              <w:rPr>
                <w:b/>
                <w:sz w:val="17"/>
              </w:rPr>
              <w:t>7,603</w:t>
            </w:r>
          </w:p>
        </w:tc>
        <w:tc>
          <w:tcPr>
            <w:tcW w:type="dxa" w:w="1440"/>
            <w:shd w:fill="FAFAFA" w:val="clear"/>
          </w:tcPr>
          <w:p>
            <w:r>
              <w:rPr>
                <w:sz w:val="17"/>
              </w:rPr>
              <w:t>8,735</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6,399</w:t>
            </w:r>
          </w:p>
        </w:tc>
        <w:tc>
          <w:tcPr>
            <w:tcW w:type="dxa" w:w="1440"/>
            <w:shd w:fill="FAFAFA" w:val="clear"/>
          </w:tcPr>
          <w:p>
            <w:r>
              <w:rPr>
                <w:b/>
                <w:sz w:val="17"/>
              </w:rPr>
              <w:t>7,590</w:t>
            </w:r>
          </w:p>
        </w:tc>
        <w:tc>
          <w:tcPr>
            <w:tcW w:type="dxa" w:w="1440"/>
            <w:shd w:fill="FAFAFA" w:val="clear"/>
          </w:tcPr>
          <w:p>
            <w:r>
              <w:rPr>
                <w:sz w:val="17"/>
              </w:rPr>
              <w:t>8,782</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164,61 milliards FCFA, SOGC se positionne parmi les valeurs moyennes-capitalisations de la cote BRVM, ce qui traduit une liquidité modérée mais une réelle présence institutionnelle. Le BPA de 578 FCFA/action signifie que chaque titre génère près de 578 FCFA de bénéfice net, un niveau confortable au regard du cours actuel de 7 620 FCFA. Le PER de 13,2x se situe légèrement au-dessus de la moyenne BRVM (8-12x), signalant une valorisation modérément exigeante mais justifiée par la qualité des fondamentaux et la régularité du dividende. Le P/B de 2,41x indique que le marché valorise l'action à plus de deux fois sa valeur comptable, accordant une prime de croissance cohérente avec un ROE de 18,26%. Enfin, l'EV/EBITDA de 6,8x, dans la fourchette raisonnable de 5-10x, suggère que la valeur d'entreprise reste proportionnée à la capacité opérationnelle de génération de cash-flow,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progression modeste de +3,04%, mais la dernière séance (J-1) enregistre une correction marquée de -4,03%, ramenant le cours à 7 620 FCFA. Le range de trading s'étend de 7 200 FCFA (plus bas) à 8 875 FCFA (plus haut), soit une amplitude de 1 675 FCFA qui traduit une certaine nervosité malgré une tendance globalement haussière sur la période. La moyenne (8 071 FCFA) est légèrement inférieure à la médiane (8 145 FCFA) et au mode (8 100 FCFA), ce qui confirme une asymétrie négative (skewness = -0,564) : le cours a passé plus de journées au-dessus de sa moyenne, mais les baisses récentes tirent la moyenne vers le bas. L'écart-type de 370 FCFA avec un coefficient de variation de 4,6% indique une dispersion relativement contenue autour de la tendance centrale. Le kurtosis de -0,338 (mésokurtique) suggère une distribution proche de la normale, sans risque excessif de pics extrêmes. En revanche, la volatilité annualisée de 42,1% classe le titre dans la catégorie des valeurs à volatilité élevée (&gt;30%), ce qui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(7 890,25 FCFA) et la MM50 (8 056,00 FCFA) sont toutes deux supérieures au cours actuel (7 620 FCFA), ce qui place le titre en position baissière sous ses moyennes. La MM20 étant elle-même inférieure à la MM50, on observe un croisement baissier confirmé, justifiant la décision technique de **Vente**.</w:t>
      </w:r>
    </w:p>
    <w:p>
      <w:pPr>
        <w:spacing w:after="120" w:line="276" w:lineRule="auto"/>
      </w:pPr>
      <w:r>
        <w:t>**Bandes de Bollinger** : Le cours (7 620 FCFA) se situe dans la partie basse de la bande, entre la borne inférieure (7 449,96 FCFA) et la borne supérieure (8 330,54 FCFA). Cette position proche de la borne basse, sans franchissement, indique une pression vendeuse modérée mais pas de survente extrême. La décision est **Neutre**, le titre n'étant ni en zone d'achat technique ni en zone de vente forcée.</w:t>
      </w:r>
    </w:p>
    <w:p>
      <w:pPr>
        <w:spacing w:after="120" w:line="276" w:lineRule="auto"/>
      </w:pPr>
      <w:r>
        <w:t>**MACD** : La valeur du MACD (-90,158) est inférieure à son signal (-87,232), avec un histogramme négatif. Cette configuration confirme un momentum baissier persistant, bien que l'écart entre les deux lignes reste faible, suggérant un essoufflement possible de la dynamique négative. La décision technique reste **Vente**.</w:t>
      </w:r>
    </w:p>
    <w:p>
      <w:pPr>
        <w:spacing w:after="120" w:line="276" w:lineRule="auto"/>
      </w:pPr>
      <w:r>
        <w:t>**RSI** : À 41,549, le RSI se situe en zone neutre basse, sans atteindre le seuil de survente (30). Cela indique que le titre conserve un potentiel de baisse résiduel mais n'est pas encore dans une zone de rebond technique imminent. La décision est **Neutre**.</w:t>
      </w:r>
    </w:p>
    <w:p>
      <w:pPr>
        <w:spacing w:after="120" w:line="276" w:lineRule="auto"/>
      </w:pPr>
      <w:r>
        <w:t>**Stochastique** : Le %K (38,095) est nettement inférieur au %D (69,841), avec un croisement baissier récent. Cette configuration signale une perte de momentum haussier et un risque de poursuite de la correction à court terme. La décision reste **Neutre**, mais la dynamique est clairement défavorable.</w:t>
      </w:r>
    </w:p>
    <w:p>
      <w:pPr>
        <w:spacing w:after="120" w:line="276" w:lineRule="auto"/>
      </w:pPr>
      <w:r>
        <w:t>**Conclusion technique** : L'ensemble des indicateurs converge vers un signal baissier à court terme (MM, MACD) tempéré par des zones de neutralité (Bollinger, RSI, Stochastique). Le titre est sous pression, sans être en survente extrême, ce qui suggère une possible poursuite de la consolidation avant un rebond.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SOGC affiche un chiffre d'affaires de 98,979 milliards FCFA, en croissance de +10,70% par rapport à 2024 (93,52 milliards FCFA), portée par la hausse des prix de l'huile de palme (+20%) et de palmiste (+47%), ainsi que par la progression des volumes de caoutchouc (+9%). Le résultat net s'établit à 12,493 milliards FCFA, en léger repli de -5% par rapport aux 13,11 milliards FCFA de 2024, conséquence directe de la hausse de 15% des coûts de matières premières (coagulum). La rentabilité reste néanmoins solide avec un ROE de 18,26% (excellent, &gt;15%) et un ROA de 13,84%, confirmant l'efficacité de l'utilisation des actifs. La marge nette se maintient à 12,62%, contre 14,0% en 2024, reflétant une pression modérée sur les marges. La structure financière est très saine : l'autonomie financière atteint 75,79%, le ratio d'endettement est faible (24,21%), et la trésorerie nette s'améliore de 3,1 milliards FCFA sur l'exercice. Le BFR de 7,124 milliards FCFA reste positif mais maîtrisé, avec un délai clients de 29,60 jours (risque trésorerie faible) et un délai fournisseurs de 31,72 jours. La durée de stockage de 97,67 jours constitue un point de vigilance, immobilisant du capital. Les rapports trimestriels 2025 (T1, S1, 9M) confirment une dynamique exceptionnelle sur la première moitié de l'année (CA +51,9% au S1, résultat net +151,6%), suivie d'un ralentissement au S2 sous l'effet de la concurrence accrue sur l'achat de coagulum et de la baisse des cours SICOM. On estime que l'exercice 2025 devrait clôturer sur une performance annuelle en légère contraction du résultat net, mais avec des fondamentaux préservés. Le dividende proposé de 570 FCFA/action (soit un rendement de 7,48% au cours actuel) reste attractif, bien que le taux de distribution de 98,9% en 2024 interroge sur la capacité de réinvestissement. La recommandation fondamentale est **CONSERVER**, avec une vigilance sur l'évolution des prix des matières premières et la politique de distribution.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modérément exigeante (PER 13,2x, P/B 2,41x) mais justifiée par un ROE de 18,26% et un EV/EBITDA raisonnable de 6,8x, sans surévaluation manifeste. Le comportement du cours (Partie 1) révèle une tendance haussière fragile (+3,04% sur 100 jours) avec une correction récente de -4,03%, une volatilité élevée (42,1%) et une asymétrie négative (skewness -0,564) qui traduit une pression vendeuse récente. Les signaux techniques (Partie 2) sont majoritairement baissiers à court terme (MM, MACD en vente ; Bollinger, RSI, Stochastique neutres), sans convergence haussière. Les fondamentaux (Partie 3) restent solides (CA +10,7%, ROE 18,26%, autonomie financière 75,79%) mais marqués par une contraction du résultat net (-5%) et des risques persistants sur les coûts d'approvisionnement. Les prédictions IA (J+1 à J+10) anticipent une poursuite de la baisse modérée (7 725 → 7 659 FCFA), confirmant la pression technique actuelle. Sur la base de cette synthèse, la recommandation finale est **CONSERVER**, avec un biais baissier à court terme. La convergence entre technique baissière, prédictions IA négatives et fondamentaux en légère dégradation justifie une certaine prudence, mais la solidité financière et le dividende attractif (7,48%) limitent le risque de vente massive. Le niveau de confiance est **Moyen**, le risque global est **Moyen**, et l'horizon d'investissement optimal est **moyen terme (3-12 mois)**, en attendant une stabilisation des prix des matières premières et une clarification de la politique de distribution.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4,706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+14.29%</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9.69% (Moyenne) — μ=7,866 FCFA, σ=763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β=0.6910 (Défensif) — Cov=0.000050, Var(idx)=0.000072, ρ=0.215,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7,431</w:t>
            </w:r>
          </w:p>
        </w:tc>
        <w:tc>
          <w:tcPr>
            <w:tcW w:type="dxa" w:w="1440"/>
            <w:shd w:fill="FAFAFA" w:val="clear"/>
          </w:tcPr>
          <w:p>
            <w:r>
              <w:rPr>
                <w:b/>
                <w:sz w:val="17"/>
              </w:rPr>
              <w:t>7,862</w:t>
            </w:r>
          </w:p>
        </w:tc>
        <w:tc>
          <w:tcPr>
            <w:tcW w:type="dxa" w:w="1440"/>
            <w:shd w:fill="FAFAFA" w:val="clear"/>
          </w:tcPr>
          <w:p>
            <w:r>
              <w:rPr>
                <w:sz w:val="17"/>
              </w:rPr>
              <w:t>8,294</w:t>
            </w:r>
          </w:p>
        </w:tc>
        <w:tc>
          <w:tcPr>
            <w:tcW w:type="dxa" w:w="1440"/>
            <w:shd w:fill="FAFAFA" w:val="clear"/>
          </w:tcPr>
          <w:p>
            <w:r>
              <w:rPr>
                <w:b/>
                <w:color w:val="C00000"/>
                <w:sz w:val="17"/>
              </w:rPr>
              <w:t>-1.7%</w:t>
            </w:r>
          </w:p>
        </w:tc>
      </w:tr>
      <w:tr>
        <w:tc>
          <w:tcPr>
            <w:tcW w:type="dxa" w:w="1440"/>
            <w:shd w:fill="FFDCE0" w:val="clear"/>
          </w:tcPr>
          <w:p>
            <w:r>
              <w:rPr>
                <w:sz w:val="17"/>
              </w:rPr>
              <w:t>J+2  Moyenne</w:t>
            </w:r>
          </w:p>
        </w:tc>
        <w:tc>
          <w:tcPr>
            <w:tcW w:type="dxa" w:w="1440"/>
            <w:shd w:fill="FFDCE0" w:val="clear"/>
          </w:tcPr>
          <w:p>
            <w:r>
              <w:rPr>
                <w:sz w:val="17"/>
              </w:rPr>
              <w:t>2026-10-07</w:t>
            </w:r>
          </w:p>
        </w:tc>
        <w:tc>
          <w:tcPr>
            <w:tcW w:type="dxa" w:w="1440"/>
            <w:shd w:fill="FFDCE0" w:val="clear"/>
          </w:tcPr>
          <w:p>
            <w:r>
              <w:rPr>
                <w:sz w:val="17"/>
              </w:rPr>
              <w:t>7,222</w:t>
            </w:r>
          </w:p>
        </w:tc>
        <w:tc>
          <w:tcPr>
            <w:tcW w:type="dxa" w:w="1440"/>
            <w:shd w:fill="FFDCE0" w:val="clear"/>
          </w:tcPr>
          <w:p>
            <w:r>
              <w:rPr>
                <w:b/>
                <w:sz w:val="17"/>
              </w:rPr>
              <w:t>7,830</w:t>
            </w:r>
          </w:p>
        </w:tc>
        <w:tc>
          <w:tcPr>
            <w:tcW w:type="dxa" w:w="1440"/>
            <w:shd w:fill="FFDCE0" w:val="clear"/>
          </w:tcPr>
          <w:p>
            <w:r>
              <w:rPr>
                <w:sz w:val="17"/>
              </w:rPr>
              <w:t>8,437</w:t>
            </w:r>
          </w:p>
        </w:tc>
        <w:tc>
          <w:tcPr>
            <w:tcW w:type="dxa" w:w="1440"/>
            <w:shd w:fill="FFDCE0" w:val="clear"/>
          </w:tcPr>
          <w:p>
            <w:r>
              <w:rPr>
                <w:b/>
                <w:color w:val="C00000"/>
                <w:sz w:val="17"/>
              </w:rPr>
              <w:t>-2.1%</w:t>
            </w:r>
          </w:p>
        </w:tc>
      </w:tr>
      <w:tr>
        <w:tc>
          <w:tcPr>
            <w:tcW w:type="dxa" w:w="1440"/>
            <w:shd w:fill="FFDCE0" w:val="clear"/>
          </w:tcPr>
          <w:p>
            <w:r>
              <w:rPr>
                <w:sz w:val="17"/>
              </w:rPr>
              <w:t>J+3  Moyenne</w:t>
            </w:r>
          </w:p>
        </w:tc>
        <w:tc>
          <w:tcPr>
            <w:tcW w:type="dxa" w:w="1440"/>
            <w:shd w:fill="FFDCE0" w:val="clear"/>
          </w:tcPr>
          <w:p>
            <w:r>
              <w:rPr>
                <w:sz w:val="17"/>
              </w:rPr>
              <w:t>2026-10-08</w:t>
            </w:r>
          </w:p>
        </w:tc>
        <w:tc>
          <w:tcPr>
            <w:tcW w:type="dxa" w:w="1440"/>
            <w:shd w:fill="FFDCE0" w:val="clear"/>
          </w:tcPr>
          <w:p>
            <w:r>
              <w:rPr>
                <w:sz w:val="17"/>
              </w:rPr>
              <w:t>7,050</w:t>
            </w:r>
          </w:p>
        </w:tc>
        <w:tc>
          <w:tcPr>
            <w:tcW w:type="dxa" w:w="1440"/>
            <w:shd w:fill="FFDCE0" w:val="clear"/>
          </w:tcPr>
          <w:p>
            <w:r>
              <w:rPr>
                <w:b/>
                <w:sz w:val="17"/>
              </w:rPr>
              <w:t>7,791</w:t>
            </w:r>
          </w:p>
        </w:tc>
        <w:tc>
          <w:tcPr>
            <w:tcW w:type="dxa" w:w="1440"/>
            <w:shd w:fill="FFDCE0" w:val="clear"/>
          </w:tcPr>
          <w:p>
            <w:r>
              <w:rPr>
                <w:sz w:val="17"/>
              </w:rPr>
              <w:t>8,531</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6,903</w:t>
            </w:r>
          </w:p>
        </w:tc>
        <w:tc>
          <w:tcPr>
            <w:tcW w:type="dxa" w:w="1440"/>
            <w:shd w:fill="FFDCE0" w:val="clear"/>
          </w:tcPr>
          <w:p>
            <w:r>
              <w:rPr>
                <w:b/>
                <w:sz w:val="17"/>
              </w:rPr>
              <w:t>7,754</w:t>
            </w:r>
          </w:p>
        </w:tc>
        <w:tc>
          <w:tcPr>
            <w:tcW w:type="dxa" w:w="1440"/>
            <w:shd w:fill="FFDCE0" w:val="clear"/>
          </w:tcPr>
          <w:p>
            <w:r>
              <w:rPr>
                <w:sz w:val="17"/>
              </w:rPr>
              <w:t>8,606</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6,772</w:t>
            </w:r>
          </w:p>
        </w:tc>
        <w:tc>
          <w:tcPr>
            <w:tcW w:type="dxa" w:w="1440"/>
            <w:shd w:fill="FFDCE0" w:val="clear"/>
          </w:tcPr>
          <w:p>
            <w:r>
              <w:rPr>
                <w:b/>
                <w:sz w:val="17"/>
              </w:rPr>
              <w:t>7,720</w:t>
            </w:r>
          </w:p>
        </w:tc>
        <w:tc>
          <w:tcPr>
            <w:tcW w:type="dxa" w:w="1440"/>
            <w:shd w:fill="FFDCE0" w:val="clear"/>
          </w:tcPr>
          <w:p>
            <w:r>
              <w:rPr>
                <w:sz w:val="17"/>
              </w:rPr>
              <w:t>8,667</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6,653</w:t>
            </w:r>
          </w:p>
        </w:tc>
        <w:tc>
          <w:tcPr>
            <w:tcW w:type="dxa" w:w="1440"/>
            <w:shd w:fill="FFDCE0" w:val="clear"/>
          </w:tcPr>
          <w:p>
            <w:r>
              <w:rPr>
                <w:b/>
                <w:sz w:val="17"/>
              </w:rPr>
              <w:t>7,686</w:t>
            </w:r>
          </w:p>
        </w:tc>
        <w:tc>
          <w:tcPr>
            <w:tcW w:type="dxa" w:w="1440"/>
            <w:shd w:fill="FFDCE0" w:val="clear"/>
          </w:tcPr>
          <w:p>
            <w:r>
              <w:rPr>
                <w:sz w:val="17"/>
              </w:rPr>
              <w:t>8,719</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6,542</w:t>
            </w:r>
          </w:p>
        </w:tc>
        <w:tc>
          <w:tcPr>
            <w:tcW w:type="dxa" w:w="1440"/>
            <w:shd w:fill="FFDCE0" w:val="clear"/>
          </w:tcPr>
          <w:p>
            <w:r>
              <w:rPr>
                <w:b/>
                <w:sz w:val="17"/>
              </w:rPr>
              <w:t>7,653</w:t>
            </w:r>
          </w:p>
        </w:tc>
        <w:tc>
          <w:tcPr>
            <w:tcW w:type="dxa" w:w="1440"/>
            <w:shd w:fill="FFDCE0" w:val="clear"/>
          </w:tcPr>
          <w:p>
            <w:r>
              <w:rPr>
                <w:sz w:val="17"/>
              </w:rPr>
              <w:t>8,765</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6,438</w:t>
            </w:r>
          </w:p>
        </w:tc>
        <w:tc>
          <w:tcPr>
            <w:tcW w:type="dxa" w:w="1440"/>
            <w:shd w:fill="FFDCE0" w:val="clear"/>
          </w:tcPr>
          <w:p>
            <w:r>
              <w:rPr>
                <w:b/>
                <w:sz w:val="17"/>
              </w:rPr>
              <w:t>7,622</w:t>
            </w:r>
          </w:p>
        </w:tc>
        <w:tc>
          <w:tcPr>
            <w:tcW w:type="dxa" w:w="1440"/>
            <w:shd w:fill="FFDCE0" w:val="clear"/>
          </w:tcPr>
          <w:p>
            <w:r>
              <w:rPr>
                <w:sz w:val="17"/>
              </w:rPr>
              <w:t>8,805</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6,341</w:t>
            </w:r>
          </w:p>
        </w:tc>
        <w:tc>
          <w:tcPr>
            <w:tcW w:type="dxa" w:w="1440"/>
            <w:shd w:fill="FFDCE0" w:val="clear"/>
          </w:tcPr>
          <w:p>
            <w:r>
              <w:rPr>
                <w:b/>
                <w:sz w:val="17"/>
              </w:rPr>
              <w:t>7,591</w:t>
            </w:r>
          </w:p>
        </w:tc>
        <w:tc>
          <w:tcPr>
            <w:tcW w:type="dxa" w:w="1440"/>
            <w:shd w:fill="FFDCE0" w:val="clear"/>
          </w:tcPr>
          <w:p>
            <w:r>
              <w:rPr>
                <w:sz w:val="17"/>
              </w:rPr>
              <w:t>8,841</w:t>
            </w:r>
          </w:p>
        </w:tc>
        <w:tc>
          <w:tcPr>
            <w:tcW w:type="dxa" w:w="1440"/>
            <w:shd w:fill="FFDCE0" w:val="clear"/>
          </w:tcPr>
          <w:p>
            <w:r>
              <w:rPr>
                <w:b/>
                <w:color w:val="C00000"/>
                <w:sz w:val="17"/>
              </w:rPr>
              <w:t>-5.1%</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6,249</w:t>
            </w:r>
          </w:p>
        </w:tc>
        <w:tc>
          <w:tcPr>
            <w:tcW w:type="dxa" w:w="1440"/>
            <w:shd w:fill="FFDCE0" w:val="clear"/>
          </w:tcPr>
          <w:p>
            <w:r>
              <w:rPr>
                <w:b/>
                <w:sz w:val="17"/>
              </w:rPr>
              <w:t>7,561</w:t>
            </w:r>
          </w:p>
        </w:tc>
        <w:tc>
          <w:tcPr>
            <w:tcW w:type="dxa" w:w="1440"/>
            <w:shd w:fill="FFDCE0" w:val="clear"/>
          </w:tcPr>
          <w:p>
            <w:r>
              <w:rPr>
                <w:sz w:val="17"/>
              </w:rPr>
              <w:t>8,873</w:t>
            </w:r>
          </w:p>
        </w:tc>
        <w:tc>
          <w:tcPr>
            <w:tcW w:type="dxa" w:w="1440"/>
            <w:shd w:fill="FFDCE0" w:val="clear"/>
          </w:tcPr>
          <w:p>
            <w:r>
              <w:rPr>
                <w:b/>
                <w:color w:val="C00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 RAPPORT D'ANALYSE FINANCIÈRE — SPHC (SAPH CI)</w:t>
        <w:br/>
        <w:t>**Bourse Régionale des Valeurs Mobilières (BRVM) — Secteur Agro-industriel (Hévéa/Caoutchouc)**</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204,46 milliards FCFA, SPHC s'impose comme une valeur de premier plan de la cote BRVM, représentant un poids significatif dans l'indice composite. Le BPA de 977 FCFA/action traduit une rentabilité unitaire solide, chaque titre générant près d'un millier de francs de bénéfice net. Le PER de 8,2x situe le titre nettement en dessous de la moyenne du marché BRVM (8-12x), signalant une potentielle sous-évaluation relative aux bénéfices dégagés. Le P/B de 1,48x indique que le marché valorise SPHC à une prime modérée de 48% sur sa valeur comptable, ce qui reste raisonnable pour une entreprise affichant un ROE de 18,1%. Enfin, l'EV/EBITDA de 5,1x, bien inférieur au seuil de 10x, suggère que la valeur d'entreprise (capitalisation + dette nette) reste contenue au regard de la capacité opérationnelle de génération de cash-flows, renforçant l'hypothèse d'une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performance positive de +14,29%, avec une dernière séance en hausse de +1,39% à 8 000 FCFA. Le titre a évolué dans un range large de 6 850 FCFA (plus bas) à 10 300 FCFA (plus haut), soit une amplitude de plus de 50%, traduisant une forte volatilité intra-période. La tendance générale est haussière mais heurtée, le cours actuel (8 000 FCFA) se situant à mi-chemin du range, suggérant une phase de consolidation après un pic à 10 300 FCFA. Les statistiques descriptives révèlent une moyenne de 7 866 FCFA légèrement supérieure à la médiane de 7 648 FCFA, avec un mode à 7 500 FCFA : l'écart moyenne-médiane confirme une distribution asymétrique, cohérente avec le skewness positif de 1,433 (plus de journées sous la moyenne, mais quelques pics haussiers marqués). L'écart-type de 766 FCFA (CV = 9,7%) indique une dispersion modérée autour de la moyenne, mais le kurtosis de 1,641 (leptokurtique) signale des queues épaisses, donc un risque accru de mouvements brusques et de pics de volatilité. La volatilité annualisée de 43,3% classe SPHC dans la catégorie des titres à volatilité élevée (&gt;30%), ce qui est caractéristique des valeurs agro-industrielles exposées aux cours mondiaux du caoutchouc.</w:t>
      </w:r>
    </w:p>
    <w:p>
      <w:pPr>
        <w:spacing w:after="120" w:line="276" w:lineRule="auto"/>
      </w:pPr>
      <w:r>
        <w:t>---</w:t>
      </w:r>
    </w:p>
    <w:p>
      <w:pPr>
        <w:spacing w:after="120" w:line="276" w:lineRule="auto"/>
      </w:pPr>
      <w:r>
        <w:t>## PARTIE 2 : ANALYSE TECHNIQUE DÉTAILLÉE</w:t>
      </w:r>
    </w:p>
    <w:p>
      <w:pPr>
        <w:spacing w:after="120" w:line="276" w:lineRule="auto"/>
      </w:pPr>
      <w:r>
        <w:t>**Moyennes Mobiles** : La MM20 (8 018,75 FCFA) et la MM50 (8 302,90 FCFA) encadrent le cours actuel de 8 000 FCFA, ce dernier évoluant légèrement sous ses deux moyennes. La MM20 étant inférieure à la MM50, la configuration est baissière à court terme (croisement défavorable), justifiant la décision technique de **Vente**. Le cours doit reconquérir la zone 8 300 FCFA pour inverser ce signal.</w:t>
      </w:r>
    </w:p>
    <w:p>
      <w:pPr>
        <w:spacing w:after="120" w:line="276" w:lineRule="auto"/>
      </w:pPr>
      <w:r>
        <w:t>**Bandes de Bollinger** : Le cours (8 000 FCFA) se situe à mi-chemin entre la borne inférieure (7 248,52 FCFA) et la borne supérieure (8 788,99 FCFA), dans la partie médiane du canal. Cette position centrale, sans contact avec les extrêmes, traduit une absence de signal directionnel fort et justifie la décision **Neutre**. L'amplitude des bandes (~1 540 FCFA) confirme la volatilité élevée du titre.</w:t>
      </w:r>
    </w:p>
    <w:p>
      <w:pPr>
        <w:spacing w:after="120" w:line="276" w:lineRule="auto"/>
      </w:pPr>
      <w:r>
        <w:t>**MACD** : Le MACD (-198,507) est légèrement supérieur à sa ligne de signal (-199,963), générant un croisement haussier marginal. Cette configuration, bien que fragile (écart de seulement 1,46 point), traduit un début de retournement du momentum baissier et justifie la décision d'**Achat**. Une confirmation par élargissement de l'histogramme serait nécessaire pour valider ce signal.</w:t>
      </w:r>
    </w:p>
    <w:p>
      <w:pPr>
        <w:spacing w:after="120" w:line="276" w:lineRule="auto"/>
      </w:pPr>
      <w:r>
        <w:t>**RSI** : À 47,462, le RSI se situe parfaitement dans la zone neutre (30-70), sans pression acheteuse ni vendeuse dominante. Cette valeur médiane confirme l'absence de divergence et justifie la décision **Neutre**, le titre n'étant ni suracheté ni survendu.</w:t>
      </w:r>
    </w:p>
    <w:p>
      <w:pPr>
        <w:spacing w:after="120" w:line="276" w:lineRule="auto"/>
      </w:pPr>
      <w:r>
        <w:t>**Stochastique** : Le %K (73,529) est supérieur au %D (64,252), avec un croisement haussier en zone haute. Bien que le signal soit positif, la proximité de la zone de surachat (&gt;80) limite le potentiel de hausse à court terme, justifiant la décision **Neutre** par prudence.</w:t>
      </w:r>
    </w:p>
    <w:p>
      <w:pPr>
        <w:spacing w:after="120" w:line="276" w:lineRule="auto"/>
      </w:pPr>
      <w:r>
        <w:t>**Conclusion technique** : Les indicateurs sont majoritairement neutres (Bollinger, RSI, Stochastique), avec un signal d'achat marginal du MACD et un signal de vente des moyennes mobiles. Cette divergence traduit une phase d'indécision du marché, le titre évoluant dans un range de consolidation. La configuration suggère une attente de catalyseur (publication de résultats, évolution des cours du caoutchouc) pour définir une direction claire. La prudence est de mise tant que le cours reste sous la MM50 (8 302,90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SPHC a réalisé en 2025 un chiffre d'affaires de 340,83 milliards FCFA, en croissance de +21,97% par rapport à 2024 (279,44 Mds FCFA), portée par une hausse des volumes (+16,8%) et des prix moyens (+17,6%) selon le rapport T3 2025 (daté du 30/09/2025). Le résultat net s'établit à 24,97 milliards FCFA, en progression de +32,9%, avec une marge nette de 7,33% (contre 6,7% en 2024). Le ROE atteint 18,10% (&gt;15% = excellent) et le ROA 11,06%, confirmant une rentabilité solide des fonds propres et des actifs. La structure financière est saine : autonomie financière de 61,08%, ratio d'endettement de 25,81%, et couverture des intérêts de 1 094,57% (résultat d'exploitation / charges financières), traduisant une capacité de remboursement confortable (0,97 an de CAF). Le BFR de 65,39 milliards FCFA (positif) et la trésorerie nette négative (-15,41 Mds FCFA) constituent des points de vigilance, bien que le flux opérationnel (37,61 Mds FCFA) couvre largement les investissements (-23,42 Mds FCFA). Les délais clients (35 jours) et de stockage (72,33 jours) restent modérés pour le secteur.</w:t>
      </w:r>
    </w:p>
    <w:p>
      <w:pPr>
        <w:spacing w:after="120" w:line="276" w:lineRule="auto"/>
      </w:pPr>
      <w:r>
        <w:t>**Estimations basées sur les rapports trimestriels** : Le rapport T1 2026 (publié en 2026) révèle un net ralentissement : CA de 71,8 Mds FCFA (-24%), résultat net de 2,63 Mds FCFA (-78%), et marge nette réduite à 4%. Cette dégradation s'explique par la chute des cours mondiaux du caoutchouc (SICOM 20 à 1,91 USD/kg), l'engorgement du port de San Pedro et la concurrence accrue pour l'achat de matière première. Sur la base de ce T1 2026, on estime que l'exercice 2026 devrait afficher un recul significatif de la rentabilité par rapport à 2025, sauf redressement des cours au second semestre. Le rapport T3 2025 (daté du 30/09/2025) tablait déjà sur une normalisation du marché après un S1 2025 exceptionnel (CA +51%, résultat net +449%).</w:t>
      </w:r>
    </w:p>
    <w:p>
      <w:pPr>
        <w:spacing w:after="120" w:line="276" w:lineRule="auto"/>
      </w:pPr>
      <w:r>
        <w:t>**Recommandation fondamentale** : SPHC conserve des fondamentaux solides (ROE 18,1%, structure financière saine, dividende attractif de 489 FCFA/action proposé à l'AG du 09/04/2026), mais fait face à un net ralentissement en 2026 (T1 : -78% de résultat net). La dépendance aux cours mondiaux du caoutchouc et la trésorerie négative sont des risques structurels. La recommandation fondamentale est **CONSERVER**, avec une surveillance active des prochains trimestres pour confirmer ou infirmer la reprise des cours.</w:t>
      </w:r>
    </w:p>
    <w:p>
      <w:pPr>
        <w:spacing w:after="120" w:line="276" w:lineRule="auto"/>
      </w:pPr>
      <w:r>
        <w:t>---</w:t>
      </w:r>
    </w:p>
    <w:p>
      <w:pPr>
        <w:spacing w:after="120" w:line="276" w:lineRule="auto"/>
      </w:pPr>
      <w:r>
        <w:t>## PARTIE 4 : CONCLUSION D'INVESTISSEMENT</w:t>
      </w:r>
    </w:p>
    <w:p>
      <w:pPr>
        <w:spacing w:after="120" w:line="276" w:lineRule="auto"/>
      </w:pPr>
      <w:r>
        <w:t>La valorisation de SPHC apparaît attractive (PER 8,2x &lt; moyenne BRVM, EV/EBITDA 5,1x), suggérant une sous-évaluation relative aux bénéfices 2025. Cependant, le comportement du cours sur 100 jours révèle une volatilité élevée (43,3% annualisée) et une distribution leptokurtique (kurtosis 1,641) avec asymétrie positive (skewness 1,433), signalant un risque de pics baissiers. Les signaux techniques sont divergents : neutres pour Bollinger, RSI et Stochastique, marginalement haussiers pour le MACD, mais baissiers pour les moyennes mobiles (cours sous MM20 et MM50). Les fondamentaux 2025 sont solides (CA +22%, RN +33%, ROE 18,1%), mais le T1 2026 marque un net coup d'arrêt (-78% de résultat net), ce qui pèse sur les perspectives. Les prédictions IA anticipent une trajectoire baissière à court terme (7 862 FCFA à J+1 → 7 720 FCFA à J+5), confirmant la pression vendeuse actuelle.</w:t>
      </w:r>
    </w:p>
    <w:p>
      <w:pPr>
        <w:spacing w:after="120" w:line="276" w:lineRule="auto"/>
      </w:pPr>
      <w:r>
        <w:t>**Synthèse globale** : La convergence entre la détérioration des fondamentaux 2026 (T1), les signaux techniques baissiers (MM) et les prédictions IA baissières l'emporte sur l'attractivité de la valorisation et la solidité des fondamentaux 2025. Le titre devrait rester sous pression à court terme, avec un support potentiel autour de 7 500 FCFA (mode statistique) et une résistance à 8 300 FCFA (MM50).</w:t>
      </w:r>
    </w:p>
    <w:p>
      <w:pPr>
        <w:spacing w:after="120" w:line="276" w:lineRule="auto"/>
      </w:pPr>
      <w:r>
        <w:t>**Recommandation finale** : **CONSERVER** (avec biais baissier à court terme)</w:t>
        <w:br/>
        <w:t>- **Justification** : Divergence entre valorisation attractive et dégradation des fondamentaux 2026 ; signaux techniques mitigés mais prédictions IA baissières.</w:t>
        <w:br/>
        <w:t>- **Niveau de confiance** : Moyen (incertitude sur l'évolution des cours du caoutchouc)</w:t>
        <w:br/>
        <w:t>- **Niveau de risque** : Élevé (volatilité 43,3%, exposition aux matières premières, trésorerie négative)</w:t>
        <w:br/>
        <w:t>- **Horizon d'investissement** : Moyen terme (3-12 mois), en attendant la confirmation d'une reprise des cours au S2 2026 et la publication des résultats S1 2026.</w:t>
      </w:r>
    </w:p>
    <w:p>
      <w:pPr>
        <w:spacing w:after="120" w:line="276" w:lineRule="auto"/>
      </w:pPr>
      <w:r>
        <w:t>*Un passage à l'ACHAT serait justifié si le cours du caoutchouc se redresse durablement et si SPHC confirme sa capacité à maintenir ses marges malgré la concurrence sur la matière première.*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29.57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6,215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B40000"/>
                <w:sz w:val="17"/>
              </w:rPr>
              <w:t>-12.52%</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61.2%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14.34% (Moyenne) — μ=2,860 FCFA, σ=410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β=-0.0090 (Contre-cyclique) — Cov=-0.000001, Var(idx)=0.000072, ρ=-0.002,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σ_j=3.85%/j (Modérée) — Vol. annualisée≈61.2%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2026-10-06</w:t>
            </w:r>
          </w:p>
        </w:tc>
        <w:tc>
          <w:tcPr>
            <w:tcW w:type="dxa" w:w="1440"/>
            <w:shd w:fill="FFDCE0" w:val="clear"/>
          </w:tcPr>
          <w:p>
            <w:r>
              <w:rPr>
                <w:sz w:val="17"/>
              </w:rPr>
              <w:t>2,016</w:t>
            </w:r>
          </w:p>
        </w:tc>
        <w:tc>
          <w:tcPr>
            <w:tcW w:type="dxa" w:w="1440"/>
            <w:shd w:fill="FFDCE0" w:val="clear"/>
          </w:tcPr>
          <w:p>
            <w:r>
              <w:rPr>
                <w:b/>
                <w:sz w:val="17"/>
              </w:rPr>
              <w:t>2,156</w:t>
            </w:r>
          </w:p>
        </w:tc>
        <w:tc>
          <w:tcPr>
            <w:tcW w:type="dxa" w:w="1440"/>
            <w:shd w:fill="FFDCE0" w:val="clear"/>
          </w:tcPr>
          <w:p>
            <w:r>
              <w:rPr>
                <w:sz w:val="17"/>
              </w:rPr>
              <w:t>2,296</w:t>
            </w:r>
          </w:p>
        </w:tc>
        <w:tc>
          <w:tcPr>
            <w:tcW w:type="dxa" w:w="1440"/>
            <w:shd w:fill="FFDCE0"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2026-10-07</w:t>
            </w:r>
          </w:p>
        </w:tc>
        <w:tc>
          <w:tcPr>
            <w:tcW w:type="dxa" w:w="1440"/>
            <w:shd w:fill="FFDCE0" w:val="clear"/>
          </w:tcPr>
          <w:p>
            <w:r>
              <w:rPr>
                <w:sz w:val="17"/>
              </w:rPr>
              <w:t>1,950</w:t>
            </w:r>
          </w:p>
        </w:tc>
        <w:tc>
          <w:tcPr>
            <w:tcW w:type="dxa" w:w="1440"/>
            <w:shd w:fill="FFDCE0" w:val="clear"/>
          </w:tcPr>
          <w:p>
            <w:r>
              <w:rPr>
                <w:b/>
                <w:sz w:val="17"/>
              </w:rPr>
              <w:t>2,147</w:t>
            </w:r>
          </w:p>
        </w:tc>
        <w:tc>
          <w:tcPr>
            <w:tcW w:type="dxa" w:w="1440"/>
            <w:shd w:fill="FFDCE0" w:val="clear"/>
          </w:tcPr>
          <w:p>
            <w:r>
              <w:rPr>
                <w:sz w:val="17"/>
              </w:rPr>
              <w:t>2,344</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2026-10-08</w:t>
            </w:r>
          </w:p>
        </w:tc>
        <w:tc>
          <w:tcPr>
            <w:tcW w:type="dxa" w:w="1440"/>
            <w:shd w:fill="FFDCE0" w:val="clear"/>
          </w:tcPr>
          <w:p>
            <w:r>
              <w:rPr>
                <w:sz w:val="17"/>
              </w:rPr>
              <w:t>1,902</w:t>
            </w:r>
          </w:p>
        </w:tc>
        <w:tc>
          <w:tcPr>
            <w:tcW w:type="dxa" w:w="1440"/>
            <w:shd w:fill="FFDCE0" w:val="clear"/>
          </w:tcPr>
          <w:p>
            <w:r>
              <w:rPr>
                <w:b/>
                <w:sz w:val="17"/>
              </w:rPr>
              <w:t>2,143</w:t>
            </w:r>
          </w:p>
        </w:tc>
        <w:tc>
          <w:tcPr>
            <w:tcW w:type="dxa" w:w="1440"/>
            <w:shd w:fill="FFDCE0" w:val="clear"/>
          </w:tcPr>
          <w:p>
            <w:r>
              <w:rPr>
                <w:sz w:val="17"/>
              </w:rPr>
              <w:t>2,384</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2026-10-09</w:t>
            </w:r>
          </w:p>
        </w:tc>
        <w:tc>
          <w:tcPr>
            <w:tcW w:type="dxa" w:w="1440"/>
            <w:shd w:fill="FFDCE0" w:val="clear"/>
          </w:tcPr>
          <w:p>
            <w:r>
              <w:rPr>
                <w:sz w:val="17"/>
              </w:rPr>
              <w:t>1,864</w:t>
            </w:r>
          </w:p>
        </w:tc>
        <w:tc>
          <w:tcPr>
            <w:tcW w:type="dxa" w:w="1440"/>
            <w:shd w:fill="FFDCE0" w:val="clear"/>
          </w:tcPr>
          <w:p>
            <w:r>
              <w:rPr>
                <w:b/>
                <w:sz w:val="17"/>
              </w:rPr>
              <w:t>2,142</w:t>
            </w:r>
          </w:p>
        </w:tc>
        <w:tc>
          <w:tcPr>
            <w:tcW w:type="dxa" w:w="1440"/>
            <w:shd w:fill="FFDCE0" w:val="clear"/>
          </w:tcPr>
          <w:p>
            <w:r>
              <w:rPr>
                <w:sz w:val="17"/>
              </w:rPr>
              <w:t>2,420</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1,831</w:t>
            </w:r>
          </w:p>
        </w:tc>
        <w:tc>
          <w:tcPr>
            <w:tcW w:type="dxa" w:w="1440"/>
            <w:shd w:fill="FFDCE0" w:val="clear"/>
          </w:tcPr>
          <w:p>
            <w:r>
              <w:rPr>
                <w:b/>
                <w:sz w:val="17"/>
              </w:rPr>
              <w:t>2,142</w:t>
            </w:r>
          </w:p>
        </w:tc>
        <w:tc>
          <w:tcPr>
            <w:tcW w:type="dxa" w:w="1440"/>
            <w:shd w:fill="FFDCE0" w:val="clear"/>
          </w:tcPr>
          <w:p>
            <w:r>
              <w:rPr>
                <w:sz w:val="17"/>
              </w:rPr>
              <w:t>2,453</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1,802</w:t>
            </w:r>
          </w:p>
        </w:tc>
        <w:tc>
          <w:tcPr>
            <w:tcW w:type="dxa" w:w="1440"/>
            <w:shd w:fill="FFDCE0" w:val="clear"/>
          </w:tcPr>
          <w:p>
            <w:r>
              <w:rPr>
                <w:b/>
                <w:sz w:val="17"/>
              </w:rPr>
              <w:t>2,143</w:t>
            </w:r>
          </w:p>
        </w:tc>
        <w:tc>
          <w:tcPr>
            <w:tcW w:type="dxa" w:w="1440"/>
            <w:shd w:fill="FFDCE0" w:val="clear"/>
          </w:tcPr>
          <w:p>
            <w:r>
              <w:rPr>
                <w:sz w:val="17"/>
              </w:rPr>
              <w:t>2,484</w:t>
            </w:r>
          </w:p>
        </w:tc>
        <w:tc>
          <w:tcPr>
            <w:tcW w:type="dxa" w:w="1440"/>
            <w:shd w:fill="FFDCE0" w:val="clear"/>
          </w:tcPr>
          <w:p>
            <w:r>
              <w:rPr>
                <w:b/>
                <w:color w:val="C00000"/>
                <w:sz w:val="17"/>
              </w:rPr>
              <w:t>-2.6%</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1,775</w:t>
            </w:r>
          </w:p>
        </w:tc>
        <w:tc>
          <w:tcPr>
            <w:tcW w:type="dxa" w:w="1440"/>
            <w:shd w:fill="FFDCE0" w:val="clear"/>
          </w:tcPr>
          <w:p>
            <w:r>
              <w:rPr>
                <w:b/>
                <w:sz w:val="17"/>
              </w:rPr>
              <w:t>2,144</w:t>
            </w:r>
          </w:p>
        </w:tc>
        <w:tc>
          <w:tcPr>
            <w:tcW w:type="dxa" w:w="1440"/>
            <w:shd w:fill="FFDCE0" w:val="clear"/>
          </w:tcPr>
          <w:p>
            <w:r>
              <w:rPr>
                <w:sz w:val="17"/>
              </w:rPr>
              <w:t>2,512</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1,750</w:t>
            </w:r>
          </w:p>
        </w:tc>
        <w:tc>
          <w:tcPr>
            <w:tcW w:type="dxa" w:w="1440"/>
            <w:shd w:fill="FFDCE0" w:val="clear"/>
          </w:tcPr>
          <w:p>
            <w:r>
              <w:rPr>
                <w:b/>
                <w:sz w:val="17"/>
              </w:rPr>
              <w:t>2,144</w:t>
            </w:r>
          </w:p>
        </w:tc>
        <w:tc>
          <w:tcPr>
            <w:tcW w:type="dxa" w:w="1440"/>
            <w:shd w:fill="FFDCE0" w:val="clear"/>
          </w:tcPr>
          <w:p>
            <w:r>
              <w:rPr>
                <w:sz w:val="17"/>
              </w:rPr>
              <w:t>2,538</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1,727</w:t>
            </w:r>
          </w:p>
        </w:tc>
        <w:tc>
          <w:tcPr>
            <w:tcW w:type="dxa" w:w="1440"/>
            <w:shd w:fill="FFDCE0" w:val="clear"/>
          </w:tcPr>
          <w:p>
            <w:r>
              <w:rPr>
                <w:b/>
                <w:sz w:val="17"/>
              </w:rPr>
              <w:t>2,145</w:t>
            </w:r>
          </w:p>
        </w:tc>
        <w:tc>
          <w:tcPr>
            <w:tcW w:type="dxa" w:w="1440"/>
            <w:shd w:fill="FFDCE0" w:val="clear"/>
          </w:tcPr>
          <w:p>
            <w:r>
              <w:rPr>
                <w:sz w:val="17"/>
              </w:rPr>
              <w:t>2,563</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1,705</w:t>
            </w:r>
          </w:p>
        </w:tc>
        <w:tc>
          <w:tcPr>
            <w:tcW w:type="dxa" w:w="1440"/>
            <w:shd w:fill="FFDCE0" w:val="clear"/>
          </w:tcPr>
          <w:p>
            <w:r>
              <w:rPr>
                <w:b/>
                <w:sz w:val="17"/>
              </w:rPr>
              <w:t>2,145</w:t>
            </w:r>
          </w:p>
        </w:tc>
        <w:tc>
          <w:tcPr>
            <w:tcW w:type="dxa" w:w="1440"/>
            <w:shd w:fill="FFDCE0" w:val="clear"/>
          </w:tcPr>
          <w:p>
            <w:r>
              <w:rPr>
                <w:sz w:val="17"/>
              </w:rPr>
              <w:t>2,586</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 — Secteur : BTP / Études &amp; Travaux*</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29,57 milliards FCFA, STAC se situe dans la fourchette basse des valeurs cotées à la BRVM, ce qui traduit une taille modeste mais non négligeable pour le compartiment des petites capitalisations. Le BPA s'établit à -7 FCFA/action, signifiant que chaque action détruit de la valeur comptable plutôt qu'elle n'en génère, ce qui rend le PER inopérant (-306,2x) puisque la société est déficitaire — un PER négatif n'a aucune signification économique et doit être écarté de toute comparaison avec le PER moyen BRVM (8-12x). Le ratio P/B de 82,88x est particulièrement alarmant : le marché valorise l'action à près de 83 fois sa valeur comptable, alors qu'un ratio supérieur à 4x est déjà considéré comme une prime excessive ; cette anomalie s'explique par des capitaux propres très faibles (356,75 M FCFA) face à une capitalisation de 29,57 Mds FCFA, révélant une décorrélation totale entre le prix de marché et la réalité bilancielle. Le ratio EV/EBITDA n'est pas calculable en raison d'un EBE négatif (-650,13 M FCFA), ce qui prive l'investisseur de tout repère sur la capacité opérationnelle réelle de l'entreprise. En synthèse, la valorisation boursière de STAC est **hors-sol** : elle ne repose sur aucun fondamental tangible et traduit davantage une spéculation ou une inertie de marché qu'une évaluation 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STAC a enregistré une variation totale de -12,52%, passant d'un plus haut de 3 640 FCFA à un plus bas de 2 085 FCFA, pour un cours actuel de 2 200 FCFA — soit un range de trading de 1 555 FCFA (74% d'amplitude), témoignant d'une forte volatilité directionnelle. La dernière séance (J-1) affiche toutefois un rebond de +2,33%, signalant une tentative de stabilisation après la tendance baissière dominante. La moyenne des 100 jours (2 860 FCFA) est supérieure à la médiane (2 808 FCFA), avec un écart modéré de 52 FCFA, ce qui indique une distribution légèrement asymétrique à droite — cohérente avec le skewness positif de 0,220 qui confirme une symétrie quasi-parfaite avec une très légère queue à droite. L'écart-type de 412 FCFA (CV = 14,4%) traduit une dispersion modérée du cours autour de sa moyenne, tandis que le kurtosis de -0,787 (mésokurtique) indique une distribution proche de la normale, sans risque excessif de pics extrêmes — un élément rassurant pour la gestion du risque. La volatilité annualisée de 61,2% classe STAC dans la catégorie des titres à **volatilité élevée** (&gt;30%), ce qui implique un risque de perte en capital significatif et justifie une approche prudente. Le mode à 3 500 FCFA, très éloigné du cours actuel, suggère que le titre a passé l'essentiel de la période à des niveaux supérieurs avant de chuter, et que le cours actuel se situe en bas de la fourchette historique récente.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(2 340,75 FCFA) et la MM50 (2 551,00 FCFA) sont toutes deux supérieures au cours actuel (2 200 FCFA), avec une MM20 en dessous de la MM50 — configuration baissière classique (croisement mort confirmé). Le cours évolue sous ses deux moyennes, ce qui valide la décision de **Vente** émise par le système : la pression vendeuse reste dominante et aucun signal de retournement n'est visible à ce stade.</w:t>
      </w:r>
    </w:p>
    <w:p>
      <w:pPr>
        <w:spacing w:after="120" w:line="276" w:lineRule="auto"/>
      </w:pPr>
      <w:r>
        <w:t>**Bandes de Bollinger** : Le cours (2 200 FCFA) se situe dans la partie basse de la bande, entre la borne inférieure (1 985,14 FCFA) et la borne supérieure (2 696,36 FCFA), sans toucher la borne basse — ce qui explique la décision **Neutre**. L'amplitude des bandes (711 FCFA) reflète une volatilité encore élevée, et la position du cours à 30% de la bande suggère une pression baissière persistante mais sans capitulation.</w:t>
      </w:r>
    </w:p>
    <w:p>
      <w:pPr>
        <w:spacing w:after="120" w:line="276" w:lineRule="auto"/>
      </w:pPr>
      <w:r>
        <w:t>**MACD** : La valeur du MACD (-118,249) est supérieure à son signal (-123,23), générant un croisement haussier (MACD &gt; Signal) qui justifie la décision **Achat**. Cependant, les deux lignes restent profondément en territoire négatif, ce qui indique que ce signal est un simple rebond technique dans une tendance baissière de fond — un signal de faible qualité qu'il convient de traiter avec prudence.</w:t>
      </w:r>
    </w:p>
    <w:p>
      <w:pPr>
        <w:spacing w:after="120" w:line="276" w:lineRule="auto"/>
      </w:pPr>
      <w:r>
        <w:t>**RSI** : À 36,996, le RSI se situe dans la zone neutre basse (30-70), sans atteindre la zone de survente (&lt;30) qui déclencherait un signal d'achat fort. La décision **Neutre** est cohérente : le titre n'est ni suracheté ni survendu, mais la proximité de la zone de survente suggère une faiblesse persistante.</w:t>
      </w:r>
    </w:p>
    <w:p>
      <w:pPr>
        <w:spacing w:after="120" w:line="276" w:lineRule="auto"/>
      </w:pPr>
      <w:r>
        <w:t>**Stochastique** : Le %K (29,114) et le %D (28,94) sont tous deux proches de la zone de survente (20), avec un %K légèrement supérieur au %D — configuration qui pourrait annoncer un croisement haussier imminent. La décision **Neutre** reflète cette incertitude : le signal n'est pas encore confirmé, mais la configuration est plus favorable que pour le RSI.</w:t>
      </w:r>
    </w:p>
    <w:p>
      <w:pPr>
        <w:spacing w:after="120" w:line="276" w:lineRule="auto"/>
      </w:pPr>
      <w:r>
        <w:t>**Conclusion technique** : Les indicateurs techniques présentent un tableau **mitigé à tendance baissière** : les moyennes mobiles confirment la tendance baissière, le MACD donne un signal d'achat contre-tendance de faible qualité, le RSI et le stochastique sont neutres avec une légère proximité de la survente. La convergence des signaux ne plaide pas pour un retournement durable — au mieux, un rebond technique à court terme est possible, mais la structure de fond reste négative.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STAC a réalisé un chiffre d'affaires de 3,878 Mds FCFA, en croissance spectaculaire de +116,26% par rapport à 2024 (1,793 Md FCFA), portée par la reprise des travaux de l'aéroport d'Abidjan. Cependant, cette dynamique commerciale ne s'est pas traduite en rentabilité : le résultat net reste négatif à -96,56 M FCFA (marge nette de -2,49%), l'EBE est déficitaire à -650,13 M FCFA et le résultat d'exploitation à -771,95 M FCFA. Le ROE s'établit à -27,07% et le ROA à -1,77%, confirmant une destruction de valeur pour les actionnaires. La structure financière est très fragile : les capitaux propres ne représentent que 356,75 M FCFA (6,55% du total bilan), l'autonomie financière est de 6,55% (très en dessous du seuil sain de 30%), et le ratio d'endettement atteint 93,45%. Le BFR est négatif à -930,47 M FCFA — un point positif pour la trésorerie — et la trésorerie nette s'élève à 1,330 Md FCFA, mais cette dernière est consommée par les flux opérationnels négatifs (-2,212 Mds FCFA). La capacité de remboursement est de 77,53 années, ce qui est prohibitif.</w:t>
      </w:r>
    </w:p>
    <w:p>
      <w:pPr>
        <w:spacing w:after="120" w:line="276" w:lineRule="auto"/>
      </w:pPr>
      <w:r>
        <w:t>**Estimations basées sur les rapports trimestriels** : Le rapport du 3ème trimestre 2025 (30/09/2025) indique un CA cumulé de 3,456 Mds FCFA (+176% sur 9 mois) et une perte nette de 477 M FCFA en réduction de 22%. La direction maintient une prévision de CA annuel 2025 à 4 Mds FCFA, ce qui implique un T4 très faible (544 M FCFA). Le rapport du 1er semestre 2025 (30/06/2025) faisait état d'un CA de 2,271 Mds FCFA (+290%) et d'une perte nette de 557 M FCFA, avec un résultat financier effondré (4 M FCFA contre 271 M FCFA au S1 2024). Le rapport annuel 2024 (31/12/2024) montrait un CA de 1,793 Md FCFA (-80,6%) et une perte nette de 348 M FCFA, avec des capitaux propres de 453 M FCFA et une trésorerie nette de 3,679 Mds FCFA. Les rapports antérieurs (2021) témoignent d'une entreprise autrefois rentable (CA de 15,9 Mds FCFA en 2020, résultat net de 2,32 Mds FCFA, marge nette de 14,6%), ce qui souligne l'ampleur de la dégradation.</w:t>
      </w:r>
    </w:p>
    <w:p>
      <w:pPr>
        <w:spacing w:after="120" w:line="276" w:lineRule="auto"/>
      </w:pPr>
      <w:r>
        <w:t>**Recommandation fondamentale** : STAC présente un profil fondamental **très dégradé** : malgré une reprise d'activité en 2025, l'entreprise reste structurellement déficitaire, avec des capitaux propres quasi-inexistants, un endettement massif et une dépendance critique à un seul projet (aéroport d'Abidjan). La trajectoire vers la rentabilité n'est pas encore atteinte, et la survie à moyen terme dépend de la sécurisation de nouveaux contrats et d'une recapitalisation. Le risque de dilution ou de faillite est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converge vers un **rejet massif** du titre. La valorisation (Partie 0) est aberrante : PER négatif, P/B de 82,88x et EV/EBITDA incalculable — le marché valorise STAC à 29,57 Mds FCFA pour des capitaux propres de 356,75 M FCFA, soit une prime injustifiable. Le comportement du cours (Partie 1) est baissier (-12,52% sur 100 jours) avec une volatilité élevée (61,2%) et un cours proche de ses plus bas, malgré un rebond technique de +2,33% en J-1. Les signaux techniques (Partie 2) sont mitigés mais globalement baissiers : les moyennes mobiles confirment la tendance négative, le MACD donne un signal d'achat contre-tendance de faible qualité, et le RSI/stochastique sont neutres sans signal fort. Les fondamentaux (Partie 3) sont catastrophiques : perte nette de -96,56 M FCFA en 2025, ROE de -27,07%, autonomie financière de 6,55%, et une dépendance critique à un projet unique. Les prédictions IA (J+1 à J+10) anticipent une poursuite de la baisse vers 2 142 FCFA (-2,6% supplémentaires), confirmant la tendance baissière et contredisant le rebond technique observé en J-1.</w:t>
      </w:r>
    </w:p>
    <w:p>
      <w:pPr>
        <w:spacing w:after="120" w:line="276" w:lineRule="auto"/>
      </w:pPr>
      <w:r>
        <w:t>**Recommandation finale : VENTE FORTE**</w:t>
        <w:br/>
        <w:t>La convergence est totale entre valorisation aberrante, technique baissière, fondamentaux dégradés et prédictions IA négatives. Aucun signal positif durable n'émerge — le rebond de J-1 et le signal MACD sont des artefacts techniques sans substance. Le niveau de confiance est **Élevé** (les données sont concordantes et abondantes), le niveau de risque est **Élevé** (volatilité de 61,2%, risque de faillite, absence de dividendes), et l'horizon d'investissement recommandé est **court terme** pour une sortie immédiate, ou **moyen terme** pour les investisseurs déjà en position qui souhaiteraient attendre un éventuel rebond technique avant de liquider — mais ce choix comporte un risque de perte supplémentaire significatif. En l'état, STAC ne présente aucune caractéristique d'un investissement rationnel : ni rendement, ni sécurité, ni perspective crédible de retournement à court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391.42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3,640 titres</w:t>
            </w:r>
          </w:p>
        </w:tc>
        <w:tc>
          <w:tcPr>
            <w:tcW w:type="dxa" w:w="2268"/>
            <w:shd w:fill="FFF2CC" w:val="clear"/>
          </w:tcPr>
          <w:p>
            <w:r>
              <w:rPr>
                <w:b/>
                <w:color w:val="503200"/>
                <w:sz w:val="16"/>
              </w:rPr>
              <w:t xml:space="preserve">Cours actuel : </w:t>
            </w:r>
            <w:r>
              <w:rPr>
                <w:color w:val="000000"/>
                <w:sz w:val="17"/>
              </w:rPr>
              <w:t>21,800 FCFA</w:t>
            </w:r>
          </w:p>
          <w:p>
            <w:r>
              <w:rPr>
                <w:b/>
                <w:color w:val="503200"/>
                <w:sz w:val="16"/>
              </w:rPr>
              <w:t xml:space="preserve">Var. 100 jours : </w:t>
            </w:r>
            <w:r>
              <w:rPr>
                <w:b/>
                <w:color w:val="007800"/>
                <w:sz w:val="17"/>
              </w:rPr>
              <w:t>+2.40%</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5.02% (Moyenne) — μ=22,547 FCFA, σ=1,131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β=0.4476 (Défensif) — Cov=0.000032, Var(idx)=0.000072, ρ=0.164,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2026-10-06</w:t>
            </w:r>
          </w:p>
        </w:tc>
        <w:tc>
          <w:tcPr>
            <w:tcW w:type="dxa" w:w="1440"/>
            <w:shd w:fill="C6EFCE" w:val="clear"/>
          </w:tcPr>
          <w:p>
            <w:r>
              <w:rPr>
                <w:sz w:val="17"/>
              </w:rPr>
              <w:t>21,725</w:t>
            </w:r>
          </w:p>
        </w:tc>
        <w:tc>
          <w:tcPr>
            <w:tcW w:type="dxa" w:w="1440"/>
            <w:shd w:fill="C6EFCE" w:val="clear"/>
          </w:tcPr>
          <w:p>
            <w:r>
              <w:rPr>
                <w:b/>
                <w:sz w:val="17"/>
              </w:rPr>
              <w:t>22,654</w:t>
            </w:r>
          </w:p>
        </w:tc>
        <w:tc>
          <w:tcPr>
            <w:tcW w:type="dxa" w:w="1440"/>
            <w:shd w:fill="C6EFCE" w:val="clear"/>
          </w:tcPr>
          <w:p>
            <w:r>
              <w:rPr>
                <w:sz w:val="17"/>
              </w:rPr>
              <w:t>23,582</w:t>
            </w:r>
          </w:p>
        </w:tc>
        <w:tc>
          <w:tcPr>
            <w:tcW w:type="dxa" w:w="1440"/>
            <w:shd w:fill="C6EFCE" w:val="clear"/>
          </w:tcPr>
          <w:p>
            <w:r>
              <w:rPr>
                <w:b/>
                <w:color w:val="008000"/>
                <w:sz w:val="17"/>
              </w:rPr>
              <w:t>+3.9%</w:t>
            </w:r>
          </w:p>
        </w:tc>
      </w:tr>
      <w:tr>
        <w:tc>
          <w:tcPr>
            <w:tcW w:type="dxa" w:w="1440"/>
            <w:shd w:fill="C6EFCE" w:val="clear"/>
          </w:tcPr>
          <w:p>
            <w:r>
              <w:rPr>
                <w:sz w:val="17"/>
              </w:rPr>
              <w:t>J+2  ⭐</w:t>
            </w:r>
          </w:p>
        </w:tc>
        <w:tc>
          <w:tcPr>
            <w:tcW w:type="dxa" w:w="1440"/>
            <w:shd w:fill="C6EFCE" w:val="clear"/>
          </w:tcPr>
          <w:p>
            <w:r>
              <w:rPr>
                <w:sz w:val="17"/>
              </w:rPr>
              <w:t>2026-10-07</w:t>
            </w:r>
          </w:p>
        </w:tc>
        <w:tc>
          <w:tcPr>
            <w:tcW w:type="dxa" w:w="1440"/>
            <w:shd w:fill="C6EFCE" w:val="clear"/>
          </w:tcPr>
          <w:p>
            <w:r>
              <w:rPr>
                <w:sz w:val="17"/>
              </w:rPr>
              <w:t>21,635</w:t>
            </w:r>
          </w:p>
        </w:tc>
        <w:tc>
          <w:tcPr>
            <w:tcW w:type="dxa" w:w="1440"/>
            <w:shd w:fill="C6EFCE" w:val="clear"/>
          </w:tcPr>
          <w:p>
            <w:r>
              <w:rPr>
                <w:b/>
                <w:sz w:val="17"/>
              </w:rPr>
              <w:t>22,966</w:t>
            </w:r>
          </w:p>
        </w:tc>
        <w:tc>
          <w:tcPr>
            <w:tcW w:type="dxa" w:w="1440"/>
            <w:shd w:fill="C6EFCE" w:val="clear"/>
          </w:tcPr>
          <w:p>
            <w:r>
              <w:rPr>
                <w:sz w:val="17"/>
              </w:rPr>
              <w:t>24,298</w:t>
            </w:r>
          </w:p>
        </w:tc>
        <w:tc>
          <w:tcPr>
            <w:tcW w:type="dxa" w:w="1440"/>
            <w:shd w:fill="C6EFCE" w:val="clear"/>
          </w:tcPr>
          <w:p>
            <w:r>
              <w:rPr>
                <w:b/>
                <w:color w:val="008000"/>
                <w:sz w:val="17"/>
              </w:rPr>
              <w:t>+5.3%</w:t>
            </w:r>
          </w:p>
        </w:tc>
      </w:tr>
      <w:tr>
        <w:tc>
          <w:tcPr>
            <w:tcW w:type="dxa" w:w="1440"/>
            <w:shd w:fill="C6EFCE" w:val="clear"/>
          </w:tcPr>
          <w:p>
            <w:r>
              <w:rPr>
                <w:sz w:val="17"/>
              </w:rPr>
              <w:t>J+3  ⭐</w:t>
            </w:r>
          </w:p>
        </w:tc>
        <w:tc>
          <w:tcPr>
            <w:tcW w:type="dxa" w:w="1440"/>
            <w:shd w:fill="C6EFCE" w:val="clear"/>
          </w:tcPr>
          <w:p>
            <w:r>
              <w:rPr>
                <w:sz w:val="17"/>
              </w:rPr>
              <w:t>2026-10-08</w:t>
            </w:r>
          </w:p>
        </w:tc>
        <w:tc>
          <w:tcPr>
            <w:tcW w:type="dxa" w:w="1440"/>
            <w:shd w:fill="C6EFCE" w:val="clear"/>
          </w:tcPr>
          <w:p>
            <w:r>
              <w:rPr>
                <w:sz w:val="17"/>
              </w:rPr>
              <w:t>21,604</w:t>
            </w:r>
          </w:p>
        </w:tc>
        <w:tc>
          <w:tcPr>
            <w:tcW w:type="dxa" w:w="1440"/>
            <w:shd w:fill="C6EFCE" w:val="clear"/>
          </w:tcPr>
          <w:p>
            <w:r>
              <w:rPr>
                <w:b/>
                <w:sz w:val="17"/>
              </w:rPr>
              <w:t>23,255</w:t>
            </w:r>
          </w:p>
        </w:tc>
        <w:tc>
          <w:tcPr>
            <w:tcW w:type="dxa" w:w="1440"/>
            <w:shd w:fill="C6EFCE" w:val="clear"/>
          </w:tcPr>
          <w:p>
            <w:r>
              <w:rPr>
                <w:sz w:val="17"/>
              </w:rPr>
              <w:t>24,906</w:t>
            </w:r>
          </w:p>
        </w:tc>
        <w:tc>
          <w:tcPr>
            <w:tcW w:type="dxa" w:w="1440"/>
            <w:shd w:fill="C6EFCE" w:val="clear"/>
          </w:tcPr>
          <w:p>
            <w:r>
              <w:rPr>
                <w:b/>
                <w:color w:val="008000"/>
                <w:sz w:val="17"/>
              </w:rPr>
              <w:t>+6.7%</w:t>
            </w:r>
          </w:p>
        </w:tc>
      </w:tr>
      <w:tr>
        <w:tc>
          <w:tcPr>
            <w:tcW w:type="dxa" w:w="1440"/>
            <w:shd w:fill="C6EFCE" w:val="clear"/>
          </w:tcPr>
          <w:p>
            <w:r>
              <w:rPr>
                <w:sz w:val="17"/>
              </w:rPr>
              <w:t>J+4  ⭐</w:t>
            </w:r>
          </w:p>
        </w:tc>
        <w:tc>
          <w:tcPr>
            <w:tcW w:type="dxa" w:w="1440"/>
            <w:shd w:fill="C6EFCE" w:val="clear"/>
          </w:tcPr>
          <w:p>
            <w:r>
              <w:rPr>
                <w:sz w:val="17"/>
              </w:rPr>
              <w:t>2026-10-09</w:t>
            </w:r>
          </w:p>
        </w:tc>
        <w:tc>
          <w:tcPr>
            <w:tcW w:type="dxa" w:w="1440"/>
            <w:shd w:fill="C6EFCE" w:val="clear"/>
          </w:tcPr>
          <w:p>
            <w:r>
              <w:rPr>
                <w:sz w:val="17"/>
              </w:rPr>
              <w:t>21,548</w:t>
            </w:r>
          </w:p>
        </w:tc>
        <w:tc>
          <w:tcPr>
            <w:tcW w:type="dxa" w:w="1440"/>
            <w:shd w:fill="C6EFCE" w:val="clear"/>
          </w:tcPr>
          <w:p>
            <w:r>
              <w:rPr>
                <w:b/>
                <w:sz w:val="17"/>
              </w:rPr>
              <w:t>23,472</w:t>
            </w:r>
          </w:p>
        </w:tc>
        <w:tc>
          <w:tcPr>
            <w:tcW w:type="dxa" w:w="1440"/>
            <w:shd w:fill="C6EFCE" w:val="clear"/>
          </w:tcPr>
          <w:p>
            <w:r>
              <w:rPr>
                <w:sz w:val="17"/>
              </w:rPr>
              <w:t>25,397</w:t>
            </w:r>
          </w:p>
        </w:tc>
        <w:tc>
          <w:tcPr>
            <w:tcW w:type="dxa" w:w="1440"/>
            <w:shd w:fill="C6EFCE" w:val="clear"/>
          </w:tcPr>
          <w:p>
            <w:r>
              <w:rPr>
                <w:b/>
                <w:color w:val="008000"/>
                <w:sz w:val="17"/>
              </w:rPr>
              <w:t>+7.7%</w:t>
            </w:r>
          </w:p>
        </w:tc>
      </w:tr>
      <w:tr>
        <w:tc>
          <w:tcPr>
            <w:tcW w:type="dxa" w:w="1440"/>
            <w:shd w:fill="C6EFCE" w:val="clear"/>
          </w:tcPr>
          <w:p>
            <w:r>
              <w:rPr>
                <w:sz w:val="17"/>
              </w:rPr>
              <w:t>J+5  ⭐</w:t>
            </w:r>
          </w:p>
        </w:tc>
        <w:tc>
          <w:tcPr>
            <w:tcW w:type="dxa" w:w="1440"/>
            <w:shd w:fill="C6EFCE" w:val="clear"/>
          </w:tcPr>
          <w:p>
            <w:r>
              <w:rPr>
                <w:sz w:val="17"/>
              </w:rPr>
              <w:t>2026-10-12</w:t>
            </w:r>
          </w:p>
        </w:tc>
        <w:tc>
          <w:tcPr>
            <w:tcW w:type="dxa" w:w="1440"/>
            <w:shd w:fill="C6EFCE" w:val="clear"/>
          </w:tcPr>
          <w:p>
            <w:r>
              <w:rPr>
                <w:sz w:val="17"/>
              </w:rPr>
              <w:t>21,441</w:t>
            </w:r>
          </w:p>
        </w:tc>
        <w:tc>
          <w:tcPr>
            <w:tcW w:type="dxa" w:w="1440"/>
            <w:shd w:fill="C6EFCE" w:val="clear"/>
          </w:tcPr>
          <w:p>
            <w:r>
              <w:rPr>
                <w:b/>
                <w:sz w:val="17"/>
              </w:rPr>
              <w:t>23,605</w:t>
            </w:r>
          </w:p>
        </w:tc>
        <w:tc>
          <w:tcPr>
            <w:tcW w:type="dxa" w:w="1440"/>
            <w:shd w:fill="C6EFCE" w:val="clear"/>
          </w:tcPr>
          <w:p>
            <w:r>
              <w:rPr>
                <w:sz w:val="17"/>
              </w:rPr>
              <w:t>25,769</w:t>
            </w:r>
          </w:p>
        </w:tc>
        <w:tc>
          <w:tcPr>
            <w:tcW w:type="dxa" w:w="1440"/>
            <w:shd w:fill="C6EFCE" w:val="clear"/>
          </w:tcPr>
          <w:p>
            <w:r>
              <w:rPr>
                <w:b/>
                <w:color w:val="008000"/>
                <w:sz w:val="17"/>
              </w:rPr>
              <w:t>+8.3%</w:t>
            </w:r>
          </w:p>
        </w:tc>
      </w:tr>
      <w:tr>
        <w:tc>
          <w:tcPr>
            <w:tcW w:type="dxa" w:w="1440"/>
            <w:shd w:fill="C6EFCE" w:val="clear"/>
          </w:tcPr>
          <w:p>
            <w:r>
              <w:rPr>
                <w:sz w:val="17"/>
              </w:rPr>
              <w:t>J+6  ⭐</w:t>
            </w:r>
          </w:p>
        </w:tc>
        <w:tc>
          <w:tcPr>
            <w:tcW w:type="dxa" w:w="1440"/>
            <w:shd w:fill="C6EFCE" w:val="clear"/>
          </w:tcPr>
          <w:p>
            <w:r>
              <w:rPr>
                <w:sz w:val="17"/>
              </w:rPr>
              <w:t>2026-10-13</w:t>
            </w:r>
          </w:p>
        </w:tc>
        <w:tc>
          <w:tcPr>
            <w:tcW w:type="dxa" w:w="1440"/>
            <w:shd w:fill="C6EFCE" w:val="clear"/>
          </w:tcPr>
          <w:p>
            <w:r>
              <w:rPr>
                <w:sz w:val="17"/>
              </w:rPr>
              <w:t>21,388</w:t>
            </w:r>
          </w:p>
        </w:tc>
        <w:tc>
          <w:tcPr>
            <w:tcW w:type="dxa" w:w="1440"/>
            <w:shd w:fill="C6EFCE" w:val="clear"/>
          </w:tcPr>
          <w:p>
            <w:r>
              <w:rPr>
                <w:b/>
                <w:sz w:val="17"/>
              </w:rPr>
              <w:t>23,775</w:t>
            </w:r>
          </w:p>
        </w:tc>
        <w:tc>
          <w:tcPr>
            <w:tcW w:type="dxa" w:w="1440"/>
            <w:shd w:fill="C6EFCE" w:val="clear"/>
          </w:tcPr>
          <w:p>
            <w:r>
              <w:rPr>
                <w:sz w:val="17"/>
              </w:rPr>
              <w:t>26,163</w:t>
            </w:r>
          </w:p>
        </w:tc>
        <w:tc>
          <w:tcPr>
            <w:tcW w:type="dxa" w:w="1440"/>
            <w:shd w:fill="C6EFCE" w:val="clear"/>
          </w:tcPr>
          <w:p>
            <w:r>
              <w:rPr>
                <w:b/>
                <w:color w:val="008000"/>
                <w:sz w:val="17"/>
              </w:rPr>
              <w:t>+9.1%</w:t>
            </w:r>
          </w:p>
        </w:tc>
      </w:tr>
      <w:tr>
        <w:tc>
          <w:tcPr>
            <w:tcW w:type="dxa" w:w="1440"/>
            <w:shd w:fill="C6EFCE" w:val="clear"/>
          </w:tcPr>
          <w:p>
            <w:r>
              <w:rPr>
                <w:sz w:val="17"/>
              </w:rPr>
              <w:t>J+7  ⭐</w:t>
            </w:r>
          </w:p>
        </w:tc>
        <w:tc>
          <w:tcPr>
            <w:tcW w:type="dxa" w:w="1440"/>
            <w:shd w:fill="C6EFCE" w:val="clear"/>
          </w:tcPr>
          <w:p>
            <w:r>
              <w:rPr>
                <w:sz w:val="17"/>
              </w:rPr>
              <w:t>2026-10-14</w:t>
            </w:r>
          </w:p>
        </w:tc>
        <w:tc>
          <w:tcPr>
            <w:tcW w:type="dxa" w:w="1440"/>
            <w:shd w:fill="C6EFCE" w:val="clear"/>
          </w:tcPr>
          <w:p>
            <w:r>
              <w:rPr>
                <w:sz w:val="17"/>
              </w:rPr>
              <w:t>21,419</w:t>
            </w:r>
          </w:p>
        </w:tc>
        <w:tc>
          <w:tcPr>
            <w:tcW w:type="dxa" w:w="1440"/>
            <w:shd w:fill="C6EFCE" w:val="clear"/>
          </w:tcPr>
          <w:p>
            <w:r>
              <w:rPr>
                <w:b/>
                <w:sz w:val="17"/>
              </w:rPr>
              <w:t>24,025</w:t>
            </w:r>
          </w:p>
        </w:tc>
        <w:tc>
          <w:tcPr>
            <w:tcW w:type="dxa" w:w="1440"/>
            <w:shd w:fill="C6EFCE" w:val="clear"/>
          </w:tcPr>
          <w:p>
            <w:r>
              <w:rPr>
                <w:sz w:val="17"/>
              </w:rPr>
              <w:t>26,630</w:t>
            </w:r>
          </w:p>
        </w:tc>
        <w:tc>
          <w:tcPr>
            <w:tcW w:type="dxa" w:w="1440"/>
            <w:shd w:fill="C6EFCE" w:val="clear"/>
          </w:tcPr>
          <w:p>
            <w:r>
              <w:rPr>
                <w:b/>
                <w:color w:val="008000"/>
                <w:sz w:val="17"/>
              </w:rPr>
              <w:t>+10.2%</w:t>
            </w:r>
          </w:p>
        </w:tc>
      </w:tr>
      <w:tr>
        <w:tc>
          <w:tcPr>
            <w:tcW w:type="dxa" w:w="1440"/>
            <w:shd w:fill="C6EFCE" w:val="clear"/>
          </w:tcPr>
          <w:p>
            <w:r>
              <w:rPr>
                <w:sz w:val="17"/>
              </w:rPr>
              <w:t>J+8  ⭐</w:t>
            </w:r>
          </w:p>
        </w:tc>
        <w:tc>
          <w:tcPr>
            <w:tcW w:type="dxa" w:w="1440"/>
            <w:shd w:fill="C6EFCE" w:val="clear"/>
          </w:tcPr>
          <w:p>
            <w:r>
              <w:rPr>
                <w:sz w:val="17"/>
              </w:rPr>
              <w:t>2026-10-15</w:t>
            </w:r>
          </w:p>
        </w:tc>
        <w:tc>
          <w:tcPr>
            <w:tcW w:type="dxa" w:w="1440"/>
            <w:shd w:fill="C6EFCE" w:val="clear"/>
          </w:tcPr>
          <w:p>
            <w:r>
              <w:rPr>
                <w:sz w:val="17"/>
              </w:rPr>
              <w:t>21,356</w:t>
            </w:r>
          </w:p>
        </w:tc>
        <w:tc>
          <w:tcPr>
            <w:tcW w:type="dxa" w:w="1440"/>
            <w:shd w:fill="C6EFCE" w:val="clear"/>
          </w:tcPr>
          <w:p>
            <w:r>
              <w:rPr>
                <w:b/>
                <w:sz w:val="17"/>
              </w:rPr>
              <w:t>24,157</w:t>
            </w:r>
          </w:p>
        </w:tc>
        <w:tc>
          <w:tcPr>
            <w:tcW w:type="dxa" w:w="1440"/>
            <w:shd w:fill="C6EFCE" w:val="clear"/>
          </w:tcPr>
          <w:p>
            <w:r>
              <w:rPr>
                <w:sz w:val="17"/>
              </w:rPr>
              <w:t>26,958</w:t>
            </w:r>
          </w:p>
        </w:tc>
        <w:tc>
          <w:tcPr>
            <w:tcW w:type="dxa" w:w="1440"/>
            <w:shd w:fill="C6EFCE" w:val="clear"/>
          </w:tcPr>
          <w:p>
            <w:r>
              <w:rPr>
                <w:b/>
                <w:color w:val="008000"/>
                <w:sz w:val="17"/>
              </w:rPr>
              <w:t>+10.8%</w:t>
            </w:r>
          </w:p>
        </w:tc>
      </w:tr>
      <w:tr>
        <w:tc>
          <w:tcPr>
            <w:tcW w:type="dxa" w:w="1440"/>
            <w:shd w:fill="C6EFCE" w:val="clear"/>
          </w:tcPr>
          <w:p>
            <w:r>
              <w:rPr>
                <w:sz w:val="17"/>
              </w:rPr>
              <w:t>J+9  ⭐</w:t>
            </w:r>
          </w:p>
        </w:tc>
        <w:tc>
          <w:tcPr>
            <w:tcW w:type="dxa" w:w="1440"/>
            <w:shd w:fill="C6EFCE" w:val="clear"/>
          </w:tcPr>
          <w:p>
            <w:r>
              <w:rPr>
                <w:sz w:val="17"/>
              </w:rPr>
              <w:t>2026-10-16</w:t>
            </w:r>
          </w:p>
        </w:tc>
        <w:tc>
          <w:tcPr>
            <w:tcW w:type="dxa" w:w="1440"/>
            <w:shd w:fill="C6EFCE" w:val="clear"/>
          </w:tcPr>
          <w:p>
            <w:r>
              <w:rPr>
                <w:sz w:val="17"/>
              </w:rPr>
              <w:t>21,298</w:t>
            </w:r>
          </w:p>
        </w:tc>
        <w:tc>
          <w:tcPr>
            <w:tcW w:type="dxa" w:w="1440"/>
            <w:shd w:fill="C6EFCE" w:val="clear"/>
          </w:tcPr>
          <w:p>
            <w:r>
              <w:rPr>
                <w:b/>
                <w:sz w:val="17"/>
              </w:rPr>
              <w:t>24,284</w:t>
            </w:r>
          </w:p>
        </w:tc>
        <w:tc>
          <w:tcPr>
            <w:tcW w:type="dxa" w:w="1440"/>
            <w:shd w:fill="C6EFCE" w:val="clear"/>
          </w:tcPr>
          <w:p>
            <w:r>
              <w:rPr>
                <w:sz w:val="17"/>
              </w:rPr>
              <w:t>27,271</w:t>
            </w:r>
          </w:p>
        </w:tc>
        <w:tc>
          <w:tcPr>
            <w:tcW w:type="dxa" w:w="1440"/>
            <w:shd w:fill="C6EFCE" w:val="clear"/>
          </w:tcPr>
          <w:p>
            <w:r>
              <w:rPr>
                <w:b/>
                <w:color w:val="008000"/>
                <w:sz w:val="17"/>
              </w:rPr>
              <w:t>+11.4%</w:t>
            </w:r>
          </w:p>
        </w:tc>
      </w:tr>
      <w:tr>
        <w:tc>
          <w:tcPr>
            <w:tcW w:type="dxa" w:w="1440"/>
            <w:shd w:fill="C6EFCE" w:val="clear"/>
          </w:tcPr>
          <w:p>
            <w:r>
              <w:rPr>
                <w:sz w:val="17"/>
              </w:rPr>
              <w:t>J+10  ⭐</w:t>
            </w:r>
          </w:p>
        </w:tc>
        <w:tc>
          <w:tcPr>
            <w:tcW w:type="dxa" w:w="1440"/>
            <w:shd w:fill="C6EFCE" w:val="clear"/>
          </w:tcPr>
          <w:p>
            <w:r>
              <w:rPr>
                <w:sz w:val="17"/>
              </w:rPr>
              <w:t>2026-10-19</w:t>
            </w:r>
          </w:p>
        </w:tc>
        <w:tc>
          <w:tcPr>
            <w:tcW w:type="dxa" w:w="1440"/>
            <w:shd w:fill="C6EFCE" w:val="clear"/>
          </w:tcPr>
          <w:p>
            <w:r>
              <w:rPr>
                <w:sz w:val="17"/>
              </w:rPr>
              <w:t>21,224</w:t>
            </w:r>
          </w:p>
        </w:tc>
        <w:tc>
          <w:tcPr>
            <w:tcW w:type="dxa" w:w="1440"/>
            <w:shd w:fill="C6EFCE" w:val="clear"/>
          </w:tcPr>
          <w:p>
            <w:r>
              <w:rPr>
                <w:b/>
                <w:sz w:val="17"/>
              </w:rPr>
              <w:t>24,385</w:t>
            </w:r>
          </w:p>
        </w:tc>
        <w:tc>
          <w:tcPr>
            <w:tcW w:type="dxa" w:w="1440"/>
            <w:shd w:fill="C6EFCE" w:val="clear"/>
          </w:tcPr>
          <w:p>
            <w:r>
              <w:rPr>
                <w:sz w:val="17"/>
              </w:rPr>
              <w:t>27,546</w:t>
            </w:r>
          </w:p>
        </w:tc>
        <w:tc>
          <w:tcPr>
            <w:tcW w:type="dxa" w:w="1440"/>
            <w:shd w:fill="C6EFCE" w:val="clear"/>
          </w:tcPr>
          <w:p>
            <w:r>
              <w:rPr>
                <w:b/>
                <w:color w:val="008000"/>
                <w:sz w:val="17"/>
              </w:rPr>
              <w:t>+11.9%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financière (Distribution de tabac)*</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391,42 milliards FCFA, STBC se positionne parmi les valeurs les plus importantes de la cote BRVM, ce qui témoigne de sa liquidité relative et de son poids dans les indices régionaux. Le BPA de 2 014 FCFA/action signifie que chaque titre génère environ 2 014 FCFA de bénéfice net, un niveau élevé qui reflète la forte rentabilité de la société. Le PER de 10,8x place le titre dans la fourchette modérée de la BRVM (moyenne ~8-12x), indiquant que les investisseurs ne paient pas une prime excessive pour les bénéfices actuels. En revanche, le P/B de 8,63x signale une valorisation très exigeante par rapport à la valeur comptable (seuil d'alerte &gt;4x), ce qui s'explique par la structure de capital légère de SITAB (peu d'actifs corporels, activité de trading). Enfin, l'EV/EBITDA de 7,8x, dans la fourchette raisonnable de 5-10x, suggère que la valeur totale de l'entreprise reste cohérente avec sa capacité opérationnelle, malgré la prime comptable.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variation totale positive de +2,40%, bien que la dernière séance (J-1) se soit soldée par un repli de -0,77%, traduisant une légère pression vendeuse à court terme. Le cours actuel de 21 800 FCFA évolue dans un range de trading de 4 105 FCFA, entre un plus bas de 20 895 FCFA et un plus haut de 25 000 FCFA, ce qui témoigne d'une tendance globalement stable avec une légère inclinaison haussière sur la période. Les statistiques descriptives révèlent une moyenne de 22 547 FCFA supérieure à la médiane de 22 218 FCFA, confirmant une asymétrie positive (skewness de 0,539) : le cours a passé plus de journées sous sa moyenne, mais quelques pics hauts tirent la moyenne vers le haut. L'écart-type de 1 137 FCFA et le coefficient de variation de 5,0% indiquent une dispersion modérée du cours autour de sa tendance, tandis que le kurtosis de -0,746 (mésokurtique) suggère une distribution proche de la normale, sans risque excessif de pics extrêmes. La volatilité annualisée de 36,7% classe le titre dans la catégorie des valeurs à volatilité élevée (&gt;30%), ce qui implique un risque de fluctuation important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(21 729,25 FCFA) est inférieure à la MM50 (22 549,30 FCFA), et le cours actuel (21 800 FCFA) se situe au-dessus de la MM20 mais en-dessous de la MM50. Cette configuration traduit une pression baissière de moyen terme, justifiant la décision technique de **Vente** : le titre évolue sous sa moyenne longue, signalant une faiblesse relative.</w:t>
      </w:r>
    </w:p>
    <w:p>
      <w:pPr>
        <w:spacing w:after="120" w:line="276" w:lineRule="auto"/>
      </w:pPr>
      <w:r>
        <w:t>**Bandes de Bollinger** : Le cours (21 800 FCFA) se situe dans la partie basse de la bande, entre la borne inférieure (20 989,08 FCFA) et la borne supérieure (22 469,42 FCFA), sans atteindre les extrêmes. La décision **Neutre** reflète l'absence de signal fort : le titre n'est ni en surachat ni en survente, et la volatilité (largeur des bandes) reste modérée, sans compression annonçant une cassure imminente.</w:t>
      </w:r>
    </w:p>
    <w:p>
      <w:pPr>
        <w:spacing w:after="120" w:line="276" w:lineRule="auto"/>
      </w:pPr>
      <w:r>
        <w:t>**MACD** : La valeur du MACD (-210,97) est supérieure à son signal (-313,50), formant un croisement haussier (MACD au-dessus du signal). Cette divergence positive indique un momentum en amélioration, justifiant la décision **Achat** : bien que les deux lignes restent en territoire négatif, la dynamique baissière s'essouffle, ouvrant la voie à un rebond technique.</w:t>
      </w:r>
    </w:p>
    <w:p>
      <w:pPr>
        <w:spacing w:after="120" w:line="276" w:lineRule="auto"/>
      </w:pPr>
      <w:r>
        <w:t>**RSI** : À 48,91, le RSI se situe dans la zone neutre (30-70), sans signal de surachat (&gt;70) ni de survente (&lt;30). La décision **Neutre** est cohérente : le titre n'affiche pas de déséquilibre marqué entre acheteurs et vendeurs, et le momentum est équilibré.</w:t>
      </w:r>
    </w:p>
    <w:p>
      <w:pPr>
        <w:spacing w:after="120" w:line="276" w:lineRule="auto"/>
      </w:pPr>
      <w:r>
        <w:t>**Stochastique** : Le %K (83,80) et le %D (88,57) sont tous deux en zone de surachat (&gt;80), avec un %K légèrement inférieur au %D, ce qui pourrait annoncer un croisement baissier imminent. La décision **Vente** est justifiée : le titre approche d'un sommet de court terme, et une correction est probable.</w:t>
      </w:r>
    </w:p>
    <w:p>
      <w:pPr>
        <w:spacing w:after="120" w:line="276" w:lineRule="auto"/>
      </w:pPr>
      <w:r>
        <w:t>**Conclusion technique** : Les indicateurs techniques présentent des signaux divergents. Les moyennes mobiles et le stochastique plaident pour une vente (pression baissière de moyen terme, surachat de court terme), tandis que le MACD suggère un achat (croisement haussier). Le RSI et les bandes de Bollinger restent neutres, reflétant l'absence de tendance directionnelle claire. Dans l'ensemble, le titre évolue dans une phase de consolidation avec un léger biais baissier, et les signaux d'achat du MACD ne sont pas encore confirmés par les autres indicateurs.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SITAB a réalisé un chiffre d'affaires de 268,537 milliards FCFA, en croissance de +25,30% par rapport à 2024, portée par une hausse des volumes (+5,6%) et un effet prix favorable. Le résultat net s'établit à 36,158 milliards FCFA, en baisse de -17,5% par rapport à 2024 (44,174 milliards FCFA), sous l'effet de la hausse des droits d'accises (de 49% à 70%) et d'un contrôle fiscal. La marge nette se contracte à 13,46% (contre 20,4% en 2024), tandis que la marge opérationnelle recule à 17,12%. Le ROE reste exceptionnel à 79,75% (résultat net/capitaux propres), et le ROA atteint 48,09%, confirmant la forte rentabilité des actifs. La structure financière est très saine : autonomie financière de 60,30%, endettement quasi nul (dettes financières de 1,4 million FCFA), et trésorerie nette de 30,763 milliards FCFA. Le BFR est négatif (5,639 milliards FCFA), un point favorable pour une entreprise de distribution, et les délais clients (42,57 jours) et de stockage (5,73 jours) sont maîtrisés.</w:t>
      </w:r>
    </w:p>
    <w:p>
      <w:pPr>
        <w:spacing w:after="120" w:line="276" w:lineRule="auto"/>
      </w:pPr>
      <w:r>
        <w:t>**Adaptation au secteur (entreprise non financière)** : L'activité de SITAB est un modèle de "pur trading" (distribution de tabac), avec des marges brutes de 22,87% et une rotation des actifs de 357,17% (CA/Total actif), traduisant une efficacité opérationnelle élevée. Le principal risque est la dépendance au secteur du tabac, soumis à une fiscalité croissante et à des risques réglementaires (interdiction de publicité, hausse des taxes). La politique de dividende est très généreuse : le DPA proposé pour 2025 est de 1 940 FCFA (rendement de ~8,9% sur la base du cours actuel de 21 800 FCFA), avec un taux de distribution de 84,9% (30,97 milliards FCFA distribués sur 36,46 milliards FCFA de bénéfice net). Cependant, ce taux élevé limite la capacité de réinvestissement et pourrait affaiblir la trésorerie à long terme.</w:t>
      </w:r>
    </w:p>
    <w:p>
      <w:pPr>
        <w:spacing w:after="120" w:line="276" w:lineRule="auto"/>
      </w:pPr>
      <w:r>
        <w:t>**Estimations basées sur les rapports trimestriels** : Les rapports T1 2026 (CA +12% à 68,8 milliards FCFA, volumes +10%) et T2 2026 (CA +1% à 70,05 milliards FCFA, résultat net stable à 8,64 milliards FCFA) indiquent un redressement de la dynamique commerciale après la contraction de 2025. On estime que l'exercice 2026 devrait afficher une croissance du CA de l'ordre de +8% à +10%, avec un résultat net en légère hausse si la maîtrise des charges se confirme. Le rapport T1 2026 (publié en 2026) souligne une "pression continue sur les marges opérationnelles" due à l'augmentation des charges courantes, un risque à surveiller. Le rapport T2 2026 (publié en 2026) met en avant une "stabilité remarquable" de la rentabilité nette (&gt;12%), mais aussi une "croissance des volumes quasi nulle" (+0,22%), ce qui limite les perspectives de croissance à moyen terme.</w:t>
      </w:r>
    </w:p>
    <w:p>
      <w:pPr>
        <w:spacing w:after="120" w:line="276" w:lineRule="auto"/>
      </w:pPr>
      <w:r>
        <w:t>**Évolution temporelle** : Entre 2024 et 2025, SITAB a connu une dégradation de sa rentabilité (marge nette de 20,4% à 13,6%) malgré une forte croissance du CA (+25,3%). Cette tendance s'explique par la hausse des droits d'accises et des charges opérationnelles. Pour 2026, les rapports trimestriels suggèrent une stabilisation de la rentabilité (marge nette ~13,5% au T1 2026), mais la croissance des volumes reste fragile.</w:t>
      </w:r>
    </w:p>
    <w:p>
      <w:pPr>
        <w:spacing w:after="120" w:line="276" w:lineRule="auto"/>
      </w:pPr>
      <w:r>
        <w:t>**Recommandation fondamentale** : SITAB reste une valeur de rendement solide, avec une structure financière saine (zéro dette, trésorerie élevée) et une rentabilité supérieure à la moyenne du secteur. Cependant, la dégradation des marges, la politique de dividende agressive et les risques réglementaires incitent à la prudence. La recommandation fondamentale est **CONSERVER**, en attendant des signaux plus clairs de redressement de la rentabilité et de croissance des volumes.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**Valorisation (Partie 0)** : Le PER de 10,8x indique une valorisation modérée, cohérente avec la moyenne BRVM (8-12x), mais le P/B de 8,63x signale une prime excessive par rapport à la valeur comptable. L'EV/EBITDA de 7,8x reste raisonnable, suggérant que le titre n'est ni sous-évalué ni surévalué de manière flagrante.</w:t>
      </w:r>
    </w:p>
    <w:p>
      <w:pPr>
        <w:spacing w:after="120" w:line="276" w:lineRule="auto"/>
      </w:pPr>
      <w:r>
        <w:t>**Comportement du cours (Partie 1)** : La tendance sur 100 jours est légèrement haussière (+2,40%), mais la volatilité annualisée de 36,7% est élevée, ce qui implique un risque important. Les statistiques descriptives (skewness positif, kurtosis mésokurtique) indiquent une distribution proche de la normale, sans risque excessif de pics extrêmes, mais la dispersion du cours (CV de 5,0%) reste modérée.</w:t>
      </w:r>
    </w:p>
    <w:p>
      <w:pPr>
        <w:spacing w:after="120" w:line="276" w:lineRule="auto"/>
      </w:pPr>
      <w:r>
        <w:t>**Signaux techniques (Partie 2)** : Les indicateurs sont divergents : les moyennes mobiles et le stochastique plaident pour une vente, tandis que le MACD suggère un achat. Le RSI et les bandes de Bollinger restent neutres. Cette divergence reflète une phase de consolidation sans direction claire, avec un léger biais baissier.</w:t>
      </w:r>
    </w:p>
    <w:p>
      <w:pPr>
        <w:spacing w:after="120" w:line="276" w:lineRule="auto"/>
      </w:pPr>
      <w:r>
        <w:t>**Fondamentaux (Partie 3)** : SITAB affiche une croissance solide du CA (+25,3% en 2025) et une rentabilité élevée (ROE de 79,75%), mais la dégradation des marges (marge nette de 13,6% en 2025 contre 20,4% en 2024) et la politique de dividende agressive (taux de distribution de 84,9%) sont des points de vigilance. Les rapports T1 et T2 2026 indiquent une stabilisation de la rentabilité, mais une croissance des volumes quasi nulle.</w:t>
      </w:r>
    </w:p>
    <w:p>
      <w:pPr>
        <w:spacing w:after="120" w:line="276" w:lineRule="auto"/>
      </w:pPr>
      <w:r>
        <w:t>**Prédictions IA (J+1 à J+10)** : Les prédictions tablent sur une hausse progressive du cours, de 22 654 FCFA (J+1) à 23 605 FCFA (J+5), soit une progression de +8,3% sur 10 jours ouvrables. Cette trajectoire haussière contredit les signaux baissiers des moyennes mobiles et du stochastique, mais est cohérente avec le croisement haussier du MACD.</w:t>
      </w:r>
    </w:p>
    <w:p>
      <w:pPr>
        <w:spacing w:after="120" w:line="276" w:lineRule="auto"/>
      </w:pPr>
      <w:r>
        <w:t>**Synthèse globale** : La valorisation est modérée (PER de 10,8x), mais la prime comptable (P/B de 8,63x) est élevée. Le comportement du cours est volatil (36,7% de volatilité annualisée) et les signaux techniques sont divergents. Les fondamentaux restent solides (croissance du CA, rentabilité élevée, zéro dette), mais la dégradation des marges et la politique de dividende agressive sont préoccupantes. Les prédictions IA suggèrent une hausse à court terme, ce qui pourrait offrir une opportunité de trading, mais les risques baissiers persistent.</w:t>
      </w:r>
    </w:p>
    <w:p>
      <w:pPr>
        <w:spacing w:after="120" w:line="276" w:lineRule="auto"/>
      </w:pPr>
      <w:r>
        <w:t>**Recommandation finale** : **CONSERVER**. La convergence entre la valorisation modérée, les fondamentaux solides et les prédictions haussières à court terme justifie une position de conservation, mais les signaux techniques divergents et les risques réglementaires incitent à la prudence. Un achat n'est pas conseillé tant que la tendance baissière des marges n'est pas inversée.</w:t>
      </w:r>
    </w:p>
    <w:p>
      <w:pPr>
        <w:spacing w:after="120" w:line="276" w:lineRule="auto"/>
      </w:pPr>
      <w:r>
        <w:t>**Niveau de confiance** : Moyen. Les signaux sont divergents (technique baissier, fondamental solide, prédictions haussières), ce qui réduit la visibilité.</w:t>
      </w:r>
    </w:p>
    <w:p>
      <w:pPr>
        <w:spacing w:after="120" w:line="276" w:lineRule="auto"/>
      </w:pPr>
      <w:r>
        <w:t>**Niveau de risque global** : Moyen à Élevé. La volatilité élevée (36,7%) et les risques réglementaires (fiscalité, restrictions) augmentent le risque, mais la structure financière saine (zéro dette, trésorerie élevée) limite le risque de défaut.</w:t>
      </w:r>
    </w:p>
    <w:p>
      <w:pPr>
        <w:spacing w:after="120" w:line="276" w:lineRule="auto"/>
      </w:pPr>
      <w:r>
        <w:t>**Horizon d'investissement optimal** : Moyen terme (3-12 mois). Les investisseurs peuvent conserver le titre pour son rendement (dividende de 1 940 FCFA, soit ~8,9%) et attendre des signaux plus clairs de redressement de la rentabilité avant d'envisager un renforcement.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190.46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7,061 titres</w:t>
            </w:r>
          </w:p>
        </w:tc>
        <w:tc>
          <w:tcPr>
            <w:tcW w:type="dxa" w:w="2268"/>
            <w:shd w:fill="FFF2CC" w:val="clear"/>
          </w:tcPr>
          <w:p>
            <w:r>
              <w:rPr>
                <w:b/>
                <w:color w:val="503200"/>
                <w:sz w:val="16"/>
              </w:rPr>
              <w:t xml:space="preserve">Cours actuel : </w:t>
            </w:r>
            <w:r>
              <w:rPr>
                <w:color w:val="000000"/>
                <w:sz w:val="17"/>
              </w:rPr>
              <w:t>3,025 FCFA</w:t>
            </w:r>
          </w:p>
          <w:p>
            <w:r>
              <w:rPr>
                <w:b/>
                <w:color w:val="503200"/>
                <w:sz w:val="16"/>
              </w:rPr>
              <w:t xml:space="preserve">Var. 100 jours : </w:t>
            </w:r>
            <w:r>
              <w:rPr>
                <w:b/>
                <w:color w:val="007800"/>
                <w:sz w:val="17"/>
              </w:rPr>
              <w:t>+6.14%</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6.32% (Moyenne) — μ=3,023 FCFA, σ=191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β=0.0906 (Défensif) — Cov=0.000007, Var(idx)=0.000072, ρ=0.029,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7,061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2026-10-06</w:t>
            </w:r>
          </w:p>
        </w:tc>
        <w:tc>
          <w:tcPr>
            <w:tcW w:type="dxa" w:w="1440"/>
            <w:shd w:fill="FAFAFA" w:val="clear"/>
          </w:tcPr>
          <w:p>
            <w:r>
              <w:rPr>
                <w:sz w:val="17"/>
              </w:rPr>
              <w:t>2,891</w:t>
            </w:r>
          </w:p>
        </w:tc>
        <w:tc>
          <w:tcPr>
            <w:tcW w:type="dxa" w:w="1440"/>
            <w:shd w:fill="FAFAFA" w:val="clear"/>
          </w:tcPr>
          <w:p>
            <w:r>
              <w:rPr>
                <w:b/>
                <w:sz w:val="17"/>
              </w:rPr>
              <w:t>3,014</w:t>
            </w:r>
          </w:p>
        </w:tc>
        <w:tc>
          <w:tcPr>
            <w:tcW w:type="dxa" w:w="1440"/>
            <w:shd w:fill="FAFAFA" w:val="clear"/>
          </w:tcPr>
          <w:p>
            <w:r>
              <w:rPr>
                <w:sz w:val="17"/>
              </w:rPr>
              <w:t>3,136</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2,840</w:t>
            </w:r>
          </w:p>
        </w:tc>
        <w:tc>
          <w:tcPr>
            <w:tcW w:type="dxa" w:w="1440"/>
            <w:shd w:fill="FAFAFA" w:val="clear"/>
          </w:tcPr>
          <w:p>
            <w:r>
              <w:rPr>
                <w:b/>
                <w:sz w:val="17"/>
              </w:rPr>
              <w:t>3,013</w:t>
            </w:r>
          </w:p>
        </w:tc>
        <w:tc>
          <w:tcPr>
            <w:tcW w:type="dxa" w:w="1440"/>
            <w:shd w:fill="FAFAFA" w:val="clear"/>
          </w:tcPr>
          <w:p>
            <w:r>
              <w:rPr>
                <w:sz w:val="17"/>
              </w:rPr>
              <w:t>3,186</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2,798</w:t>
            </w:r>
          </w:p>
        </w:tc>
        <w:tc>
          <w:tcPr>
            <w:tcW w:type="dxa" w:w="1440"/>
            <w:shd w:fill="FAFAFA" w:val="clear"/>
          </w:tcPr>
          <w:p>
            <w:r>
              <w:rPr>
                <w:b/>
                <w:sz w:val="17"/>
              </w:rPr>
              <w:t>3,010</w:t>
            </w:r>
          </w:p>
        </w:tc>
        <w:tc>
          <w:tcPr>
            <w:tcW w:type="dxa" w:w="1440"/>
            <w:shd w:fill="FAFAFA" w:val="clear"/>
          </w:tcPr>
          <w:p>
            <w:r>
              <w:rPr>
                <w:sz w:val="17"/>
              </w:rPr>
              <w:t>3,222</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2,760</w:t>
            </w:r>
          </w:p>
        </w:tc>
        <w:tc>
          <w:tcPr>
            <w:tcW w:type="dxa" w:w="1440"/>
            <w:shd w:fill="FAFAFA" w:val="clear"/>
          </w:tcPr>
          <w:p>
            <w:r>
              <w:rPr>
                <w:b/>
                <w:sz w:val="17"/>
              </w:rPr>
              <w:t>3,005</w:t>
            </w:r>
          </w:p>
        </w:tc>
        <w:tc>
          <w:tcPr>
            <w:tcW w:type="dxa" w:w="1440"/>
            <w:shd w:fill="FAFAFA" w:val="clear"/>
          </w:tcPr>
          <w:p>
            <w:r>
              <w:rPr>
                <w:sz w:val="17"/>
              </w:rPr>
              <w:t>3,249</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2,727</w:t>
            </w:r>
          </w:p>
        </w:tc>
        <w:tc>
          <w:tcPr>
            <w:tcW w:type="dxa" w:w="1440"/>
            <w:shd w:fill="FAFAFA" w:val="clear"/>
          </w:tcPr>
          <w:p>
            <w:r>
              <w:rPr>
                <w:b/>
                <w:sz w:val="17"/>
              </w:rPr>
              <w:t>3,000</w:t>
            </w:r>
          </w:p>
        </w:tc>
        <w:tc>
          <w:tcPr>
            <w:tcW w:type="dxa" w:w="1440"/>
            <w:shd w:fill="FAFAFA" w:val="clear"/>
          </w:tcPr>
          <w:p>
            <w:r>
              <w:rPr>
                <w:sz w:val="17"/>
              </w:rPr>
              <w:t>3,272</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2,696</w:t>
            </w:r>
          </w:p>
        </w:tc>
        <w:tc>
          <w:tcPr>
            <w:tcW w:type="dxa" w:w="1440"/>
            <w:shd w:fill="FAFAFA" w:val="clear"/>
          </w:tcPr>
          <w:p>
            <w:r>
              <w:rPr>
                <w:b/>
                <w:sz w:val="17"/>
              </w:rPr>
              <w:t>2,994</w:t>
            </w:r>
          </w:p>
        </w:tc>
        <w:tc>
          <w:tcPr>
            <w:tcW w:type="dxa" w:w="1440"/>
            <w:shd w:fill="FAFAFA" w:val="clear"/>
          </w:tcPr>
          <w:p>
            <w:r>
              <w:rPr>
                <w:sz w:val="17"/>
              </w:rPr>
              <w:t>3,293</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2,667</w:t>
            </w:r>
          </w:p>
        </w:tc>
        <w:tc>
          <w:tcPr>
            <w:tcW w:type="dxa" w:w="1440"/>
            <w:shd w:fill="FAFAFA" w:val="clear"/>
          </w:tcPr>
          <w:p>
            <w:r>
              <w:rPr>
                <w:b/>
                <w:sz w:val="17"/>
              </w:rPr>
              <w:t>2,989</w:t>
            </w:r>
          </w:p>
        </w:tc>
        <w:tc>
          <w:tcPr>
            <w:tcW w:type="dxa" w:w="1440"/>
            <w:shd w:fill="FAFAFA" w:val="clear"/>
          </w:tcPr>
          <w:p>
            <w:r>
              <w:rPr>
                <w:sz w:val="17"/>
              </w:rPr>
              <w:t>3,311</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2,641</w:t>
            </w:r>
          </w:p>
        </w:tc>
        <w:tc>
          <w:tcPr>
            <w:tcW w:type="dxa" w:w="1440"/>
            <w:shd w:fill="FAFAFA" w:val="clear"/>
          </w:tcPr>
          <w:p>
            <w:r>
              <w:rPr>
                <w:b/>
                <w:sz w:val="17"/>
              </w:rPr>
              <w:t>2,984</w:t>
            </w:r>
          </w:p>
        </w:tc>
        <w:tc>
          <w:tcPr>
            <w:tcW w:type="dxa" w:w="1440"/>
            <w:shd w:fill="FAFAFA" w:val="clear"/>
          </w:tcPr>
          <w:p>
            <w:r>
              <w:rPr>
                <w:sz w:val="17"/>
              </w:rPr>
              <w:t>3,327</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2,616</w:t>
            </w:r>
          </w:p>
        </w:tc>
        <w:tc>
          <w:tcPr>
            <w:tcW w:type="dxa" w:w="1440"/>
            <w:shd w:fill="FAFAFA" w:val="clear"/>
          </w:tcPr>
          <w:p>
            <w:r>
              <w:rPr>
                <w:b/>
                <w:sz w:val="17"/>
              </w:rPr>
              <w:t>2,979</w:t>
            </w:r>
          </w:p>
        </w:tc>
        <w:tc>
          <w:tcPr>
            <w:tcW w:type="dxa" w:w="1440"/>
            <w:shd w:fill="FAFAFA" w:val="clear"/>
          </w:tcPr>
          <w:p>
            <w:r>
              <w:rPr>
                <w:sz w:val="17"/>
              </w:rPr>
              <w:t>3,342</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2,592</w:t>
            </w:r>
          </w:p>
        </w:tc>
        <w:tc>
          <w:tcPr>
            <w:tcW w:type="dxa" w:w="1440"/>
            <w:shd w:fill="FAFAFA" w:val="clear"/>
          </w:tcPr>
          <w:p>
            <w:r>
              <w:rPr>
                <w:b/>
                <w:sz w:val="17"/>
              </w:rPr>
              <w:t>2,974</w:t>
            </w:r>
          </w:p>
        </w:tc>
        <w:tc>
          <w:tcPr>
            <w:tcW w:type="dxa" w:w="1440"/>
            <w:shd w:fill="FAFAFA" w:val="clear"/>
          </w:tcPr>
          <w:p>
            <w:r>
              <w:rPr>
                <w:sz w:val="17"/>
              </w:rPr>
              <w:t>3,356</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 et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190,46 milliards FCFA, TTLC figure parmi les valeurs les plus importantes de la BRVM, ce qui en fait un titre de premier plan pour les investisseurs institutionnels régionaux. Le BPA de 144 FCFA/action signifie que chaque titre génère 144 FCFA de bénéfice net, ce qui, rapporté au cours actuel de 3 025 FCFA, donne un PER de 21,0x — nettement supérieur à la moyenne BRVM (8-12x), signalant que le marché intègre déjà une forte prime de croissance ou une surévaluation relative. Le P/B de 5,26x confirme cette exigence : les investisseurs paient plus de cinq fois la valeur comptable des fonds propres (36,2 Mds FCFA), ce qui est élevé pour un distributeur à faible marge nette (1,54%). L'EV/EBITDA de 11,0x, dans la fourchette haute (10-15x), indique que la valeur d'entreprise (incluant la dette) reste chèrement valorisée par rapport à la capacité opérationnelle (EBE de 22,35 Mds FCFA). En synthèse, la valorisation de TTLC est exigeante sur tous les multiples, ce qui limite la marge de sécurité et rend le titre vulnérable à toute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TTLC affiche une progression totale de +6,14%, avec une dernière séance en hausse de +0,50%, portant le cours à 3 025 FCFA. Le titre a évolué dans un range de 825 FCFA, entre un plus bas de 2 770 FCFA et un plus haut de 3 595 FCFA, ce qui traduit une tendance globalement haussière mais avec une correction récente depuis les sommets. La moyenne (3 023 FCFA) est légèrement supérieure à la médiane (2 950 FCFA), et le mode se situe à 2 900 FCFA : cet écart confirme une asymétrie positive (skewness de 0,894), indiquant que le cours a passé plus de journées sous sa moyenne, avec quelques pics haussiers tirant la moyenne vers le haut. L'écart-type de 192 FCFA (CV de 6,4%) révèle une dispersion modérée du cours, tandis que le kurtosis de -0,296 (mésokurtique) suggère une distribution proche de la normale, sans risque excessif de pics extrêmes. La volatilité annualisée de 42,5% classe le titre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(3 169,75 FCFA) et la MM50 (3 160,20 FCFA) sont toutes deux supérieures au cours actuel (3 025 FCFA), ce qui place le titre en position baissière à court terme. Cependant, la MM20 étant légèrement au-dessus de la MM50, la configuration reste haussière de fond, justifiant la décision "Achat" sur ce critère, mais avec prudence car le cours évolue sous ses moyennes.</w:t>
      </w:r>
    </w:p>
    <w:p>
      <w:pPr>
        <w:spacing w:after="120" w:line="276" w:lineRule="auto"/>
      </w:pPr>
      <w:r>
        <w:t>**Bandes de Bollinger** : Le cours (3 025 FCFA) se situe dans la partie basse de la bande, entre la borne inférieure (2 957,85 FCFA) et la borne supérieure (3 381,65 FCFA), sans atteindre les extrêmes. Cette position médiane-basse traduit une volatilité contenue et une absence de signal directionnel fort, d'où la décision "Neutre" — le titre n'est ni suracheté ni survendu selon ce critère.</w:t>
      </w:r>
    </w:p>
    <w:p>
      <w:pPr>
        <w:spacing w:after="120" w:line="276" w:lineRule="auto"/>
      </w:pPr>
      <w:r>
        <w:t>**MACD** : La valeur du MACD (-39,41) est inférieure à son signal (-20,67), confirmant un momentum baissier à court terme. La divergence négative entre les deux lignes indique que la pression vendeuse persiste, justifiant la décision "Vente" — c'est le signal le plus négatif de l'analyse technique.</w:t>
      </w:r>
    </w:p>
    <w:p>
      <w:pPr>
        <w:spacing w:after="120" w:line="276" w:lineRule="auto"/>
      </w:pPr>
      <w:r>
        <w:t>**RSI** : À 35,53, le RSI se situe dans la zone neutre basse (30-70), sans atteindre la zone de survente (&lt;30). Cela indique que le titre n'est pas encore survendu mais que la dynamique est faible, justifiant la décision "Neutre" — un rebond technique reste possible mais non confirmé.</w:t>
      </w:r>
    </w:p>
    <w:p>
      <w:pPr>
        <w:spacing w:after="120" w:line="276" w:lineRule="auto"/>
      </w:pPr>
      <w:r>
        <w:t>**Stochastique** : Le %K (13,33) est très inférieur au %D (31,11), et le %K se situe en zone de survente (&lt;20), ce qui suggère un potentiel rebond à court terme. La décision "Achat" sur ce critère contraste avec le MACD, créant une divergence technique qui appelle à la prudence.</w:t>
      </w:r>
    </w:p>
    <w:p>
      <w:pPr>
        <w:spacing w:after="120" w:line="276" w:lineRule="auto"/>
      </w:pPr>
      <w:r>
        <w:t>**Conclusion technique** : Les indicateurs sont divergents — les moyennes mobiles et le stochastique suggèrent un potentiel haussier, tandis que le MACD et la position du cours sous les MM20/MM50 plaident pour la prudence. Le RSI neutre et les Bollinger neutres confirment l'absence de signal fort. En synthèse, le titre est en phase de consolidation baissière à court terme, avec un potentiel rebond technique mais sans confirmation claire, ce qui justifie une posture attentiste.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Côte d'Ivoire a réalisé un chiffre d'affaires de 588,71 milliards FCFA, en repli de 5,2% par rapport à 2024 (621,04 Mds FCFA), selon les états financiers annuels 2025. Le résultat net s'établit à 9,09 milliards FCFA (contre 9,37 Mds en 2024, soit -3%), avec une marge nette de 1,54% (contre 1,51% en 2024), légèrement améliorée. Le ROE atteint 25,10% (excellent, &gt;15%) et le ROA 4,82%, confirmant la rentabilité des fonds propres malgré la faiblesse des marges. En tant qu'entreprise de distribution, les indicateurs d'exploitation sont clés : le BFR est négatif (-9,66 Mds FCFA), ce qui est favorable car il signifie que les fournisseurs financent une partie du cycle d'exploitation ; le délai fournisseurs est de 49,72 jours (élevé, bon pour la trésorerie) et la durée de stockage de 13,80 jours (maîtrisée). Cependant, la structure financière est tendue : l'autonomie financière n'est que de 19,21% (seuil sain &gt;30%), le ratio d'endettement de 90,23% et la trésorerie nette négative (-21,93 Mds FCFA), avec une dépendance aux crédits court terme. Le rapport annuel 2025 (publié en 2026) confirme ces chiffres et souligne une amélioration opérationnelle (EBE +12% à 22,35 Mds, résultat d'exploitation +18% à 12,33 Mds) malgré la baisse du CA. Le rapport T1 2026 (publié en 2026) montre une reprise : CA de 154,39 Mds FCFA (+4,3%) et résultat net de 2,33 Mds FCFA (+5,5%), ce qui permet d'estimer que l'exercice 2026 devrait renouer avec la croissance, porté par l'augmentation des volumes et l'expansion du réseau (182 stations). La politique de dividende reste généreuse (10 Mds FCFA brut en 2025, payout &gt;100%), mais son financement par les réserves et la trésorerie négative constitue un risque. En conclusion, TTLC est fondamentalement solide (ROE élevé, leader du marché, marges en amélioration) mais présente des fragilités financières (endettement, trésorerie négative) qui nécessitent une surveillance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est exigeante (PER 21x, P/B 5,26x, EV/EBITDA 11x), ce qui intègre déjà une prime de croissance et limite le potentiel d'appréciation à court terme. Le comportement du cours sur 100 jours est haussier (+6,14%) mais avec une correction récente et une volatilité élevée (42,5%), tandis que les statistiques (skewness positif, kurtosis normal) n'indiquent pas de risque extrême. Les signaux techniques sont divergents : le MACD est baissier, les MM20/MM50 sont au-dessus du cours, mais le stochastique est en survente et les Bollinger sont neutres, ce qui suggère une consolidation avant un éventuel rebond. Les fondamentaux sont solides (ROE 25,1%, EBE +12%, leader du marché) mais entachés par un endettement élevé (90,23%) et une trésorerie nette négative (-21,93 Mds FCFA), bien que le T1 2026 montre une reprise (+4,3% de CA, +5,5% de résultat net). Les prédictions IA pour les 10 prochains jours (3 014 → 3 000 FCFA) anticipent une légère baisse, ce qui contredit le potentiel rebond technique et confirme la prudence à court terme. Sur la base de cette synthèse, la recommandation finale est **CONSERVER** : le titre offre une qualité fondamentale et un dividende attractif, mais la valorisation élevée, les signaux techniques mitigés et les fragilités financières ne justifient pas un achat agressif. Le niveau de confiance est **Moyen** (divergence entre technique et fondamental), le risque global est **Moyen à Élevé** (volatilité, endettement), et l'horizon optimal est le **moyen terme (3-12 mois)**, en attendant la confirmation de la reprise par les prochains trimestres.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2,686 titres</w:t>
            </w:r>
          </w:p>
        </w:tc>
        <w:tc>
          <w:tcPr>
            <w:tcW w:type="dxa" w:w="2268"/>
            <w:shd w:fill="FFF2CC" w:val="clear"/>
          </w:tcPr>
          <w:p>
            <w:r>
              <w:rPr>
                <w:b/>
                <w:color w:val="503200"/>
                <w:sz w:val="16"/>
              </w:rPr>
              <w:t xml:space="preserve">Cours actuel : </w:t>
            </w:r>
            <w:r>
              <w:rPr>
                <w:color w:val="000000"/>
                <w:sz w:val="17"/>
              </w:rPr>
              <w:t>3,600 FCFA</w:t>
            </w:r>
          </w:p>
          <w:p>
            <w:r>
              <w:rPr>
                <w:b/>
                <w:color w:val="503200"/>
                <w:sz w:val="16"/>
              </w:rPr>
              <w:t xml:space="preserve">Var. 100 jours : </w:t>
            </w:r>
            <w:r>
              <w:rPr>
                <w:b/>
                <w:color w:val="007800"/>
                <w:sz w:val="17"/>
              </w:rPr>
              <w:t>+24.14%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8.77% (Moyenne) — μ=3,668 FCFA, σ=322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β=0.5214 (Défensif) — Cov=0.000038, Var(idx)=0.000072, ρ=0.163,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3,512</w:t>
            </w:r>
          </w:p>
        </w:tc>
        <w:tc>
          <w:tcPr>
            <w:tcW w:type="dxa" w:w="1440"/>
            <w:shd w:fill="FAFAFA" w:val="clear"/>
          </w:tcPr>
          <w:p>
            <w:r>
              <w:rPr>
                <w:b/>
                <w:sz w:val="17"/>
              </w:rPr>
              <w:t>3,623</w:t>
            </w:r>
          </w:p>
        </w:tc>
        <w:tc>
          <w:tcPr>
            <w:tcW w:type="dxa" w:w="1440"/>
            <w:shd w:fill="FAFAFA" w:val="clear"/>
          </w:tcPr>
          <w:p>
            <w:r>
              <w:rPr>
                <w:sz w:val="17"/>
              </w:rPr>
              <w:t>3,734</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3,459</w:t>
            </w:r>
          </w:p>
        </w:tc>
        <w:tc>
          <w:tcPr>
            <w:tcW w:type="dxa" w:w="1440"/>
            <w:shd w:fill="FAFAFA" w:val="clear"/>
          </w:tcPr>
          <w:p>
            <w:r>
              <w:rPr>
                <w:b/>
                <w:sz w:val="17"/>
              </w:rPr>
              <w:t>3,616</w:t>
            </w:r>
          </w:p>
        </w:tc>
        <w:tc>
          <w:tcPr>
            <w:tcW w:type="dxa" w:w="1440"/>
            <w:shd w:fill="FAFAFA" w:val="clear"/>
          </w:tcPr>
          <w:p>
            <w:r>
              <w:rPr>
                <w:sz w:val="17"/>
              </w:rPr>
              <w:t>3,773</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3,419</w:t>
            </w:r>
          </w:p>
        </w:tc>
        <w:tc>
          <w:tcPr>
            <w:tcW w:type="dxa" w:w="1440"/>
            <w:shd w:fill="FAFAFA" w:val="clear"/>
          </w:tcPr>
          <w:p>
            <w:r>
              <w:rPr>
                <w:b/>
                <w:sz w:val="17"/>
              </w:rPr>
              <w:t>3,611</w:t>
            </w:r>
          </w:p>
        </w:tc>
        <w:tc>
          <w:tcPr>
            <w:tcW w:type="dxa" w:w="1440"/>
            <w:shd w:fill="FAFAFA" w:val="clear"/>
          </w:tcPr>
          <w:p>
            <w:r>
              <w:rPr>
                <w:sz w:val="17"/>
              </w:rPr>
              <w:t>3,802</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3,384</w:t>
            </w:r>
          </w:p>
        </w:tc>
        <w:tc>
          <w:tcPr>
            <w:tcW w:type="dxa" w:w="1440"/>
            <w:shd w:fill="FAFAFA" w:val="clear"/>
          </w:tcPr>
          <w:p>
            <w:r>
              <w:rPr>
                <w:b/>
                <w:sz w:val="17"/>
              </w:rPr>
              <w:t>3,605</w:t>
            </w:r>
          </w:p>
        </w:tc>
        <w:tc>
          <w:tcPr>
            <w:tcW w:type="dxa" w:w="1440"/>
            <w:shd w:fill="FAFAFA" w:val="clear"/>
          </w:tcPr>
          <w:p>
            <w:r>
              <w:rPr>
                <w:sz w:val="17"/>
              </w:rPr>
              <w:t>3,826</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3,352</w:t>
            </w:r>
          </w:p>
        </w:tc>
        <w:tc>
          <w:tcPr>
            <w:tcW w:type="dxa" w:w="1440"/>
            <w:shd w:fill="FAFAFA" w:val="clear"/>
          </w:tcPr>
          <w:p>
            <w:r>
              <w:rPr>
                <w:b/>
                <w:sz w:val="17"/>
              </w:rPr>
              <w:t>3,599</w:t>
            </w:r>
          </w:p>
        </w:tc>
        <w:tc>
          <w:tcPr>
            <w:tcW w:type="dxa" w:w="1440"/>
            <w:shd w:fill="FAFAFA" w:val="clear"/>
          </w:tcPr>
          <w:p>
            <w:r>
              <w:rPr>
                <w:sz w:val="17"/>
              </w:rPr>
              <w:t>3,845</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3,323</w:t>
            </w:r>
          </w:p>
        </w:tc>
        <w:tc>
          <w:tcPr>
            <w:tcW w:type="dxa" w:w="1440"/>
            <w:shd w:fill="FAFAFA" w:val="clear"/>
          </w:tcPr>
          <w:p>
            <w:r>
              <w:rPr>
                <w:b/>
                <w:sz w:val="17"/>
              </w:rPr>
              <w:t>3,593</w:t>
            </w:r>
          </w:p>
        </w:tc>
        <w:tc>
          <w:tcPr>
            <w:tcW w:type="dxa" w:w="1440"/>
            <w:shd w:fill="FAFAFA" w:val="clear"/>
          </w:tcPr>
          <w:p>
            <w:r>
              <w:rPr>
                <w:sz w:val="17"/>
              </w:rPr>
              <w:t>3,862</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3,296</w:t>
            </w:r>
          </w:p>
        </w:tc>
        <w:tc>
          <w:tcPr>
            <w:tcW w:type="dxa" w:w="1440"/>
            <w:shd w:fill="FAFAFA" w:val="clear"/>
          </w:tcPr>
          <w:p>
            <w:r>
              <w:rPr>
                <w:b/>
                <w:sz w:val="17"/>
              </w:rPr>
              <w:t>3,587</w:t>
            </w:r>
          </w:p>
        </w:tc>
        <w:tc>
          <w:tcPr>
            <w:tcW w:type="dxa" w:w="1440"/>
            <w:shd w:fill="FAFAFA" w:val="clear"/>
          </w:tcPr>
          <w:p>
            <w:r>
              <w:rPr>
                <w:sz w:val="17"/>
              </w:rPr>
              <w:t>3,878</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3,270</w:t>
            </w:r>
          </w:p>
        </w:tc>
        <w:tc>
          <w:tcPr>
            <w:tcW w:type="dxa" w:w="1440"/>
            <w:shd w:fill="FAFAFA" w:val="clear"/>
          </w:tcPr>
          <w:p>
            <w:r>
              <w:rPr>
                <w:b/>
                <w:sz w:val="17"/>
              </w:rPr>
              <w:t>3,581</w:t>
            </w:r>
          </w:p>
        </w:tc>
        <w:tc>
          <w:tcPr>
            <w:tcW w:type="dxa" w:w="1440"/>
            <w:shd w:fill="FAFAFA" w:val="clear"/>
          </w:tcPr>
          <w:p>
            <w:r>
              <w:rPr>
                <w:sz w:val="17"/>
              </w:rPr>
              <w:t>3,891</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3,246</w:t>
            </w:r>
          </w:p>
        </w:tc>
        <w:tc>
          <w:tcPr>
            <w:tcW w:type="dxa" w:w="1440"/>
            <w:shd w:fill="FAFAFA" w:val="clear"/>
          </w:tcPr>
          <w:p>
            <w:r>
              <w:rPr>
                <w:b/>
                <w:sz w:val="17"/>
              </w:rPr>
              <w:t>3,575</w:t>
            </w:r>
          </w:p>
        </w:tc>
        <w:tc>
          <w:tcPr>
            <w:tcW w:type="dxa" w:w="1440"/>
            <w:shd w:fill="FAFAFA" w:val="clear"/>
          </w:tcPr>
          <w:p>
            <w:r>
              <w:rPr>
                <w:sz w:val="17"/>
              </w:rPr>
              <w:t>3,904</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3,224</w:t>
            </w:r>
          </w:p>
        </w:tc>
        <w:tc>
          <w:tcPr>
            <w:tcW w:type="dxa" w:w="1440"/>
            <w:shd w:fill="FAFAFA" w:val="clear"/>
          </w:tcPr>
          <w:p>
            <w:r>
              <w:rPr>
                <w:b/>
                <w:sz w:val="17"/>
              </w:rPr>
              <w:t>3,570</w:t>
            </w:r>
          </w:p>
        </w:tc>
        <w:tc>
          <w:tcPr>
            <w:tcW w:type="dxa" w:w="1440"/>
            <w:shd w:fill="FAFAFA" w:val="clear"/>
          </w:tcPr>
          <w:p>
            <w:r>
              <w:rPr>
                <w:sz w:val="17"/>
              </w:rPr>
              <w:t>3,916</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117,28 Mds FCFA, TTLS figure parmi les valeurs de taille intermédiaire de la cote BRVM, ce qui lui confère une certaine liquidité relative mais reste modeste à l'échelle régionale. Le BPA de 208 FCFA/action indique que chaque titre génère un bénéfice unitaire appréciable, et le PER de 17,3x traduit une valorisation supérieure à la moyenne du marché BRVM (généralement située entre 8 et 12x), signe que les investisseurs acceptent de payer une prime pour la qualité de la signature et la stabilité du dividende. Le P/B de 4,15x est nettement supérieur à 1, ce qui signifie que le marché valorise l'entreprise bien au-delà de sa valeur comptable — une exigence forte qui se justifie par la rentabilité des fonds propres (ROE de 24,0%) mais qui limite la marge de sécurité en cas de déception. Enfin, l'EV/EBITDA de 7,3x, situé dans la fourchette raisonnable de 5-10x, suggère que la valeur d'entreprise reste cohérente avec la capacité opérationnelle de génération de cash-flows, offrant un contrepoids modéré à la cherté relative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performance remarquable de +24,14%, portant le cours actuel à 3 600 FCFA, malgré un repli de -2,44% lors de la dernière séance qui marque une pause dans l'élan haussier. Le range de trading est particulièrement large, avec un plus haut à 4 500 FCFA et un plus bas à 2 845 FCFA, soit une amplitude de plus de 58% entre les deux extrêmes — ce qui témoigne d'une forte volatilité intra-période et d'un intérêt marqué des investisseurs. La tendance générale reste donc nettement haussière, le cours actuel se situant à mi-chemin du range mais bien au-dessus du plus bas. Les statistiques descriptives révèlent une moyenne de 3 668 FCFA légèrement supérieure à la médiane de 3 688 FCFA (écart minime), tandis que le mode s'établit à 3 800 FCFA, indiquant une distribution globalement équilibrée autour de ces niveaux. L'écart-type de 323 FCFA, avec un coefficient de variation de 8,8%, traduit une dispersion modérée du cours, et le kurtosis de 0,329 (mésokurtique) suggère une distribution proche de la normale, sans risque excessif de pics extrêmes. Le skewness de -0,122, quasi nul, confirme cette symétrie de la distribution, sans biais haussier ou baissier marqué. Enfin, la volatilité annualisée de 43,1% positionne clairement TTLS dans la catégorie des titres à volatilité élevée (&gt;30%), ce qui implique un risque de fluctuation important à court terme mais aussi des opportunités de rendement supérieures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3 804,0 FCFA et la MM50 à 3 751,5 FCFA, toutes deux supérieures au cours actuel de 3 600 FCFA. Cette configuration — cours sous les deux moyennes — traduit une pression baissière de court terme, mais la décision technique affichée est « Achat », probablement en anticipation d'un rebond technique après la correction récente. La MM20 étant au-dessus de la MM50, la structure de fond reste haussière, et le repli actuel pourrait constituer un point d'entrée intéressant si le cours revient tester ces moyennes.</w:t>
      </w:r>
    </w:p>
    <w:p>
      <w:pPr>
        <w:spacing w:after="120" w:line="276" w:lineRule="auto"/>
      </w:pPr>
      <w:r>
        <w:t>**Bandes de Bollinger** : La borne supérieure se situe à 4 046,87 FCFA et la borne inférieure à 3 561,13 FCFA, avec un cours actuel de 3 600 FCFA qui évolue donc très près de la bande basse. Cette position suggère que le titre est proche d'une zone de survente technique relative, mais la décision affichée est « Neutre », ce qui indique que les bandes ne sont pas encore suffisamment écartées pour signaler une volatilité exceptionnelle ou un retournement imminent. Le resserrement relatif des bandes par rapport au range historique (plus haut à 4 500 FCFA) plaide pour une consolidation avant une nouvelle impulsion.</w:t>
      </w:r>
    </w:p>
    <w:p>
      <w:pPr>
        <w:spacing w:after="120" w:line="276" w:lineRule="auto"/>
      </w:pPr>
      <w:r>
        <w:t>**MACD** : La valeur du MACD est de -45,612 contre un signal à -15,303, soit une divergence négative marquée où le MACD évolue sous son signal. Cette configuration est baissière et justifie la décision « Vente » affichée, car elle indique que le momentum de court terme s'affaiblit et que la pression vendeuse l'emporte. Toutefois, l'amplitude de l'écart entre les deux lignes reste modérée, ce qui pourrait annoncer un croisement prochain si le cours se stabilise.</w:t>
      </w:r>
    </w:p>
    <w:p>
      <w:pPr>
        <w:spacing w:after="120" w:line="276" w:lineRule="auto"/>
      </w:pPr>
      <w:r>
        <w:t>**RSI** : Avec une valeur de 26,471, le RSI se situe nettement en dessous du seuil de 30, ce qui place le titre en zone de survente technique. La décision affichée est « Achat », cohérente avec cette lecture : historiquement, un RSI aussi bas précède souvent un rebond à court terme, surtout dans un contexte de tendance haussière de fond comme celle observée sur 100 jours.</w:t>
      </w:r>
    </w:p>
    <w:p>
      <w:pPr>
        <w:spacing w:after="120" w:line="276" w:lineRule="auto"/>
      </w:pPr>
      <w:r>
        <w:t>**Stochastique** : Le %K est à 0,0 et le %D à 8,658, ce qui est extrêmement bas et confirme la survente. La décision « Achat » s'explique par le fait que le %K, en touchant zéro, signale un épuisement de la pression vendeuse et un potentiel retournement haussier imminent. Le croisement éventuel du %K au-dessus du %D serait un signal d'achat confirmé.</w:t>
      </w:r>
    </w:p>
    <w:p>
      <w:pPr>
        <w:spacing w:after="120" w:line="276" w:lineRule="auto"/>
      </w:pPr>
      <w:r>
        <w:t>**Conclusion technique** : Les indicateurs techniques présentent un tableau contrasté mais globalement favorable à un rebond. Si le MACD reste baissier (signal de vente), le RSI en survente (26,5) et le stochastique au plancher (%K=0) plaident pour un retournement imminent, tandis que les moyennes mobiles conservent une structure haussière de fond. La position du cours près de la bande inférieure de Bollinger renforce l'idée d'une zone d'achat potentielle, mais la prudence reste de mise tant que le MACD ne montre pas de signe de retournement. Un rebond vers 3 800-3 900 FCFA est envisageable à court terme si les acheteurs reprennent la main.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 chiffre d'affaires de 455,209 Mds FCFA, en baisse de 6,13% par rapport à 2024, et un résultat net de 6,779 Mds FCFA, en léger recul de 5,1% (contre 7,140 Mds FCFA en 2024). La rentabilité des fonds propres (ROE) reste excellente à 24,0%, bien au-dessus du seuil de 15%, tandis que le ROA de 3,95% reflète la faible intensité capitalistique du modèle de distribution. La marge nette de 1,49% est structurellement faible, typique du secteur pétrolier, mais la marge brute de 28,71% et la marge opérationnelle de 1,91% montrent une bonne maîtrise des coûts. En tant qu'entreprise non bancaire, l'analyse des délais d'exploitation est cruciale : le délai clients de 47,43 jours est modéré mais constitue un risque de trésorerie, tandis que le délai fournisseurs de 97,76 jours est favorable (financement par les fournisseurs), et la durée de stockage de 17,62 jours est bien maîtrisée. Le BFR est négatif à -36,899 Mds FCFA, ce qui est un signal très positif car l'entreprise finance son cycle d'exploitation par ses fournisseurs plutôt que par ses propres ressources. La structure financière montre une autonomie financière de 16,44% (inférieure au seuil de 30% considéré comme sain), un ratio d'endettement de 52,16% et une capacité de remboursement de 0,94 an (dette financière/CAF), ce qui reste gérable grâce à une CAF de 15,698 Mds FCFA et un flux opérationnel de 18,673 Mds FCFA. La trésorerie nette est positive à 13,941 Mds FCFA, en amélioration significative par rapport à 2024 (8,4 Mds FCFA selon le rapport annuel 2025), ce qui renforce la solidité financière.</w:t>
      </w:r>
    </w:p>
    <w:p>
      <w:pPr>
        <w:spacing w:after="120" w:line="276" w:lineRule="auto"/>
      </w:pPr>
      <w:r>
        <w:t>Les rapports narratifs confirment et enrichissent cette analyse. Le rapport du T1 2026 (publié le 31 mars 2026) montre un chiffre d'affaires de 99,9 Mds FCFA en baisse de 10% sur un an, mais un résultat net en hausse de 5% à 1,585 Mds FCFA et un résultat d'exploitation en progression de 28% à 2,623 Mds FCFA, grâce à l'amélioration des marges sur les lubrifiants. Cela suggère que l'exercice 2026 devrait bénéficier d'un effet mix favorable, avec une rentabilité en amélioration malgré la pression sur les prix régulés. Le rapport annuel 2025 (publié le 31 décembre 2025) indique que la baisse du CA est principalement due à l'arrêt stratégique du fuel lourd (39,5 Mds FCFA de CA en 2024) et à la baisse des dividendes des participations (-1,019 Md FCFA), mais que le résultat d'exploitation progresse à 7,9 Mds FCFA et que la trésorerie s'améliore à 20,567 Mds FCFA. Le rapport du T3 2025 (30 septembre 2025) confirme cette tendance avec un CA de 344,9 Mds FCFA (-7%) et un résultat net de 5,024 Mds FCFA (-14%), mais souligne la progression du résultat d'exploitation au S1 2025 (+22%). Enfin, le rapport 2024 (publié le 31 décembre 2024) montrait déjà un résultat net de 7,091 Mds FCFA (+68%) grâce à un produit exceptionnel de 830 MFCFA, avec un dividende brut de 7,691 Mds FCFA (soit environ 236 FCFA/action) et un taux de distribution proche de 100%.</w:t>
      </w:r>
    </w:p>
    <w:p>
      <w:pPr>
        <w:spacing w:after="120" w:line="276" w:lineRule="auto"/>
      </w:pPr>
      <w:r>
        <w:t>En synthèse fondamentale, TTLS présente une solidité opérationnelle indéniable : leader du marché sénégalais avec 140 stations-service, structure financière saine malgré une autonomie financière perfectible, et capacité à générer du cash-flow malgré un environnement réglementaire contraignant. Les risques principaux sont la dépendance aux décisions de l'État sur les prix à la pompe, la volatilité des prix pétroliers, et la concentration géographique sur le Sénégal. Les perspectives 2026 sont encourageantes avec l'amélioration des marges sur les lubrifiants et le GPL, ainsi que les retombées potentielles des projets Sangomar et GNL. La recommandation fondamentale est de **CONSERVER** le titre, avec un biais positif pour les investisseurs de long terme recherchant une valeur défensive et un dividende généreux.</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mais globalement favorable à une position conservatrice avec un biais haussier. La valorisation (Partie 0) est exigeante avec un PER de 17,3x et un P/B de 4,15x, ce qui suggère que le marché a déjà intégré une bonne partie de la qualité de l'entreprise, mais l'EV/EBITDA de 7,3x reste raisonnable et offre un contrepoids. Le comportement du cours (Partie 1) est haussier sur 100 jours (+24,14%) avec une volatilité élevée (43,1%) et une distribution symétrique (skewness -0,122, kurtosis 0,329), ce qui indique un risque de fluctuation important mais sans biais directionnel marqué. Les signaux techniques (Partie 2) sont mitigés : le MACD est baissier (vente), mais le RSI en survente (26,5) et le stochastique au plancher (%K=0) plaident pour un rebond imminent, tandis que les moyennes mobiles conservent une structure haussière de fond. Les fondamentaux (Partie 3) sont solides : ROE de 24%, trésorerie nette positive de 13,9 Mds FCFA, BFR négatif favorable, et perspectives 2026 encourageantes avec l'amélioration des marges sur les lubrifiants (T1 2026 : résultat net +5%, résultat d'exploitation +28%). Les prédictions IA (J+1 à J+10) anticipent une légère consolidation baissière de 3 623 FCFA à 3 599 FCFA, ce qui contredit partiellement les signaux de rebond technique mais reste cohérent avec la pression baissière de court terme du MACD. Sur la base de cette synthèse, la recommandation finale est **CONSERVER** avec un biais positif, car la convergence entre la solidité fondamentale, la survente technique et les perspectives d'amélioration des marges l'emporte sur les signaux baissiers de court terme. Le niveau de confiance est **Moyen** (les signaux techniques contradictoires et la valorisation exigeante limitent la visibilité), et le niveau de risque global est **Moyen** (volatilité élevée mais fondamentaux solides). L'horizon d'investissement optimal est le **moyen terme (3-12 mois)**, le temps que les effets positifs de la stratégie de diversification (lubrifiants, GPL) se matérialisent et que la politique de dividende soit clarifiée, tout en surveillant l'évolution des prix régulés et des volumes de vente.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438.05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47,700 FCFA</w:t>
            </w:r>
          </w:p>
          <w:p>
            <w:r>
              <w:rPr>
                <w:b/>
                <w:color w:val="503200"/>
                <w:sz w:val="16"/>
              </w:rPr>
              <w:t xml:space="preserve">Var. 100 jours : </w:t>
            </w:r>
            <w:r>
              <w:rPr>
                <w:b/>
                <w:color w:val="B40000"/>
                <w:sz w:val="17"/>
              </w:rPr>
              <w:t>-19.15%</w:t>
            </w:r>
          </w:p>
          <w:p>
            <w:r>
              <w:rPr>
                <w:b/>
                <w:color w:val="503200"/>
                <w:sz w:val="16"/>
              </w:rPr>
              <w:t xml:space="preserve">Plus haut 100j : </w:t>
            </w:r>
            <w:r>
              <w:rPr>
                <w:color w:val="000000"/>
                <w:sz w:val="17"/>
              </w:rPr>
              <w:t>60,295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5.55% (Moyenne) — μ=54,548 FCFA, σ=3,028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β=0.6682 (Défensif) — Cov=0.000049, Var(idx)=0.000074, ρ=0.154,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σ_j=3.77%/j (Modérée) — Vol. annualisée≈59.9%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587289"/>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2026-10-06</w:t>
            </w:r>
          </w:p>
        </w:tc>
        <w:tc>
          <w:tcPr>
            <w:tcW w:type="dxa" w:w="1440"/>
            <w:shd w:fill="C6EFCE" w:val="clear"/>
          </w:tcPr>
          <w:p>
            <w:r>
              <w:rPr>
                <w:sz w:val="17"/>
              </w:rPr>
              <w:t>45,323</w:t>
            </w:r>
          </w:p>
        </w:tc>
        <w:tc>
          <w:tcPr>
            <w:tcW w:type="dxa" w:w="1440"/>
            <w:shd w:fill="C6EFCE" w:val="clear"/>
          </w:tcPr>
          <w:p>
            <w:r>
              <w:rPr>
                <w:b/>
                <w:sz w:val="17"/>
              </w:rPr>
              <w:t>48,661</w:t>
            </w:r>
          </w:p>
        </w:tc>
        <w:tc>
          <w:tcPr>
            <w:tcW w:type="dxa" w:w="1440"/>
            <w:shd w:fill="C6EFCE" w:val="clear"/>
          </w:tcPr>
          <w:p>
            <w:r>
              <w:rPr>
                <w:sz w:val="17"/>
              </w:rPr>
              <w:t>52,000</w:t>
            </w:r>
          </w:p>
        </w:tc>
        <w:tc>
          <w:tcPr>
            <w:tcW w:type="dxa" w:w="1440"/>
            <w:shd w:fill="C6EFCE" w:val="clear"/>
          </w:tcPr>
          <w:p>
            <w:r>
              <w:rPr>
                <w:b/>
                <w:color w:val="008000"/>
                <w:sz w:val="17"/>
              </w:rPr>
              <w:t>+2.0%</w:t>
            </w:r>
          </w:p>
        </w:tc>
      </w:tr>
      <w:tr>
        <w:tc>
          <w:tcPr>
            <w:tcW w:type="dxa" w:w="1440"/>
            <w:shd w:fill="FAFAFA" w:val="clear"/>
          </w:tcPr>
          <w:p>
            <w:r>
              <w:rPr>
                <w:sz w:val="17"/>
              </w:rPr>
              <w:t>J+2  ⭐</w:t>
            </w:r>
          </w:p>
        </w:tc>
        <w:tc>
          <w:tcPr>
            <w:tcW w:type="dxa" w:w="1440"/>
            <w:shd w:fill="FAFAFA" w:val="clear"/>
          </w:tcPr>
          <w:p>
            <w:r>
              <w:rPr>
                <w:sz w:val="17"/>
              </w:rPr>
              <w:t>2026-10-07</w:t>
            </w:r>
          </w:p>
        </w:tc>
        <w:tc>
          <w:tcPr>
            <w:tcW w:type="dxa" w:w="1440"/>
            <w:shd w:fill="FAFAFA" w:val="clear"/>
          </w:tcPr>
          <w:p>
            <w:r>
              <w:rPr>
                <w:sz w:val="17"/>
              </w:rPr>
              <w:t>43,843</w:t>
            </w:r>
          </w:p>
        </w:tc>
        <w:tc>
          <w:tcPr>
            <w:tcW w:type="dxa" w:w="1440"/>
            <w:shd w:fill="FAFAFA" w:val="clear"/>
          </w:tcPr>
          <w:p>
            <w:r>
              <w:rPr>
                <w:b/>
                <w:sz w:val="17"/>
              </w:rPr>
              <w:t>48,553</w:t>
            </w:r>
          </w:p>
        </w:tc>
        <w:tc>
          <w:tcPr>
            <w:tcW w:type="dxa" w:w="1440"/>
            <w:shd w:fill="FAFAFA" w:val="clear"/>
          </w:tcPr>
          <w:p>
            <w:r>
              <w:rPr>
                <w:sz w:val="17"/>
              </w:rPr>
              <w:t>53,264</w:t>
            </w:r>
          </w:p>
        </w:tc>
        <w:tc>
          <w:tcPr>
            <w:tcW w:type="dxa" w:w="1440"/>
            <w:shd w:fill="FAFAFA" w:val="clear"/>
          </w:tcPr>
          <w:p>
            <w:r>
              <w:rPr>
                <w:b/>
                <w:color w:val="008000"/>
                <w:sz w:val="17"/>
              </w:rPr>
              <w:t>+1.8%</w:t>
            </w:r>
          </w:p>
        </w:tc>
      </w:tr>
      <w:tr>
        <w:tc>
          <w:tcPr>
            <w:tcW w:type="dxa" w:w="1440"/>
            <w:shd w:fill="FAFAFA" w:val="clear"/>
          </w:tcPr>
          <w:p>
            <w:r>
              <w:rPr>
                <w:sz w:val="17"/>
              </w:rPr>
              <w:t>J+3  ⭐</w:t>
            </w:r>
          </w:p>
        </w:tc>
        <w:tc>
          <w:tcPr>
            <w:tcW w:type="dxa" w:w="1440"/>
            <w:shd w:fill="FAFAFA" w:val="clear"/>
          </w:tcPr>
          <w:p>
            <w:r>
              <w:rPr>
                <w:sz w:val="17"/>
              </w:rPr>
              <w:t>2026-10-08</w:t>
            </w:r>
          </w:p>
        </w:tc>
        <w:tc>
          <w:tcPr>
            <w:tcW w:type="dxa" w:w="1440"/>
            <w:shd w:fill="FAFAFA" w:val="clear"/>
          </w:tcPr>
          <w:p>
            <w:r>
              <w:rPr>
                <w:sz w:val="17"/>
              </w:rPr>
              <w:t>42,745</w:t>
            </w:r>
          </w:p>
        </w:tc>
        <w:tc>
          <w:tcPr>
            <w:tcW w:type="dxa" w:w="1440"/>
            <w:shd w:fill="FAFAFA" w:val="clear"/>
          </w:tcPr>
          <w:p>
            <w:r>
              <w:rPr>
                <w:b/>
                <w:sz w:val="17"/>
              </w:rPr>
              <w:t>48,509</w:t>
            </w:r>
          </w:p>
        </w:tc>
        <w:tc>
          <w:tcPr>
            <w:tcW w:type="dxa" w:w="1440"/>
            <w:shd w:fill="FAFAFA" w:val="clear"/>
          </w:tcPr>
          <w:p>
            <w:r>
              <w:rPr>
                <w:sz w:val="17"/>
              </w:rPr>
              <w:t>54,273</w:t>
            </w:r>
          </w:p>
        </w:tc>
        <w:tc>
          <w:tcPr>
            <w:tcW w:type="dxa" w:w="1440"/>
            <w:shd w:fill="FAFAFA" w:val="clear"/>
          </w:tcPr>
          <w:p>
            <w:r>
              <w:rPr>
                <w:b/>
                <w:color w:val="008000"/>
                <w:sz w:val="17"/>
              </w:rPr>
              <w:t>+1.7%</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41,830</w:t>
            </w:r>
          </w:p>
        </w:tc>
        <w:tc>
          <w:tcPr>
            <w:tcW w:type="dxa" w:w="1440"/>
            <w:shd w:fill="FAFAFA" w:val="clear"/>
          </w:tcPr>
          <w:p>
            <w:r>
              <w:rPr>
                <w:b/>
                <w:sz w:val="17"/>
              </w:rPr>
              <w:t>48,482</w:t>
            </w:r>
          </w:p>
        </w:tc>
        <w:tc>
          <w:tcPr>
            <w:tcW w:type="dxa" w:w="1440"/>
            <w:shd w:fill="FAFAFA" w:val="clear"/>
          </w:tcPr>
          <w:p>
            <w:r>
              <w:rPr>
                <w:sz w:val="17"/>
              </w:rPr>
              <w:t>55,134</w:t>
            </w:r>
          </w:p>
        </w:tc>
        <w:tc>
          <w:tcPr>
            <w:tcW w:type="dxa" w:w="1440"/>
            <w:shd w:fill="FAFAFA" w:val="clear"/>
          </w:tcPr>
          <w:p>
            <w:r>
              <w:rPr>
                <w:b/>
                <w:color w:val="008000"/>
                <w:sz w:val="17"/>
              </w:rPr>
              <w:t>+1.6%</w:t>
            </w:r>
          </w:p>
        </w:tc>
      </w:tr>
      <w:tr>
        <w:tc>
          <w:tcPr>
            <w:tcW w:type="dxa" w:w="1440"/>
            <w:shd w:fill="FAFAFA" w:val="clear"/>
          </w:tcPr>
          <w:p>
            <w:r>
              <w:rPr>
                <w:sz w:val="17"/>
              </w:rPr>
              <w:t>J+5  ⭐</w:t>
            </w:r>
          </w:p>
        </w:tc>
        <w:tc>
          <w:tcPr>
            <w:tcW w:type="dxa" w:w="1440"/>
            <w:shd w:fill="FAFAFA" w:val="clear"/>
          </w:tcPr>
          <w:p>
            <w:r>
              <w:rPr>
                <w:sz w:val="17"/>
              </w:rPr>
              <w:t>2026-10-12</w:t>
            </w:r>
          </w:p>
        </w:tc>
        <w:tc>
          <w:tcPr>
            <w:tcW w:type="dxa" w:w="1440"/>
            <w:shd w:fill="FAFAFA" w:val="clear"/>
          </w:tcPr>
          <w:p>
            <w:r>
              <w:rPr>
                <w:sz w:val="17"/>
              </w:rPr>
              <w:t>41,028</w:t>
            </w:r>
          </w:p>
        </w:tc>
        <w:tc>
          <w:tcPr>
            <w:tcW w:type="dxa" w:w="1440"/>
            <w:shd w:fill="FAFAFA" w:val="clear"/>
          </w:tcPr>
          <w:p>
            <w:r>
              <w:rPr>
                <w:b/>
                <w:sz w:val="17"/>
              </w:rPr>
              <w:t>48,462</w:t>
            </w:r>
          </w:p>
        </w:tc>
        <w:tc>
          <w:tcPr>
            <w:tcW w:type="dxa" w:w="1440"/>
            <w:shd w:fill="FAFAFA" w:val="clear"/>
          </w:tcPr>
          <w:p>
            <w:r>
              <w:rPr>
                <w:sz w:val="17"/>
              </w:rPr>
              <w:t>55,896</w:t>
            </w:r>
          </w:p>
        </w:tc>
        <w:tc>
          <w:tcPr>
            <w:tcW w:type="dxa" w:w="1440"/>
            <w:shd w:fill="FAFAFA" w:val="clear"/>
          </w:tcPr>
          <w:p>
            <w:r>
              <w:rPr>
                <w:b/>
                <w:color w:val="008000"/>
                <w:sz w:val="17"/>
              </w:rPr>
              <w:t>+1.6%</w:t>
            </w:r>
          </w:p>
        </w:tc>
      </w:tr>
      <w:tr>
        <w:tc>
          <w:tcPr>
            <w:tcW w:type="dxa" w:w="1440"/>
            <w:shd w:fill="FAFAFA" w:val="clear"/>
          </w:tcPr>
          <w:p>
            <w:r>
              <w:rPr>
                <w:sz w:val="17"/>
              </w:rPr>
              <w:t>J+6  ⭐</w:t>
            </w:r>
          </w:p>
        </w:tc>
        <w:tc>
          <w:tcPr>
            <w:tcW w:type="dxa" w:w="1440"/>
            <w:shd w:fill="FAFAFA" w:val="clear"/>
          </w:tcPr>
          <w:p>
            <w:r>
              <w:rPr>
                <w:sz w:val="17"/>
              </w:rPr>
              <w:t>2026-10-13</w:t>
            </w:r>
          </w:p>
        </w:tc>
        <w:tc>
          <w:tcPr>
            <w:tcW w:type="dxa" w:w="1440"/>
            <w:shd w:fill="FAFAFA" w:val="clear"/>
          </w:tcPr>
          <w:p>
            <w:r>
              <w:rPr>
                <w:sz w:val="17"/>
              </w:rPr>
              <w:t>40,306</w:t>
            </w:r>
          </w:p>
        </w:tc>
        <w:tc>
          <w:tcPr>
            <w:tcW w:type="dxa" w:w="1440"/>
            <w:shd w:fill="FAFAFA" w:val="clear"/>
          </w:tcPr>
          <w:p>
            <w:r>
              <w:rPr>
                <w:b/>
                <w:sz w:val="17"/>
              </w:rPr>
              <w:t>48,446</w:t>
            </w:r>
          </w:p>
        </w:tc>
        <w:tc>
          <w:tcPr>
            <w:tcW w:type="dxa" w:w="1440"/>
            <w:shd w:fill="FAFAFA" w:val="clear"/>
          </w:tcPr>
          <w:p>
            <w:r>
              <w:rPr>
                <w:sz w:val="17"/>
              </w:rPr>
              <w:t>56,587</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2026-10-14</w:t>
            </w:r>
          </w:p>
        </w:tc>
        <w:tc>
          <w:tcPr>
            <w:tcW w:type="dxa" w:w="1440"/>
            <w:shd w:fill="FAFAFA" w:val="clear"/>
          </w:tcPr>
          <w:p>
            <w:r>
              <w:rPr>
                <w:sz w:val="17"/>
              </w:rPr>
              <w:t>39,642</w:t>
            </w:r>
          </w:p>
        </w:tc>
        <w:tc>
          <w:tcPr>
            <w:tcW w:type="dxa" w:w="1440"/>
            <w:shd w:fill="FAFAFA" w:val="clear"/>
          </w:tcPr>
          <w:p>
            <w:r>
              <w:rPr>
                <w:b/>
                <w:sz w:val="17"/>
              </w:rPr>
              <w:t>48,433</w:t>
            </w:r>
          </w:p>
        </w:tc>
        <w:tc>
          <w:tcPr>
            <w:tcW w:type="dxa" w:w="1440"/>
            <w:shd w:fill="FAFAFA" w:val="clear"/>
          </w:tcPr>
          <w:p>
            <w:r>
              <w:rPr>
                <w:sz w:val="17"/>
              </w:rPr>
              <w:t>57,223</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2026-10-15</w:t>
            </w:r>
          </w:p>
        </w:tc>
        <w:tc>
          <w:tcPr>
            <w:tcW w:type="dxa" w:w="1440"/>
            <w:shd w:fill="FAFAFA" w:val="clear"/>
          </w:tcPr>
          <w:p>
            <w:r>
              <w:rPr>
                <w:sz w:val="17"/>
              </w:rPr>
              <w:t>39,025</w:t>
            </w:r>
          </w:p>
        </w:tc>
        <w:tc>
          <w:tcPr>
            <w:tcW w:type="dxa" w:w="1440"/>
            <w:shd w:fill="FAFAFA" w:val="clear"/>
          </w:tcPr>
          <w:p>
            <w:r>
              <w:rPr>
                <w:b/>
                <w:sz w:val="17"/>
              </w:rPr>
              <w:t>48,421</w:t>
            </w:r>
          </w:p>
        </w:tc>
        <w:tc>
          <w:tcPr>
            <w:tcW w:type="dxa" w:w="1440"/>
            <w:shd w:fill="FAFAFA" w:val="clear"/>
          </w:tcPr>
          <w:p>
            <w:r>
              <w:rPr>
                <w:sz w:val="17"/>
              </w:rPr>
              <w:t>57,816</w:t>
            </w:r>
          </w:p>
        </w:tc>
        <w:tc>
          <w:tcPr>
            <w:tcW w:type="dxa" w:w="1440"/>
            <w:shd w:fill="FAFAFA" w:val="clear"/>
          </w:tcPr>
          <w:p>
            <w:r>
              <w:rPr>
                <w:b/>
                <w:color w:val="008000"/>
                <w:sz w:val="17"/>
              </w:rPr>
              <w:t>+1.5%</w:t>
            </w:r>
          </w:p>
        </w:tc>
      </w:tr>
      <w:tr>
        <w:tc>
          <w:tcPr>
            <w:tcW w:type="dxa" w:w="1440"/>
            <w:shd w:fill="FAFAFA" w:val="clear"/>
          </w:tcPr>
          <w:p>
            <w:r>
              <w:rPr>
                <w:sz w:val="17"/>
              </w:rPr>
              <w:t>J+9  ⭐</w:t>
            </w:r>
          </w:p>
        </w:tc>
        <w:tc>
          <w:tcPr>
            <w:tcW w:type="dxa" w:w="1440"/>
            <w:shd w:fill="FAFAFA" w:val="clear"/>
          </w:tcPr>
          <w:p>
            <w:r>
              <w:rPr>
                <w:sz w:val="17"/>
              </w:rPr>
              <w:t>2026-10-16</w:t>
            </w:r>
          </w:p>
        </w:tc>
        <w:tc>
          <w:tcPr>
            <w:tcW w:type="dxa" w:w="1440"/>
            <w:shd w:fill="FAFAFA" w:val="clear"/>
          </w:tcPr>
          <w:p>
            <w:r>
              <w:rPr>
                <w:sz w:val="17"/>
              </w:rPr>
              <w:t>38,447</w:t>
            </w:r>
          </w:p>
        </w:tc>
        <w:tc>
          <w:tcPr>
            <w:tcW w:type="dxa" w:w="1440"/>
            <w:shd w:fill="FAFAFA" w:val="clear"/>
          </w:tcPr>
          <w:p>
            <w:r>
              <w:rPr>
                <w:b/>
                <w:sz w:val="17"/>
              </w:rPr>
              <w:t>48,409</w:t>
            </w:r>
          </w:p>
        </w:tc>
        <w:tc>
          <w:tcPr>
            <w:tcW w:type="dxa" w:w="1440"/>
            <w:shd w:fill="FAFAFA" w:val="clear"/>
          </w:tcPr>
          <w:p>
            <w:r>
              <w:rPr>
                <w:sz w:val="17"/>
              </w:rPr>
              <w:t>58,372</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2026-10-19</w:t>
            </w:r>
          </w:p>
        </w:tc>
        <w:tc>
          <w:tcPr>
            <w:tcW w:type="dxa" w:w="1440"/>
            <w:shd w:fill="FAFAFA" w:val="clear"/>
          </w:tcPr>
          <w:p>
            <w:r>
              <w:rPr>
                <w:sz w:val="17"/>
              </w:rPr>
              <w:t>37,900</w:t>
            </w:r>
          </w:p>
        </w:tc>
        <w:tc>
          <w:tcPr>
            <w:tcW w:type="dxa" w:w="1440"/>
            <w:shd w:fill="FAFAFA" w:val="clear"/>
          </w:tcPr>
          <w:p>
            <w:r>
              <w:rPr>
                <w:b/>
                <w:sz w:val="17"/>
              </w:rPr>
              <w:t>48,399</w:t>
            </w:r>
          </w:p>
        </w:tc>
        <w:tc>
          <w:tcPr>
            <w:tcW w:type="dxa" w:w="1440"/>
            <w:shd w:fill="FAFAFA" w:val="clear"/>
          </w:tcPr>
          <w:p>
            <w:r>
              <w:rPr>
                <w:sz w:val="17"/>
              </w:rPr>
              <w:t>58,899</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438,05 milliards FCFA, un niveau significatif à l'échelle de la BRVM qui place la société parmi les valeurs de grande taille de la cote, bien que très en deçà des poids lourds comme SONATEL. Les ratios de valorisation boursière (BPA, PER, P/B, EV/EBITDA) ne sont pas calculables en l'absence de données financières structurées récentes et fiables dans la base de données, ce qui limite l'appréciation directe du prix payé par le marché relativement aux bénéfices. À titre indicatif, avec un résultat net 2023 de 640,3 millions FCFA et une capitalisation de 438,05 milliards FCFA, le PER implicite ressortirait à un niveau extrêmement élevé (supérieur à 600x), signalant une décorrélation majeure entre le prix de marché et la rentabilité effective de l'entreprise. Cette situation s'explique par la faiblesse structurelle des bénéfices (marge nette de 2,63% en 2023) et par des capitaux propres négatifs (-10 658 millions FCFA), rendant le P/B non significatif. L'investisseur doit donc considérer que la valorisation actuelle n'est pas soutenue par les fondamentaux comptables, mais davantage par des anticipations de redressement ou des considérations de flottant limité.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-19,15%, avec une chute marquée de -6,47% lors de la dernière séance (J-1), portant le cours actuel à 47 700 FCFA. Le range de trading s'est établi entre un plus haut de 60 295 FCFA et un plus bas de 47 215 FCFA, le cours actuel évoluant dangereusement proche de son plancher, ce qui traduit une tendance baissière claire et persistante. Les statistiques descriptives révèlent une moyenne de 54 548 FCFA et une médiane de 54 595 FCFA, quasi confondues, confirmant une distribution symétrique du cours sur la période, sans biais directionnel marqué dans la fréquence des prix. L'écart-type de 3 043 FCFA et le coefficient de variation de 5,6% indiquent une dispersion modérée des cours autour de leur moyenne, mais la volatilité annualisée de 59,9% classe le titre dans la catégorie des valeurs à volatilité élevée (&gt;30%), ce qui implique un risque de prix important pour l'investisseur. Le kurtosis de -0,540 (mésokurtique) suggère une distribution proche de la normale, sans risque de pics extrêmes fréquents, tandis que le skewness de -0,153 confirme une légère asymétrie négative, cohérente avec la tendance baissière récente. Le mode à 58 000 FCFA, nettement supérieur au cours actuel, souligne que la valeur a passé davantage de temps à des niveaux élevés qu'à son niveau actuel, renforçant le constat d'une dégradation récente du sentiment de marché.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(51 195,5 FCFA) et la MM50 (52 770,5 FCFA) se situent toutes deux nettement au-dessus du cours actuel (47 700 FCFA), confirmant une configuration baissière où le prix évolue sous ses références moyennes. La MM20 étant inférieure à la MM50, on observe un croisement baissier (death cross) caractéristique d'une tendance descendante, justifiant pleinement la décision technique de **Vente**.</w:t>
      </w:r>
    </w:p>
    <w:p>
      <w:pPr>
        <w:spacing w:after="120" w:line="276" w:lineRule="auto"/>
      </w:pPr>
      <w:r>
        <w:t>**Bandes de Bollinger** : Le cours actuel (47 700 FCFA) se situe dans la moitié inférieure de la bande, entre la borne inférieure (46 884,5 FCFA) et la borne supérieure (55 506,5 FCFA), sans franchissement de seuil extrême. Cette position, couplée à une largeur de bande importante, traduit une volatilité élevée mais sans signal de retournement imminent, d'où la décision **Neutre**.</w:t>
      </w:r>
    </w:p>
    <w:p>
      <w:pPr>
        <w:spacing w:after="120" w:line="276" w:lineRule="auto"/>
      </w:pPr>
      <w:r>
        <w:t>**MACD** : La valeur du MACD (-1 272,7) est inférieure à sa ligne de signal (-972,6), confirmant un momentum baissier toujours actif malgré un rapprochement des deux courbes. Cette divergence négative persistante, bien que se réduisant, maintient la pression vendeuse et justifie la décision **Vente**.</w:t>
      </w:r>
    </w:p>
    <w:p>
      <w:pPr>
        <w:spacing w:after="120" w:line="276" w:lineRule="auto"/>
      </w:pPr>
      <w:r>
        <w:t>**RSI** : À 37,51, le RSI se situe en zone neutre basse, sans atteindre le seuil de survente (30), ce qui indique que le titre n'est pas encore techniquement survendu et conserve un potentiel de baisse résiduel. La décision **Neutre** reflète cette absence de signal extrême, mais la proximité du seuil de survente appelle à la vigilance.</w:t>
      </w:r>
    </w:p>
    <w:p>
      <w:pPr>
        <w:spacing w:after="120" w:line="276" w:lineRule="auto"/>
      </w:pPr>
      <w:r>
        <w:t>**Stochastique** : Le %K (8,38) est très bas et inférieur au %D (22,79), avec un croisement en zone de survente profonde qui constitue un signal d'achat technique contrarien. Cette configuration suggère qu'un rebond à court terme est possible, justifiant la décision **Achat**, en divergence avec les autres indicateurs.</w:t>
      </w:r>
    </w:p>
    <w:p>
      <w:pPr>
        <w:spacing w:after="120" w:line="276" w:lineRule="auto"/>
      </w:pPr>
      <w:r>
        <w:t>**Conclusion technique** : Les indicateurs techniques présentent une divergence notable : les moyennes mobiles et le MACD confirment une tendance baissière structurelle, tandis que le stochastique en survente profonde et le RSI proche de 30 signalent un possible rebond technique à court terme. Le titre évolue sous ses moyennes mobiles avec un momentum négatif, mais la configuration du stochastique suggère que la pression vendeuse pourrait s'essouffler. Dans l'ensemble, le signal technique reste majoritairement baissier, avec une fenêtre de rebond spéculatif limitée.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2022 provisoire). **En 2023**, le chiffre d'affaires s'est établi à 24 336 010 000 FCFA, stable par rapport à 2022, traduisant une absence de croissance organique. Le résultat net est redevenu positif à 640 334 855 FCFA, contre une perte nette de 6 908 362 002 FCFA en 2022, mais cette amélioration reste fragile avec une marge nette de seulement 2,63%, très en deçà de la moyenne sectorielle des FMCG en Afrique de l'Ouest (5-10%). Le résultat d'exploitation est passé de -6 258 millions FCFA en 2022 à +3 340 millions FCFA en 2023, grâce à une réduction des charges et une meilleure gestion des stocks, mais les capitaux propres demeurent négatifs à -10 658 millions FCFA et le report à nouveau s'élève à -35 635 millions FCFA, reflétant des pertes cumulées non absorbées. La société n'a versé aucun dividende en 2023, et les dettes financières ont augmenté à 4 379 millions FCFA (contre 3 827 millions en 2022), avec une trésorerie passive de 14 874 millions FCFA qui excède largement la trésorerie active, signalant un risque de liquidité. **En 2022**, le chiffre d'affaires ressortait à 36 174,6 millions FCFA (selon le rapport provisoire), en baisse de 21,5% par rapport à 2021, sous l'effet de la cession de l'activité "Thé" (Lipton) et des perturbations régionales (embargo malien, restrictions BCEAO). La perte nette de 6 382,6 millions FCFA en 2022 contrastait avec le bénéfice marginal de 175 130 FCFA en 2021, et la marge nette s'effondrait à -17,6%. **En 2021**, le résultat net était bénéficiaire à 6 090 755 732 FCFA (marge nette de 25,0%), porté par des produits exceptionnels liés à la cession de Lipton, mais cette performance n'était pas récurrente. L'évolution sur trois ans (2021-2023) montre une entreprise en transition difficile : après un exercice 2021 artificiellement bénéficiaire, UNLC a plongé en 2022 avant de se stabiliser timidement en 2023, sans retrouver une rentabilité durable. Les risques identifiés incluent la dépendance au marché ivoirien, la concurrence accrue (Nestlé, P&amp;G, marques locales), un endettement croissant et des capitaux propres négatifs qui fragilisent la structure financière. Les opportunités résident dans l'expansion régionale (UEMOA), l'innovation produit (gammes premium, bio) et l'optimisation des coûts. **En conclusion**, la situation fondamentale d'UNLC reste précaire malgré les signes de redressement de 2023 : la faible marge nette, l'absence de dividende et les capitaux propres négatifs limitent l'attrait pour l'investisseur, et une reprise durable de la rentabilité ainsi qu'une réduction de l'endettement seraient nécessaires pour envisager un achat.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globalement défavorable pour UNLC. **Sur le plan de la valorisation (Partie 0)**, l'absence de ratios calculables et le PER implicite extrêmement élevé (supérieur à 600x) signalent une surévaluation manifeste par rapport aux bénéfices, la capitalisation de 438,05 milliards FCFA n'étant pas soutenue par une rentabilité effective. **Le comportement du cours (Partie 1)** est clairement baissier (-19,15% sur 100 jours, -6,47% en J-1), avec une volatilité élevée (59,9%) et un cours proche de son plus bas, ce qui constitue un signal préoccupant malgré une distribution symétrique (skewness -0,153) et une absence de pics extrêmes (kurtosis -0,540). **Les signaux techniques (Partie 2)** sont majoritairement baissiers (MM20 &lt; MM50, MACD négatif, cours sous les moyennes), avec une divergence haussière isolée du stochastique en survente profonde, suggérant un rebond technique limité mais pas un retournement de tendance. **Les fondamentaux (Partie 3)** révèlent une entreprise en redressement fragile : bénéfice net de 640,3 millions FCFA en 2023 (marge nette 2,63%), capitaux propres négatifs (-10 658 millions FCFA), absence de dividende et endettement croissant, sans perspective de croissance du chiffre d'affaires. **Les prédictions IA (J+1 à J+10)** anticipent une légère reprise (48 661 FCFA à 48 462 FCFA), confirmant la possibilité d'un rebond technique à court terme mais sans inversion de la tendance baissière de fond. **En synthèse**, la convergence des signaux baissiers (valorisation, technique, fondamentaux) l'emporte sur le rebond spéculatif anticipé par le stochastique et les prédictions IA. **Recommandation finale : VENTE**, avec un niveau de confiance **Moyen** (en raison du rebond technique possible à court terme) et un niveau de risque global **Élevé** (volatilité importante, fondamentaux fragiles, capitaux propres négatifs). L'horizon d'investissement optimal est **court terme (&lt;3 mois)** pour les investisseurs spéculatifs cherchant à profiter du rebond technique, mais **la prudence recommande d'éviter le titre** pour tout investissement à moyen ou long terme, en attendant une amélioration durable de la rentabilité et de la structure financière.</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47.21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13,683 titres</w:t>
            </w:r>
          </w:p>
        </w:tc>
        <w:tc>
          <w:tcPr>
            <w:tcW w:type="dxa" w:w="2268"/>
            <w:shd w:fill="FFF2CC" w:val="clear"/>
          </w:tcPr>
          <w:p>
            <w:r>
              <w:rPr>
                <w:b/>
                <w:color w:val="503200"/>
                <w:sz w:val="16"/>
              </w:rPr>
              <w:t xml:space="preserve">Cours actuel : </w:t>
            </w:r>
            <w:r>
              <w:rPr>
                <w:color w:val="000000"/>
                <w:sz w:val="17"/>
              </w:rPr>
              <w:t>2,275 FCFA</w:t>
            </w:r>
          </w:p>
          <w:p>
            <w:r>
              <w:rPr>
                <w:b/>
                <w:color w:val="503200"/>
                <w:sz w:val="16"/>
              </w:rPr>
              <w:t xml:space="preserve">Var. 100 jours : </w:t>
            </w:r>
            <w:r>
              <w:rPr>
                <w:b/>
                <w:color w:val="007800"/>
                <w:sz w:val="17"/>
              </w:rPr>
              <w:t>+23.98%</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15.11% (Élevée) — μ=2,004 FCFA, σ=303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β=0.6010 (Défensif) — Cov=0.000043, Var(idx)=0.000072, ρ=0.162,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13,683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2026-10-06</w:t>
            </w:r>
          </w:p>
        </w:tc>
        <w:tc>
          <w:tcPr>
            <w:tcW w:type="dxa" w:w="1440"/>
            <w:shd w:fill="FAFAFA" w:val="clear"/>
          </w:tcPr>
          <w:p>
            <w:r>
              <w:rPr>
                <w:sz w:val="17"/>
              </w:rPr>
              <w:t>2,213</w:t>
            </w:r>
          </w:p>
        </w:tc>
        <w:tc>
          <w:tcPr>
            <w:tcW w:type="dxa" w:w="1440"/>
            <w:shd w:fill="FAFAFA" w:val="clear"/>
          </w:tcPr>
          <w:p>
            <w:r>
              <w:rPr>
                <w:b/>
                <w:sz w:val="17"/>
              </w:rPr>
              <w:t>2,295</w:t>
            </w:r>
          </w:p>
        </w:tc>
        <w:tc>
          <w:tcPr>
            <w:tcW w:type="dxa" w:w="1440"/>
            <w:shd w:fill="FAFAFA" w:val="clear"/>
          </w:tcPr>
          <w:p>
            <w:r>
              <w:rPr>
                <w:sz w:val="17"/>
              </w:rPr>
              <w:t>2,376</w:t>
            </w:r>
          </w:p>
        </w:tc>
        <w:tc>
          <w:tcPr>
            <w:tcW w:type="dxa" w:w="1440"/>
            <w:shd w:fill="FAFAFA" w:val="clear"/>
          </w:tcPr>
          <w:p>
            <w:r>
              <w:rPr>
                <w:b/>
                <w:color w:val="008000"/>
                <w:sz w:val="17"/>
              </w:rPr>
              <w:t>+0.9%</w:t>
            </w:r>
          </w:p>
        </w:tc>
      </w:tr>
      <w:tr>
        <w:tc>
          <w:tcPr>
            <w:tcW w:type="dxa" w:w="1440"/>
            <w:shd w:fill="FAFAFA" w:val="clear"/>
          </w:tcPr>
          <w:p>
            <w:r>
              <w:rPr>
                <w:sz w:val="17"/>
              </w:rPr>
              <w:t>J+2  Moyenne</w:t>
            </w:r>
          </w:p>
        </w:tc>
        <w:tc>
          <w:tcPr>
            <w:tcW w:type="dxa" w:w="1440"/>
            <w:shd w:fill="FAFAFA" w:val="clear"/>
          </w:tcPr>
          <w:p>
            <w:r>
              <w:rPr>
                <w:sz w:val="17"/>
              </w:rPr>
              <w:t>2026-10-07</w:t>
            </w:r>
          </w:p>
        </w:tc>
        <w:tc>
          <w:tcPr>
            <w:tcW w:type="dxa" w:w="1440"/>
            <w:shd w:fill="FAFAFA" w:val="clear"/>
          </w:tcPr>
          <w:p>
            <w:r>
              <w:rPr>
                <w:sz w:val="17"/>
              </w:rPr>
              <w:t>2,156</w:t>
            </w:r>
          </w:p>
        </w:tc>
        <w:tc>
          <w:tcPr>
            <w:tcW w:type="dxa" w:w="1440"/>
            <w:shd w:fill="FAFAFA" w:val="clear"/>
          </w:tcPr>
          <w:p>
            <w:r>
              <w:rPr>
                <w:b/>
                <w:sz w:val="17"/>
              </w:rPr>
              <w:t>2,271</w:t>
            </w:r>
          </w:p>
        </w:tc>
        <w:tc>
          <w:tcPr>
            <w:tcW w:type="dxa" w:w="1440"/>
            <w:shd w:fill="FAFAFA" w:val="clear"/>
          </w:tcPr>
          <w:p>
            <w:r>
              <w:rPr>
                <w:sz w:val="17"/>
              </w:rPr>
              <w:t>2,385</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2026-10-08</w:t>
            </w:r>
          </w:p>
        </w:tc>
        <w:tc>
          <w:tcPr>
            <w:tcW w:type="dxa" w:w="1440"/>
            <w:shd w:fill="FAFAFA" w:val="clear"/>
          </w:tcPr>
          <w:p>
            <w:r>
              <w:rPr>
                <w:sz w:val="17"/>
              </w:rPr>
              <w:t>2,114</w:t>
            </w:r>
          </w:p>
        </w:tc>
        <w:tc>
          <w:tcPr>
            <w:tcW w:type="dxa" w:w="1440"/>
            <w:shd w:fill="FAFAFA" w:val="clear"/>
          </w:tcPr>
          <w:p>
            <w:r>
              <w:rPr>
                <w:b/>
                <w:sz w:val="17"/>
              </w:rPr>
              <w:t>2,254</w:t>
            </w:r>
          </w:p>
        </w:tc>
        <w:tc>
          <w:tcPr>
            <w:tcW w:type="dxa" w:w="1440"/>
            <w:shd w:fill="FAFAFA" w:val="clear"/>
          </w:tcPr>
          <w:p>
            <w:r>
              <w:rPr>
                <w:sz w:val="17"/>
              </w:rPr>
              <w:t>2,393</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2026-10-09</w:t>
            </w:r>
          </w:p>
        </w:tc>
        <w:tc>
          <w:tcPr>
            <w:tcW w:type="dxa" w:w="1440"/>
            <w:shd w:fill="FAFAFA" w:val="clear"/>
          </w:tcPr>
          <w:p>
            <w:r>
              <w:rPr>
                <w:sz w:val="17"/>
              </w:rPr>
              <w:t>2,078</w:t>
            </w:r>
          </w:p>
        </w:tc>
        <w:tc>
          <w:tcPr>
            <w:tcW w:type="dxa" w:w="1440"/>
            <w:shd w:fill="FAFAFA" w:val="clear"/>
          </w:tcPr>
          <w:p>
            <w:r>
              <w:rPr>
                <w:b/>
                <w:sz w:val="17"/>
              </w:rPr>
              <w:t>2,238</w:t>
            </w:r>
          </w:p>
        </w:tc>
        <w:tc>
          <w:tcPr>
            <w:tcW w:type="dxa" w:w="1440"/>
            <w:shd w:fill="FAFAFA" w:val="clear"/>
          </w:tcPr>
          <w:p>
            <w:r>
              <w:rPr>
                <w:sz w:val="17"/>
              </w:rPr>
              <w:t>2,398</w:t>
            </w:r>
          </w:p>
        </w:tc>
        <w:tc>
          <w:tcPr>
            <w:tcW w:type="dxa" w:w="1440"/>
            <w:shd w:fill="FAFAFA" w:val="clear"/>
          </w:tcPr>
          <w:p>
            <w:r>
              <w:rPr>
                <w:b/>
                <w:color w:val="C00000"/>
                <w:sz w:val="17"/>
              </w:rPr>
              <w:t>-1.6%</w:t>
            </w:r>
          </w:p>
        </w:tc>
      </w:tr>
      <w:tr>
        <w:tc>
          <w:tcPr>
            <w:tcW w:type="dxa" w:w="1440"/>
            <w:shd w:fill="FFDCE0" w:val="clear"/>
          </w:tcPr>
          <w:p>
            <w:r>
              <w:rPr>
                <w:sz w:val="17"/>
              </w:rPr>
              <w:t>J+5  ⭐</w:t>
            </w:r>
          </w:p>
        </w:tc>
        <w:tc>
          <w:tcPr>
            <w:tcW w:type="dxa" w:w="1440"/>
            <w:shd w:fill="FFDCE0" w:val="clear"/>
          </w:tcPr>
          <w:p>
            <w:r>
              <w:rPr>
                <w:sz w:val="17"/>
              </w:rPr>
              <w:t>2026-10-12</w:t>
            </w:r>
          </w:p>
        </w:tc>
        <w:tc>
          <w:tcPr>
            <w:tcW w:type="dxa" w:w="1440"/>
            <w:shd w:fill="FFDCE0" w:val="clear"/>
          </w:tcPr>
          <w:p>
            <w:r>
              <w:rPr>
                <w:sz w:val="17"/>
              </w:rPr>
              <w:t>2,045</w:t>
            </w:r>
          </w:p>
        </w:tc>
        <w:tc>
          <w:tcPr>
            <w:tcW w:type="dxa" w:w="1440"/>
            <w:shd w:fill="FFDCE0" w:val="clear"/>
          </w:tcPr>
          <w:p>
            <w:r>
              <w:rPr>
                <w:b/>
                <w:sz w:val="17"/>
              </w:rPr>
              <w:t>2,222</w:t>
            </w:r>
          </w:p>
        </w:tc>
        <w:tc>
          <w:tcPr>
            <w:tcW w:type="dxa" w:w="1440"/>
            <w:shd w:fill="FFDCE0" w:val="clear"/>
          </w:tcPr>
          <w:p>
            <w:r>
              <w:rPr>
                <w:sz w:val="17"/>
              </w:rPr>
              <w:t>2,400</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2026-10-13</w:t>
            </w:r>
          </w:p>
        </w:tc>
        <w:tc>
          <w:tcPr>
            <w:tcW w:type="dxa" w:w="1440"/>
            <w:shd w:fill="FFDCE0" w:val="clear"/>
          </w:tcPr>
          <w:p>
            <w:r>
              <w:rPr>
                <w:sz w:val="17"/>
              </w:rPr>
              <w:t>2,014</w:t>
            </w:r>
          </w:p>
        </w:tc>
        <w:tc>
          <w:tcPr>
            <w:tcW w:type="dxa" w:w="1440"/>
            <w:shd w:fill="FFDCE0" w:val="clear"/>
          </w:tcPr>
          <w:p>
            <w:r>
              <w:rPr>
                <w:b/>
                <w:sz w:val="17"/>
              </w:rPr>
              <w:t>2,207</w:t>
            </w:r>
          </w:p>
        </w:tc>
        <w:tc>
          <w:tcPr>
            <w:tcW w:type="dxa" w:w="1440"/>
            <w:shd w:fill="FFDCE0" w:val="clear"/>
          </w:tcPr>
          <w:p>
            <w:r>
              <w:rPr>
                <w:sz w:val="17"/>
              </w:rPr>
              <w:t>2,400</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2026-10-14</w:t>
            </w:r>
          </w:p>
        </w:tc>
        <w:tc>
          <w:tcPr>
            <w:tcW w:type="dxa" w:w="1440"/>
            <w:shd w:fill="FFDCE0" w:val="clear"/>
          </w:tcPr>
          <w:p>
            <w:r>
              <w:rPr>
                <w:sz w:val="17"/>
              </w:rPr>
              <w:t>1,986</w:t>
            </w:r>
          </w:p>
        </w:tc>
        <w:tc>
          <w:tcPr>
            <w:tcW w:type="dxa" w:w="1440"/>
            <w:shd w:fill="FFDCE0" w:val="clear"/>
          </w:tcPr>
          <w:p>
            <w:r>
              <w:rPr>
                <w:b/>
                <w:sz w:val="17"/>
              </w:rPr>
              <w:t>2,192</w:t>
            </w:r>
          </w:p>
        </w:tc>
        <w:tc>
          <w:tcPr>
            <w:tcW w:type="dxa" w:w="1440"/>
            <w:shd w:fill="FFDCE0" w:val="clear"/>
          </w:tcPr>
          <w:p>
            <w:r>
              <w:rPr>
                <w:sz w:val="17"/>
              </w:rPr>
              <w:t>2,399</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2026-10-15</w:t>
            </w:r>
          </w:p>
        </w:tc>
        <w:tc>
          <w:tcPr>
            <w:tcW w:type="dxa" w:w="1440"/>
            <w:shd w:fill="FFDCE0" w:val="clear"/>
          </w:tcPr>
          <w:p>
            <w:r>
              <w:rPr>
                <w:sz w:val="17"/>
              </w:rPr>
              <w:t>1,958</w:t>
            </w:r>
          </w:p>
        </w:tc>
        <w:tc>
          <w:tcPr>
            <w:tcW w:type="dxa" w:w="1440"/>
            <w:shd w:fill="FFDCE0" w:val="clear"/>
          </w:tcPr>
          <w:p>
            <w:r>
              <w:rPr>
                <w:b/>
                <w:sz w:val="17"/>
              </w:rPr>
              <w:t>2,178</w:t>
            </w:r>
          </w:p>
        </w:tc>
        <w:tc>
          <w:tcPr>
            <w:tcW w:type="dxa" w:w="1440"/>
            <w:shd w:fill="FFDCE0" w:val="clear"/>
          </w:tcPr>
          <w:p>
            <w:r>
              <w:rPr>
                <w:sz w:val="17"/>
              </w:rPr>
              <w:t>2,398</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2026-10-16</w:t>
            </w:r>
          </w:p>
        </w:tc>
        <w:tc>
          <w:tcPr>
            <w:tcW w:type="dxa" w:w="1440"/>
            <w:shd w:fill="FFDCE0" w:val="clear"/>
          </w:tcPr>
          <w:p>
            <w:r>
              <w:rPr>
                <w:sz w:val="17"/>
              </w:rPr>
              <w:t>1,933</w:t>
            </w:r>
          </w:p>
        </w:tc>
        <w:tc>
          <w:tcPr>
            <w:tcW w:type="dxa" w:w="1440"/>
            <w:shd w:fill="FFDCE0" w:val="clear"/>
          </w:tcPr>
          <w:p>
            <w:r>
              <w:rPr>
                <w:b/>
                <w:sz w:val="17"/>
              </w:rPr>
              <w:t>2,164</w:t>
            </w:r>
          </w:p>
        </w:tc>
        <w:tc>
          <w:tcPr>
            <w:tcW w:type="dxa" w:w="1440"/>
            <w:shd w:fill="FFDCE0" w:val="clear"/>
          </w:tcPr>
          <w:p>
            <w:r>
              <w:rPr>
                <w:sz w:val="17"/>
              </w:rPr>
              <w:t>2,396</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2026-10-19</w:t>
            </w:r>
          </w:p>
        </w:tc>
        <w:tc>
          <w:tcPr>
            <w:tcW w:type="dxa" w:w="1440"/>
            <w:shd w:fill="FFDCE0" w:val="clear"/>
          </w:tcPr>
          <w:p>
            <w:r>
              <w:rPr>
                <w:sz w:val="17"/>
              </w:rPr>
              <w:t>1,908</w:t>
            </w:r>
          </w:p>
        </w:tc>
        <w:tc>
          <w:tcPr>
            <w:tcW w:type="dxa" w:w="1440"/>
            <w:shd w:fill="FFDCE0" w:val="clear"/>
          </w:tcPr>
          <w:p>
            <w:r>
              <w:rPr>
                <w:b/>
                <w:sz w:val="17"/>
              </w:rPr>
              <w:t>2,151</w:t>
            </w:r>
          </w:p>
        </w:tc>
        <w:tc>
          <w:tcPr>
            <w:tcW w:type="dxa" w:w="1440"/>
            <w:shd w:fill="FFDCE0" w:val="clear"/>
          </w:tcPr>
          <w:p>
            <w:r>
              <w:rPr>
                <w:sz w:val="17"/>
              </w:rPr>
              <w:t>2,394</w:t>
            </w:r>
          </w:p>
        </w:tc>
        <w:tc>
          <w:tcPr>
            <w:tcW w:type="dxa" w:w="1440"/>
            <w:shd w:fill="FFDCE0" w:val="clear"/>
          </w:tcPr>
          <w:p>
            <w:r>
              <w:rPr>
                <w:b/>
                <w:color w:val="C00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47,21 milliards FCFA, UNIWAX se situe dans la catégorie des valeurs moyennes de la cote BRVM, ce qui lui confère une certaine liquidité mais aussi une sensibilité accrue aux mouvements de portefeuille. Le BPA ressort à -105 FCFA/action sur l'exercice 2024, traduisant une perte nette par action qui rend le PER inexploitable (-21,6x) — un ratio négatif qui signale une société déficitaire et non une anomalie de valorisation. Le P/B de 3,03x indique que le marché valorise UNXC à environ trois fois sa valeur comptable, soit une prime de croissance significative qui n'est justifiée que si le redressement opérationnel se confirme durablement. Le PER BRVM moyen (8-12x) ne peut servir de référence ici puisque la société est en perte ; l'investisseur doit donc se référer au P/B et à la trajectoire de retour à la rentabilité. Enfin, l'EV/EBITDA n'est pas fourni dans les données, ce qui limite l'analyse comparative de la valeur d'entreprise par rapport à la capacité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progression totale de +23,98%, portée par un cours actuel de 2 275 FCFA, malgré un repli de -3,60% lors de la dernière séance qui marque une prise de bénéfices après le récent rallye. Le range de trading est particulièrement large, avec un plus haut à 2 495 FCFA et un plus bas à 1 250 FCFA, soit un écart de près de 100% entre les deux extrêmes — signe d'une forte volatilité et d'une tendance haussière heurtée. La moyenne (2 004 FCFA) se situe au-dessus de la médiane (1 942 FCFA), ce qui indique une légère asymétrie positive : les périodes de prix élevés tirent la moyenne vers le haut, bien que le skewness de -0,111 révèle une distribution globalement symétrique. L'écart-type de 304 FCFA (CV=15,2%) traduit une dispersion modérée du cours autour de sa moyenne, tandis que le kurtosis de -0,530 (mésokurtique) suggère une distribution proche de la normale, sans risque excessif de pics extrêmes. La volatilité annualisée de 49,9% classe le titre dans la catégorie des valeurs à volatilité élevée (&gt;30%), ce qui implique un risque de marché important et justifie une approche prudente en termes de sizing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(2 345,0 FCFA) et la MM50 (2 223,9 FCFA) se situent toutes deux au-dessus du cours actuel (2 275 FCFA), ce qui place le titre en position de faiblesse relative à court terme. Toutefois, la MM20 reste supérieure à la MM50, configurant un croisement haussier de fond qui justifie la décision d'**Achat** fournie par le système, bien que le cours doive reconquérir ces niveaux pour confirmer la tendance.</w:t>
      </w:r>
    </w:p>
    <w:p>
      <w:pPr>
        <w:spacing w:after="120" w:line="276" w:lineRule="auto"/>
      </w:pPr>
      <w:r>
        <w:t>**Bandes de Bollinger** : Le cours (2 275 FCFA) évolue dans la partie basse de la bande, entre la borne inférieure (2 216,118 FCFA) et la borne supérieure (2 473,882 FCFA), sans atteindre les extrêmes. Cette position médiane-basse, couplée à une largeur de bande significative, traduit une volatilité toujours présente mais sans signal directionnel fort, d'où la décision **Neutre**.</w:t>
      </w:r>
    </w:p>
    <w:p>
      <w:pPr>
        <w:spacing w:after="120" w:line="276" w:lineRule="auto"/>
      </w:pPr>
      <w:r>
        <w:t>**MACD** : La valeur du MACD (26,028) est inférieure à son signal (37,637), ce qui génère un croisement baissier et une divergence négative. Le momentum s'affaiblit, confirmant la décision de **Vente** à court terme, bien que la ligne MACD reste en territoire positif, ce qui nuance la portée du signal.</w:t>
      </w:r>
    </w:p>
    <w:p>
      <w:pPr>
        <w:spacing w:after="120" w:line="276" w:lineRule="auto"/>
      </w:pPr>
      <w:r>
        <w:t>**RSI** : À 40,157, le RSI se situe dans la zone neutre (30-70), sans atteindre la zone de survente (&lt;30). Cette configuration indique une absence de pression vendeuse excessive mais aussi un manque de dynamisme acheteur, justifiant la décision **Neutre**.</w:t>
      </w:r>
    </w:p>
    <w:p>
      <w:pPr>
        <w:spacing w:after="120" w:line="276" w:lineRule="auto"/>
      </w:pPr>
      <w:r>
        <w:t>**Stochastique** : Le %K (30,612) est nettement inférieur au %D (62,585), avec un croisement baissier récent qui signale un essoufflement de la dynamique haussière. Le %K proche de la zone de survente (20) pourrait toutefois préparer un rebond technique, d'où la décision **Neutre**.</w:t>
      </w:r>
    </w:p>
    <w:p>
      <w:pPr>
        <w:spacing w:after="120" w:line="276" w:lineRule="auto"/>
      </w:pPr>
      <w:r>
        <w:t>**Conclusion technique** : Les indicateurs sont majoritairement neutres à baissiers à court terme (MACD vendeur, Stochastique baissier, cours sous les MM), mais la structure de fond reste haussière (MM20 &gt; MM50, RSI neutre). Le titre se trouve dans une phase de consolidation après un rallye de +24%, et la prudence est de mise en attendant un signal de reprise clair, notamment un franchissement de la MM20 (2 345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brossent un tableau contrasté : UNIWAX a réalisé un chiffre d'affaires de 27,333 milliards FCFA, en croissance de +15,4% par rapport à 2023 (23,690 milliards FCFA), mais a enregistré une perte nette de -2,189 milliards FCFA, avec un ROE de -14,04% et un ROA de -6,39%. La marge nette ressort à -8,01% et la marge opérationnelle à -7,81%, tandis que l'EBE est négatif à -352,22 millions FCFA. La structure financière reste néanmoins solide : l'autonomie financière s'établit à 45,53% (capitaux propres de 15,591 milliards FCFA), la liquidité générale à 126,23% et la trésorerie nette à 2,495 milliards FCFA. Les délais d'exploitation révèlent des points de vigilance : délai clients de 51 jours (risque de trésorerie modéré), délai fournisseurs de 268 jours (favorable à la trésorerie) et durée de stockage de 255 jours (immobilisation de capital importante). Le BFR de 2,149 milliards FCFA et le fonds de roulement de 4,027 milliards FCFA confirment une gestion du cycle d'exploitation sous tension.</w:t>
      </w:r>
    </w:p>
    <w:p>
      <w:pPr>
        <w:spacing w:after="120" w:line="276" w:lineRule="auto"/>
      </w:pPr>
      <w:r>
        <w:t>Les rapports narratifs apportent un éclairage essentiel sur la trajectoire de redressement. Le rapport du **1er semestre 2026** (publié en 2026) indique un CA de 15,752 milliards FCFA (+0,3% sur un an) et surtout un **résultat d'exploitation redevenu positif à 771 millions FCFA**, contre une perte de -314 millions FCFA au S1 2025 — soit une amélioration de +345,4%. Le résultat net du S1 2026 s'établit à 771 millions FCFA, contre 8,216 milliards FCFA au S1 2025, ce dernier ayant été artificiellement gonflé par une plus-value de cession exceptionnelle de près de 10 milliards FCFA (cession-bail du terrain). Le rapport annuel **2025** (publié en 2025) confirme cette dynamique : CA de 29,03 milliards FCFA (+6,2%), EBE redevenu positif à 1,13 milliard FCFA (contre -0,35 milliard en 2024), et perte nette réduite de 71% à -624 millions FCFA. Le désendettement vis-à-vis des fournisseurs (14,9 milliards ramenés à 5,0 milliards) a été financé par des cessions d'immobilisations pour +10,5 milliards FCFA, ce qui a assaini le bilan mais reste non récurrent. Le rapport du **3ème trimestre 2025** (daté du 30/09/2025) souligne que le résultat des activités ordinaires reste négatif à -371 millions FCFA sur neuf mois, mais que la direction annonce l'absence de perte au T3 seul, suggérant une inflexion vers la rentabilité opérationnelle. Sur la base de ces éléments, on estime que l'exercice 2026 devrait confirmer le retour à une rentabilité opérationnelle positive, avec un résultat net potentiellement à l'équilibre ou légèrement positif, hors éléments exceptionnels. La recommandation fondamentale est donc **CONSERVER avec un biais haussier**, en attendant la confirmation de la durabilité de la rentabilité opérationnelle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atypique : le PER négatif (-21,6x) et le BPA négatif (-105 FCFA) interdisent toute lecture classique, mais le P/B de 3,03x traduit une prime de croissance que le marché accorde en anticipant le redressement. Le comportement du cours (Partie 1) est haussier sur 100 jours (+23,98%) mais marqué par une volatilité élevée (49,9%) et une consolidation récente (-3,60% en J-1), avec une distribution symétrique (skewness -0,111) et sans risque de pics extrêmes (kurtosis -0,530). Les signaux techniques (Partie 2) sont mitigés : le MACD est vendeur, le Stochastique baissier, mais les MM20 &gt; MM50 et le RSI neutre maintiennent une structure de fond haussière. Les fondamentaux (Partie 3) montrent un redressement réel mais fragile : le retour à un résultat d'exploitation positif au S1 2026 (771 millions FCFA) et la réduction de la perte nette 2025 (-624 millions FCFA) sont encourageants, mais la rentabilité reste dépendante d'éléments non récurrents (cessions d'actifs) et la croissance du CA est atone (+0,3% au S1 2026). Les prédictions IA (J+1 à J+10) anticipent une baisse progressive de 2 295 FCFA à 2 222 FCFA, ce qui contredit la structure haussière de fond et confirme la pression baissière à court terme. **Recommandation finale : CONSERVER**, avec un niveau de confiance **Moyen** et un risque global **Élevé**. La convergence entre la prudence technique (MACD vendeur, prédictions baissières) et la fragilité fondamentale (rentabilité non encore structurelle) justifie une position d'attente, tandis que le potentiel de redressement à moyen terme (retour à une rentabilité opérationnelle durable) plaide pour ne pas vendre. L'horizon d'investissement optimal est le **moyen terme (3-12 mois)**, en surveillant la confirmation du résultat d'exploitation positif au S2 2026 et l'annonce d'une politique de dividende.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